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1E4D2E" w14:textId="77777777" w:rsidR="00601D9B" w:rsidRDefault="000E53A0">
      <w:pPr>
        <w:ind w:left="720" w:firstLine="720"/>
        <w:rPr>
          <w:sz w:val="15"/>
          <w:szCs w:val="15"/>
        </w:rPr>
      </w:pPr>
      <w:bookmarkStart w:id="0" w:name="Annex1"/>
      <w:r>
        <w:rPr>
          <w:noProof/>
          <w:lang w:val="fr-FR" w:eastAsia="fr-FR"/>
        </w:rPr>
        <w:drawing>
          <wp:anchor distT="0" distB="0" distL="114300" distR="114300" simplePos="0" relativeHeight="251658243" behindDoc="1" locked="0" layoutInCell="1" allowOverlap="1" wp14:anchorId="4E4B688B" wp14:editId="3DF68612">
            <wp:simplePos x="0" y="0"/>
            <wp:positionH relativeFrom="margin">
              <wp:posOffset>5257800</wp:posOffset>
            </wp:positionH>
            <wp:positionV relativeFrom="paragraph">
              <wp:posOffset>93345</wp:posOffset>
            </wp:positionV>
            <wp:extent cx="709930" cy="818515"/>
            <wp:effectExtent l="0" t="0" r="0" b="0"/>
            <wp:wrapTight wrapText="bothSides">
              <wp:wrapPolygon edited="0">
                <wp:start x="0" y="0"/>
                <wp:lineTo x="0" y="21114"/>
                <wp:lineTo x="20866" y="21114"/>
                <wp:lineTo x="20866" y="0"/>
                <wp:lineTo x="0" y="0"/>
              </wp:wrapPolygon>
            </wp:wrapTight>
            <wp:docPr id="81" name="Picture 81" descr="GEF-notag-lowres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GEF-notag-lowres_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9930" cy="818515"/>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58240" behindDoc="0" locked="0" layoutInCell="1" allowOverlap="1" wp14:anchorId="358237C2" wp14:editId="5FA1D16F">
            <wp:simplePos x="0" y="0"/>
            <wp:positionH relativeFrom="column">
              <wp:posOffset>-635</wp:posOffset>
            </wp:positionH>
            <wp:positionV relativeFrom="paragraph">
              <wp:posOffset>-2540</wp:posOffset>
            </wp:positionV>
            <wp:extent cx="647065" cy="1380490"/>
            <wp:effectExtent l="0" t="0" r="0" b="0"/>
            <wp:wrapNone/>
            <wp:docPr id="4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7065" cy="1380490"/>
                    </a:xfrm>
                    <a:prstGeom prst="rect">
                      <a:avLst/>
                    </a:prstGeom>
                    <a:noFill/>
                  </pic:spPr>
                </pic:pic>
              </a:graphicData>
            </a:graphic>
            <wp14:sizeRelH relativeFrom="page">
              <wp14:pctWidth>0</wp14:pctWidth>
            </wp14:sizeRelH>
            <wp14:sizeRelV relativeFrom="page">
              <wp14:pctHeight>0</wp14:pctHeight>
            </wp14:sizeRelV>
          </wp:anchor>
        </w:drawing>
      </w:r>
      <w:r w:rsidR="00FF7F79" w:rsidRPr="00E3519C">
        <w:rPr>
          <w:sz w:val="15"/>
          <w:szCs w:val="15"/>
        </w:rPr>
        <w:tab/>
      </w:r>
      <w:r w:rsidR="00FF7F79">
        <w:rPr>
          <w:sz w:val="15"/>
          <w:szCs w:val="15"/>
        </w:rPr>
        <w:tab/>
      </w:r>
      <w:r w:rsidR="00FF7F79">
        <w:rPr>
          <w:sz w:val="15"/>
          <w:szCs w:val="15"/>
        </w:rPr>
        <w:tab/>
      </w:r>
      <w:r w:rsidR="00FF7F79">
        <w:rPr>
          <w:sz w:val="15"/>
          <w:szCs w:val="15"/>
        </w:rPr>
        <w:tab/>
      </w:r>
      <w:r w:rsidR="00FF7F79">
        <w:rPr>
          <w:sz w:val="15"/>
          <w:szCs w:val="15"/>
        </w:rPr>
        <w:tab/>
      </w:r>
      <w:r w:rsidR="00FF7F79">
        <w:rPr>
          <w:sz w:val="15"/>
          <w:szCs w:val="15"/>
        </w:rPr>
        <w:tab/>
      </w:r>
    </w:p>
    <w:p w14:paraId="1783A57F" w14:textId="77777777" w:rsidR="001441A6" w:rsidRDefault="001441A6" w:rsidP="00FF7F79">
      <w:pPr>
        <w:ind w:left="720" w:firstLine="720"/>
        <w:rPr>
          <w:sz w:val="15"/>
          <w:szCs w:val="15"/>
        </w:rPr>
      </w:pPr>
    </w:p>
    <w:p w14:paraId="3070AD10" w14:textId="77777777" w:rsidR="001441A6" w:rsidRDefault="001441A6" w:rsidP="00FF7F79">
      <w:pPr>
        <w:ind w:left="720" w:firstLine="720"/>
        <w:rPr>
          <w:sz w:val="15"/>
          <w:szCs w:val="15"/>
        </w:rPr>
      </w:pPr>
    </w:p>
    <w:p w14:paraId="6DAC13EE" w14:textId="77777777" w:rsidR="001441A6" w:rsidRDefault="001441A6" w:rsidP="00FF7F79">
      <w:pPr>
        <w:ind w:left="720" w:firstLine="720"/>
        <w:rPr>
          <w:sz w:val="15"/>
          <w:szCs w:val="15"/>
        </w:rPr>
      </w:pPr>
    </w:p>
    <w:p w14:paraId="7D85787C" w14:textId="77777777" w:rsidR="001441A6" w:rsidRDefault="001441A6" w:rsidP="00FF7F79">
      <w:pPr>
        <w:ind w:left="720" w:firstLine="720"/>
        <w:rPr>
          <w:sz w:val="15"/>
          <w:szCs w:val="15"/>
        </w:rPr>
      </w:pPr>
    </w:p>
    <w:p w14:paraId="046C23F6" w14:textId="77777777" w:rsidR="001441A6" w:rsidRDefault="001441A6" w:rsidP="00FF7F79">
      <w:pPr>
        <w:ind w:left="720" w:firstLine="720"/>
        <w:rPr>
          <w:sz w:val="15"/>
          <w:szCs w:val="15"/>
        </w:rPr>
      </w:pPr>
    </w:p>
    <w:p w14:paraId="43AC5209" w14:textId="77777777" w:rsidR="001441A6" w:rsidRDefault="001441A6" w:rsidP="00FF7F79">
      <w:pPr>
        <w:ind w:left="720" w:firstLine="720"/>
        <w:rPr>
          <w:sz w:val="15"/>
          <w:szCs w:val="15"/>
        </w:rPr>
      </w:pPr>
    </w:p>
    <w:p w14:paraId="44D3E98D" w14:textId="77777777" w:rsidR="001441A6" w:rsidRDefault="001441A6" w:rsidP="00FF7F79">
      <w:pPr>
        <w:ind w:left="720" w:firstLine="720"/>
        <w:rPr>
          <w:sz w:val="15"/>
          <w:szCs w:val="15"/>
        </w:rPr>
      </w:pPr>
    </w:p>
    <w:p w14:paraId="10B3AE9A" w14:textId="77777777" w:rsidR="001441A6" w:rsidRDefault="001441A6" w:rsidP="00FF7F79">
      <w:pPr>
        <w:ind w:left="720" w:firstLine="720"/>
        <w:rPr>
          <w:sz w:val="15"/>
          <w:szCs w:val="15"/>
        </w:rPr>
      </w:pPr>
    </w:p>
    <w:p w14:paraId="583DFE65" w14:textId="77777777" w:rsidR="00231A45" w:rsidRDefault="00FF7F79" w:rsidP="00185245">
      <w:pPr>
        <w:ind w:left="720" w:firstLine="720"/>
        <w:rPr>
          <w:rFonts w:cs="Arial"/>
          <w:b/>
          <w:i/>
          <w:szCs w:val="22"/>
        </w:rPr>
      </w:pPr>
      <w:r>
        <w:rPr>
          <w:sz w:val="15"/>
          <w:szCs w:val="15"/>
        </w:rPr>
        <w:tab/>
      </w:r>
      <w:r>
        <w:rPr>
          <w:sz w:val="15"/>
          <w:szCs w:val="15"/>
        </w:rPr>
        <w:tab/>
      </w:r>
      <w:r w:rsidRPr="00E3519C">
        <w:rPr>
          <w:sz w:val="15"/>
          <w:szCs w:val="15"/>
        </w:rPr>
        <w:tab/>
      </w:r>
      <w:r>
        <w:rPr>
          <w:sz w:val="15"/>
          <w:szCs w:val="15"/>
        </w:rPr>
        <w:tab/>
      </w:r>
      <w:r>
        <w:rPr>
          <w:sz w:val="15"/>
          <w:szCs w:val="15"/>
        </w:rPr>
        <w:tab/>
      </w:r>
      <w:r>
        <w:rPr>
          <w:sz w:val="15"/>
          <w:szCs w:val="15"/>
        </w:rPr>
        <w:tab/>
      </w:r>
      <w:bookmarkEnd w:id="0"/>
    </w:p>
    <w:p w14:paraId="5D554839" w14:textId="77777777" w:rsidR="00601D9B" w:rsidRPr="000E53A0" w:rsidRDefault="000E53A0">
      <w:pPr>
        <w:spacing w:after="120"/>
        <w:jc w:val="center"/>
        <w:rPr>
          <w:rFonts w:asciiTheme="minorHAnsi" w:hAnsiTheme="minorHAnsi" w:cstheme="minorHAnsi"/>
          <w:b/>
          <w:i/>
          <w:sz w:val="18"/>
          <w:szCs w:val="18"/>
          <w:lang w:val="fr-FR"/>
        </w:rPr>
      </w:pPr>
      <w:r w:rsidRPr="000E53A0">
        <w:rPr>
          <w:rFonts w:asciiTheme="minorHAnsi" w:hAnsiTheme="minorHAnsi" w:cstheme="minorHAnsi"/>
          <w:b/>
          <w:i/>
          <w:sz w:val="18"/>
          <w:szCs w:val="18"/>
          <w:highlight w:val="yellow"/>
          <w:lang w:val="fr-FR"/>
        </w:rPr>
        <w:t>Ajouter le logo du gouvernement, le cas échéant</w:t>
      </w:r>
    </w:p>
    <w:p w14:paraId="2BC0A340" w14:textId="77777777" w:rsidR="00601D9B" w:rsidRPr="000E53A0" w:rsidRDefault="000E53A0">
      <w:pPr>
        <w:spacing w:after="240"/>
        <w:jc w:val="center"/>
        <w:rPr>
          <w:rFonts w:asciiTheme="minorHAnsi" w:hAnsiTheme="minorHAnsi" w:cstheme="minorHAnsi"/>
          <w:b/>
          <w:sz w:val="18"/>
          <w:szCs w:val="18"/>
          <w:lang w:val="fr-FR"/>
        </w:rPr>
      </w:pPr>
      <w:r w:rsidRPr="000E53A0">
        <w:rPr>
          <w:rFonts w:asciiTheme="minorHAnsi" w:hAnsiTheme="minorHAnsi" w:cstheme="minorHAnsi"/>
          <w:b/>
          <w:sz w:val="18"/>
          <w:szCs w:val="18"/>
          <w:lang w:val="fr-FR"/>
        </w:rPr>
        <w:t>Programme des Nations unies pour le développement</w:t>
      </w:r>
    </w:p>
    <w:p w14:paraId="1843A159" w14:textId="77777777" w:rsidR="00601D9B" w:rsidRPr="000E53A0" w:rsidRDefault="000E53A0">
      <w:pPr>
        <w:jc w:val="center"/>
        <w:rPr>
          <w:rFonts w:asciiTheme="minorHAnsi" w:hAnsiTheme="minorHAnsi" w:cstheme="minorHAnsi"/>
          <w:b/>
          <w:sz w:val="18"/>
          <w:szCs w:val="18"/>
          <w:lang w:val="fr-FR"/>
        </w:rPr>
      </w:pPr>
      <w:r w:rsidRPr="000E53A0">
        <w:rPr>
          <w:rFonts w:asciiTheme="minorHAnsi" w:hAnsiTheme="minorHAnsi" w:cstheme="minorHAnsi"/>
          <w:b/>
          <w:sz w:val="18"/>
          <w:szCs w:val="18"/>
          <w:lang w:val="fr-FR"/>
        </w:rPr>
        <w:t xml:space="preserve">Modèle de </w:t>
      </w:r>
      <w:r w:rsidR="001754B1" w:rsidRPr="000E53A0">
        <w:rPr>
          <w:rFonts w:asciiTheme="minorHAnsi" w:hAnsiTheme="minorHAnsi" w:cstheme="minorHAnsi"/>
          <w:b/>
          <w:sz w:val="18"/>
          <w:szCs w:val="18"/>
          <w:lang w:val="fr-FR"/>
        </w:rPr>
        <w:t xml:space="preserve">document de projet </w:t>
      </w:r>
      <w:r w:rsidRPr="000E53A0">
        <w:rPr>
          <w:rFonts w:asciiTheme="minorHAnsi" w:hAnsiTheme="minorHAnsi" w:cstheme="minorHAnsi"/>
          <w:b/>
          <w:sz w:val="18"/>
          <w:szCs w:val="18"/>
          <w:highlight w:val="yellow"/>
          <w:lang w:val="fr-FR"/>
        </w:rPr>
        <w:t xml:space="preserve">annoté </w:t>
      </w:r>
      <w:r w:rsidR="001754B1" w:rsidRPr="000E53A0">
        <w:rPr>
          <w:rFonts w:asciiTheme="minorHAnsi" w:hAnsiTheme="minorHAnsi" w:cstheme="minorHAnsi"/>
          <w:b/>
          <w:sz w:val="18"/>
          <w:szCs w:val="18"/>
          <w:lang w:val="fr-FR"/>
        </w:rPr>
        <w:t xml:space="preserve">pour les </w:t>
      </w:r>
      <w:r w:rsidR="000B3D4F" w:rsidRPr="000E53A0">
        <w:rPr>
          <w:rFonts w:asciiTheme="minorHAnsi" w:hAnsiTheme="minorHAnsi" w:cstheme="minorHAnsi"/>
          <w:b/>
          <w:sz w:val="18"/>
          <w:szCs w:val="18"/>
          <w:lang w:val="fr-FR"/>
        </w:rPr>
        <w:t>projets</w:t>
      </w:r>
    </w:p>
    <w:p w14:paraId="759197AA" w14:textId="77777777" w:rsidR="00601D9B" w:rsidRPr="000E53A0" w:rsidRDefault="000E53A0">
      <w:pPr>
        <w:jc w:val="center"/>
        <w:rPr>
          <w:rFonts w:asciiTheme="minorHAnsi" w:hAnsiTheme="minorHAnsi" w:cstheme="minorHAnsi"/>
          <w:b/>
          <w:sz w:val="18"/>
          <w:szCs w:val="18"/>
          <w:lang w:val="fr-FR"/>
        </w:rPr>
      </w:pPr>
      <w:proofErr w:type="gramStart"/>
      <w:r w:rsidRPr="000E53A0">
        <w:rPr>
          <w:rFonts w:asciiTheme="minorHAnsi" w:hAnsiTheme="minorHAnsi" w:cstheme="minorHAnsi"/>
          <w:b/>
          <w:sz w:val="18"/>
          <w:szCs w:val="18"/>
          <w:lang w:val="fr-FR"/>
        </w:rPr>
        <w:t>financés</w:t>
      </w:r>
      <w:proofErr w:type="gramEnd"/>
      <w:r w:rsidRPr="000E53A0">
        <w:rPr>
          <w:rFonts w:asciiTheme="minorHAnsi" w:hAnsiTheme="minorHAnsi" w:cstheme="minorHAnsi"/>
          <w:b/>
          <w:sz w:val="18"/>
          <w:szCs w:val="18"/>
          <w:lang w:val="fr-FR"/>
        </w:rPr>
        <w:t xml:space="preserve"> par les </w:t>
      </w:r>
      <w:r w:rsidR="0099420C" w:rsidRPr="000E53A0">
        <w:rPr>
          <w:rFonts w:asciiTheme="minorHAnsi" w:hAnsiTheme="minorHAnsi" w:cstheme="minorHAnsi"/>
          <w:b/>
          <w:sz w:val="18"/>
          <w:szCs w:val="18"/>
          <w:lang w:val="fr-FR"/>
        </w:rPr>
        <w:t xml:space="preserve">différents </w:t>
      </w:r>
      <w:r w:rsidR="00DF11B5" w:rsidRPr="000E53A0">
        <w:rPr>
          <w:rFonts w:asciiTheme="minorHAnsi" w:hAnsiTheme="minorHAnsi" w:cstheme="minorHAnsi"/>
          <w:b/>
          <w:sz w:val="18"/>
          <w:szCs w:val="18"/>
          <w:lang w:val="fr-FR"/>
        </w:rPr>
        <w:t xml:space="preserve">fonds fiduciaires du </w:t>
      </w:r>
      <w:r w:rsidR="00E3519C" w:rsidRPr="000E53A0">
        <w:rPr>
          <w:rFonts w:asciiTheme="minorHAnsi" w:hAnsiTheme="minorHAnsi" w:cstheme="minorHAnsi"/>
          <w:b/>
          <w:sz w:val="18"/>
          <w:szCs w:val="18"/>
          <w:lang w:val="fr-FR"/>
        </w:rPr>
        <w:t>FEM</w:t>
      </w:r>
    </w:p>
    <w:p w14:paraId="6D7447C5" w14:textId="77777777" w:rsidR="00DF11B5" w:rsidRPr="000E53A0" w:rsidRDefault="00DF11B5" w:rsidP="000B3D4F">
      <w:pPr>
        <w:rPr>
          <w:rFonts w:asciiTheme="minorHAnsi" w:hAnsiTheme="minorHAnsi" w:cstheme="minorHAnsi"/>
          <w:b/>
          <w:i/>
          <w:sz w:val="18"/>
          <w:szCs w:val="18"/>
          <w:lang w:val="fr-FR"/>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9"/>
        <w:gridCol w:w="1626"/>
        <w:gridCol w:w="450"/>
        <w:gridCol w:w="1170"/>
        <w:gridCol w:w="177"/>
        <w:gridCol w:w="3423"/>
      </w:tblGrid>
      <w:tr w:rsidR="00B270EB" w:rsidRPr="00FB4FF7" w14:paraId="0A08F337" w14:textId="77777777" w:rsidTr="0003763F">
        <w:trPr>
          <w:trHeight w:val="548"/>
        </w:trPr>
        <w:tc>
          <w:tcPr>
            <w:tcW w:w="9355" w:type="dxa"/>
            <w:gridSpan w:val="6"/>
            <w:shd w:val="clear" w:color="auto" w:fill="auto"/>
          </w:tcPr>
          <w:p w14:paraId="20F249E1" w14:textId="77777777" w:rsidR="00601D9B" w:rsidRPr="000E53A0" w:rsidRDefault="000E53A0">
            <w:pPr>
              <w:spacing w:after="240"/>
              <w:rPr>
                <w:rFonts w:asciiTheme="minorHAnsi" w:hAnsiTheme="minorHAnsi" w:cstheme="minorHAnsi"/>
                <w:b/>
                <w:sz w:val="18"/>
                <w:szCs w:val="18"/>
                <w:lang w:val="fr-FR"/>
              </w:rPr>
            </w:pPr>
            <w:r w:rsidRPr="000E53A0">
              <w:rPr>
                <w:rFonts w:asciiTheme="minorHAnsi" w:hAnsiTheme="minorHAnsi" w:cstheme="minorHAnsi"/>
                <w:b/>
                <w:sz w:val="18"/>
                <w:szCs w:val="18"/>
                <w:lang w:val="fr-FR"/>
              </w:rPr>
              <w:t xml:space="preserve">Titre du projet :  </w:t>
            </w:r>
            <w:r w:rsidR="0083403C" w:rsidRPr="000E53A0">
              <w:rPr>
                <w:rFonts w:asciiTheme="minorHAnsi" w:hAnsiTheme="minorHAnsi" w:cstheme="minorHAnsi"/>
                <w:color w:val="000000"/>
                <w:sz w:val="18"/>
                <w:szCs w:val="18"/>
                <w:lang w:val="fr-FR"/>
              </w:rPr>
              <w:t>Sécurité climatique et gestion durable des ressources naturelles dans les régions centrales du Mali pour la consolidation de la paix</w:t>
            </w:r>
          </w:p>
        </w:tc>
      </w:tr>
      <w:tr w:rsidR="008F17B9" w:rsidRPr="00185245" w14:paraId="3DC8335C" w14:textId="77777777" w:rsidTr="00645A9F">
        <w:trPr>
          <w:trHeight w:val="1007"/>
        </w:trPr>
        <w:tc>
          <w:tcPr>
            <w:tcW w:w="2509" w:type="dxa"/>
            <w:shd w:val="clear" w:color="auto" w:fill="auto"/>
          </w:tcPr>
          <w:p w14:paraId="14673A7B" w14:textId="77777777" w:rsidR="00601D9B" w:rsidRPr="000E53A0" w:rsidRDefault="000E53A0">
            <w:pPr>
              <w:spacing w:after="240"/>
              <w:rPr>
                <w:rFonts w:asciiTheme="minorHAnsi" w:hAnsiTheme="minorHAnsi" w:cstheme="minorHAnsi"/>
                <w:b/>
                <w:sz w:val="18"/>
                <w:szCs w:val="18"/>
                <w:lang w:val="fr-FR"/>
              </w:rPr>
            </w:pPr>
            <w:r w:rsidRPr="000E53A0">
              <w:rPr>
                <w:rFonts w:asciiTheme="minorHAnsi" w:hAnsiTheme="minorHAnsi" w:cstheme="minorHAnsi"/>
                <w:b/>
                <w:sz w:val="18"/>
                <w:szCs w:val="18"/>
                <w:lang w:val="fr-FR"/>
              </w:rPr>
              <w:t xml:space="preserve">Pays(s) :  </w:t>
            </w:r>
            <w:r w:rsidR="0092649C" w:rsidRPr="000E53A0">
              <w:rPr>
                <w:rFonts w:asciiTheme="minorHAnsi" w:hAnsiTheme="minorHAnsi" w:cstheme="minorHAnsi"/>
                <w:bCs/>
                <w:sz w:val="18"/>
                <w:szCs w:val="18"/>
                <w:lang w:val="fr-FR"/>
              </w:rPr>
              <w:t>République du Mali</w:t>
            </w:r>
          </w:p>
        </w:tc>
        <w:tc>
          <w:tcPr>
            <w:tcW w:w="3423" w:type="dxa"/>
            <w:gridSpan w:val="4"/>
            <w:shd w:val="clear" w:color="auto" w:fill="auto"/>
          </w:tcPr>
          <w:p w14:paraId="573B4EAF" w14:textId="77777777" w:rsidR="00601D9B" w:rsidRPr="000E53A0" w:rsidRDefault="000E53A0">
            <w:pPr>
              <w:rPr>
                <w:rStyle w:val="Lienhypertexte"/>
                <w:rFonts w:asciiTheme="minorHAnsi" w:hAnsiTheme="minorHAnsi" w:cstheme="minorHAnsi"/>
                <w:i/>
                <w:sz w:val="18"/>
                <w:szCs w:val="18"/>
                <w:highlight w:val="yellow"/>
                <w:lang w:val="fr-FR"/>
              </w:rPr>
            </w:pPr>
            <w:r w:rsidRPr="000E53A0">
              <w:rPr>
                <w:rFonts w:asciiTheme="minorHAnsi" w:hAnsiTheme="minorHAnsi" w:cstheme="minorHAnsi"/>
                <w:b/>
                <w:sz w:val="18"/>
                <w:szCs w:val="18"/>
                <w:lang w:val="fr-FR"/>
              </w:rPr>
              <w:t xml:space="preserve">Partenaire d'exécution </w:t>
            </w:r>
            <w:r w:rsidR="00871AD6" w:rsidRPr="000E53A0">
              <w:rPr>
                <w:rFonts w:asciiTheme="minorHAnsi" w:hAnsiTheme="minorHAnsi" w:cstheme="minorHAnsi"/>
                <w:b/>
                <w:sz w:val="18"/>
                <w:szCs w:val="18"/>
                <w:lang w:val="fr-FR"/>
              </w:rPr>
              <w:t xml:space="preserve">(Entité d'exécution du FEM) </w:t>
            </w:r>
            <w:r w:rsidR="0083403C" w:rsidRPr="000E53A0">
              <w:rPr>
                <w:rFonts w:asciiTheme="minorHAnsi" w:hAnsiTheme="minorHAnsi" w:cstheme="minorHAnsi"/>
                <w:color w:val="000000"/>
                <w:sz w:val="18"/>
                <w:szCs w:val="18"/>
                <w:lang w:val="fr-FR"/>
              </w:rPr>
              <w:t>Agence pour l'environnement et le développement durable (</w:t>
            </w:r>
            <w:r w:rsidR="0083403C" w:rsidRPr="000E53A0">
              <w:rPr>
                <w:rFonts w:asciiTheme="minorHAnsi" w:hAnsiTheme="minorHAnsi" w:cstheme="minorHAnsi"/>
                <w:sz w:val="18"/>
                <w:szCs w:val="18"/>
                <w:lang w:val="fr-FR"/>
              </w:rPr>
              <w:t xml:space="preserve">AEDD) </w:t>
            </w:r>
            <w:r w:rsidR="0083403C" w:rsidRPr="00185245">
              <w:rPr>
                <w:rStyle w:val="Appelnotedebasdep"/>
                <w:rFonts w:asciiTheme="minorHAnsi" w:hAnsiTheme="minorHAnsi" w:cstheme="minorHAnsi"/>
                <w:szCs w:val="18"/>
              </w:rPr>
              <w:footnoteReference w:id="2"/>
            </w:r>
          </w:p>
        </w:tc>
        <w:tc>
          <w:tcPr>
            <w:tcW w:w="3423" w:type="dxa"/>
            <w:shd w:val="clear" w:color="auto" w:fill="auto"/>
          </w:tcPr>
          <w:p w14:paraId="19466CCA" w14:textId="77777777" w:rsidR="00601D9B" w:rsidRDefault="000E53A0">
            <w:pPr>
              <w:spacing w:after="240"/>
              <w:rPr>
                <w:rFonts w:asciiTheme="minorHAnsi" w:hAnsiTheme="minorHAnsi" w:cstheme="minorHAnsi"/>
                <w:i/>
                <w:sz w:val="18"/>
                <w:szCs w:val="18"/>
              </w:rPr>
            </w:pPr>
            <w:r w:rsidRPr="00185245">
              <w:rPr>
                <w:rFonts w:asciiTheme="minorHAnsi" w:hAnsiTheme="minorHAnsi" w:cstheme="minorHAnsi"/>
                <w:b/>
                <w:sz w:val="18"/>
                <w:szCs w:val="18"/>
              </w:rPr>
              <w:t xml:space="preserve">Modalité d'exécution </w:t>
            </w:r>
            <w:r w:rsidR="006E419D">
              <w:rPr>
                <w:rFonts w:asciiTheme="minorHAnsi" w:hAnsiTheme="minorHAnsi" w:cstheme="minorHAnsi"/>
                <w:i/>
                <w:sz w:val="18"/>
                <w:szCs w:val="18"/>
              </w:rPr>
              <w:t>:</w:t>
            </w:r>
            <w:r w:rsidR="00686B65" w:rsidRPr="00185245">
              <w:rPr>
                <w:rFonts w:asciiTheme="minorHAnsi" w:hAnsiTheme="minorHAnsi" w:cstheme="minorHAnsi"/>
                <w:i/>
                <w:sz w:val="18"/>
                <w:szCs w:val="18"/>
              </w:rPr>
              <w:t xml:space="preserve"> NIM</w:t>
            </w:r>
          </w:p>
        </w:tc>
      </w:tr>
      <w:tr w:rsidR="0077088A" w:rsidRPr="00185245" w14:paraId="45B033CB" w14:textId="77777777" w:rsidTr="0003763F">
        <w:tc>
          <w:tcPr>
            <w:tcW w:w="9355" w:type="dxa"/>
            <w:gridSpan w:val="6"/>
            <w:shd w:val="clear" w:color="auto" w:fill="auto"/>
          </w:tcPr>
          <w:p w14:paraId="4467302E" w14:textId="77777777" w:rsidR="00601D9B" w:rsidRDefault="000E53A0">
            <w:pPr>
              <w:spacing w:after="240"/>
              <w:rPr>
                <w:rFonts w:asciiTheme="minorHAnsi" w:hAnsiTheme="minorHAnsi" w:cstheme="minorHAnsi"/>
                <w:b/>
                <w:sz w:val="18"/>
                <w:szCs w:val="18"/>
              </w:rPr>
            </w:pPr>
            <w:r w:rsidRPr="000E53A0">
              <w:rPr>
                <w:rFonts w:asciiTheme="minorHAnsi" w:hAnsiTheme="minorHAnsi" w:cstheme="minorHAnsi"/>
                <w:b/>
                <w:sz w:val="18"/>
                <w:szCs w:val="18"/>
                <w:lang w:val="fr-FR"/>
              </w:rPr>
              <w:t xml:space="preserve">Effet </w:t>
            </w:r>
            <w:r w:rsidR="0022541B" w:rsidRPr="000E53A0">
              <w:rPr>
                <w:rFonts w:asciiTheme="minorHAnsi" w:hAnsiTheme="minorHAnsi" w:cstheme="minorHAnsi"/>
                <w:b/>
                <w:sz w:val="18"/>
                <w:szCs w:val="18"/>
                <w:lang w:val="fr-FR"/>
              </w:rPr>
              <w:t xml:space="preserve">contributif (UNDAF/CPD, RPD, GPD) </w:t>
            </w:r>
            <w:r w:rsidRPr="000E53A0">
              <w:rPr>
                <w:rFonts w:asciiTheme="minorHAnsi" w:hAnsiTheme="minorHAnsi" w:cstheme="minorHAnsi"/>
                <w:i/>
                <w:sz w:val="18"/>
                <w:szCs w:val="18"/>
                <w:lang w:val="fr-FR"/>
              </w:rPr>
              <w:t xml:space="preserve">: </w:t>
            </w:r>
            <w:r w:rsidRPr="000E53A0">
              <w:rPr>
                <w:rFonts w:asciiTheme="minorHAnsi" w:hAnsiTheme="minorHAnsi" w:cstheme="minorHAnsi"/>
                <w:i/>
                <w:sz w:val="18"/>
                <w:szCs w:val="18"/>
                <w:highlight w:val="yellow"/>
                <w:lang w:val="fr-FR"/>
              </w:rPr>
              <w:t>insérer le texte de l'effet du programme pertinent</w:t>
            </w:r>
            <w:r w:rsidR="00F21D68" w:rsidRPr="000E53A0">
              <w:rPr>
                <w:rFonts w:asciiTheme="minorHAnsi" w:hAnsiTheme="minorHAnsi" w:cstheme="minorHAnsi"/>
                <w:i/>
                <w:sz w:val="18"/>
                <w:szCs w:val="18"/>
                <w:highlight w:val="yellow"/>
                <w:lang w:val="fr-FR"/>
              </w:rPr>
              <w:t xml:space="preserve">. </w:t>
            </w:r>
            <w:r w:rsidR="00C40AAF" w:rsidRPr="00185245">
              <w:rPr>
                <w:rFonts w:asciiTheme="minorHAnsi" w:hAnsiTheme="minorHAnsi" w:cstheme="minorHAnsi"/>
                <w:i/>
                <w:sz w:val="18"/>
                <w:szCs w:val="18"/>
                <w:highlight w:val="yellow"/>
              </w:rPr>
              <w:t xml:space="preserve">Insérer N/A </w:t>
            </w:r>
            <w:r w:rsidR="00F21D68" w:rsidRPr="00185245">
              <w:rPr>
                <w:rFonts w:asciiTheme="minorHAnsi" w:hAnsiTheme="minorHAnsi" w:cstheme="minorHAnsi"/>
                <w:i/>
                <w:sz w:val="18"/>
                <w:szCs w:val="18"/>
                <w:highlight w:val="yellow"/>
              </w:rPr>
              <w:t>si le projet est multi-pays</w:t>
            </w:r>
            <w:r w:rsidR="0022541B" w:rsidRPr="00185245">
              <w:rPr>
                <w:rFonts w:asciiTheme="minorHAnsi" w:hAnsiTheme="minorHAnsi" w:cstheme="minorHAnsi"/>
                <w:i/>
                <w:sz w:val="18"/>
                <w:szCs w:val="18"/>
                <w:highlight w:val="yellow"/>
              </w:rPr>
              <w:t>.</w:t>
            </w:r>
          </w:p>
        </w:tc>
      </w:tr>
      <w:tr w:rsidR="0077088A" w:rsidRPr="000E53A0" w14:paraId="07FFEEA5" w14:textId="77777777" w:rsidTr="00033869">
        <w:trPr>
          <w:trHeight w:val="1610"/>
        </w:trPr>
        <w:tc>
          <w:tcPr>
            <w:tcW w:w="4585" w:type="dxa"/>
            <w:gridSpan w:val="3"/>
            <w:shd w:val="clear" w:color="auto" w:fill="auto"/>
          </w:tcPr>
          <w:p w14:paraId="13BFDFD8" w14:textId="77777777" w:rsidR="00601D9B" w:rsidRPr="000E53A0" w:rsidRDefault="000E53A0">
            <w:pPr>
              <w:spacing w:after="240"/>
              <w:rPr>
                <w:rFonts w:asciiTheme="minorHAnsi" w:hAnsiTheme="minorHAnsi" w:cstheme="minorHAnsi"/>
                <w:color w:val="000000"/>
                <w:sz w:val="18"/>
                <w:szCs w:val="18"/>
                <w:lang w:val="fr-FR"/>
              </w:rPr>
            </w:pPr>
            <w:r w:rsidRPr="000E53A0">
              <w:rPr>
                <w:rFonts w:asciiTheme="minorHAnsi" w:hAnsiTheme="minorHAnsi" w:cstheme="minorHAnsi"/>
                <w:b/>
                <w:sz w:val="18"/>
                <w:szCs w:val="18"/>
                <w:lang w:val="fr-FR"/>
              </w:rPr>
              <w:t xml:space="preserve">Catégorie d'examen préalable social et environnemental du PNUD :  </w:t>
            </w:r>
            <w:r w:rsidR="00763EFB" w:rsidRPr="000E53A0">
              <w:rPr>
                <w:rFonts w:asciiTheme="minorHAnsi" w:hAnsiTheme="minorHAnsi" w:cstheme="minorHAnsi"/>
                <w:color w:val="000000"/>
                <w:sz w:val="18"/>
                <w:szCs w:val="18"/>
                <w:lang w:val="fr-FR"/>
              </w:rPr>
              <w:t xml:space="preserve">Risque élevé </w:t>
            </w:r>
          </w:p>
          <w:p w14:paraId="42FB26ED" w14:textId="77777777" w:rsidR="003E4B9D" w:rsidRPr="000E53A0" w:rsidRDefault="003E4B9D" w:rsidP="00CB4CD3">
            <w:pPr>
              <w:spacing w:after="240"/>
              <w:rPr>
                <w:rFonts w:asciiTheme="minorHAnsi" w:hAnsiTheme="minorHAnsi" w:cstheme="minorHAnsi"/>
                <w:i/>
                <w:sz w:val="18"/>
                <w:szCs w:val="18"/>
                <w:lang w:val="fr-FR"/>
              </w:rPr>
            </w:pPr>
          </w:p>
        </w:tc>
        <w:tc>
          <w:tcPr>
            <w:tcW w:w="4770" w:type="dxa"/>
            <w:gridSpan w:val="3"/>
            <w:shd w:val="clear" w:color="auto" w:fill="auto"/>
          </w:tcPr>
          <w:p w14:paraId="38113A8C" w14:textId="77777777" w:rsidR="00601D9B" w:rsidRPr="000E53A0" w:rsidRDefault="000E53A0">
            <w:pPr>
              <w:spacing w:after="240"/>
              <w:rPr>
                <w:rFonts w:asciiTheme="minorHAnsi" w:hAnsiTheme="minorHAnsi" w:cstheme="minorHAnsi"/>
                <w:i/>
                <w:sz w:val="18"/>
                <w:szCs w:val="18"/>
                <w:lang w:val="fr-FR"/>
              </w:rPr>
            </w:pPr>
            <w:r w:rsidRPr="000E53A0">
              <w:rPr>
                <w:rFonts w:asciiTheme="minorHAnsi" w:hAnsiTheme="minorHAnsi" w:cstheme="minorHAnsi"/>
                <w:b/>
                <w:sz w:val="18"/>
                <w:szCs w:val="18"/>
                <w:lang w:val="fr-FR"/>
              </w:rPr>
              <w:t xml:space="preserve">Marqueur de genre du PNUD : </w:t>
            </w:r>
            <w:r w:rsidR="0089430E" w:rsidRPr="000E53A0">
              <w:rPr>
                <w:rFonts w:asciiTheme="minorHAnsi" w:hAnsiTheme="minorHAnsi" w:cstheme="minorHAnsi"/>
                <w:i/>
                <w:sz w:val="18"/>
                <w:szCs w:val="18"/>
                <w:highlight w:val="yellow"/>
                <w:lang w:val="fr-FR"/>
              </w:rPr>
              <w:t xml:space="preserve">insérez </w:t>
            </w:r>
            <w:r w:rsidR="00E55298" w:rsidRPr="000E53A0">
              <w:rPr>
                <w:rFonts w:asciiTheme="minorHAnsi" w:hAnsiTheme="minorHAnsi" w:cstheme="minorHAnsi"/>
                <w:i/>
                <w:sz w:val="18"/>
                <w:szCs w:val="18"/>
                <w:highlight w:val="yellow"/>
                <w:lang w:val="fr-FR"/>
              </w:rPr>
              <w:t xml:space="preserve">l'un des éléments suivants : </w:t>
            </w:r>
            <w:r w:rsidRPr="000E53A0">
              <w:rPr>
                <w:rFonts w:asciiTheme="minorHAnsi" w:hAnsiTheme="minorHAnsi" w:cstheme="minorHAnsi"/>
                <w:i/>
                <w:sz w:val="18"/>
                <w:szCs w:val="18"/>
                <w:highlight w:val="yellow"/>
                <w:lang w:val="fr-FR"/>
              </w:rPr>
              <w:t>1</w:t>
            </w:r>
            <w:r w:rsidR="00F81B41" w:rsidRPr="000E53A0">
              <w:rPr>
                <w:rFonts w:asciiTheme="minorHAnsi" w:hAnsiTheme="minorHAnsi" w:cstheme="minorHAnsi"/>
                <w:i/>
                <w:sz w:val="18"/>
                <w:szCs w:val="18"/>
                <w:highlight w:val="yellow"/>
                <w:lang w:val="fr-FR"/>
              </w:rPr>
              <w:t xml:space="preserve">, 2, </w:t>
            </w:r>
            <w:r w:rsidR="005C1B34" w:rsidRPr="000E53A0">
              <w:rPr>
                <w:rFonts w:asciiTheme="minorHAnsi" w:hAnsiTheme="minorHAnsi" w:cstheme="minorHAnsi"/>
                <w:i/>
                <w:sz w:val="18"/>
                <w:szCs w:val="18"/>
                <w:highlight w:val="yellow"/>
                <w:lang w:val="fr-FR"/>
              </w:rPr>
              <w:t xml:space="preserve">ou </w:t>
            </w:r>
            <w:r w:rsidR="00F81B41" w:rsidRPr="000E53A0">
              <w:rPr>
                <w:rFonts w:asciiTheme="minorHAnsi" w:hAnsiTheme="minorHAnsi" w:cstheme="minorHAnsi"/>
                <w:i/>
                <w:sz w:val="18"/>
                <w:szCs w:val="18"/>
                <w:highlight w:val="yellow"/>
                <w:lang w:val="fr-FR"/>
              </w:rPr>
              <w:t>3</w:t>
            </w:r>
            <w:r w:rsidRPr="000E53A0">
              <w:rPr>
                <w:rFonts w:asciiTheme="minorHAnsi" w:hAnsiTheme="minorHAnsi" w:cstheme="minorHAnsi"/>
                <w:i/>
                <w:sz w:val="18"/>
                <w:szCs w:val="18"/>
                <w:highlight w:val="yellow"/>
                <w:lang w:val="fr-FR"/>
              </w:rPr>
              <w:t xml:space="preserve">. </w:t>
            </w:r>
            <w:r w:rsidR="00AA3FF0" w:rsidRPr="000E53A0">
              <w:rPr>
                <w:rFonts w:asciiTheme="minorHAnsi" w:hAnsiTheme="minorHAnsi" w:cstheme="minorHAnsi"/>
                <w:i/>
                <w:sz w:val="18"/>
                <w:szCs w:val="18"/>
                <w:highlight w:val="yellow"/>
                <w:lang w:val="fr-FR"/>
              </w:rPr>
              <w:t xml:space="preserve">Notez qu'un marqueur de genre </w:t>
            </w:r>
            <w:r w:rsidR="003E0CDB" w:rsidRPr="000E53A0">
              <w:rPr>
                <w:rFonts w:asciiTheme="minorHAnsi" w:hAnsiTheme="minorHAnsi" w:cstheme="minorHAnsi"/>
                <w:i/>
                <w:sz w:val="18"/>
                <w:szCs w:val="18"/>
                <w:highlight w:val="yellow"/>
                <w:lang w:val="fr-FR"/>
              </w:rPr>
              <w:t>de 0 (zéro) n'est pas approprié</w:t>
            </w:r>
            <w:r w:rsidR="00AA3FF0" w:rsidRPr="000E53A0">
              <w:rPr>
                <w:rFonts w:asciiTheme="minorHAnsi" w:hAnsiTheme="minorHAnsi" w:cstheme="minorHAnsi"/>
                <w:i/>
                <w:sz w:val="18"/>
                <w:szCs w:val="18"/>
                <w:highlight w:val="yellow"/>
                <w:lang w:val="fr-FR"/>
              </w:rPr>
              <w:t xml:space="preserve">.  </w:t>
            </w:r>
            <w:r w:rsidRPr="000E53A0">
              <w:rPr>
                <w:rFonts w:asciiTheme="minorHAnsi" w:hAnsiTheme="minorHAnsi" w:cstheme="minorHAnsi"/>
                <w:i/>
                <w:sz w:val="18"/>
                <w:szCs w:val="18"/>
                <w:highlight w:val="yellow"/>
                <w:lang w:val="fr-FR"/>
              </w:rPr>
              <w:t xml:space="preserve">Pour plus d'informations, consultez le site </w:t>
            </w:r>
            <w:hyperlink r:id="rId14" w:history="1">
              <w:r w:rsidR="003E0CDB" w:rsidRPr="000E53A0">
                <w:rPr>
                  <w:rStyle w:val="Lienhypertexte"/>
                  <w:rFonts w:asciiTheme="minorHAnsi" w:hAnsiTheme="minorHAnsi" w:cstheme="minorHAnsi"/>
                  <w:i/>
                  <w:sz w:val="18"/>
                  <w:szCs w:val="18"/>
                  <w:highlight w:val="yellow"/>
                  <w:lang w:val="fr-FR"/>
                </w:rPr>
                <w:t>https://intranet.undp.org/unit/bpps/sdev/gef/default.aspx</w:t>
              </w:r>
            </w:hyperlink>
          </w:p>
        </w:tc>
      </w:tr>
      <w:tr w:rsidR="0077088A" w:rsidRPr="000E53A0" w14:paraId="518ACA97" w14:textId="77777777" w:rsidTr="0003763F">
        <w:tc>
          <w:tcPr>
            <w:tcW w:w="4585" w:type="dxa"/>
            <w:gridSpan w:val="3"/>
            <w:shd w:val="clear" w:color="auto" w:fill="auto"/>
          </w:tcPr>
          <w:p w14:paraId="0072E4FF" w14:textId="77777777" w:rsidR="00601D9B" w:rsidRPr="000E53A0" w:rsidRDefault="000E53A0">
            <w:pPr>
              <w:spacing w:after="240"/>
              <w:rPr>
                <w:rFonts w:asciiTheme="minorHAnsi" w:hAnsiTheme="minorHAnsi" w:cstheme="minorHAnsi"/>
                <w:sz w:val="18"/>
                <w:szCs w:val="18"/>
                <w:lang w:val="fr-FR" w:eastAsia="zh-CN"/>
              </w:rPr>
            </w:pPr>
            <w:r w:rsidRPr="000E53A0">
              <w:rPr>
                <w:rFonts w:asciiTheme="minorHAnsi" w:hAnsiTheme="minorHAnsi" w:cstheme="minorHAnsi"/>
                <w:b/>
                <w:sz w:val="18"/>
                <w:szCs w:val="18"/>
                <w:lang w:val="fr-FR"/>
              </w:rPr>
              <w:t xml:space="preserve">Atlas </w:t>
            </w:r>
            <w:r w:rsidR="00BE3632" w:rsidRPr="000E53A0">
              <w:rPr>
                <w:rFonts w:asciiTheme="minorHAnsi" w:hAnsiTheme="minorHAnsi" w:cstheme="minorHAnsi"/>
                <w:b/>
                <w:sz w:val="18"/>
                <w:szCs w:val="18"/>
                <w:lang w:val="fr-FR" w:eastAsia="zh-CN"/>
              </w:rPr>
              <w:t xml:space="preserve">Award </w:t>
            </w:r>
            <w:r w:rsidR="00133018" w:rsidRPr="000E53A0">
              <w:rPr>
                <w:rFonts w:asciiTheme="minorHAnsi" w:hAnsiTheme="minorHAnsi" w:cstheme="minorHAnsi"/>
                <w:b/>
                <w:sz w:val="18"/>
                <w:szCs w:val="18"/>
                <w:lang w:val="fr-FR" w:eastAsia="zh-CN"/>
              </w:rPr>
              <w:t xml:space="preserve">ID </w:t>
            </w:r>
            <w:r w:rsidR="0053772A" w:rsidRPr="000E53A0">
              <w:rPr>
                <w:rFonts w:asciiTheme="minorHAnsi" w:hAnsiTheme="minorHAnsi" w:cstheme="minorHAnsi"/>
                <w:b/>
                <w:sz w:val="18"/>
                <w:szCs w:val="18"/>
                <w:lang w:val="fr-FR"/>
              </w:rPr>
              <w:t xml:space="preserve">: </w:t>
            </w:r>
            <w:r w:rsidRPr="000E53A0">
              <w:rPr>
                <w:rFonts w:asciiTheme="minorHAnsi" w:hAnsiTheme="minorHAnsi" w:cstheme="minorHAnsi"/>
                <w:i/>
                <w:sz w:val="18"/>
                <w:szCs w:val="18"/>
                <w:highlight w:val="yellow"/>
                <w:lang w:val="fr-FR"/>
              </w:rPr>
              <w:t xml:space="preserve">il </w:t>
            </w:r>
            <w:r w:rsidR="0053772A" w:rsidRPr="000E53A0">
              <w:rPr>
                <w:rFonts w:asciiTheme="minorHAnsi" w:hAnsiTheme="minorHAnsi" w:cstheme="minorHAnsi"/>
                <w:i/>
                <w:sz w:val="18"/>
                <w:szCs w:val="18"/>
                <w:highlight w:val="yellow"/>
                <w:lang w:val="fr-FR"/>
              </w:rPr>
              <w:t xml:space="preserve">aurait dû être créé au stade du FIP </w:t>
            </w:r>
            <w:r w:rsidR="00E71DBA" w:rsidRPr="000E53A0">
              <w:rPr>
                <w:rFonts w:asciiTheme="minorHAnsi" w:hAnsiTheme="minorHAnsi" w:cstheme="minorHAnsi"/>
                <w:i/>
                <w:sz w:val="18"/>
                <w:szCs w:val="18"/>
                <w:highlight w:val="yellow"/>
                <w:lang w:val="fr-FR"/>
              </w:rPr>
              <w:t xml:space="preserve">et attribué </w:t>
            </w:r>
            <w:r w:rsidR="00CA6792" w:rsidRPr="000E53A0">
              <w:rPr>
                <w:rFonts w:asciiTheme="minorHAnsi" w:hAnsiTheme="minorHAnsi" w:cstheme="minorHAnsi"/>
                <w:i/>
                <w:sz w:val="18"/>
                <w:szCs w:val="18"/>
                <w:highlight w:val="yellow"/>
                <w:lang w:val="fr-FR"/>
              </w:rPr>
              <w:t xml:space="preserve">après </w:t>
            </w:r>
            <w:r w:rsidR="00E71DBA" w:rsidRPr="000E53A0">
              <w:rPr>
                <w:rFonts w:asciiTheme="minorHAnsi" w:hAnsiTheme="minorHAnsi" w:cstheme="minorHAnsi"/>
                <w:i/>
                <w:sz w:val="18"/>
                <w:szCs w:val="18"/>
                <w:highlight w:val="yellow"/>
                <w:lang w:val="fr-FR"/>
              </w:rPr>
              <w:t>approbation du PDG.</w:t>
            </w:r>
          </w:p>
        </w:tc>
        <w:tc>
          <w:tcPr>
            <w:tcW w:w="4770" w:type="dxa"/>
            <w:gridSpan w:val="3"/>
            <w:shd w:val="clear" w:color="auto" w:fill="auto"/>
          </w:tcPr>
          <w:p w14:paraId="52C7AED4" w14:textId="77777777" w:rsidR="00601D9B" w:rsidRPr="000E53A0" w:rsidRDefault="000E53A0">
            <w:pPr>
              <w:rPr>
                <w:rFonts w:asciiTheme="minorHAnsi" w:hAnsiTheme="minorHAnsi" w:cstheme="minorHAnsi"/>
                <w:b/>
                <w:sz w:val="18"/>
                <w:szCs w:val="18"/>
                <w:lang w:val="fr-FR"/>
              </w:rPr>
            </w:pPr>
            <w:r w:rsidRPr="000E53A0">
              <w:rPr>
                <w:rFonts w:asciiTheme="minorHAnsi" w:hAnsiTheme="minorHAnsi" w:cstheme="minorHAnsi"/>
                <w:b/>
                <w:sz w:val="18"/>
                <w:szCs w:val="18"/>
                <w:lang w:val="fr-FR"/>
              </w:rPr>
              <w:t xml:space="preserve">Atlas </w:t>
            </w:r>
            <w:r w:rsidR="00BE3632" w:rsidRPr="000E53A0">
              <w:rPr>
                <w:rFonts w:asciiTheme="minorHAnsi" w:hAnsiTheme="minorHAnsi" w:cstheme="minorHAnsi"/>
                <w:b/>
                <w:sz w:val="18"/>
                <w:szCs w:val="18"/>
                <w:lang w:val="fr-FR"/>
              </w:rPr>
              <w:t xml:space="preserve">Project/Output </w:t>
            </w:r>
            <w:r w:rsidR="00133018" w:rsidRPr="000E53A0">
              <w:rPr>
                <w:rFonts w:asciiTheme="minorHAnsi" w:hAnsiTheme="minorHAnsi" w:cstheme="minorHAnsi"/>
                <w:b/>
                <w:sz w:val="18"/>
                <w:szCs w:val="18"/>
                <w:lang w:val="fr-FR" w:eastAsia="zh-CN"/>
              </w:rPr>
              <w:t xml:space="preserve">ID </w:t>
            </w:r>
            <w:r w:rsidRPr="000E53A0">
              <w:rPr>
                <w:rFonts w:asciiTheme="minorHAnsi" w:hAnsiTheme="minorHAnsi" w:cstheme="minorHAnsi"/>
                <w:b/>
                <w:sz w:val="18"/>
                <w:szCs w:val="18"/>
                <w:lang w:val="fr-FR"/>
              </w:rPr>
              <w:t xml:space="preserve">: </w:t>
            </w:r>
            <w:r w:rsidRPr="000E53A0">
              <w:rPr>
                <w:rFonts w:asciiTheme="minorHAnsi" w:hAnsiTheme="minorHAnsi" w:cstheme="minorHAnsi"/>
                <w:i/>
                <w:sz w:val="18"/>
                <w:szCs w:val="18"/>
                <w:highlight w:val="yellow"/>
                <w:lang w:val="fr-FR"/>
              </w:rPr>
              <w:t xml:space="preserve">il doit être créé </w:t>
            </w:r>
            <w:r w:rsidR="00E219E7" w:rsidRPr="000E53A0">
              <w:rPr>
                <w:rFonts w:asciiTheme="minorHAnsi" w:hAnsiTheme="minorHAnsi" w:cstheme="minorHAnsi"/>
                <w:i/>
                <w:sz w:val="18"/>
                <w:szCs w:val="18"/>
                <w:highlight w:val="yellow"/>
                <w:lang w:val="fr-FR"/>
              </w:rPr>
              <w:t xml:space="preserve">à l'étape du PIF. </w:t>
            </w:r>
          </w:p>
        </w:tc>
      </w:tr>
      <w:tr w:rsidR="0077088A" w:rsidRPr="000E53A0" w14:paraId="3CEDD95F" w14:textId="77777777" w:rsidTr="0003763F">
        <w:tc>
          <w:tcPr>
            <w:tcW w:w="4585" w:type="dxa"/>
            <w:gridSpan w:val="3"/>
            <w:shd w:val="clear" w:color="auto" w:fill="auto"/>
          </w:tcPr>
          <w:p w14:paraId="548AE469" w14:textId="77777777" w:rsidR="00601D9B" w:rsidRPr="000E53A0" w:rsidRDefault="0089430E">
            <w:pPr>
              <w:spacing w:after="240"/>
              <w:rPr>
                <w:rFonts w:asciiTheme="minorHAnsi" w:hAnsiTheme="minorHAnsi" w:cstheme="minorHAnsi"/>
                <w:b/>
                <w:sz w:val="18"/>
                <w:szCs w:val="18"/>
                <w:lang w:val="fr-FR"/>
              </w:rPr>
            </w:pPr>
            <w:r w:rsidRPr="000E53A0">
              <w:rPr>
                <w:rFonts w:asciiTheme="minorHAnsi" w:hAnsiTheme="minorHAnsi" w:cstheme="minorHAnsi"/>
                <w:b/>
                <w:sz w:val="18"/>
                <w:szCs w:val="18"/>
                <w:lang w:val="fr-FR"/>
              </w:rPr>
              <w:t>Numéro d'</w:t>
            </w:r>
            <w:r w:rsidR="000E53A0" w:rsidRPr="000E53A0">
              <w:rPr>
                <w:rFonts w:asciiTheme="minorHAnsi" w:hAnsiTheme="minorHAnsi" w:cstheme="minorHAnsi"/>
                <w:b/>
                <w:sz w:val="18"/>
                <w:szCs w:val="18"/>
                <w:lang w:val="fr-FR"/>
              </w:rPr>
              <w:t xml:space="preserve">identification PIMS du PNUD-FEM :  </w:t>
            </w:r>
            <w:r w:rsidR="00ED625F" w:rsidRPr="000E53A0">
              <w:rPr>
                <w:rFonts w:asciiTheme="minorHAnsi" w:hAnsiTheme="minorHAnsi" w:cstheme="minorHAnsi"/>
                <w:i/>
                <w:sz w:val="18"/>
                <w:szCs w:val="18"/>
                <w:highlight w:val="yellow"/>
                <w:lang w:val="fr-FR"/>
              </w:rPr>
              <w:t>Equivalent du projet de l'Agence FEM mentionné dans la demande d'approbation de la CEO.</w:t>
            </w:r>
          </w:p>
        </w:tc>
        <w:tc>
          <w:tcPr>
            <w:tcW w:w="4770" w:type="dxa"/>
            <w:gridSpan w:val="3"/>
            <w:shd w:val="clear" w:color="auto" w:fill="auto"/>
          </w:tcPr>
          <w:p w14:paraId="6F697D03" w14:textId="77777777" w:rsidR="00601D9B" w:rsidRPr="000E53A0" w:rsidRDefault="0089430E">
            <w:pPr>
              <w:spacing w:after="240"/>
              <w:rPr>
                <w:rFonts w:asciiTheme="minorHAnsi" w:hAnsiTheme="minorHAnsi" w:cstheme="minorHAnsi"/>
                <w:b/>
                <w:sz w:val="18"/>
                <w:szCs w:val="18"/>
                <w:lang w:val="fr-FR"/>
              </w:rPr>
            </w:pPr>
            <w:r w:rsidRPr="000E53A0">
              <w:rPr>
                <w:rFonts w:asciiTheme="minorHAnsi" w:hAnsiTheme="minorHAnsi" w:cstheme="minorHAnsi"/>
                <w:b/>
                <w:sz w:val="18"/>
                <w:szCs w:val="18"/>
                <w:lang w:val="fr-FR"/>
              </w:rPr>
              <w:t>Numéro d'</w:t>
            </w:r>
            <w:r w:rsidR="000E53A0" w:rsidRPr="000E53A0">
              <w:rPr>
                <w:rFonts w:asciiTheme="minorHAnsi" w:hAnsiTheme="minorHAnsi" w:cstheme="minorHAnsi"/>
                <w:b/>
                <w:sz w:val="18"/>
                <w:szCs w:val="18"/>
                <w:lang w:val="fr-FR"/>
              </w:rPr>
              <w:t xml:space="preserve">identification du </w:t>
            </w:r>
            <w:r w:rsidR="00ED625F" w:rsidRPr="000E53A0">
              <w:rPr>
                <w:rFonts w:asciiTheme="minorHAnsi" w:hAnsiTheme="minorHAnsi" w:cstheme="minorHAnsi"/>
                <w:b/>
                <w:sz w:val="18"/>
                <w:szCs w:val="18"/>
                <w:lang w:val="fr-FR"/>
              </w:rPr>
              <w:t xml:space="preserve">projet </w:t>
            </w:r>
            <w:r w:rsidR="000E53A0" w:rsidRPr="000E53A0">
              <w:rPr>
                <w:rFonts w:asciiTheme="minorHAnsi" w:hAnsiTheme="minorHAnsi" w:cstheme="minorHAnsi"/>
                <w:b/>
                <w:sz w:val="18"/>
                <w:szCs w:val="18"/>
                <w:lang w:val="fr-FR"/>
              </w:rPr>
              <w:t xml:space="preserve">FEM : </w:t>
            </w:r>
            <w:r w:rsidR="00905BC9" w:rsidRPr="000E53A0">
              <w:rPr>
                <w:rFonts w:asciiTheme="minorHAnsi" w:hAnsiTheme="minorHAnsi" w:cstheme="minorHAnsi"/>
                <w:color w:val="000000"/>
                <w:sz w:val="18"/>
                <w:szCs w:val="18"/>
                <w:lang w:val="fr-FR"/>
              </w:rPr>
              <w:t>10687</w:t>
            </w:r>
          </w:p>
        </w:tc>
      </w:tr>
      <w:tr w:rsidR="00CA6792" w:rsidRPr="000E53A0" w14:paraId="4E74C106" w14:textId="77777777" w:rsidTr="00CA6792">
        <w:trPr>
          <w:trHeight w:val="350"/>
        </w:trPr>
        <w:tc>
          <w:tcPr>
            <w:tcW w:w="9355" w:type="dxa"/>
            <w:gridSpan w:val="6"/>
            <w:shd w:val="clear" w:color="auto" w:fill="auto"/>
          </w:tcPr>
          <w:p w14:paraId="0BB8DFF7" w14:textId="77777777" w:rsidR="00601D9B" w:rsidRPr="000E53A0" w:rsidRDefault="000E53A0">
            <w:pPr>
              <w:spacing w:after="240"/>
              <w:rPr>
                <w:rFonts w:asciiTheme="minorHAnsi" w:hAnsiTheme="minorHAnsi" w:cstheme="minorHAnsi"/>
                <w:b/>
                <w:sz w:val="18"/>
                <w:szCs w:val="18"/>
                <w:lang w:val="fr-FR"/>
              </w:rPr>
            </w:pPr>
            <w:r w:rsidRPr="000E53A0">
              <w:rPr>
                <w:rFonts w:asciiTheme="minorHAnsi" w:hAnsiTheme="minorHAnsi" w:cstheme="minorHAnsi"/>
                <w:b/>
                <w:sz w:val="18"/>
                <w:szCs w:val="18"/>
                <w:lang w:val="fr-FR"/>
              </w:rPr>
              <w:t xml:space="preserve">Date de la réunion du LPAC : </w:t>
            </w:r>
            <w:r w:rsidRPr="000E53A0">
              <w:rPr>
                <w:rFonts w:asciiTheme="minorHAnsi" w:hAnsiTheme="minorHAnsi" w:cstheme="minorHAnsi"/>
                <w:i/>
                <w:sz w:val="18"/>
                <w:szCs w:val="18"/>
                <w:highlight w:val="yellow"/>
                <w:lang w:val="fr-FR"/>
              </w:rPr>
              <w:t xml:space="preserve">cette date doit être antérieure à la </w:t>
            </w:r>
            <w:r w:rsidR="003B573E" w:rsidRPr="000E53A0">
              <w:rPr>
                <w:rFonts w:asciiTheme="minorHAnsi" w:hAnsiTheme="minorHAnsi" w:cstheme="minorHAnsi"/>
                <w:i/>
                <w:sz w:val="18"/>
                <w:szCs w:val="18"/>
                <w:highlight w:val="yellow"/>
                <w:lang w:val="fr-FR"/>
              </w:rPr>
              <w:t xml:space="preserve">date </w:t>
            </w:r>
            <w:r w:rsidR="008103EA" w:rsidRPr="000E53A0">
              <w:rPr>
                <w:rFonts w:asciiTheme="minorHAnsi" w:hAnsiTheme="minorHAnsi" w:cstheme="minorHAnsi"/>
                <w:i/>
                <w:sz w:val="18"/>
                <w:szCs w:val="18"/>
                <w:highlight w:val="yellow"/>
                <w:lang w:val="fr-FR"/>
              </w:rPr>
              <w:t>prévue d'</w:t>
            </w:r>
            <w:r w:rsidRPr="000E53A0">
              <w:rPr>
                <w:rFonts w:asciiTheme="minorHAnsi" w:hAnsiTheme="minorHAnsi" w:cstheme="minorHAnsi"/>
                <w:i/>
                <w:sz w:val="18"/>
                <w:szCs w:val="18"/>
                <w:highlight w:val="yellow"/>
                <w:lang w:val="fr-FR"/>
              </w:rPr>
              <w:t>approbation par le CEO.</w:t>
            </w:r>
          </w:p>
        </w:tc>
      </w:tr>
      <w:tr w:rsidR="0007025D" w:rsidRPr="00FB4FF7" w14:paraId="4686858A" w14:textId="77777777" w:rsidTr="00CA6792">
        <w:trPr>
          <w:trHeight w:val="350"/>
        </w:trPr>
        <w:tc>
          <w:tcPr>
            <w:tcW w:w="9355" w:type="dxa"/>
            <w:gridSpan w:val="6"/>
            <w:shd w:val="clear" w:color="auto" w:fill="auto"/>
          </w:tcPr>
          <w:p w14:paraId="701DE928" w14:textId="77777777" w:rsidR="00601D9B" w:rsidRPr="000E53A0" w:rsidRDefault="000E53A0">
            <w:pPr>
              <w:spacing w:after="240"/>
              <w:rPr>
                <w:rFonts w:asciiTheme="minorHAnsi" w:hAnsiTheme="minorHAnsi" w:cstheme="minorHAnsi"/>
                <w:b/>
                <w:sz w:val="18"/>
                <w:szCs w:val="18"/>
                <w:lang w:val="fr-FR"/>
              </w:rPr>
            </w:pPr>
            <w:r w:rsidRPr="000E53A0">
              <w:rPr>
                <w:rFonts w:asciiTheme="minorHAnsi" w:hAnsiTheme="minorHAnsi" w:cstheme="minorHAnsi"/>
                <w:b/>
                <w:sz w:val="18"/>
                <w:szCs w:val="18"/>
                <w:lang w:val="fr-FR"/>
              </w:rPr>
              <w:t xml:space="preserve">Dernière date possible pour soumettre </w:t>
            </w:r>
            <w:r w:rsidR="0007025D" w:rsidRPr="000E53A0">
              <w:rPr>
                <w:rFonts w:asciiTheme="minorHAnsi" w:hAnsiTheme="minorHAnsi" w:cstheme="minorHAnsi"/>
                <w:b/>
                <w:sz w:val="18"/>
                <w:szCs w:val="18"/>
                <w:lang w:val="fr-FR"/>
              </w:rPr>
              <w:t xml:space="preserve">au FEM : </w:t>
            </w:r>
            <w:r w:rsidR="0007025D" w:rsidRPr="000E53A0">
              <w:rPr>
                <w:rFonts w:asciiTheme="minorHAnsi" w:hAnsiTheme="minorHAnsi" w:cstheme="minorHAnsi"/>
                <w:i/>
                <w:sz w:val="18"/>
                <w:szCs w:val="18"/>
                <w:highlight w:val="yellow"/>
                <w:lang w:val="fr-FR"/>
              </w:rPr>
              <w:t>cette date doit être 12 mois après l'approbation du CIP pour les PSF et 8 mois après l'approbation du CIP pour les PSM</w:t>
            </w:r>
            <w:r w:rsidRPr="000E53A0">
              <w:rPr>
                <w:rFonts w:asciiTheme="minorHAnsi" w:hAnsiTheme="minorHAnsi" w:cstheme="minorHAnsi"/>
                <w:i/>
                <w:sz w:val="18"/>
                <w:szCs w:val="18"/>
                <w:highlight w:val="yellow"/>
                <w:lang w:val="fr-FR"/>
              </w:rPr>
              <w:t xml:space="preserve">, sinon le projet est automatiquement annulé par le FEM. </w:t>
            </w:r>
          </w:p>
        </w:tc>
      </w:tr>
      <w:tr w:rsidR="008800E4" w:rsidRPr="000E53A0" w14:paraId="58D8358B" w14:textId="77777777" w:rsidTr="00CA6792">
        <w:trPr>
          <w:trHeight w:val="350"/>
        </w:trPr>
        <w:tc>
          <w:tcPr>
            <w:tcW w:w="9355" w:type="dxa"/>
            <w:gridSpan w:val="6"/>
            <w:shd w:val="clear" w:color="auto" w:fill="auto"/>
          </w:tcPr>
          <w:p w14:paraId="31BDC917" w14:textId="77777777" w:rsidR="00601D9B" w:rsidRPr="000E53A0" w:rsidRDefault="000E53A0">
            <w:pPr>
              <w:spacing w:after="240"/>
              <w:rPr>
                <w:rFonts w:asciiTheme="minorHAnsi" w:hAnsiTheme="minorHAnsi" w:cstheme="minorHAnsi"/>
                <w:b/>
                <w:sz w:val="18"/>
                <w:szCs w:val="18"/>
                <w:lang w:val="fr-FR"/>
              </w:rPr>
            </w:pPr>
            <w:r w:rsidRPr="000E53A0">
              <w:rPr>
                <w:rFonts w:asciiTheme="minorHAnsi" w:hAnsiTheme="minorHAnsi" w:cstheme="minorHAnsi"/>
                <w:b/>
                <w:sz w:val="18"/>
                <w:szCs w:val="18"/>
                <w:lang w:val="fr-FR"/>
              </w:rPr>
              <w:t xml:space="preserve">Date la plus tardive possible d'approbation par la DG : </w:t>
            </w:r>
            <w:r w:rsidRPr="000E53A0">
              <w:rPr>
                <w:rFonts w:asciiTheme="minorHAnsi" w:hAnsiTheme="minorHAnsi" w:cstheme="minorHAnsi"/>
                <w:i/>
                <w:sz w:val="18"/>
                <w:szCs w:val="18"/>
                <w:highlight w:val="yellow"/>
                <w:lang w:val="fr-FR"/>
              </w:rPr>
              <w:t xml:space="preserve">cette date doit être fixée à 18 mois après l'approbation du CIP pour les FSP et à 12 mois après l'approbation du CIP pour les MSP, faute de quoi le projet est automatiquement annulé par le FEM. </w:t>
            </w:r>
          </w:p>
        </w:tc>
      </w:tr>
      <w:tr w:rsidR="00854646" w:rsidRPr="000E53A0" w14:paraId="666D957A" w14:textId="77777777" w:rsidTr="00CA6792">
        <w:trPr>
          <w:trHeight w:val="350"/>
        </w:trPr>
        <w:tc>
          <w:tcPr>
            <w:tcW w:w="9355" w:type="dxa"/>
            <w:gridSpan w:val="6"/>
            <w:shd w:val="clear" w:color="auto" w:fill="auto"/>
          </w:tcPr>
          <w:p w14:paraId="798B0C8E" w14:textId="77777777" w:rsidR="00601D9B" w:rsidRPr="000E53A0" w:rsidRDefault="000E53A0">
            <w:pPr>
              <w:spacing w:after="240"/>
              <w:rPr>
                <w:rFonts w:asciiTheme="minorHAnsi" w:hAnsiTheme="minorHAnsi" w:cstheme="minorHAnsi"/>
                <w:b/>
                <w:sz w:val="18"/>
                <w:szCs w:val="18"/>
                <w:lang w:val="fr-FR"/>
              </w:rPr>
            </w:pPr>
            <w:r w:rsidRPr="000E53A0">
              <w:rPr>
                <w:rFonts w:asciiTheme="minorHAnsi" w:hAnsiTheme="minorHAnsi" w:cstheme="minorHAnsi"/>
                <w:b/>
                <w:sz w:val="18"/>
                <w:szCs w:val="18"/>
                <w:lang w:val="fr-FR"/>
              </w:rPr>
              <w:t xml:space="preserve">Durée du projet en mois : </w:t>
            </w:r>
            <w:r w:rsidRPr="000E53A0">
              <w:rPr>
                <w:rFonts w:asciiTheme="minorHAnsi" w:hAnsiTheme="minorHAnsi" w:cstheme="minorHAnsi"/>
                <w:bCs/>
                <w:sz w:val="18"/>
                <w:szCs w:val="18"/>
                <w:highlight w:val="yellow"/>
                <w:lang w:val="fr-FR"/>
              </w:rPr>
              <w:t>voir le modèle d'approbation par le CEO.</w:t>
            </w:r>
          </w:p>
        </w:tc>
      </w:tr>
      <w:tr w:rsidR="0077088A" w:rsidRPr="000E53A0" w14:paraId="7FD567D0" w14:textId="77777777" w:rsidTr="008800E4">
        <w:trPr>
          <w:trHeight w:val="710"/>
        </w:trPr>
        <w:tc>
          <w:tcPr>
            <w:tcW w:w="4585" w:type="dxa"/>
            <w:gridSpan w:val="3"/>
            <w:shd w:val="clear" w:color="auto" w:fill="auto"/>
          </w:tcPr>
          <w:p w14:paraId="150C46C2" w14:textId="77777777" w:rsidR="00601D9B" w:rsidRPr="000E53A0" w:rsidRDefault="000E53A0">
            <w:pPr>
              <w:spacing w:after="240"/>
              <w:rPr>
                <w:rFonts w:asciiTheme="minorHAnsi" w:hAnsiTheme="minorHAnsi" w:cstheme="minorHAnsi"/>
                <w:b/>
                <w:sz w:val="18"/>
                <w:szCs w:val="18"/>
                <w:lang w:val="fr-FR"/>
              </w:rPr>
            </w:pPr>
            <w:r w:rsidRPr="000E53A0">
              <w:rPr>
                <w:rFonts w:asciiTheme="minorHAnsi" w:hAnsiTheme="minorHAnsi" w:cstheme="minorHAnsi"/>
                <w:b/>
                <w:sz w:val="18"/>
                <w:szCs w:val="18"/>
                <w:lang w:val="fr-FR"/>
              </w:rPr>
              <w:t xml:space="preserve">Date de début prévue : </w:t>
            </w:r>
            <w:r w:rsidRPr="000E53A0">
              <w:rPr>
                <w:rFonts w:asciiTheme="minorHAnsi" w:hAnsiTheme="minorHAnsi" w:cstheme="minorHAnsi"/>
                <w:i/>
                <w:sz w:val="18"/>
                <w:szCs w:val="18"/>
                <w:highlight w:val="yellow"/>
                <w:lang w:val="fr-FR"/>
              </w:rPr>
              <w:t>elle est définie comme la date prévue de signature du document de projet</w:t>
            </w:r>
            <w:r w:rsidR="0045724E" w:rsidRPr="000E53A0">
              <w:rPr>
                <w:rFonts w:asciiTheme="minorHAnsi" w:hAnsiTheme="minorHAnsi" w:cstheme="minorHAnsi"/>
                <w:i/>
                <w:sz w:val="18"/>
                <w:szCs w:val="18"/>
                <w:highlight w:val="yellow"/>
                <w:lang w:val="fr-FR"/>
              </w:rPr>
              <w:t xml:space="preserve">. Équivaut au début de la mise en œuvre prévue indiqué dans la demande d'aval de la DG. </w:t>
            </w:r>
            <w:r w:rsidR="00645A9F" w:rsidRPr="000E53A0">
              <w:rPr>
                <w:rFonts w:asciiTheme="minorHAnsi" w:hAnsiTheme="minorHAnsi" w:cstheme="minorHAnsi"/>
                <w:b/>
                <w:i/>
                <w:sz w:val="18"/>
                <w:szCs w:val="18"/>
                <w:highlight w:val="yellow"/>
                <w:lang w:val="fr-FR"/>
              </w:rPr>
              <w:t>La signature du document de projet doit intervenir dans les 25 jours suivant l'approbation du projet par la DG du FEM.</w:t>
            </w:r>
          </w:p>
        </w:tc>
        <w:tc>
          <w:tcPr>
            <w:tcW w:w="4770" w:type="dxa"/>
            <w:gridSpan w:val="3"/>
            <w:shd w:val="clear" w:color="auto" w:fill="auto"/>
          </w:tcPr>
          <w:p w14:paraId="1303475D" w14:textId="77777777" w:rsidR="00601D9B" w:rsidRPr="000E53A0" w:rsidRDefault="000E53A0">
            <w:pPr>
              <w:spacing w:after="240"/>
              <w:rPr>
                <w:rFonts w:asciiTheme="minorHAnsi" w:hAnsiTheme="minorHAnsi" w:cstheme="minorHAnsi"/>
                <w:i/>
                <w:sz w:val="18"/>
                <w:szCs w:val="18"/>
                <w:lang w:val="fr-FR"/>
              </w:rPr>
            </w:pPr>
            <w:r w:rsidRPr="000E53A0">
              <w:rPr>
                <w:rFonts w:asciiTheme="minorHAnsi" w:hAnsiTheme="minorHAnsi" w:cstheme="minorHAnsi"/>
                <w:b/>
                <w:sz w:val="18"/>
                <w:szCs w:val="18"/>
                <w:lang w:val="fr-FR"/>
              </w:rPr>
              <w:t xml:space="preserve">Date de fin prévue : il s'agit </w:t>
            </w:r>
            <w:r w:rsidRPr="000E53A0">
              <w:rPr>
                <w:rFonts w:asciiTheme="minorHAnsi" w:hAnsiTheme="minorHAnsi" w:cstheme="minorHAnsi"/>
                <w:i/>
                <w:sz w:val="18"/>
                <w:szCs w:val="18"/>
                <w:highlight w:val="yellow"/>
                <w:lang w:val="fr-FR"/>
              </w:rPr>
              <w:t>de la date prévue de la fermeture opérationnelle</w:t>
            </w:r>
            <w:r w:rsidR="00AA3FF0" w:rsidRPr="000E53A0">
              <w:rPr>
                <w:rFonts w:asciiTheme="minorHAnsi" w:hAnsiTheme="minorHAnsi" w:cstheme="minorHAnsi"/>
                <w:i/>
                <w:sz w:val="18"/>
                <w:szCs w:val="18"/>
                <w:highlight w:val="yellow"/>
                <w:lang w:val="fr-FR"/>
              </w:rPr>
              <w:t xml:space="preserve">. </w:t>
            </w:r>
            <w:r w:rsidR="0045724E" w:rsidRPr="000E53A0">
              <w:rPr>
                <w:rFonts w:asciiTheme="minorHAnsi" w:hAnsiTheme="minorHAnsi" w:cstheme="minorHAnsi"/>
                <w:i/>
                <w:sz w:val="18"/>
                <w:szCs w:val="18"/>
                <w:highlight w:val="yellow"/>
                <w:lang w:val="fr-FR"/>
              </w:rPr>
              <w:t>Équivalent à la date d'achèvement prévue indiquée dans la demande d'approbation du CEO.</w:t>
            </w:r>
          </w:p>
        </w:tc>
      </w:tr>
      <w:tr w:rsidR="00D02EB4" w:rsidRPr="00185245" w14:paraId="7D12C978" w14:textId="77777777" w:rsidTr="005C6299">
        <w:tc>
          <w:tcPr>
            <w:tcW w:w="4585" w:type="dxa"/>
            <w:gridSpan w:val="3"/>
            <w:shd w:val="clear" w:color="auto" w:fill="auto"/>
          </w:tcPr>
          <w:p w14:paraId="38FC9D22" w14:textId="77777777" w:rsidR="00601D9B" w:rsidRPr="000E53A0" w:rsidRDefault="000E53A0">
            <w:pPr>
              <w:spacing w:after="240"/>
              <w:rPr>
                <w:rFonts w:asciiTheme="minorHAnsi" w:hAnsiTheme="minorHAnsi" w:cstheme="minorHAnsi"/>
                <w:i/>
                <w:sz w:val="18"/>
                <w:szCs w:val="18"/>
                <w:lang w:val="fr-FR"/>
              </w:rPr>
            </w:pPr>
            <w:r w:rsidRPr="000E53A0">
              <w:rPr>
                <w:rFonts w:asciiTheme="minorHAnsi" w:hAnsiTheme="minorHAnsi" w:cstheme="minorHAnsi"/>
                <w:b/>
                <w:sz w:val="18"/>
                <w:szCs w:val="18"/>
                <w:lang w:val="fr-FR"/>
              </w:rPr>
              <w:t xml:space="preserve">Date prévue pour l'examen à mi-parcours : </w:t>
            </w:r>
            <w:r w:rsidRPr="000E53A0">
              <w:rPr>
                <w:rFonts w:asciiTheme="minorHAnsi" w:hAnsiTheme="minorHAnsi" w:cstheme="minorHAnsi"/>
                <w:i/>
                <w:sz w:val="18"/>
                <w:szCs w:val="18"/>
                <w:highlight w:val="yellow"/>
                <w:lang w:val="fr-FR"/>
              </w:rPr>
              <w:t xml:space="preserve">il est </w:t>
            </w:r>
            <w:r w:rsidRPr="000E53A0">
              <w:rPr>
                <w:rFonts w:asciiTheme="minorHAnsi" w:hAnsiTheme="minorHAnsi" w:cstheme="minorHAnsi"/>
                <w:i/>
                <w:sz w:val="18"/>
                <w:szCs w:val="18"/>
                <w:highlight w:val="yellow"/>
                <w:lang w:val="fr-FR"/>
              </w:rPr>
              <w:lastRenderedPageBreak/>
              <w:t xml:space="preserve">obligatoire d'ajouter une date. </w:t>
            </w:r>
            <w:r w:rsidRPr="000E53A0">
              <w:rPr>
                <w:rFonts w:asciiTheme="minorHAnsi" w:hAnsiTheme="minorHAnsi" w:cstheme="minorHAnsi"/>
                <w:b/>
                <w:i/>
                <w:sz w:val="18"/>
                <w:szCs w:val="18"/>
                <w:highlight w:val="yellow"/>
                <w:lang w:val="fr-FR"/>
              </w:rPr>
              <w:t xml:space="preserve">Cette date </w:t>
            </w:r>
            <w:r w:rsidR="0007025D" w:rsidRPr="000E53A0">
              <w:rPr>
                <w:rFonts w:asciiTheme="minorHAnsi" w:hAnsiTheme="minorHAnsi" w:cstheme="minorHAnsi"/>
                <w:b/>
                <w:i/>
                <w:sz w:val="18"/>
                <w:szCs w:val="18"/>
                <w:highlight w:val="yellow"/>
                <w:lang w:val="fr-FR"/>
              </w:rPr>
              <w:t xml:space="preserve">doit </w:t>
            </w:r>
            <w:r w:rsidRPr="000E53A0">
              <w:rPr>
                <w:rFonts w:asciiTheme="minorHAnsi" w:hAnsiTheme="minorHAnsi" w:cstheme="minorHAnsi"/>
                <w:b/>
                <w:i/>
                <w:sz w:val="18"/>
                <w:szCs w:val="18"/>
                <w:highlight w:val="yellow"/>
                <w:lang w:val="fr-FR"/>
              </w:rPr>
              <w:t>se situer dans les 36 mois suivant l'approbation du CEO</w:t>
            </w:r>
            <w:r w:rsidR="00FA22F4" w:rsidRPr="000E53A0">
              <w:rPr>
                <w:rFonts w:asciiTheme="minorHAnsi" w:hAnsiTheme="minorHAnsi" w:cstheme="minorHAnsi"/>
                <w:b/>
                <w:i/>
                <w:sz w:val="18"/>
                <w:szCs w:val="18"/>
                <w:highlight w:val="yellow"/>
                <w:lang w:val="fr-FR"/>
              </w:rPr>
              <w:t xml:space="preserve">. </w:t>
            </w:r>
            <w:r w:rsidR="00FA22F4" w:rsidRPr="000E53A0">
              <w:rPr>
                <w:rFonts w:asciiTheme="minorHAnsi" w:hAnsiTheme="minorHAnsi" w:cstheme="minorHAnsi"/>
                <w:i/>
                <w:sz w:val="18"/>
                <w:szCs w:val="18"/>
                <w:highlight w:val="yellow"/>
                <w:lang w:val="fr-FR"/>
              </w:rPr>
              <w:t xml:space="preserve">Ceci n'est pas requis pour les MSP </w:t>
            </w:r>
            <w:r w:rsidR="00FA22F4" w:rsidRPr="000E53A0">
              <w:rPr>
                <w:rFonts w:asciiTheme="minorHAnsi" w:hAnsiTheme="minorHAnsi" w:cstheme="minorHAnsi"/>
                <w:i/>
                <w:sz w:val="18"/>
                <w:szCs w:val="18"/>
                <w:highlight w:val="magenta"/>
                <w:lang w:val="fr-FR"/>
              </w:rPr>
              <w:t>ou les EA.</w:t>
            </w:r>
          </w:p>
        </w:tc>
        <w:tc>
          <w:tcPr>
            <w:tcW w:w="4770" w:type="dxa"/>
            <w:gridSpan w:val="3"/>
            <w:shd w:val="clear" w:color="auto" w:fill="auto"/>
          </w:tcPr>
          <w:p w14:paraId="4E2503E2" w14:textId="77777777" w:rsidR="00601D9B" w:rsidRDefault="000E53A0">
            <w:pPr>
              <w:spacing w:after="240"/>
              <w:rPr>
                <w:rFonts w:asciiTheme="minorHAnsi" w:hAnsiTheme="minorHAnsi" w:cstheme="minorHAnsi"/>
                <w:b/>
                <w:sz w:val="18"/>
                <w:szCs w:val="18"/>
              </w:rPr>
            </w:pPr>
            <w:r w:rsidRPr="000E53A0">
              <w:rPr>
                <w:rFonts w:asciiTheme="minorHAnsi" w:hAnsiTheme="minorHAnsi" w:cstheme="minorHAnsi"/>
                <w:b/>
                <w:sz w:val="18"/>
                <w:szCs w:val="18"/>
                <w:lang w:val="fr-FR"/>
              </w:rPr>
              <w:lastRenderedPageBreak/>
              <w:t xml:space="preserve">Date prévue de l'évaluation finale : </w:t>
            </w:r>
            <w:r w:rsidRPr="000E53A0">
              <w:rPr>
                <w:rFonts w:asciiTheme="minorHAnsi" w:hAnsiTheme="minorHAnsi" w:cstheme="minorHAnsi"/>
                <w:i/>
                <w:sz w:val="18"/>
                <w:szCs w:val="18"/>
                <w:highlight w:val="yellow"/>
                <w:lang w:val="fr-FR"/>
              </w:rPr>
              <w:t xml:space="preserve">date obligatoire à </w:t>
            </w:r>
            <w:r w:rsidRPr="000E53A0">
              <w:rPr>
                <w:rFonts w:asciiTheme="minorHAnsi" w:hAnsiTheme="minorHAnsi" w:cstheme="minorHAnsi"/>
                <w:i/>
                <w:sz w:val="18"/>
                <w:szCs w:val="18"/>
                <w:highlight w:val="yellow"/>
                <w:lang w:val="fr-FR"/>
              </w:rPr>
              <w:lastRenderedPageBreak/>
              <w:t xml:space="preserve">ajouter. </w:t>
            </w:r>
            <w:r w:rsidRPr="000E53A0">
              <w:rPr>
                <w:rFonts w:asciiTheme="minorHAnsi" w:hAnsiTheme="minorHAnsi" w:cstheme="minorHAnsi"/>
                <w:b/>
                <w:i/>
                <w:sz w:val="18"/>
                <w:szCs w:val="18"/>
                <w:highlight w:val="yellow"/>
                <w:lang w:val="fr-FR"/>
              </w:rPr>
              <w:t>Notez que la clôture opérationnelle se fait dans les 3 mois suivant la publication de l'EE</w:t>
            </w:r>
            <w:r w:rsidR="001D3AB7" w:rsidRPr="000E53A0">
              <w:rPr>
                <w:rFonts w:asciiTheme="minorHAnsi" w:hAnsiTheme="minorHAnsi" w:cstheme="minorHAnsi"/>
                <w:b/>
                <w:i/>
                <w:sz w:val="18"/>
                <w:szCs w:val="18"/>
                <w:highlight w:val="yellow"/>
                <w:lang w:val="fr-FR"/>
              </w:rPr>
              <w:t>, cette date doit donc être antérieure à la date de fin prévue</w:t>
            </w:r>
            <w:r w:rsidRPr="000E53A0">
              <w:rPr>
                <w:rFonts w:asciiTheme="minorHAnsi" w:hAnsiTheme="minorHAnsi" w:cstheme="minorHAnsi"/>
                <w:b/>
                <w:i/>
                <w:sz w:val="18"/>
                <w:szCs w:val="18"/>
                <w:highlight w:val="yellow"/>
                <w:lang w:val="fr-FR"/>
              </w:rPr>
              <w:t>.</w:t>
            </w:r>
            <w:r w:rsidR="00FA22F4" w:rsidRPr="000E53A0">
              <w:rPr>
                <w:rFonts w:asciiTheme="minorHAnsi" w:hAnsiTheme="minorHAnsi" w:cstheme="minorHAnsi"/>
                <w:i/>
                <w:sz w:val="18"/>
                <w:szCs w:val="18"/>
                <w:highlight w:val="magenta"/>
                <w:lang w:val="fr-FR"/>
              </w:rPr>
              <w:t xml:space="preserve"> </w:t>
            </w:r>
            <w:r w:rsidR="00FA22F4" w:rsidRPr="00185245">
              <w:rPr>
                <w:rFonts w:asciiTheme="minorHAnsi" w:hAnsiTheme="minorHAnsi" w:cstheme="minorHAnsi"/>
                <w:i/>
                <w:sz w:val="18"/>
                <w:szCs w:val="18"/>
                <w:highlight w:val="magenta"/>
              </w:rPr>
              <w:t>Non requis pour les EE.</w:t>
            </w:r>
          </w:p>
        </w:tc>
      </w:tr>
      <w:tr w:rsidR="009E44C7" w:rsidRPr="000E53A0" w14:paraId="151BC328" w14:textId="77777777" w:rsidTr="0003763F">
        <w:tc>
          <w:tcPr>
            <w:tcW w:w="9355" w:type="dxa"/>
            <w:gridSpan w:val="6"/>
            <w:shd w:val="clear" w:color="auto" w:fill="auto"/>
          </w:tcPr>
          <w:p w14:paraId="54C7EEAA" w14:textId="77777777" w:rsidR="00601D9B" w:rsidRPr="000E53A0" w:rsidRDefault="000E53A0" w:rsidP="000E53A0">
            <w:pPr>
              <w:spacing w:after="240"/>
              <w:rPr>
                <w:rFonts w:asciiTheme="minorHAnsi" w:hAnsiTheme="minorHAnsi" w:cstheme="minorHAnsi"/>
                <w:b/>
                <w:sz w:val="18"/>
                <w:szCs w:val="18"/>
                <w:lang w:val="fr-FR"/>
              </w:rPr>
            </w:pPr>
            <w:r w:rsidRPr="000E53A0">
              <w:rPr>
                <w:rFonts w:asciiTheme="minorHAnsi" w:hAnsiTheme="minorHAnsi" w:cstheme="minorHAnsi"/>
                <w:b/>
                <w:sz w:val="18"/>
                <w:szCs w:val="18"/>
                <w:lang w:val="fr-FR"/>
              </w:rPr>
              <w:lastRenderedPageBreak/>
              <w:t xml:space="preserve">Brève description du </w:t>
            </w:r>
            <w:r w:rsidR="00732F48" w:rsidRPr="000E53A0">
              <w:rPr>
                <w:rFonts w:asciiTheme="minorHAnsi" w:hAnsiTheme="minorHAnsi" w:cstheme="minorHAnsi"/>
                <w:b/>
                <w:sz w:val="18"/>
                <w:szCs w:val="18"/>
                <w:lang w:val="fr-FR"/>
              </w:rPr>
              <w:t xml:space="preserve">projet </w:t>
            </w:r>
            <w:r w:rsidRPr="000E53A0">
              <w:rPr>
                <w:rFonts w:asciiTheme="minorHAnsi" w:hAnsiTheme="minorHAnsi" w:cstheme="minorHAnsi"/>
                <w:b/>
                <w:sz w:val="18"/>
                <w:szCs w:val="18"/>
                <w:lang w:val="fr-FR"/>
              </w:rPr>
              <w:t xml:space="preserve">: Le </w:t>
            </w:r>
            <w:r w:rsidR="00905BC9" w:rsidRPr="000E53A0">
              <w:rPr>
                <w:rFonts w:asciiTheme="minorHAnsi" w:hAnsiTheme="minorHAnsi" w:cstheme="minorHAnsi"/>
                <w:color w:val="000000" w:themeColor="text1"/>
                <w:sz w:val="18"/>
                <w:szCs w:val="18"/>
                <w:lang w:val="fr-FR"/>
              </w:rPr>
              <w:t xml:space="preserve">projet proposé s'attaque aux défis interdépendants de la dégradation des terres et du changement climatique au Mali, qui menacent ensemble la durabilité à long terme des paysages productifs vulnérables dans les régions centrales du pays. La République du Mali s'est engagée à atteindre la neutralité de la dégradation des terres, définie par la CNULCD comme "un </w:t>
            </w:r>
            <w:r w:rsidR="00905BC9" w:rsidRPr="000E53A0">
              <w:rPr>
                <w:rStyle w:val="Accentuation"/>
                <w:rFonts w:asciiTheme="minorHAnsi" w:hAnsiTheme="minorHAnsi" w:cstheme="minorHAnsi"/>
                <w:color w:val="000000" w:themeColor="text1"/>
                <w:sz w:val="18"/>
                <w:szCs w:val="18"/>
                <w:lang w:val="fr-FR"/>
              </w:rPr>
              <w:t xml:space="preserve">état dans lequel la quantité et la qualité des ressources </w:t>
            </w:r>
            <w:r w:rsidRPr="000E53A0">
              <w:rPr>
                <w:rStyle w:val="Accentuation"/>
                <w:rFonts w:asciiTheme="minorHAnsi" w:hAnsiTheme="minorHAnsi" w:cstheme="minorHAnsi"/>
                <w:color w:val="000000" w:themeColor="text1"/>
                <w:sz w:val="18"/>
                <w:szCs w:val="18"/>
                <w:lang w:val="fr-FR"/>
              </w:rPr>
              <w:t>n</w:t>
            </w:r>
            <w:r>
              <w:rPr>
                <w:rStyle w:val="Accentuation"/>
                <w:rFonts w:asciiTheme="minorHAnsi" w:hAnsiTheme="minorHAnsi" w:cstheme="minorHAnsi"/>
                <w:color w:val="000000" w:themeColor="text1"/>
                <w:sz w:val="18"/>
                <w:szCs w:val="18"/>
                <w:lang w:val="fr-FR"/>
              </w:rPr>
              <w:t>aturelles</w:t>
            </w:r>
            <w:r w:rsidR="00905BC9" w:rsidRPr="000E53A0">
              <w:rPr>
                <w:rStyle w:val="Accentuation"/>
                <w:rFonts w:asciiTheme="minorHAnsi" w:hAnsiTheme="minorHAnsi" w:cstheme="minorHAnsi"/>
                <w:color w:val="000000" w:themeColor="text1"/>
                <w:sz w:val="18"/>
                <w:szCs w:val="18"/>
                <w:lang w:val="fr-FR"/>
              </w:rPr>
              <w:t xml:space="preserve">, nécessaires pour soutenir les fonctions et les services des écosystèmes et améliorer la sécurité alimentaire, restent stables ou augmentent dans des échelles temporelles et spatiales et des écosystèmes spécifiés". </w:t>
            </w:r>
            <w:r w:rsidR="00905BC9" w:rsidRPr="000E53A0">
              <w:rPr>
                <w:rStyle w:val="Accentuation"/>
                <w:rFonts w:asciiTheme="minorHAnsi" w:hAnsiTheme="minorHAnsi" w:cstheme="minorHAnsi"/>
                <w:i w:val="0"/>
                <w:iCs w:val="0"/>
                <w:color w:val="000000" w:themeColor="text1"/>
                <w:sz w:val="18"/>
                <w:szCs w:val="18"/>
                <w:lang w:val="fr-FR"/>
              </w:rPr>
              <w:t>Actuellement, ce défi mondial n'est pas relevé, puisque la superficie du Mali sur laquelle la productivité a été perdue au cours des deux dernières décennies dépasse largement les petites poches où la productivité a été restaurée, et ces tendances se poursuivent. On constate déjà que le changement climatique et la variabilité accrue du climat contribuent à la désertification et à la dégradation des écosystèmes dont les sociétés dépendent pour leur sécurité alimentaire et hydrique, et les prévisions indiquent que ces impacts vont s'aggraver au cours des prochaines décennies. À mesure que les impacts anthropiques et climatiques réduisent la base productive des ressources naturelles, les conflits pour la terre et l'eau s'intensifient, notamment entre les communautés d'agriculteurs et d'éleveurs, alimentant le conflit actuel entre les djihadistes et les milices civiles</w:t>
            </w:r>
            <w:r w:rsidR="00905BC9" w:rsidRPr="00185245">
              <w:rPr>
                <w:rStyle w:val="Appelnotedebasdep"/>
                <w:rFonts w:asciiTheme="minorHAnsi" w:hAnsiTheme="minorHAnsi" w:cstheme="minorHAnsi"/>
                <w:i/>
                <w:iCs/>
                <w:color w:val="000000" w:themeColor="text1"/>
                <w:szCs w:val="18"/>
              </w:rPr>
              <w:footnoteReference w:id="3"/>
            </w:r>
            <w:r w:rsidR="00905BC9" w:rsidRPr="000E53A0">
              <w:rPr>
                <w:rStyle w:val="Accentuation"/>
                <w:rFonts w:asciiTheme="minorHAnsi" w:hAnsiTheme="minorHAnsi" w:cstheme="minorHAnsi"/>
                <w:i w:val="0"/>
                <w:iCs w:val="0"/>
                <w:color w:val="000000" w:themeColor="text1"/>
                <w:sz w:val="18"/>
                <w:szCs w:val="18"/>
                <w:lang w:val="fr-FR"/>
              </w:rPr>
              <w:t>.</w:t>
            </w:r>
          </w:p>
        </w:tc>
      </w:tr>
      <w:tr w:rsidR="0077088A" w:rsidRPr="000E53A0" w14:paraId="46FB3868" w14:textId="77777777" w:rsidTr="000F797F">
        <w:trPr>
          <w:trHeight w:val="377"/>
        </w:trPr>
        <w:tc>
          <w:tcPr>
            <w:tcW w:w="9355" w:type="dxa"/>
            <w:gridSpan w:val="6"/>
            <w:shd w:val="clear" w:color="auto" w:fill="D9D9D9"/>
          </w:tcPr>
          <w:p w14:paraId="651A8F60" w14:textId="77777777" w:rsidR="00601D9B" w:rsidRPr="000E53A0" w:rsidRDefault="000E53A0">
            <w:pPr>
              <w:rPr>
                <w:rFonts w:asciiTheme="minorHAnsi" w:hAnsiTheme="minorHAnsi" w:cstheme="minorHAnsi"/>
                <w:b/>
                <w:smallCaps/>
                <w:sz w:val="18"/>
                <w:szCs w:val="18"/>
                <w:lang w:val="fr-FR"/>
              </w:rPr>
            </w:pPr>
            <w:r w:rsidRPr="000E53A0">
              <w:rPr>
                <w:rFonts w:asciiTheme="minorHAnsi" w:hAnsiTheme="minorHAnsi" w:cstheme="minorHAnsi"/>
                <w:b/>
                <w:smallCaps/>
                <w:sz w:val="18"/>
                <w:szCs w:val="18"/>
                <w:lang w:val="fr-FR"/>
              </w:rPr>
              <w:t xml:space="preserve">Plan de financement </w:t>
            </w:r>
            <w:r w:rsidR="00A13CA9" w:rsidRPr="000E53A0">
              <w:rPr>
                <w:rFonts w:asciiTheme="minorHAnsi" w:hAnsiTheme="minorHAnsi" w:cstheme="minorHAnsi"/>
                <w:i/>
                <w:sz w:val="18"/>
                <w:szCs w:val="18"/>
                <w:highlight w:val="yellow"/>
                <w:lang w:val="fr-FR"/>
              </w:rPr>
              <w:t xml:space="preserve">(seuls les fonds transférés sur le compte bancaire du PNUD </w:t>
            </w:r>
            <w:r w:rsidR="00E82D42" w:rsidRPr="000E53A0">
              <w:rPr>
                <w:rFonts w:asciiTheme="minorHAnsi" w:hAnsiTheme="minorHAnsi" w:cstheme="minorHAnsi"/>
                <w:i/>
                <w:sz w:val="18"/>
                <w:szCs w:val="18"/>
                <w:highlight w:val="yellow"/>
                <w:lang w:val="fr-FR"/>
              </w:rPr>
              <w:t xml:space="preserve">et inclus dans le PTBA pour ce projet spécifique du FEM </w:t>
            </w:r>
            <w:r w:rsidR="00A13CA9" w:rsidRPr="000E53A0">
              <w:rPr>
                <w:rFonts w:asciiTheme="minorHAnsi" w:hAnsiTheme="minorHAnsi" w:cstheme="minorHAnsi"/>
                <w:i/>
                <w:sz w:val="18"/>
                <w:szCs w:val="18"/>
                <w:highlight w:val="yellow"/>
                <w:lang w:val="fr-FR"/>
              </w:rPr>
              <w:t>doivent être inclus dans cette section (1), tous les autres doivent être inclus dans la section (2).</w:t>
            </w:r>
          </w:p>
        </w:tc>
      </w:tr>
      <w:tr w:rsidR="0077088A" w:rsidRPr="00185245" w14:paraId="1EDA7AE8" w14:textId="77777777" w:rsidTr="0003763F">
        <w:tc>
          <w:tcPr>
            <w:tcW w:w="4585" w:type="dxa"/>
            <w:gridSpan w:val="3"/>
            <w:shd w:val="clear" w:color="auto" w:fill="auto"/>
          </w:tcPr>
          <w:p w14:paraId="2EAFC227" w14:textId="77777777" w:rsidR="00601D9B" w:rsidRPr="000E53A0" w:rsidRDefault="00EE6EA0">
            <w:pPr>
              <w:spacing w:after="240"/>
              <w:rPr>
                <w:rFonts w:asciiTheme="minorHAnsi" w:hAnsiTheme="minorHAnsi" w:cstheme="minorHAnsi"/>
                <w:sz w:val="18"/>
                <w:szCs w:val="18"/>
                <w:lang w:val="fr-FR"/>
              </w:rPr>
            </w:pPr>
            <w:r w:rsidRPr="000E53A0">
              <w:rPr>
                <w:rFonts w:asciiTheme="minorHAnsi" w:hAnsiTheme="minorHAnsi" w:cstheme="minorHAnsi"/>
                <w:sz w:val="18"/>
                <w:szCs w:val="18"/>
                <w:lang w:val="fr-FR"/>
              </w:rPr>
              <w:t xml:space="preserve">Subvention du </w:t>
            </w:r>
            <w:r w:rsidR="000E53A0" w:rsidRPr="000E53A0">
              <w:rPr>
                <w:rFonts w:asciiTheme="minorHAnsi" w:hAnsiTheme="minorHAnsi" w:cstheme="minorHAnsi"/>
                <w:sz w:val="18"/>
                <w:szCs w:val="18"/>
                <w:lang w:val="fr-FR"/>
              </w:rPr>
              <w:t xml:space="preserve">Fonds fiduciaire du FEM </w:t>
            </w:r>
          </w:p>
        </w:tc>
        <w:tc>
          <w:tcPr>
            <w:tcW w:w="4770" w:type="dxa"/>
            <w:gridSpan w:val="3"/>
            <w:shd w:val="clear" w:color="auto" w:fill="auto"/>
          </w:tcPr>
          <w:p w14:paraId="27B819E0" w14:textId="77777777" w:rsidR="00601D9B" w:rsidRDefault="000E53A0">
            <w:pPr>
              <w:spacing w:after="240"/>
              <w:rPr>
                <w:rFonts w:asciiTheme="minorHAnsi" w:hAnsiTheme="minorHAnsi" w:cstheme="minorHAnsi"/>
                <w:sz w:val="18"/>
                <w:szCs w:val="18"/>
              </w:rPr>
            </w:pPr>
            <w:r w:rsidRPr="00185245">
              <w:rPr>
                <w:rFonts w:asciiTheme="minorHAnsi" w:hAnsiTheme="minorHAnsi" w:cstheme="minorHAnsi"/>
                <w:sz w:val="18"/>
                <w:szCs w:val="18"/>
              </w:rPr>
              <w:t xml:space="preserve">USD </w:t>
            </w:r>
            <w:r w:rsidR="00905BC9" w:rsidRPr="00185245">
              <w:rPr>
                <w:rFonts w:asciiTheme="minorHAnsi" w:hAnsiTheme="minorHAnsi" w:cstheme="minorHAnsi"/>
                <w:sz w:val="18"/>
                <w:szCs w:val="18"/>
              </w:rPr>
              <w:t>4,872,831 (LDCF)</w:t>
            </w:r>
          </w:p>
          <w:p w14:paraId="5CC579B2" w14:textId="77777777" w:rsidR="00601D9B" w:rsidRDefault="000E53A0">
            <w:pPr>
              <w:spacing w:after="240"/>
              <w:rPr>
                <w:rFonts w:asciiTheme="minorHAnsi" w:hAnsiTheme="minorHAnsi" w:cstheme="minorHAnsi"/>
                <w:sz w:val="18"/>
                <w:szCs w:val="18"/>
              </w:rPr>
            </w:pPr>
            <w:r w:rsidRPr="00185245">
              <w:rPr>
                <w:rFonts w:asciiTheme="minorHAnsi" w:hAnsiTheme="minorHAnsi" w:cstheme="minorHAnsi"/>
                <w:sz w:val="18"/>
                <w:szCs w:val="18"/>
              </w:rPr>
              <w:t>USD 2,639,726 (GEFTF)</w:t>
            </w:r>
          </w:p>
        </w:tc>
      </w:tr>
      <w:tr w:rsidR="0077088A" w:rsidRPr="00185245" w14:paraId="5DDEEB7F" w14:textId="77777777" w:rsidTr="0003763F">
        <w:tc>
          <w:tcPr>
            <w:tcW w:w="4585" w:type="dxa"/>
            <w:gridSpan w:val="3"/>
            <w:shd w:val="clear" w:color="auto" w:fill="auto"/>
          </w:tcPr>
          <w:p w14:paraId="3EA9D692" w14:textId="77777777" w:rsidR="00601D9B" w:rsidRPr="000E53A0" w:rsidRDefault="000E53A0">
            <w:pPr>
              <w:spacing w:after="240"/>
              <w:rPr>
                <w:rFonts w:asciiTheme="minorHAnsi" w:hAnsiTheme="minorHAnsi" w:cstheme="minorHAnsi"/>
                <w:sz w:val="18"/>
                <w:szCs w:val="18"/>
                <w:lang w:val="fr-FR"/>
              </w:rPr>
            </w:pPr>
            <w:r w:rsidRPr="000E53A0">
              <w:rPr>
                <w:rFonts w:asciiTheme="minorHAnsi" w:hAnsiTheme="minorHAnsi" w:cstheme="minorHAnsi"/>
                <w:sz w:val="18"/>
                <w:szCs w:val="18"/>
                <w:lang w:val="fr-FR"/>
              </w:rPr>
              <w:t>Ressources TRAC du PNUD</w:t>
            </w:r>
            <w:r w:rsidR="009E3AB4" w:rsidRPr="00185245">
              <w:rPr>
                <w:rStyle w:val="Appelnotedebasdep"/>
                <w:rFonts w:asciiTheme="minorHAnsi" w:hAnsiTheme="minorHAnsi" w:cstheme="minorHAnsi"/>
                <w:szCs w:val="18"/>
              </w:rPr>
              <w:footnoteReference w:id="4"/>
            </w:r>
            <w:r w:rsidR="00E82D42" w:rsidRPr="000E53A0">
              <w:rPr>
                <w:rFonts w:asciiTheme="minorHAnsi" w:hAnsiTheme="minorHAnsi" w:cstheme="minorHAnsi"/>
                <w:i/>
                <w:sz w:val="18"/>
                <w:szCs w:val="18"/>
                <w:highlight w:val="yellow"/>
                <w:lang w:val="fr-FR"/>
              </w:rPr>
              <w:t xml:space="preserve"> </w:t>
            </w:r>
            <w:r w:rsidR="00CA6792" w:rsidRPr="000E53A0">
              <w:rPr>
                <w:rFonts w:asciiTheme="minorHAnsi" w:hAnsiTheme="minorHAnsi" w:cstheme="minorHAnsi"/>
                <w:i/>
                <w:sz w:val="18"/>
                <w:szCs w:val="18"/>
                <w:highlight w:val="yellow"/>
                <w:lang w:val="fr-FR"/>
              </w:rPr>
              <w:t>(</w:t>
            </w:r>
            <w:r w:rsidR="00E82D42" w:rsidRPr="000E53A0">
              <w:rPr>
                <w:rFonts w:asciiTheme="minorHAnsi" w:hAnsiTheme="minorHAnsi" w:cstheme="minorHAnsi"/>
                <w:i/>
                <w:sz w:val="18"/>
                <w:szCs w:val="18"/>
                <w:highlight w:val="yellow"/>
                <w:lang w:val="fr-FR"/>
              </w:rPr>
              <w:t xml:space="preserve">uniquement si elles sont incluses dans le </w:t>
            </w:r>
            <w:r w:rsidR="00970A78" w:rsidRPr="000E53A0">
              <w:rPr>
                <w:rFonts w:asciiTheme="minorHAnsi" w:hAnsiTheme="minorHAnsi" w:cstheme="minorHAnsi"/>
                <w:i/>
                <w:sz w:val="18"/>
                <w:szCs w:val="18"/>
                <w:highlight w:val="yellow"/>
                <w:lang w:val="fr-FR"/>
              </w:rPr>
              <w:t xml:space="preserve">budget total et le plan de travail </w:t>
            </w:r>
            <w:r w:rsidR="00E82D42" w:rsidRPr="000E53A0">
              <w:rPr>
                <w:rFonts w:asciiTheme="minorHAnsi" w:hAnsiTheme="minorHAnsi" w:cstheme="minorHAnsi"/>
                <w:i/>
                <w:sz w:val="18"/>
                <w:szCs w:val="18"/>
                <w:highlight w:val="yellow"/>
                <w:lang w:val="fr-FR"/>
              </w:rPr>
              <w:t>de ce projet FEM spécifique</w:t>
            </w:r>
            <w:r w:rsidR="00CA6792" w:rsidRPr="000E53A0">
              <w:rPr>
                <w:rFonts w:asciiTheme="minorHAnsi" w:hAnsiTheme="minorHAnsi" w:cstheme="minorHAnsi"/>
                <w:i/>
                <w:sz w:val="18"/>
                <w:szCs w:val="18"/>
                <w:highlight w:val="yellow"/>
                <w:lang w:val="fr-FR"/>
              </w:rPr>
              <w:t>).</w:t>
            </w:r>
          </w:p>
        </w:tc>
        <w:tc>
          <w:tcPr>
            <w:tcW w:w="4770" w:type="dxa"/>
            <w:gridSpan w:val="3"/>
            <w:shd w:val="clear" w:color="auto" w:fill="auto"/>
          </w:tcPr>
          <w:p w14:paraId="14997309" w14:textId="77777777" w:rsidR="00601D9B" w:rsidRDefault="000E53A0">
            <w:pPr>
              <w:spacing w:after="240"/>
              <w:rPr>
                <w:rFonts w:asciiTheme="minorHAnsi" w:hAnsiTheme="minorHAnsi" w:cstheme="minorHAnsi"/>
                <w:sz w:val="18"/>
                <w:szCs w:val="18"/>
              </w:rPr>
            </w:pPr>
            <w:r w:rsidRPr="00185245">
              <w:rPr>
                <w:rFonts w:asciiTheme="minorHAnsi" w:hAnsiTheme="minorHAnsi" w:cstheme="minorHAnsi"/>
                <w:sz w:val="18"/>
                <w:szCs w:val="18"/>
              </w:rPr>
              <w:t xml:space="preserve">USD  </w:t>
            </w:r>
          </w:p>
        </w:tc>
      </w:tr>
      <w:tr w:rsidR="0077088A" w:rsidRPr="00185245" w14:paraId="50E0E69B" w14:textId="77777777" w:rsidTr="0003763F">
        <w:tc>
          <w:tcPr>
            <w:tcW w:w="4585" w:type="dxa"/>
            <w:gridSpan w:val="3"/>
            <w:shd w:val="clear" w:color="auto" w:fill="auto"/>
          </w:tcPr>
          <w:p w14:paraId="4BFD4F10" w14:textId="77777777" w:rsidR="00601D9B" w:rsidRPr="000E53A0" w:rsidRDefault="000E53A0">
            <w:pPr>
              <w:spacing w:after="240"/>
              <w:rPr>
                <w:rFonts w:asciiTheme="minorHAnsi" w:hAnsiTheme="minorHAnsi" w:cstheme="minorHAnsi"/>
                <w:sz w:val="18"/>
                <w:szCs w:val="18"/>
                <w:lang w:val="fr-FR"/>
              </w:rPr>
            </w:pPr>
            <w:r w:rsidRPr="000E53A0">
              <w:rPr>
                <w:rFonts w:asciiTheme="minorHAnsi" w:hAnsiTheme="minorHAnsi" w:cstheme="minorHAnsi"/>
                <w:sz w:val="18"/>
                <w:szCs w:val="18"/>
                <w:lang w:val="fr-FR"/>
              </w:rPr>
              <w:t>Cofinancement en espèces</w:t>
            </w:r>
            <w:r w:rsidR="008800E4" w:rsidRPr="000E53A0">
              <w:rPr>
                <w:rFonts w:asciiTheme="minorHAnsi" w:hAnsiTheme="minorHAnsi" w:cstheme="minorHAnsi"/>
                <w:sz w:val="18"/>
                <w:szCs w:val="18"/>
                <w:lang w:val="fr-FR"/>
              </w:rPr>
              <w:t xml:space="preserve"> confirmé </w:t>
            </w:r>
            <w:r w:rsidRPr="000E53A0">
              <w:rPr>
                <w:rFonts w:asciiTheme="minorHAnsi" w:hAnsiTheme="minorHAnsi" w:cstheme="minorHAnsi"/>
                <w:sz w:val="18"/>
                <w:szCs w:val="18"/>
                <w:lang w:val="fr-FR"/>
              </w:rPr>
              <w:t>qui sera administré par le PNUD</w:t>
            </w:r>
          </w:p>
        </w:tc>
        <w:tc>
          <w:tcPr>
            <w:tcW w:w="4770" w:type="dxa"/>
            <w:gridSpan w:val="3"/>
            <w:shd w:val="clear" w:color="auto" w:fill="auto"/>
          </w:tcPr>
          <w:p w14:paraId="4FCEF02E" w14:textId="77777777" w:rsidR="00601D9B" w:rsidRDefault="000E53A0">
            <w:pPr>
              <w:spacing w:after="240"/>
              <w:rPr>
                <w:rFonts w:asciiTheme="minorHAnsi" w:hAnsiTheme="minorHAnsi" w:cstheme="minorHAnsi"/>
                <w:sz w:val="18"/>
                <w:szCs w:val="18"/>
              </w:rPr>
            </w:pPr>
            <w:r w:rsidRPr="00185245">
              <w:rPr>
                <w:rFonts w:asciiTheme="minorHAnsi" w:hAnsiTheme="minorHAnsi" w:cstheme="minorHAnsi"/>
                <w:sz w:val="18"/>
                <w:szCs w:val="18"/>
              </w:rPr>
              <w:t>USD</w:t>
            </w:r>
          </w:p>
        </w:tc>
      </w:tr>
      <w:tr w:rsidR="00F10F99" w:rsidRPr="000E53A0" w14:paraId="018DD6DD" w14:textId="77777777" w:rsidTr="0003763F">
        <w:tc>
          <w:tcPr>
            <w:tcW w:w="4585" w:type="dxa"/>
            <w:gridSpan w:val="3"/>
            <w:shd w:val="clear" w:color="auto" w:fill="auto"/>
          </w:tcPr>
          <w:p w14:paraId="5EFBB69A" w14:textId="77777777" w:rsidR="00601D9B" w:rsidRDefault="000E53A0">
            <w:pPr>
              <w:spacing w:after="240"/>
              <w:jc w:val="right"/>
              <w:rPr>
                <w:rFonts w:asciiTheme="minorHAnsi" w:hAnsiTheme="minorHAnsi" w:cstheme="minorHAnsi"/>
                <w:sz w:val="18"/>
                <w:szCs w:val="18"/>
              </w:rPr>
            </w:pPr>
            <w:r w:rsidRPr="00185245">
              <w:rPr>
                <w:rFonts w:asciiTheme="minorHAnsi" w:hAnsiTheme="minorHAnsi" w:cstheme="minorHAnsi"/>
                <w:i/>
                <w:sz w:val="18"/>
                <w:szCs w:val="18"/>
              </w:rPr>
              <w:t>…</w:t>
            </w:r>
          </w:p>
        </w:tc>
        <w:tc>
          <w:tcPr>
            <w:tcW w:w="4770" w:type="dxa"/>
            <w:gridSpan w:val="3"/>
            <w:shd w:val="clear" w:color="auto" w:fill="auto"/>
          </w:tcPr>
          <w:p w14:paraId="79991A2B" w14:textId="77777777" w:rsidR="00601D9B" w:rsidRPr="000E53A0" w:rsidRDefault="000E53A0">
            <w:pPr>
              <w:spacing w:after="240"/>
              <w:rPr>
                <w:rFonts w:asciiTheme="minorHAnsi" w:hAnsiTheme="minorHAnsi" w:cstheme="minorHAnsi"/>
                <w:sz w:val="18"/>
                <w:szCs w:val="18"/>
                <w:lang w:val="fr-FR"/>
              </w:rPr>
            </w:pPr>
            <w:r w:rsidRPr="000E53A0">
              <w:rPr>
                <w:rFonts w:asciiTheme="minorHAnsi" w:hAnsiTheme="minorHAnsi" w:cstheme="minorHAnsi"/>
                <w:i/>
                <w:sz w:val="18"/>
                <w:szCs w:val="18"/>
                <w:highlight w:val="yellow"/>
                <w:lang w:val="fr-FR"/>
              </w:rPr>
              <w:t xml:space="preserve">... ajouter des lignes supplémentaires si nécessaire </w:t>
            </w:r>
          </w:p>
        </w:tc>
      </w:tr>
      <w:tr w:rsidR="0077088A" w:rsidRPr="00185245" w14:paraId="04D332E4" w14:textId="77777777" w:rsidTr="0003763F">
        <w:tc>
          <w:tcPr>
            <w:tcW w:w="4585" w:type="dxa"/>
            <w:gridSpan w:val="3"/>
            <w:shd w:val="clear" w:color="auto" w:fill="auto"/>
          </w:tcPr>
          <w:p w14:paraId="39789DD9" w14:textId="77777777" w:rsidR="00601D9B" w:rsidRPr="000E53A0" w:rsidRDefault="000E53A0">
            <w:pPr>
              <w:pStyle w:val="Paragraphedeliste"/>
              <w:numPr>
                <w:ilvl w:val="0"/>
                <w:numId w:val="6"/>
              </w:numPr>
              <w:spacing w:after="240"/>
              <w:jc w:val="right"/>
              <w:rPr>
                <w:rFonts w:asciiTheme="minorHAnsi" w:hAnsiTheme="minorHAnsi" w:cstheme="minorHAnsi"/>
                <w:b/>
                <w:sz w:val="18"/>
                <w:szCs w:val="18"/>
                <w:lang w:val="fr-FR"/>
              </w:rPr>
            </w:pPr>
            <w:r w:rsidRPr="000E53A0">
              <w:rPr>
                <w:rFonts w:asciiTheme="minorHAnsi" w:hAnsiTheme="minorHAnsi" w:cstheme="minorHAnsi"/>
                <w:b/>
                <w:sz w:val="18"/>
                <w:szCs w:val="18"/>
                <w:lang w:val="fr-FR"/>
              </w:rPr>
              <w:t xml:space="preserve">Budget </w:t>
            </w:r>
            <w:r w:rsidRPr="000E53A0">
              <w:rPr>
                <w:rFonts w:asciiTheme="minorHAnsi" w:hAnsiTheme="minorHAnsi" w:cstheme="minorHAnsi"/>
                <w:b/>
                <w:sz w:val="18"/>
                <w:szCs w:val="18"/>
                <w:lang w:val="fr-FR" w:eastAsia="zh-CN"/>
              </w:rPr>
              <w:t xml:space="preserve">total </w:t>
            </w:r>
            <w:r w:rsidRPr="000E53A0">
              <w:rPr>
                <w:rFonts w:asciiTheme="minorHAnsi" w:hAnsiTheme="minorHAnsi" w:cstheme="minorHAnsi"/>
                <w:b/>
                <w:sz w:val="18"/>
                <w:szCs w:val="18"/>
                <w:lang w:val="fr-FR"/>
              </w:rPr>
              <w:t xml:space="preserve">administré par le PNUD </w:t>
            </w:r>
          </w:p>
        </w:tc>
        <w:tc>
          <w:tcPr>
            <w:tcW w:w="4770" w:type="dxa"/>
            <w:gridSpan w:val="3"/>
            <w:shd w:val="clear" w:color="auto" w:fill="auto"/>
          </w:tcPr>
          <w:p w14:paraId="634C6533" w14:textId="77777777" w:rsidR="00601D9B" w:rsidRDefault="000E53A0">
            <w:pPr>
              <w:spacing w:after="240"/>
              <w:rPr>
                <w:rFonts w:asciiTheme="minorHAnsi" w:hAnsiTheme="minorHAnsi" w:cstheme="minorHAnsi"/>
                <w:b/>
                <w:sz w:val="18"/>
                <w:szCs w:val="18"/>
              </w:rPr>
            </w:pPr>
            <w:r w:rsidRPr="00185245">
              <w:rPr>
                <w:rFonts w:asciiTheme="minorHAnsi" w:hAnsiTheme="minorHAnsi" w:cstheme="minorHAnsi"/>
                <w:b/>
                <w:sz w:val="18"/>
                <w:szCs w:val="18"/>
              </w:rPr>
              <w:t>USD</w:t>
            </w:r>
          </w:p>
        </w:tc>
      </w:tr>
      <w:tr w:rsidR="0077088A" w:rsidRPr="000E53A0" w14:paraId="75AC9489" w14:textId="77777777" w:rsidTr="0003763F">
        <w:tc>
          <w:tcPr>
            <w:tcW w:w="9355" w:type="dxa"/>
            <w:gridSpan w:val="6"/>
            <w:shd w:val="clear" w:color="auto" w:fill="D9D9D9"/>
          </w:tcPr>
          <w:p w14:paraId="355414BE" w14:textId="77777777" w:rsidR="00601D9B" w:rsidRPr="000E53A0" w:rsidRDefault="000E53A0">
            <w:pPr>
              <w:rPr>
                <w:rFonts w:asciiTheme="minorHAnsi" w:hAnsiTheme="minorHAnsi" w:cstheme="minorHAnsi"/>
                <w:b/>
                <w:sz w:val="18"/>
                <w:szCs w:val="18"/>
                <w:lang w:val="fr-FR"/>
              </w:rPr>
            </w:pPr>
            <w:r w:rsidRPr="000E53A0">
              <w:rPr>
                <w:rFonts w:asciiTheme="minorHAnsi" w:hAnsiTheme="minorHAnsi" w:cstheme="minorHAnsi"/>
                <w:b/>
                <w:smallCaps/>
                <w:sz w:val="18"/>
                <w:szCs w:val="18"/>
                <w:lang w:val="fr-FR"/>
              </w:rPr>
              <w:t xml:space="preserve">cofinanciers qui fourniront les résultats du projet </w:t>
            </w:r>
            <w:r w:rsidR="007B693E" w:rsidRPr="000E53A0">
              <w:rPr>
                <w:rFonts w:asciiTheme="minorHAnsi" w:hAnsiTheme="minorHAnsi" w:cstheme="minorHAnsi"/>
                <w:b/>
                <w:smallCaps/>
                <w:sz w:val="18"/>
                <w:szCs w:val="18"/>
                <w:lang w:val="fr-FR"/>
              </w:rPr>
              <w:t xml:space="preserve">inclus dans le cadre des résultats du </w:t>
            </w:r>
            <w:r w:rsidR="008F09D5" w:rsidRPr="000E53A0">
              <w:rPr>
                <w:rFonts w:asciiTheme="minorHAnsi" w:hAnsiTheme="minorHAnsi" w:cstheme="minorHAnsi"/>
                <w:b/>
                <w:smallCaps/>
                <w:sz w:val="18"/>
                <w:szCs w:val="18"/>
                <w:lang w:val="fr-FR"/>
              </w:rPr>
              <w:t xml:space="preserve">projet </w:t>
            </w:r>
            <w:r w:rsidR="00763EFB" w:rsidRPr="000E53A0">
              <w:rPr>
                <w:rFonts w:asciiTheme="minorHAnsi" w:hAnsiTheme="minorHAnsi" w:cstheme="minorHAnsi"/>
                <w:b/>
                <w:smallCaps/>
                <w:sz w:val="18"/>
                <w:szCs w:val="18"/>
                <w:lang w:val="fr-FR"/>
              </w:rPr>
              <w:t xml:space="preserve">(Fonds non administrés par les comptes du pnud) </w:t>
            </w:r>
          </w:p>
        </w:tc>
      </w:tr>
      <w:tr w:rsidR="0077088A" w:rsidRPr="00185245" w14:paraId="4654FF94" w14:textId="77777777" w:rsidTr="0003763F">
        <w:trPr>
          <w:trHeight w:val="323"/>
        </w:trPr>
        <w:tc>
          <w:tcPr>
            <w:tcW w:w="4585" w:type="dxa"/>
            <w:gridSpan w:val="3"/>
            <w:shd w:val="clear" w:color="auto" w:fill="auto"/>
          </w:tcPr>
          <w:p w14:paraId="78CB51F7" w14:textId="77777777" w:rsidR="00601D9B" w:rsidRPr="000E53A0" w:rsidRDefault="000E53A0">
            <w:pPr>
              <w:spacing w:after="240"/>
              <w:jc w:val="right"/>
              <w:rPr>
                <w:rFonts w:asciiTheme="minorHAnsi" w:hAnsiTheme="minorHAnsi" w:cstheme="minorHAnsi"/>
                <w:i/>
                <w:sz w:val="18"/>
                <w:szCs w:val="18"/>
                <w:lang w:val="fr-FR"/>
              </w:rPr>
            </w:pPr>
            <w:r w:rsidRPr="000E53A0">
              <w:rPr>
                <w:rFonts w:asciiTheme="minorHAnsi" w:hAnsiTheme="minorHAnsi" w:cstheme="minorHAnsi"/>
                <w:i/>
                <w:sz w:val="18"/>
                <w:szCs w:val="18"/>
                <w:lang w:val="fr-FR"/>
              </w:rPr>
              <w:t xml:space="preserve">Par exemple, le </w:t>
            </w:r>
            <w:r w:rsidR="0077088A" w:rsidRPr="000E53A0">
              <w:rPr>
                <w:rFonts w:asciiTheme="minorHAnsi" w:hAnsiTheme="minorHAnsi" w:cstheme="minorHAnsi"/>
                <w:i/>
                <w:sz w:val="18"/>
                <w:szCs w:val="18"/>
                <w:lang w:val="fr-FR"/>
              </w:rPr>
              <w:t xml:space="preserve">gouvernement </w:t>
            </w:r>
            <w:r w:rsidRPr="000E53A0">
              <w:rPr>
                <w:rFonts w:asciiTheme="minorHAnsi" w:hAnsiTheme="minorHAnsi" w:cstheme="minorHAnsi"/>
                <w:i/>
                <w:sz w:val="18"/>
                <w:szCs w:val="18"/>
                <w:lang w:val="fr-FR"/>
              </w:rPr>
              <w:t>Ministère de X</w:t>
            </w:r>
          </w:p>
        </w:tc>
        <w:tc>
          <w:tcPr>
            <w:tcW w:w="4770" w:type="dxa"/>
            <w:gridSpan w:val="3"/>
            <w:shd w:val="clear" w:color="auto" w:fill="auto"/>
          </w:tcPr>
          <w:p w14:paraId="2B1456DC" w14:textId="77777777" w:rsidR="00601D9B" w:rsidRDefault="000E53A0">
            <w:pPr>
              <w:spacing w:after="240"/>
              <w:rPr>
                <w:rFonts w:asciiTheme="minorHAnsi" w:hAnsiTheme="minorHAnsi" w:cstheme="minorHAnsi"/>
                <w:sz w:val="18"/>
                <w:szCs w:val="18"/>
              </w:rPr>
            </w:pPr>
            <w:r w:rsidRPr="00185245">
              <w:rPr>
                <w:rFonts w:asciiTheme="minorHAnsi" w:hAnsiTheme="minorHAnsi" w:cstheme="minorHAnsi"/>
                <w:sz w:val="18"/>
                <w:szCs w:val="18"/>
              </w:rPr>
              <w:t>USD</w:t>
            </w:r>
          </w:p>
        </w:tc>
      </w:tr>
      <w:tr w:rsidR="0077088A" w:rsidRPr="000E53A0" w14:paraId="037C369D" w14:textId="77777777" w:rsidTr="0003763F">
        <w:tc>
          <w:tcPr>
            <w:tcW w:w="4585" w:type="dxa"/>
            <w:gridSpan w:val="3"/>
            <w:shd w:val="clear" w:color="auto" w:fill="auto"/>
          </w:tcPr>
          <w:p w14:paraId="45DD9972" w14:textId="77777777" w:rsidR="00601D9B" w:rsidRDefault="000E53A0">
            <w:pPr>
              <w:spacing w:after="240"/>
              <w:jc w:val="right"/>
              <w:rPr>
                <w:rFonts w:asciiTheme="minorHAnsi" w:hAnsiTheme="minorHAnsi" w:cstheme="minorHAnsi"/>
                <w:i/>
                <w:sz w:val="18"/>
                <w:szCs w:val="18"/>
              </w:rPr>
            </w:pPr>
            <w:r w:rsidRPr="00185245">
              <w:rPr>
                <w:rFonts w:asciiTheme="minorHAnsi" w:hAnsiTheme="minorHAnsi" w:cstheme="minorHAnsi"/>
                <w:i/>
                <w:sz w:val="18"/>
                <w:szCs w:val="18"/>
              </w:rPr>
              <w:t>Nom du co-financier.</w:t>
            </w:r>
            <w:r w:rsidR="0077088A" w:rsidRPr="00185245">
              <w:rPr>
                <w:rFonts w:asciiTheme="minorHAnsi" w:hAnsiTheme="minorHAnsi" w:cstheme="minorHAnsi"/>
                <w:i/>
                <w:sz w:val="18"/>
                <w:szCs w:val="18"/>
              </w:rPr>
              <w:t>..</w:t>
            </w:r>
          </w:p>
        </w:tc>
        <w:tc>
          <w:tcPr>
            <w:tcW w:w="4770" w:type="dxa"/>
            <w:gridSpan w:val="3"/>
            <w:shd w:val="clear" w:color="auto" w:fill="auto"/>
          </w:tcPr>
          <w:p w14:paraId="61548B98" w14:textId="77777777" w:rsidR="00601D9B" w:rsidRPr="000E53A0" w:rsidRDefault="000E53A0">
            <w:pPr>
              <w:spacing w:after="240"/>
              <w:rPr>
                <w:rFonts w:asciiTheme="minorHAnsi" w:hAnsiTheme="minorHAnsi" w:cstheme="minorHAnsi"/>
                <w:i/>
                <w:sz w:val="18"/>
                <w:szCs w:val="18"/>
                <w:lang w:val="fr-FR"/>
              </w:rPr>
            </w:pPr>
            <w:r w:rsidRPr="000E53A0">
              <w:rPr>
                <w:rFonts w:asciiTheme="minorHAnsi" w:hAnsiTheme="minorHAnsi" w:cstheme="minorHAnsi"/>
                <w:i/>
                <w:sz w:val="18"/>
                <w:szCs w:val="18"/>
                <w:lang w:val="fr-FR"/>
              </w:rPr>
              <w:t>... ajouter des lignes supplémentaires si nécessaire</w:t>
            </w:r>
          </w:p>
        </w:tc>
      </w:tr>
      <w:tr w:rsidR="00B514C0" w:rsidRPr="00185245" w14:paraId="61BCE0ED" w14:textId="77777777" w:rsidTr="0003763F">
        <w:tc>
          <w:tcPr>
            <w:tcW w:w="4585" w:type="dxa"/>
            <w:gridSpan w:val="3"/>
            <w:shd w:val="clear" w:color="auto" w:fill="auto"/>
          </w:tcPr>
          <w:p w14:paraId="4F47EA32" w14:textId="77777777" w:rsidR="00601D9B" w:rsidRDefault="000E53A0">
            <w:pPr>
              <w:spacing w:after="240"/>
              <w:jc w:val="right"/>
              <w:rPr>
                <w:rFonts w:asciiTheme="minorHAnsi" w:hAnsiTheme="minorHAnsi" w:cstheme="minorHAnsi"/>
                <w:i/>
                <w:sz w:val="18"/>
                <w:szCs w:val="18"/>
              </w:rPr>
            </w:pPr>
            <w:r w:rsidRPr="00185245">
              <w:rPr>
                <w:rFonts w:asciiTheme="minorHAnsi" w:hAnsiTheme="minorHAnsi" w:cstheme="minorHAnsi"/>
                <w:i/>
                <w:sz w:val="18"/>
                <w:szCs w:val="18"/>
              </w:rPr>
              <w:t>PNUD</w:t>
            </w:r>
          </w:p>
        </w:tc>
        <w:tc>
          <w:tcPr>
            <w:tcW w:w="4770" w:type="dxa"/>
            <w:gridSpan w:val="3"/>
            <w:shd w:val="clear" w:color="auto" w:fill="auto"/>
          </w:tcPr>
          <w:p w14:paraId="14F04CBE" w14:textId="77777777" w:rsidR="00601D9B" w:rsidRDefault="000E53A0">
            <w:pPr>
              <w:spacing w:after="240"/>
              <w:rPr>
                <w:rFonts w:asciiTheme="minorHAnsi" w:hAnsiTheme="minorHAnsi" w:cstheme="minorHAnsi"/>
                <w:i/>
                <w:sz w:val="18"/>
                <w:szCs w:val="18"/>
              </w:rPr>
            </w:pPr>
            <w:r w:rsidRPr="00185245">
              <w:rPr>
                <w:rFonts w:asciiTheme="minorHAnsi" w:hAnsiTheme="minorHAnsi" w:cstheme="minorHAnsi"/>
                <w:i/>
                <w:sz w:val="18"/>
                <w:szCs w:val="18"/>
              </w:rPr>
              <w:t>USD</w:t>
            </w:r>
          </w:p>
        </w:tc>
      </w:tr>
      <w:tr w:rsidR="0077088A" w:rsidRPr="00185245" w14:paraId="302F4834" w14:textId="77777777" w:rsidTr="0003763F">
        <w:tc>
          <w:tcPr>
            <w:tcW w:w="4585" w:type="dxa"/>
            <w:gridSpan w:val="3"/>
            <w:shd w:val="clear" w:color="auto" w:fill="auto"/>
          </w:tcPr>
          <w:p w14:paraId="260DBE03" w14:textId="77777777" w:rsidR="00601D9B" w:rsidRDefault="000E53A0">
            <w:pPr>
              <w:pStyle w:val="Paragraphedeliste"/>
              <w:numPr>
                <w:ilvl w:val="0"/>
                <w:numId w:val="6"/>
              </w:numPr>
              <w:spacing w:after="240"/>
              <w:jc w:val="right"/>
              <w:rPr>
                <w:rFonts w:asciiTheme="minorHAnsi" w:hAnsiTheme="minorHAnsi" w:cstheme="minorHAnsi"/>
                <w:b/>
                <w:sz w:val="18"/>
                <w:szCs w:val="18"/>
              </w:rPr>
            </w:pPr>
            <w:r w:rsidRPr="00185245">
              <w:rPr>
                <w:rFonts w:asciiTheme="minorHAnsi" w:hAnsiTheme="minorHAnsi" w:cstheme="minorHAnsi"/>
                <w:b/>
                <w:sz w:val="18"/>
                <w:szCs w:val="18"/>
              </w:rPr>
              <w:t xml:space="preserve">Total du cofinancement </w:t>
            </w:r>
            <w:r w:rsidR="008800E4" w:rsidRPr="00185245">
              <w:rPr>
                <w:rFonts w:asciiTheme="minorHAnsi" w:hAnsiTheme="minorHAnsi" w:cstheme="minorHAnsi"/>
                <w:b/>
                <w:sz w:val="18"/>
                <w:szCs w:val="18"/>
              </w:rPr>
              <w:t>confirmé</w:t>
            </w:r>
          </w:p>
        </w:tc>
        <w:tc>
          <w:tcPr>
            <w:tcW w:w="4770" w:type="dxa"/>
            <w:gridSpan w:val="3"/>
            <w:shd w:val="clear" w:color="auto" w:fill="auto"/>
          </w:tcPr>
          <w:p w14:paraId="783F51BA" w14:textId="77777777" w:rsidR="00601D9B" w:rsidRDefault="000E53A0">
            <w:pPr>
              <w:spacing w:after="240"/>
              <w:rPr>
                <w:rFonts w:asciiTheme="minorHAnsi" w:hAnsiTheme="minorHAnsi" w:cstheme="minorHAnsi"/>
                <w:b/>
                <w:sz w:val="18"/>
                <w:szCs w:val="18"/>
              </w:rPr>
            </w:pPr>
            <w:r w:rsidRPr="00185245">
              <w:rPr>
                <w:rFonts w:asciiTheme="minorHAnsi" w:hAnsiTheme="minorHAnsi" w:cstheme="minorHAnsi"/>
                <w:b/>
                <w:sz w:val="18"/>
                <w:szCs w:val="18"/>
              </w:rPr>
              <w:t>USD</w:t>
            </w:r>
          </w:p>
        </w:tc>
      </w:tr>
      <w:tr w:rsidR="0077088A" w:rsidRPr="00185245" w14:paraId="5DA422E1" w14:textId="77777777" w:rsidTr="0003763F">
        <w:tc>
          <w:tcPr>
            <w:tcW w:w="4585" w:type="dxa"/>
            <w:gridSpan w:val="3"/>
            <w:shd w:val="clear" w:color="auto" w:fill="auto"/>
          </w:tcPr>
          <w:p w14:paraId="20F1C1A4" w14:textId="77777777" w:rsidR="00601D9B" w:rsidRDefault="000E53A0">
            <w:pPr>
              <w:pStyle w:val="Paragraphedeliste"/>
              <w:numPr>
                <w:ilvl w:val="0"/>
                <w:numId w:val="6"/>
              </w:numPr>
              <w:spacing w:after="240"/>
              <w:jc w:val="right"/>
              <w:rPr>
                <w:rFonts w:asciiTheme="minorHAnsi" w:hAnsiTheme="minorHAnsi" w:cstheme="minorHAnsi"/>
                <w:b/>
                <w:sz w:val="18"/>
                <w:szCs w:val="18"/>
              </w:rPr>
            </w:pPr>
            <w:r w:rsidRPr="00185245">
              <w:rPr>
                <w:rFonts w:asciiTheme="minorHAnsi" w:hAnsiTheme="minorHAnsi" w:cstheme="minorHAnsi"/>
                <w:b/>
                <w:sz w:val="18"/>
                <w:szCs w:val="18"/>
                <w:lang w:eastAsia="zh-CN"/>
              </w:rPr>
              <w:t xml:space="preserve">Financement total du </w:t>
            </w:r>
            <w:r w:rsidRPr="00185245">
              <w:rPr>
                <w:rFonts w:asciiTheme="minorHAnsi" w:hAnsiTheme="minorHAnsi" w:cstheme="minorHAnsi"/>
                <w:b/>
                <w:sz w:val="18"/>
                <w:szCs w:val="18"/>
              </w:rPr>
              <w:t xml:space="preserve">projet </w:t>
            </w:r>
            <w:r w:rsidRPr="00185245">
              <w:rPr>
                <w:rFonts w:asciiTheme="minorHAnsi" w:hAnsiTheme="minorHAnsi" w:cstheme="minorHAnsi"/>
                <w:b/>
                <w:sz w:val="18"/>
                <w:szCs w:val="18"/>
                <w:lang w:eastAsia="zh-CN"/>
              </w:rPr>
              <w:t>(1)+(2)</w:t>
            </w:r>
          </w:p>
        </w:tc>
        <w:tc>
          <w:tcPr>
            <w:tcW w:w="4770" w:type="dxa"/>
            <w:gridSpan w:val="3"/>
            <w:shd w:val="clear" w:color="auto" w:fill="auto"/>
          </w:tcPr>
          <w:p w14:paraId="759E86BE" w14:textId="77777777" w:rsidR="00601D9B" w:rsidRDefault="000E53A0">
            <w:pPr>
              <w:spacing w:after="240"/>
              <w:rPr>
                <w:rFonts w:asciiTheme="minorHAnsi" w:hAnsiTheme="minorHAnsi" w:cstheme="minorHAnsi"/>
                <w:b/>
                <w:sz w:val="18"/>
                <w:szCs w:val="18"/>
              </w:rPr>
            </w:pPr>
            <w:r w:rsidRPr="00185245">
              <w:rPr>
                <w:rFonts w:asciiTheme="minorHAnsi" w:hAnsiTheme="minorHAnsi" w:cstheme="minorHAnsi"/>
                <w:b/>
                <w:sz w:val="18"/>
                <w:szCs w:val="18"/>
              </w:rPr>
              <w:t>USD</w:t>
            </w:r>
          </w:p>
        </w:tc>
      </w:tr>
      <w:tr w:rsidR="0077088A" w:rsidRPr="000E53A0" w14:paraId="24D18DDD" w14:textId="77777777" w:rsidTr="0003763F">
        <w:tc>
          <w:tcPr>
            <w:tcW w:w="9355" w:type="dxa"/>
            <w:gridSpan w:val="6"/>
            <w:shd w:val="clear" w:color="auto" w:fill="BFBFBF"/>
          </w:tcPr>
          <w:p w14:paraId="7CDAF551" w14:textId="77777777" w:rsidR="00601D9B" w:rsidRDefault="000E53A0">
            <w:pPr>
              <w:spacing w:after="240"/>
              <w:rPr>
                <w:rFonts w:asciiTheme="minorHAnsi" w:hAnsiTheme="minorHAnsi" w:cstheme="minorHAnsi"/>
                <w:b/>
                <w:smallCaps/>
                <w:sz w:val="18"/>
                <w:szCs w:val="18"/>
              </w:rPr>
            </w:pPr>
            <w:r w:rsidRPr="00185245">
              <w:rPr>
                <w:rFonts w:asciiTheme="minorHAnsi" w:hAnsiTheme="minorHAnsi" w:cstheme="minorHAnsi"/>
                <w:b/>
                <w:smallCaps/>
                <w:sz w:val="18"/>
                <w:szCs w:val="18"/>
              </w:rPr>
              <w:t xml:space="preserve">Signatures : </w:t>
            </w:r>
          </w:p>
          <w:p w14:paraId="77020D9F" w14:textId="77777777" w:rsidR="00601D9B" w:rsidRPr="000E53A0" w:rsidRDefault="000E53A0">
            <w:pPr>
              <w:spacing w:after="240"/>
              <w:rPr>
                <w:rFonts w:asciiTheme="minorHAnsi" w:hAnsiTheme="minorHAnsi" w:cstheme="minorHAnsi"/>
                <w:b/>
                <w:smallCaps/>
                <w:sz w:val="18"/>
                <w:szCs w:val="18"/>
                <w:lang w:val="fr-FR"/>
              </w:rPr>
            </w:pPr>
            <w:r w:rsidRPr="000E53A0">
              <w:rPr>
                <w:rFonts w:asciiTheme="minorHAnsi" w:hAnsiTheme="minorHAnsi" w:cstheme="minorHAnsi"/>
                <w:b/>
                <w:smallCaps/>
                <w:sz w:val="18"/>
                <w:szCs w:val="18"/>
                <w:lang w:val="fr-FR"/>
              </w:rPr>
              <w:t>Note : Si le document de projet est en français ou en espagnol, le document de projet final doit être approuvé par l'ATR avant signature.</w:t>
            </w:r>
          </w:p>
        </w:tc>
      </w:tr>
      <w:tr w:rsidR="0077088A" w:rsidRPr="000E53A0" w14:paraId="2484C121" w14:textId="77777777" w:rsidTr="0003763F">
        <w:tc>
          <w:tcPr>
            <w:tcW w:w="4135" w:type="dxa"/>
            <w:gridSpan w:val="2"/>
            <w:shd w:val="clear" w:color="auto" w:fill="auto"/>
          </w:tcPr>
          <w:p w14:paraId="163C2FEE" w14:textId="77777777" w:rsidR="00601D9B" w:rsidRPr="000E53A0" w:rsidRDefault="000E53A0">
            <w:pPr>
              <w:spacing w:after="240"/>
              <w:rPr>
                <w:rFonts w:asciiTheme="minorHAnsi" w:hAnsiTheme="minorHAnsi" w:cstheme="minorHAnsi"/>
                <w:sz w:val="18"/>
                <w:szCs w:val="18"/>
                <w:lang w:val="fr-FR"/>
              </w:rPr>
            </w:pPr>
            <w:r w:rsidRPr="000E53A0">
              <w:rPr>
                <w:rFonts w:asciiTheme="minorHAnsi" w:hAnsiTheme="minorHAnsi" w:cstheme="minorHAnsi"/>
                <w:b/>
                <w:sz w:val="18"/>
                <w:szCs w:val="18"/>
                <w:lang w:val="fr-FR"/>
              </w:rPr>
              <w:t xml:space="preserve">Signature : </w:t>
            </w:r>
            <w:r w:rsidR="00A21F3D" w:rsidRPr="000E53A0">
              <w:rPr>
                <w:rFonts w:asciiTheme="minorHAnsi" w:hAnsiTheme="minorHAnsi" w:cstheme="minorHAnsi"/>
                <w:sz w:val="18"/>
                <w:szCs w:val="18"/>
                <w:lang w:val="fr-FR"/>
              </w:rPr>
              <w:t>nom en caractères d'imprimerie ci-dessous</w:t>
            </w:r>
          </w:p>
          <w:p w14:paraId="1E076C5E" w14:textId="77777777" w:rsidR="00A21F3D" w:rsidRPr="000E53A0" w:rsidRDefault="00A21F3D" w:rsidP="0003763F">
            <w:pPr>
              <w:spacing w:after="240"/>
              <w:rPr>
                <w:rFonts w:asciiTheme="minorHAnsi" w:hAnsiTheme="minorHAnsi" w:cstheme="minorHAnsi"/>
                <w:b/>
                <w:sz w:val="18"/>
                <w:szCs w:val="18"/>
                <w:lang w:val="fr-FR"/>
              </w:rPr>
            </w:pPr>
          </w:p>
        </w:tc>
        <w:tc>
          <w:tcPr>
            <w:tcW w:w="1620" w:type="dxa"/>
            <w:gridSpan w:val="2"/>
            <w:shd w:val="clear" w:color="auto" w:fill="auto"/>
          </w:tcPr>
          <w:p w14:paraId="1DD520C0" w14:textId="77777777" w:rsidR="00601D9B" w:rsidRPr="000E53A0" w:rsidRDefault="000E53A0">
            <w:pPr>
              <w:spacing w:after="240"/>
              <w:rPr>
                <w:rFonts w:asciiTheme="minorHAnsi" w:hAnsiTheme="minorHAnsi" w:cstheme="minorHAnsi"/>
                <w:b/>
                <w:sz w:val="18"/>
                <w:szCs w:val="18"/>
                <w:lang w:val="fr-FR"/>
              </w:rPr>
            </w:pPr>
            <w:r w:rsidRPr="000E53A0">
              <w:rPr>
                <w:rFonts w:asciiTheme="minorHAnsi" w:hAnsiTheme="minorHAnsi" w:cstheme="minorHAnsi"/>
                <w:b/>
                <w:sz w:val="18"/>
                <w:szCs w:val="18"/>
                <w:lang w:val="fr-FR"/>
              </w:rPr>
              <w:lastRenderedPageBreak/>
              <w:t>Approuvé par l'</w:t>
            </w:r>
            <w:r w:rsidR="00AE5AB1" w:rsidRPr="000E53A0">
              <w:rPr>
                <w:rFonts w:asciiTheme="minorHAnsi" w:hAnsiTheme="minorHAnsi" w:cstheme="minorHAnsi"/>
                <w:b/>
                <w:sz w:val="18"/>
                <w:szCs w:val="18"/>
                <w:lang w:val="fr-FR"/>
              </w:rPr>
              <w:t xml:space="preserve">autorité </w:t>
            </w:r>
            <w:r w:rsidRPr="000E53A0">
              <w:rPr>
                <w:rFonts w:asciiTheme="minorHAnsi" w:hAnsiTheme="minorHAnsi" w:cstheme="minorHAnsi"/>
                <w:b/>
                <w:sz w:val="18"/>
                <w:szCs w:val="18"/>
                <w:lang w:val="fr-FR"/>
              </w:rPr>
              <w:t xml:space="preserve">gouvernementale </w:t>
            </w:r>
            <w:r w:rsidR="00AE5AB1" w:rsidRPr="000E53A0">
              <w:rPr>
                <w:rFonts w:asciiTheme="minorHAnsi" w:hAnsiTheme="minorHAnsi" w:cstheme="minorHAnsi"/>
                <w:b/>
                <w:sz w:val="18"/>
                <w:szCs w:val="18"/>
                <w:lang w:val="fr-FR"/>
              </w:rPr>
              <w:lastRenderedPageBreak/>
              <w:t xml:space="preserve">de coordination du développement </w:t>
            </w:r>
            <w:bookmarkStart w:id="1" w:name="_Ref13661626"/>
            <w:r w:rsidR="001F4E51" w:rsidRPr="00185245">
              <w:rPr>
                <w:rStyle w:val="Appelnotedebasdep"/>
                <w:rFonts w:asciiTheme="minorHAnsi" w:hAnsiTheme="minorHAnsi" w:cstheme="minorHAnsi"/>
                <w:b/>
                <w:szCs w:val="18"/>
              </w:rPr>
              <w:footnoteReference w:id="5"/>
            </w:r>
            <w:bookmarkEnd w:id="1"/>
          </w:p>
        </w:tc>
        <w:tc>
          <w:tcPr>
            <w:tcW w:w="3600" w:type="dxa"/>
            <w:gridSpan w:val="2"/>
            <w:shd w:val="clear" w:color="auto" w:fill="auto"/>
          </w:tcPr>
          <w:p w14:paraId="14562DFC" w14:textId="77777777" w:rsidR="00601D9B" w:rsidRPr="000E53A0" w:rsidRDefault="001E152F">
            <w:pPr>
              <w:spacing w:after="240"/>
              <w:rPr>
                <w:rFonts w:asciiTheme="minorHAnsi" w:hAnsiTheme="minorHAnsi" w:cstheme="minorHAnsi"/>
                <w:b/>
                <w:i/>
                <w:sz w:val="18"/>
                <w:szCs w:val="18"/>
                <w:lang w:val="fr-FR"/>
              </w:rPr>
            </w:pPr>
            <w:r w:rsidRPr="000E53A0">
              <w:rPr>
                <w:rFonts w:asciiTheme="minorHAnsi" w:hAnsiTheme="minorHAnsi" w:cstheme="minorHAnsi"/>
                <w:b/>
                <w:sz w:val="18"/>
                <w:szCs w:val="18"/>
                <w:lang w:val="fr-FR"/>
              </w:rPr>
              <w:lastRenderedPageBreak/>
              <w:t xml:space="preserve">Date/mois/année </w:t>
            </w:r>
            <w:r w:rsidR="000E53A0" w:rsidRPr="000E53A0">
              <w:rPr>
                <w:rFonts w:asciiTheme="minorHAnsi" w:hAnsiTheme="minorHAnsi" w:cstheme="minorHAnsi"/>
                <w:b/>
                <w:sz w:val="18"/>
                <w:szCs w:val="18"/>
                <w:lang w:val="fr-FR"/>
              </w:rPr>
              <w:t xml:space="preserve">: </w:t>
            </w:r>
            <w:r w:rsidR="00964803" w:rsidRPr="000E53A0">
              <w:rPr>
                <w:rFonts w:asciiTheme="minorHAnsi" w:hAnsiTheme="minorHAnsi" w:cstheme="minorHAnsi"/>
                <w:i/>
                <w:sz w:val="18"/>
                <w:szCs w:val="18"/>
                <w:lang w:val="fr-FR"/>
              </w:rPr>
              <w:t>dans les 25 jours suivant l'approbation par la DG du FEM</w:t>
            </w:r>
          </w:p>
          <w:p w14:paraId="492ED3EB" w14:textId="77777777" w:rsidR="0077088A" w:rsidRPr="000E53A0" w:rsidRDefault="0077088A" w:rsidP="0003763F">
            <w:pPr>
              <w:spacing w:after="240"/>
              <w:rPr>
                <w:rFonts w:asciiTheme="minorHAnsi" w:hAnsiTheme="minorHAnsi" w:cstheme="minorHAnsi"/>
                <w:sz w:val="18"/>
                <w:szCs w:val="18"/>
                <w:lang w:val="fr-FR"/>
              </w:rPr>
            </w:pPr>
          </w:p>
        </w:tc>
      </w:tr>
      <w:tr w:rsidR="0077088A" w:rsidRPr="000E53A0" w14:paraId="052837E7" w14:textId="77777777" w:rsidTr="0003763F">
        <w:tc>
          <w:tcPr>
            <w:tcW w:w="4135" w:type="dxa"/>
            <w:gridSpan w:val="2"/>
            <w:shd w:val="clear" w:color="auto" w:fill="auto"/>
          </w:tcPr>
          <w:p w14:paraId="13F1D1E7" w14:textId="77777777" w:rsidR="00601D9B" w:rsidRPr="000E53A0" w:rsidRDefault="000E53A0">
            <w:pPr>
              <w:spacing w:after="240"/>
              <w:rPr>
                <w:rFonts w:asciiTheme="minorHAnsi" w:hAnsiTheme="minorHAnsi" w:cstheme="minorHAnsi"/>
                <w:sz w:val="18"/>
                <w:szCs w:val="18"/>
                <w:lang w:val="fr-FR"/>
              </w:rPr>
            </w:pPr>
            <w:r w:rsidRPr="000E53A0">
              <w:rPr>
                <w:rFonts w:asciiTheme="minorHAnsi" w:hAnsiTheme="minorHAnsi" w:cstheme="minorHAnsi"/>
                <w:b/>
                <w:sz w:val="18"/>
                <w:szCs w:val="18"/>
                <w:lang w:val="fr-FR"/>
              </w:rPr>
              <w:lastRenderedPageBreak/>
              <w:t xml:space="preserve">Signature : </w:t>
            </w:r>
            <w:r w:rsidR="00A21F3D" w:rsidRPr="000E53A0">
              <w:rPr>
                <w:rFonts w:asciiTheme="minorHAnsi" w:hAnsiTheme="minorHAnsi" w:cstheme="minorHAnsi"/>
                <w:sz w:val="18"/>
                <w:szCs w:val="18"/>
                <w:lang w:val="fr-FR"/>
              </w:rPr>
              <w:t>nom en caractères d'imprimerie ci-dessous</w:t>
            </w:r>
          </w:p>
          <w:p w14:paraId="3F0E4643" w14:textId="77777777" w:rsidR="0077088A" w:rsidRPr="000E53A0" w:rsidRDefault="0077088A" w:rsidP="0003763F">
            <w:pPr>
              <w:spacing w:after="240"/>
              <w:rPr>
                <w:rFonts w:asciiTheme="minorHAnsi" w:hAnsiTheme="minorHAnsi" w:cstheme="minorHAnsi"/>
                <w:b/>
                <w:sz w:val="18"/>
                <w:szCs w:val="18"/>
                <w:lang w:val="fr-FR"/>
              </w:rPr>
            </w:pPr>
          </w:p>
        </w:tc>
        <w:tc>
          <w:tcPr>
            <w:tcW w:w="1620" w:type="dxa"/>
            <w:gridSpan w:val="2"/>
            <w:shd w:val="clear" w:color="auto" w:fill="auto"/>
          </w:tcPr>
          <w:p w14:paraId="21AA4CC9" w14:textId="77777777" w:rsidR="00601D9B" w:rsidRPr="000E53A0" w:rsidRDefault="000E53A0">
            <w:pPr>
              <w:spacing w:after="240"/>
              <w:rPr>
                <w:rFonts w:asciiTheme="minorHAnsi" w:hAnsiTheme="minorHAnsi" w:cstheme="minorHAnsi"/>
                <w:b/>
                <w:sz w:val="18"/>
                <w:szCs w:val="18"/>
                <w:lang w:val="fr-FR"/>
              </w:rPr>
            </w:pPr>
            <w:r w:rsidRPr="000E53A0">
              <w:rPr>
                <w:rFonts w:asciiTheme="minorHAnsi" w:hAnsiTheme="minorHAnsi" w:cstheme="minorHAnsi"/>
                <w:b/>
                <w:sz w:val="18"/>
                <w:szCs w:val="18"/>
                <w:lang w:val="fr-FR"/>
              </w:rPr>
              <w:t xml:space="preserve">Accepté par le partenaire de mise en œuvre </w:t>
            </w:r>
            <w:r w:rsidR="00664BAE" w:rsidRPr="00185245">
              <w:rPr>
                <w:rStyle w:val="Appelnotedebasdep"/>
                <w:rFonts w:asciiTheme="minorHAnsi" w:hAnsiTheme="minorHAnsi" w:cstheme="minorHAnsi"/>
                <w:b/>
                <w:szCs w:val="18"/>
              </w:rPr>
              <w:footnoteReference w:id="6"/>
            </w:r>
          </w:p>
        </w:tc>
        <w:tc>
          <w:tcPr>
            <w:tcW w:w="3600" w:type="dxa"/>
            <w:gridSpan w:val="2"/>
            <w:shd w:val="clear" w:color="auto" w:fill="auto"/>
          </w:tcPr>
          <w:p w14:paraId="1D5089B2" w14:textId="77777777" w:rsidR="00601D9B" w:rsidRPr="000E53A0" w:rsidRDefault="000E53A0">
            <w:pPr>
              <w:spacing w:after="240"/>
              <w:rPr>
                <w:rFonts w:asciiTheme="minorHAnsi" w:hAnsiTheme="minorHAnsi" w:cstheme="minorHAnsi"/>
                <w:b/>
                <w:i/>
                <w:sz w:val="18"/>
                <w:szCs w:val="18"/>
                <w:lang w:val="fr-FR"/>
              </w:rPr>
            </w:pPr>
            <w:r w:rsidRPr="000E53A0">
              <w:rPr>
                <w:rFonts w:asciiTheme="minorHAnsi" w:hAnsiTheme="minorHAnsi" w:cstheme="minorHAnsi"/>
                <w:b/>
                <w:sz w:val="18"/>
                <w:szCs w:val="18"/>
                <w:lang w:val="fr-FR"/>
              </w:rPr>
              <w:t xml:space="preserve">Date/mois/année : </w:t>
            </w:r>
            <w:r w:rsidR="00964803" w:rsidRPr="000E53A0">
              <w:rPr>
                <w:rFonts w:asciiTheme="minorHAnsi" w:hAnsiTheme="minorHAnsi" w:cstheme="minorHAnsi"/>
                <w:i/>
                <w:sz w:val="18"/>
                <w:szCs w:val="18"/>
                <w:lang w:val="fr-FR"/>
              </w:rPr>
              <w:t>dans les 25 jours suivant l'approbation par la DG du FEM</w:t>
            </w:r>
          </w:p>
          <w:p w14:paraId="35BF40DD" w14:textId="77777777" w:rsidR="0077088A" w:rsidRPr="000E53A0" w:rsidRDefault="0077088A" w:rsidP="0003763F">
            <w:pPr>
              <w:spacing w:after="240"/>
              <w:rPr>
                <w:rFonts w:asciiTheme="minorHAnsi" w:hAnsiTheme="minorHAnsi" w:cstheme="minorHAnsi"/>
                <w:b/>
                <w:sz w:val="18"/>
                <w:szCs w:val="18"/>
                <w:lang w:val="fr-FR"/>
              </w:rPr>
            </w:pPr>
          </w:p>
        </w:tc>
      </w:tr>
      <w:tr w:rsidR="0077088A" w:rsidRPr="000E53A0" w14:paraId="75E975B0" w14:textId="77777777" w:rsidTr="0003763F">
        <w:tc>
          <w:tcPr>
            <w:tcW w:w="4135" w:type="dxa"/>
            <w:gridSpan w:val="2"/>
            <w:shd w:val="clear" w:color="auto" w:fill="auto"/>
          </w:tcPr>
          <w:p w14:paraId="72F555AF" w14:textId="77777777" w:rsidR="00601D9B" w:rsidRPr="000E53A0" w:rsidRDefault="000E53A0">
            <w:pPr>
              <w:spacing w:after="240"/>
              <w:rPr>
                <w:rFonts w:asciiTheme="minorHAnsi" w:hAnsiTheme="minorHAnsi" w:cstheme="minorHAnsi"/>
                <w:sz w:val="18"/>
                <w:szCs w:val="18"/>
                <w:lang w:val="fr-FR"/>
              </w:rPr>
            </w:pPr>
            <w:r w:rsidRPr="000E53A0">
              <w:rPr>
                <w:rFonts w:asciiTheme="minorHAnsi" w:hAnsiTheme="minorHAnsi" w:cstheme="minorHAnsi"/>
                <w:b/>
                <w:sz w:val="18"/>
                <w:szCs w:val="18"/>
                <w:lang w:val="fr-FR"/>
              </w:rPr>
              <w:t xml:space="preserve">Signature : </w:t>
            </w:r>
            <w:r w:rsidR="00A21F3D" w:rsidRPr="000E53A0">
              <w:rPr>
                <w:rFonts w:asciiTheme="minorHAnsi" w:hAnsiTheme="minorHAnsi" w:cstheme="minorHAnsi"/>
                <w:sz w:val="18"/>
                <w:szCs w:val="18"/>
                <w:lang w:val="fr-FR"/>
              </w:rPr>
              <w:t>nom en caractères d'imprimerie ci-dessous</w:t>
            </w:r>
          </w:p>
          <w:p w14:paraId="48E50054" w14:textId="77777777" w:rsidR="0077088A" w:rsidRPr="000E53A0" w:rsidRDefault="0077088A" w:rsidP="0003763F">
            <w:pPr>
              <w:spacing w:after="240"/>
              <w:rPr>
                <w:rFonts w:asciiTheme="minorHAnsi" w:hAnsiTheme="minorHAnsi" w:cstheme="minorHAnsi"/>
                <w:b/>
                <w:sz w:val="18"/>
                <w:szCs w:val="18"/>
                <w:lang w:val="fr-FR"/>
              </w:rPr>
            </w:pPr>
          </w:p>
        </w:tc>
        <w:tc>
          <w:tcPr>
            <w:tcW w:w="1620" w:type="dxa"/>
            <w:gridSpan w:val="2"/>
            <w:shd w:val="clear" w:color="auto" w:fill="auto"/>
          </w:tcPr>
          <w:p w14:paraId="144A63C5" w14:textId="77777777" w:rsidR="00601D9B" w:rsidRDefault="000E53A0">
            <w:pPr>
              <w:spacing w:after="240"/>
              <w:rPr>
                <w:rFonts w:asciiTheme="minorHAnsi" w:hAnsiTheme="minorHAnsi" w:cstheme="minorHAnsi"/>
                <w:b/>
                <w:sz w:val="18"/>
                <w:szCs w:val="18"/>
              </w:rPr>
            </w:pPr>
            <w:r w:rsidRPr="00185245">
              <w:rPr>
                <w:rFonts w:asciiTheme="minorHAnsi" w:hAnsiTheme="minorHAnsi" w:cstheme="minorHAnsi"/>
                <w:b/>
                <w:sz w:val="18"/>
                <w:szCs w:val="18"/>
              </w:rPr>
              <w:t xml:space="preserve">Accepté par le PNUD </w:t>
            </w:r>
            <w:r w:rsidR="00E66842" w:rsidRPr="00185245">
              <w:rPr>
                <w:rStyle w:val="Appelnotedebasdep"/>
                <w:rFonts w:asciiTheme="minorHAnsi" w:hAnsiTheme="minorHAnsi" w:cstheme="minorHAnsi"/>
                <w:b/>
                <w:szCs w:val="18"/>
              </w:rPr>
              <w:footnoteReference w:id="7"/>
            </w:r>
          </w:p>
        </w:tc>
        <w:tc>
          <w:tcPr>
            <w:tcW w:w="3600" w:type="dxa"/>
            <w:gridSpan w:val="2"/>
            <w:shd w:val="clear" w:color="auto" w:fill="auto"/>
          </w:tcPr>
          <w:p w14:paraId="04E23A76" w14:textId="77777777" w:rsidR="00601D9B" w:rsidRPr="000E53A0" w:rsidRDefault="000E53A0">
            <w:pPr>
              <w:spacing w:after="240"/>
              <w:rPr>
                <w:rFonts w:asciiTheme="minorHAnsi" w:hAnsiTheme="minorHAnsi" w:cstheme="minorHAnsi"/>
                <w:b/>
                <w:sz w:val="18"/>
                <w:szCs w:val="18"/>
                <w:lang w:val="fr-FR"/>
              </w:rPr>
            </w:pPr>
            <w:r w:rsidRPr="000E53A0">
              <w:rPr>
                <w:rFonts w:asciiTheme="minorHAnsi" w:hAnsiTheme="minorHAnsi" w:cstheme="minorHAnsi"/>
                <w:b/>
                <w:sz w:val="18"/>
                <w:szCs w:val="18"/>
                <w:lang w:val="fr-FR"/>
              </w:rPr>
              <w:t xml:space="preserve">Date/mois/année : </w:t>
            </w:r>
            <w:r w:rsidR="00964803" w:rsidRPr="000E53A0">
              <w:rPr>
                <w:rFonts w:asciiTheme="minorHAnsi" w:hAnsiTheme="minorHAnsi" w:cstheme="minorHAnsi"/>
                <w:i/>
                <w:sz w:val="18"/>
                <w:szCs w:val="18"/>
                <w:lang w:val="fr-FR"/>
              </w:rPr>
              <w:t>dans les 25 jours suivant l'approbation par la DG du FEM</w:t>
            </w:r>
          </w:p>
        </w:tc>
      </w:tr>
      <w:tr w:rsidR="00A6167C" w:rsidRPr="000E53A0" w14:paraId="612A37FF" w14:textId="77777777" w:rsidTr="008702EE">
        <w:tc>
          <w:tcPr>
            <w:tcW w:w="9355" w:type="dxa"/>
            <w:gridSpan w:val="6"/>
            <w:shd w:val="clear" w:color="auto" w:fill="auto"/>
          </w:tcPr>
          <w:p w14:paraId="1854E351" w14:textId="77777777" w:rsidR="00601D9B" w:rsidRPr="000E53A0" w:rsidRDefault="000E53A0">
            <w:pPr>
              <w:rPr>
                <w:rFonts w:asciiTheme="minorHAnsi" w:hAnsiTheme="minorHAnsi" w:cstheme="minorHAnsi"/>
                <w:b/>
                <w:sz w:val="18"/>
                <w:szCs w:val="18"/>
                <w:lang w:val="fr-FR"/>
              </w:rPr>
            </w:pPr>
            <w:r w:rsidRPr="000E53A0">
              <w:rPr>
                <w:rFonts w:asciiTheme="minorHAnsi" w:hAnsiTheme="minorHAnsi" w:cstheme="minorHAnsi"/>
                <w:b/>
                <w:sz w:val="18"/>
                <w:szCs w:val="18"/>
                <w:lang w:val="fr-FR"/>
              </w:rPr>
              <w:t xml:space="preserve">Principaux jalons du </w:t>
            </w:r>
            <w:r w:rsidR="00CF3824" w:rsidRPr="000E53A0">
              <w:rPr>
                <w:rFonts w:asciiTheme="minorHAnsi" w:hAnsiTheme="minorHAnsi" w:cstheme="minorHAnsi"/>
                <w:b/>
                <w:sz w:val="18"/>
                <w:szCs w:val="18"/>
                <w:lang w:val="fr-FR"/>
              </w:rPr>
              <w:t xml:space="preserve">cycle de projet du </w:t>
            </w:r>
            <w:r w:rsidRPr="000E53A0">
              <w:rPr>
                <w:rFonts w:asciiTheme="minorHAnsi" w:hAnsiTheme="minorHAnsi" w:cstheme="minorHAnsi"/>
                <w:b/>
                <w:sz w:val="18"/>
                <w:szCs w:val="18"/>
                <w:lang w:val="fr-FR"/>
              </w:rPr>
              <w:t>FEM :</w:t>
            </w:r>
          </w:p>
          <w:p w14:paraId="0BA15001" w14:textId="77777777" w:rsidR="00A6167C" w:rsidRPr="000E53A0" w:rsidRDefault="00A6167C" w:rsidP="00A6167C">
            <w:pPr>
              <w:rPr>
                <w:rFonts w:asciiTheme="minorHAnsi" w:hAnsiTheme="minorHAnsi" w:cstheme="minorHAnsi"/>
                <w:b/>
                <w:sz w:val="18"/>
                <w:szCs w:val="18"/>
                <w:lang w:val="fr-FR"/>
              </w:rPr>
            </w:pPr>
          </w:p>
          <w:p w14:paraId="4686E4F8" w14:textId="77777777" w:rsidR="00601D9B" w:rsidRPr="000E53A0" w:rsidRDefault="000E53A0">
            <w:pPr>
              <w:rPr>
                <w:rFonts w:asciiTheme="minorHAnsi" w:hAnsiTheme="minorHAnsi" w:cstheme="minorHAnsi"/>
                <w:sz w:val="18"/>
                <w:szCs w:val="18"/>
                <w:lang w:val="fr-FR"/>
              </w:rPr>
            </w:pPr>
            <w:r w:rsidRPr="000E53A0">
              <w:rPr>
                <w:rFonts w:asciiTheme="minorHAnsi" w:hAnsiTheme="minorHAnsi" w:cstheme="minorHAnsi"/>
                <w:b/>
                <w:sz w:val="18"/>
                <w:szCs w:val="18"/>
                <w:lang w:val="fr-FR"/>
              </w:rPr>
              <w:t xml:space="preserve">Signature du document de projet </w:t>
            </w:r>
            <w:r w:rsidRPr="000E53A0">
              <w:rPr>
                <w:rFonts w:asciiTheme="minorHAnsi" w:hAnsiTheme="minorHAnsi" w:cstheme="minorHAnsi"/>
                <w:sz w:val="18"/>
                <w:szCs w:val="18"/>
                <w:lang w:val="fr-FR"/>
              </w:rPr>
              <w:t>: dans les 25 jours suivant l'approbation de la DG du FEM.</w:t>
            </w:r>
          </w:p>
          <w:p w14:paraId="400AD72F" w14:textId="77777777" w:rsidR="00601D9B" w:rsidRPr="000E53A0" w:rsidRDefault="000E53A0">
            <w:pPr>
              <w:rPr>
                <w:rFonts w:asciiTheme="minorHAnsi" w:hAnsiTheme="minorHAnsi" w:cstheme="minorHAnsi"/>
                <w:sz w:val="18"/>
                <w:szCs w:val="18"/>
                <w:lang w:val="fr-FR"/>
              </w:rPr>
            </w:pPr>
            <w:r w:rsidRPr="000E53A0">
              <w:rPr>
                <w:rFonts w:asciiTheme="minorHAnsi" w:hAnsiTheme="minorHAnsi" w:cstheme="minorHAnsi"/>
                <w:b/>
                <w:sz w:val="18"/>
                <w:szCs w:val="18"/>
                <w:lang w:val="fr-FR"/>
              </w:rPr>
              <w:t xml:space="preserve">Date du premier décaissement </w:t>
            </w:r>
            <w:r w:rsidRPr="000E53A0">
              <w:rPr>
                <w:rFonts w:asciiTheme="minorHAnsi" w:hAnsiTheme="minorHAnsi" w:cstheme="minorHAnsi"/>
                <w:sz w:val="18"/>
                <w:szCs w:val="18"/>
                <w:lang w:val="fr-FR"/>
              </w:rPr>
              <w:t>: dans les 40 jours suivant l'approbation de la DG du FEM.</w:t>
            </w:r>
          </w:p>
          <w:p w14:paraId="7AEDFEC9" w14:textId="77777777" w:rsidR="00601D9B" w:rsidRPr="000E53A0" w:rsidRDefault="000E53A0">
            <w:pPr>
              <w:rPr>
                <w:rFonts w:asciiTheme="minorHAnsi" w:hAnsiTheme="minorHAnsi" w:cstheme="minorHAnsi"/>
                <w:sz w:val="18"/>
                <w:szCs w:val="18"/>
                <w:lang w:val="fr-FR"/>
              </w:rPr>
            </w:pPr>
            <w:r w:rsidRPr="000E53A0">
              <w:rPr>
                <w:rFonts w:asciiTheme="minorHAnsi" w:hAnsiTheme="minorHAnsi" w:cstheme="minorHAnsi"/>
                <w:b/>
                <w:sz w:val="18"/>
                <w:szCs w:val="18"/>
                <w:lang w:val="fr-FR"/>
              </w:rPr>
              <w:t xml:space="preserve">Date de l'atelier de lancement </w:t>
            </w:r>
            <w:r w:rsidRPr="000E53A0">
              <w:rPr>
                <w:rFonts w:asciiTheme="minorHAnsi" w:hAnsiTheme="minorHAnsi" w:cstheme="minorHAnsi"/>
                <w:sz w:val="18"/>
                <w:szCs w:val="18"/>
                <w:lang w:val="fr-FR"/>
              </w:rPr>
              <w:t>: dans les 60 jours suivant l'approbation de la DG du FEM.</w:t>
            </w:r>
          </w:p>
          <w:p w14:paraId="1754679F" w14:textId="77777777" w:rsidR="00601D9B" w:rsidRPr="000E53A0" w:rsidRDefault="000E53A0">
            <w:pPr>
              <w:rPr>
                <w:rFonts w:asciiTheme="minorHAnsi" w:hAnsiTheme="minorHAnsi" w:cstheme="minorHAnsi"/>
                <w:b/>
                <w:sz w:val="18"/>
                <w:szCs w:val="18"/>
                <w:lang w:val="fr-FR"/>
              </w:rPr>
            </w:pPr>
            <w:r w:rsidRPr="000E53A0">
              <w:rPr>
                <w:rFonts w:asciiTheme="minorHAnsi" w:hAnsiTheme="minorHAnsi" w:cstheme="minorHAnsi"/>
                <w:b/>
                <w:sz w:val="18"/>
                <w:szCs w:val="18"/>
                <w:lang w:val="fr-FR"/>
              </w:rPr>
              <w:t xml:space="preserve">Clôture opérationnelle : </w:t>
            </w:r>
            <w:r w:rsidRPr="000E53A0">
              <w:rPr>
                <w:rFonts w:asciiTheme="minorHAnsi" w:hAnsiTheme="minorHAnsi" w:cstheme="minorHAnsi"/>
                <w:sz w:val="18"/>
                <w:szCs w:val="18"/>
                <w:lang w:val="fr-FR"/>
              </w:rPr>
              <w:t>dans les 3 mois suivant l'affectation de l'équipe technique à l'ERC du PNUD.</w:t>
            </w:r>
          </w:p>
          <w:p w14:paraId="1C180951" w14:textId="77777777" w:rsidR="00601D9B" w:rsidRPr="000E53A0" w:rsidRDefault="000E53A0">
            <w:pPr>
              <w:rPr>
                <w:rFonts w:asciiTheme="minorHAnsi" w:hAnsiTheme="minorHAnsi" w:cstheme="minorHAnsi"/>
                <w:b/>
                <w:sz w:val="18"/>
                <w:szCs w:val="18"/>
                <w:lang w:val="fr-FR"/>
              </w:rPr>
            </w:pPr>
            <w:r w:rsidRPr="000E53A0">
              <w:rPr>
                <w:rFonts w:asciiTheme="minorHAnsi" w:hAnsiTheme="minorHAnsi" w:cstheme="minorHAnsi"/>
                <w:b/>
                <w:sz w:val="18"/>
                <w:szCs w:val="18"/>
                <w:lang w:val="fr-FR"/>
              </w:rPr>
              <w:t xml:space="preserve">Clôture financière : </w:t>
            </w:r>
            <w:r w:rsidRPr="000E53A0">
              <w:rPr>
                <w:rFonts w:asciiTheme="minorHAnsi" w:hAnsiTheme="minorHAnsi" w:cstheme="minorHAnsi"/>
                <w:sz w:val="18"/>
                <w:szCs w:val="18"/>
                <w:lang w:val="fr-FR"/>
              </w:rPr>
              <w:t>dans les 6 mois suivant la clôture opérationnelle</w:t>
            </w:r>
          </w:p>
        </w:tc>
      </w:tr>
    </w:tbl>
    <w:p w14:paraId="2BB32E18" w14:textId="77777777" w:rsidR="008968AE" w:rsidRPr="000E53A0" w:rsidRDefault="008968AE" w:rsidP="00235AE4">
      <w:pPr>
        <w:spacing w:after="240"/>
        <w:rPr>
          <w:rFonts w:cs="Arial"/>
          <w:b/>
          <w:szCs w:val="20"/>
          <w:lang w:val="fr-FR"/>
        </w:rPr>
      </w:pPr>
    </w:p>
    <w:p w14:paraId="13FC1D3F" w14:textId="77777777" w:rsidR="00645A9F" w:rsidRPr="000E53A0" w:rsidRDefault="00645A9F">
      <w:pPr>
        <w:rPr>
          <w:rFonts w:cs="Arial"/>
          <w:b/>
          <w:szCs w:val="20"/>
          <w:lang w:val="fr-FR"/>
        </w:rPr>
      </w:pPr>
    </w:p>
    <w:p w14:paraId="49FABB26" w14:textId="77777777" w:rsidR="008968AE" w:rsidRPr="000E53A0" w:rsidRDefault="008968AE">
      <w:pPr>
        <w:rPr>
          <w:rFonts w:cs="Arial"/>
          <w:szCs w:val="20"/>
          <w:lang w:val="fr-FR"/>
        </w:rPr>
      </w:pPr>
      <w:r w:rsidRPr="000E53A0">
        <w:rPr>
          <w:rFonts w:cs="Arial"/>
          <w:szCs w:val="20"/>
          <w:lang w:val="fr-FR"/>
        </w:rPr>
        <w:br w:type="page"/>
      </w:r>
    </w:p>
    <w:p w14:paraId="32EA82AA" w14:textId="77777777" w:rsidR="00601D9B" w:rsidRDefault="000E53A0">
      <w:pPr>
        <w:pStyle w:val="Titre1"/>
      </w:pPr>
      <w:bookmarkStart w:id="2" w:name="_Toc10117702"/>
      <w:bookmarkStart w:id="3" w:name="_Toc10449632"/>
      <w:bookmarkStart w:id="4" w:name="_Toc46749076"/>
      <w:r w:rsidRPr="00901804">
        <w:lastRenderedPageBreak/>
        <w:t xml:space="preserve">Table des matières </w:t>
      </w:r>
      <w:bookmarkEnd w:id="2"/>
      <w:bookmarkEnd w:id="3"/>
      <w:bookmarkEnd w:id="4"/>
    </w:p>
    <w:p w14:paraId="69A36FC6" w14:textId="77777777" w:rsidR="00601D9B" w:rsidRDefault="00D64EA4">
      <w:pPr>
        <w:pStyle w:val="TM1"/>
        <w:rPr>
          <w:rFonts w:asciiTheme="minorHAnsi" w:eastAsiaTheme="minorEastAsia" w:hAnsiTheme="minorHAnsi" w:cstheme="minorHAnsi"/>
          <w:noProof/>
          <w:sz w:val="20"/>
          <w:szCs w:val="20"/>
        </w:rPr>
      </w:pPr>
      <w:r w:rsidRPr="00A34C62">
        <w:rPr>
          <w:rFonts w:asciiTheme="minorHAnsi" w:hAnsiTheme="minorHAnsi" w:cstheme="minorHAnsi"/>
          <w:sz w:val="20"/>
          <w:szCs w:val="20"/>
        </w:rPr>
        <w:fldChar w:fldCharType="begin"/>
      </w:r>
      <w:r w:rsidR="000E53A0" w:rsidRPr="00A34C62">
        <w:rPr>
          <w:rFonts w:asciiTheme="minorHAnsi" w:hAnsiTheme="minorHAnsi" w:cstheme="minorHAnsi"/>
          <w:sz w:val="20"/>
          <w:szCs w:val="20"/>
        </w:rPr>
        <w:instrText xml:space="preserve"> TOC \o "1-3" \h \z \u </w:instrText>
      </w:r>
      <w:r w:rsidRPr="00A34C62">
        <w:rPr>
          <w:rFonts w:asciiTheme="minorHAnsi" w:hAnsiTheme="minorHAnsi" w:cstheme="minorHAnsi"/>
          <w:sz w:val="20"/>
          <w:szCs w:val="20"/>
        </w:rPr>
        <w:fldChar w:fldCharType="separate"/>
      </w:r>
      <w:hyperlink w:anchor="_Toc46749076" w:history="1">
        <w:r w:rsidR="006D590B" w:rsidRPr="00A34C62">
          <w:rPr>
            <w:rStyle w:val="Lienhypertexte"/>
            <w:rFonts w:asciiTheme="minorHAnsi" w:hAnsiTheme="minorHAnsi" w:cstheme="minorHAnsi"/>
            <w:noProof/>
            <w:sz w:val="20"/>
            <w:szCs w:val="20"/>
          </w:rPr>
          <w:t>I.</w:t>
        </w:r>
        <w:r w:rsidR="006D590B" w:rsidRPr="00A34C62">
          <w:rPr>
            <w:rFonts w:asciiTheme="minorHAnsi" w:eastAsiaTheme="minorEastAsia" w:hAnsiTheme="minorHAnsi" w:cstheme="minorHAnsi"/>
            <w:noProof/>
            <w:sz w:val="20"/>
            <w:szCs w:val="20"/>
          </w:rPr>
          <w:tab/>
        </w:r>
        <w:r w:rsidR="006D590B" w:rsidRPr="00A34C62">
          <w:rPr>
            <w:rStyle w:val="Lienhypertexte"/>
            <w:rFonts w:asciiTheme="minorHAnsi" w:hAnsiTheme="minorHAnsi" w:cstheme="minorHAnsi"/>
            <w:noProof/>
            <w:sz w:val="20"/>
            <w:szCs w:val="20"/>
          </w:rPr>
          <w:t>Table des matières</w:t>
        </w:r>
        <w:r w:rsidR="006D590B" w:rsidRPr="00A34C62">
          <w:rPr>
            <w:rFonts w:asciiTheme="minorHAnsi" w:hAnsiTheme="minorHAnsi" w:cstheme="minorHAnsi"/>
            <w:noProof/>
            <w:webHidden/>
            <w:sz w:val="20"/>
            <w:szCs w:val="20"/>
          </w:rPr>
          <w:tab/>
        </w:r>
        <w:r w:rsidR="006D590B" w:rsidRPr="00A34C62">
          <w:rPr>
            <w:rFonts w:asciiTheme="minorHAnsi" w:hAnsiTheme="minorHAnsi" w:cstheme="minorHAnsi"/>
            <w:noProof/>
            <w:webHidden/>
            <w:sz w:val="20"/>
            <w:szCs w:val="20"/>
          </w:rPr>
          <w:fldChar w:fldCharType="begin"/>
        </w:r>
        <w:r w:rsidR="006D590B" w:rsidRPr="00A34C62">
          <w:rPr>
            <w:rFonts w:asciiTheme="minorHAnsi" w:hAnsiTheme="minorHAnsi" w:cstheme="minorHAnsi"/>
            <w:noProof/>
            <w:webHidden/>
            <w:sz w:val="20"/>
            <w:szCs w:val="20"/>
          </w:rPr>
          <w:instrText xml:space="preserve"> PAGEREF _Toc46749076 \h </w:instrText>
        </w:r>
        <w:r w:rsidR="006D590B" w:rsidRPr="00A34C62">
          <w:rPr>
            <w:rFonts w:asciiTheme="minorHAnsi" w:hAnsiTheme="minorHAnsi" w:cstheme="minorHAnsi"/>
            <w:noProof/>
            <w:webHidden/>
            <w:sz w:val="20"/>
            <w:szCs w:val="20"/>
          </w:rPr>
        </w:r>
        <w:r w:rsidR="006D590B" w:rsidRPr="00A34C62">
          <w:rPr>
            <w:rFonts w:asciiTheme="minorHAnsi" w:hAnsiTheme="minorHAnsi" w:cstheme="minorHAnsi"/>
            <w:noProof/>
            <w:webHidden/>
            <w:sz w:val="20"/>
            <w:szCs w:val="20"/>
          </w:rPr>
          <w:fldChar w:fldCharType="end"/>
        </w:r>
      </w:hyperlink>
    </w:p>
    <w:p w14:paraId="3E03EBBA" w14:textId="77777777" w:rsidR="00601D9B" w:rsidRDefault="00B330C0">
      <w:pPr>
        <w:pStyle w:val="TM1"/>
        <w:rPr>
          <w:rFonts w:asciiTheme="minorHAnsi" w:eastAsiaTheme="minorEastAsia" w:hAnsiTheme="minorHAnsi" w:cstheme="minorHAnsi"/>
          <w:noProof/>
          <w:sz w:val="20"/>
          <w:szCs w:val="20"/>
        </w:rPr>
      </w:pPr>
      <w:hyperlink w:anchor="_Toc46749077" w:history="1">
        <w:r w:rsidR="006D590B" w:rsidRPr="00A34C62">
          <w:rPr>
            <w:rStyle w:val="Lienhypertexte"/>
            <w:rFonts w:asciiTheme="minorHAnsi" w:hAnsiTheme="minorHAnsi" w:cstheme="minorHAnsi"/>
            <w:noProof/>
            <w:sz w:val="20"/>
            <w:szCs w:val="20"/>
          </w:rPr>
          <w:t>II.</w:t>
        </w:r>
        <w:r w:rsidR="006D590B" w:rsidRPr="00A34C62">
          <w:rPr>
            <w:rFonts w:asciiTheme="minorHAnsi" w:eastAsiaTheme="minorEastAsia" w:hAnsiTheme="minorHAnsi" w:cstheme="minorHAnsi"/>
            <w:noProof/>
            <w:sz w:val="20"/>
            <w:szCs w:val="20"/>
          </w:rPr>
          <w:tab/>
        </w:r>
        <w:r w:rsidR="006D590B" w:rsidRPr="00A34C62">
          <w:rPr>
            <w:rStyle w:val="Lienhypertexte"/>
            <w:rFonts w:asciiTheme="minorHAnsi" w:hAnsiTheme="minorHAnsi" w:cstheme="minorHAnsi"/>
            <w:noProof/>
            <w:sz w:val="20"/>
            <w:szCs w:val="20"/>
          </w:rPr>
          <w:t>Le défi du développement</w:t>
        </w:r>
        <w:r w:rsidR="006D590B" w:rsidRPr="00A34C62">
          <w:rPr>
            <w:rFonts w:asciiTheme="minorHAnsi" w:hAnsiTheme="minorHAnsi" w:cstheme="minorHAnsi"/>
            <w:noProof/>
            <w:webHidden/>
            <w:sz w:val="20"/>
            <w:szCs w:val="20"/>
          </w:rPr>
          <w:tab/>
        </w:r>
        <w:r w:rsidR="006D590B" w:rsidRPr="00A34C62">
          <w:rPr>
            <w:rFonts w:asciiTheme="minorHAnsi" w:hAnsiTheme="minorHAnsi" w:cstheme="minorHAnsi"/>
            <w:noProof/>
            <w:webHidden/>
            <w:sz w:val="20"/>
            <w:szCs w:val="20"/>
          </w:rPr>
          <w:fldChar w:fldCharType="begin"/>
        </w:r>
        <w:r w:rsidR="006D590B" w:rsidRPr="00A34C62">
          <w:rPr>
            <w:rFonts w:asciiTheme="minorHAnsi" w:hAnsiTheme="minorHAnsi" w:cstheme="minorHAnsi"/>
            <w:noProof/>
            <w:webHidden/>
            <w:sz w:val="20"/>
            <w:szCs w:val="20"/>
          </w:rPr>
          <w:instrText xml:space="preserve"> PAGEREF _Toc46749077 \h </w:instrText>
        </w:r>
        <w:r w:rsidR="006D590B" w:rsidRPr="00A34C62">
          <w:rPr>
            <w:rFonts w:asciiTheme="minorHAnsi" w:hAnsiTheme="minorHAnsi" w:cstheme="minorHAnsi"/>
            <w:noProof/>
            <w:webHidden/>
            <w:sz w:val="20"/>
            <w:szCs w:val="20"/>
          </w:rPr>
        </w:r>
        <w:r w:rsidR="006D590B" w:rsidRPr="00A34C62">
          <w:rPr>
            <w:rFonts w:asciiTheme="minorHAnsi" w:hAnsiTheme="minorHAnsi" w:cstheme="minorHAnsi"/>
            <w:noProof/>
            <w:webHidden/>
            <w:sz w:val="20"/>
            <w:szCs w:val="20"/>
          </w:rPr>
          <w:fldChar w:fldCharType="end"/>
        </w:r>
      </w:hyperlink>
    </w:p>
    <w:p w14:paraId="37770E85" w14:textId="77777777" w:rsidR="00601D9B" w:rsidRDefault="00B330C0">
      <w:pPr>
        <w:pStyle w:val="TM1"/>
        <w:rPr>
          <w:rFonts w:asciiTheme="minorHAnsi" w:eastAsiaTheme="minorEastAsia" w:hAnsiTheme="minorHAnsi" w:cstheme="minorHAnsi"/>
          <w:noProof/>
          <w:sz w:val="20"/>
          <w:szCs w:val="20"/>
        </w:rPr>
      </w:pPr>
      <w:hyperlink w:anchor="_Toc46749078" w:history="1">
        <w:r w:rsidR="006D590B" w:rsidRPr="00A34C62">
          <w:rPr>
            <w:rStyle w:val="Lienhypertexte"/>
            <w:rFonts w:asciiTheme="minorHAnsi" w:hAnsiTheme="minorHAnsi" w:cstheme="minorHAnsi"/>
            <w:noProof/>
            <w:sz w:val="20"/>
            <w:szCs w:val="20"/>
          </w:rPr>
          <w:t>III.</w:t>
        </w:r>
        <w:r w:rsidR="006D590B" w:rsidRPr="00A34C62">
          <w:rPr>
            <w:rFonts w:asciiTheme="minorHAnsi" w:eastAsiaTheme="minorEastAsia" w:hAnsiTheme="minorHAnsi" w:cstheme="minorHAnsi"/>
            <w:noProof/>
            <w:sz w:val="20"/>
            <w:szCs w:val="20"/>
          </w:rPr>
          <w:tab/>
        </w:r>
        <w:r w:rsidR="006D590B" w:rsidRPr="00A34C62">
          <w:rPr>
            <w:rStyle w:val="Lienhypertexte"/>
            <w:rFonts w:asciiTheme="minorHAnsi" w:hAnsiTheme="minorHAnsi" w:cstheme="minorHAnsi"/>
            <w:noProof/>
            <w:sz w:val="20"/>
            <w:szCs w:val="20"/>
          </w:rPr>
          <w:t>Stratégie</w:t>
        </w:r>
        <w:r w:rsidR="006D590B" w:rsidRPr="00A34C62">
          <w:rPr>
            <w:rFonts w:asciiTheme="minorHAnsi" w:hAnsiTheme="minorHAnsi" w:cstheme="minorHAnsi"/>
            <w:noProof/>
            <w:webHidden/>
            <w:sz w:val="20"/>
            <w:szCs w:val="20"/>
          </w:rPr>
          <w:tab/>
        </w:r>
        <w:r w:rsidR="006D590B" w:rsidRPr="00A34C62">
          <w:rPr>
            <w:rFonts w:asciiTheme="minorHAnsi" w:hAnsiTheme="minorHAnsi" w:cstheme="minorHAnsi"/>
            <w:noProof/>
            <w:webHidden/>
            <w:sz w:val="20"/>
            <w:szCs w:val="20"/>
          </w:rPr>
          <w:fldChar w:fldCharType="begin"/>
        </w:r>
        <w:r w:rsidR="006D590B" w:rsidRPr="00A34C62">
          <w:rPr>
            <w:rFonts w:asciiTheme="minorHAnsi" w:hAnsiTheme="minorHAnsi" w:cstheme="minorHAnsi"/>
            <w:noProof/>
            <w:webHidden/>
            <w:sz w:val="20"/>
            <w:szCs w:val="20"/>
          </w:rPr>
          <w:instrText xml:space="preserve"> PAGEREF _Toc46749078 \h </w:instrText>
        </w:r>
        <w:r w:rsidR="006D590B" w:rsidRPr="00A34C62">
          <w:rPr>
            <w:rFonts w:asciiTheme="minorHAnsi" w:hAnsiTheme="minorHAnsi" w:cstheme="minorHAnsi"/>
            <w:noProof/>
            <w:webHidden/>
            <w:sz w:val="20"/>
            <w:szCs w:val="20"/>
          </w:rPr>
        </w:r>
        <w:r w:rsidR="006D590B" w:rsidRPr="00A34C62">
          <w:rPr>
            <w:rFonts w:asciiTheme="minorHAnsi" w:hAnsiTheme="minorHAnsi" w:cstheme="minorHAnsi"/>
            <w:noProof/>
            <w:webHidden/>
            <w:sz w:val="20"/>
            <w:szCs w:val="20"/>
          </w:rPr>
          <w:fldChar w:fldCharType="separate"/>
        </w:r>
        <w:r w:rsidR="00107491">
          <w:rPr>
            <w:rFonts w:asciiTheme="minorHAnsi" w:hAnsiTheme="minorHAnsi" w:cstheme="minorHAnsi"/>
            <w:noProof/>
            <w:webHidden/>
            <w:sz w:val="20"/>
            <w:szCs w:val="20"/>
          </w:rPr>
          <w:t xml:space="preserve">20 </w:t>
        </w:r>
        <w:r w:rsidR="006D590B" w:rsidRPr="00A34C62">
          <w:rPr>
            <w:rFonts w:asciiTheme="minorHAnsi" w:hAnsiTheme="minorHAnsi" w:cstheme="minorHAnsi"/>
            <w:noProof/>
            <w:webHidden/>
            <w:sz w:val="20"/>
            <w:szCs w:val="20"/>
          </w:rPr>
          <w:fldChar w:fldCharType="end"/>
        </w:r>
      </w:hyperlink>
    </w:p>
    <w:p w14:paraId="6D74D6E3" w14:textId="77777777" w:rsidR="00601D9B" w:rsidRDefault="00B330C0">
      <w:pPr>
        <w:pStyle w:val="TM1"/>
        <w:rPr>
          <w:rFonts w:asciiTheme="minorHAnsi" w:eastAsiaTheme="minorEastAsia" w:hAnsiTheme="minorHAnsi" w:cstheme="minorHAnsi"/>
          <w:noProof/>
          <w:sz w:val="20"/>
          <w:szCs w:val="20"/>
        </w:rPr>
      </w:pPr>
      <w:hyperlink w:anchor="_Toc46749079" w:history="1">
        <w:r w:rsidR="006D590B" w:rsidRPr="00A34C62">
          <w:rPr>
            <w:rStyle w:val="Lienhypertexte"/>
            <w:rFonts w:asciiTheme="minorHAnsi" w:hAnsiTheme="minorHAnsi" w:cstheme="minorHAnsi"/>
            <w:noProof/>
            <w:sz w:val="20"/>
            <w:szCs w:val="20"/>
          </w:rPr>
          <w:t>IV.</w:t>
        </w:r>
        <w:r w:rsidR="006D590B" w:rsidRPr="00A34C62">
          <w:rPr>
            <w:rFonts w:asciiTheme="minorHAnsi" w:eastAsiaTheme="minorEastAsia" w:hAnsiTheme="minorHAnsi" w:cstheme="minorHAnsi"/>
            <w:noProof/>
            <w:sz w:val="20"/>
            <w:szCs w:val="20"/>
          </w:rPr>
          <w:tab/>
        </w:r>
        <w:r w:rsidR="006D590B" w:rsidRPr="00A34C62">
          <w:rPr>
            <w:rStyle w:val="Lienhypertexte"/>
            <w:rFonts w:asciiTheme="minorHAnsi" w:hAnsiTheme="minorHAnsi" w:cstheme="minorHAnsi"/>
            <w:noProof/>
            <w:sz w:val="20"/>
            <w:szCs w:val="20"/>
          </w:rPr>
          <w:t>Résultats et partenariats</w:t>
        </w:r>
        <w:r w:rsidR="006D590B" w:rsidRPr="00A34C62">
          <w:rPr>
            <w:rFonts w:asciiTheme="minorHAnsi" w:hAnsiTheme="minorHAnsi" w:cstheme="minorHAnsi"/>
            <w:noProof/>
            <w:webHidden/>
            <w:sz w:val="20"/>
            <w:szCs w:val="20"/>
          </w:rPr>
          <w:tab/>
        </w:r>
        <w:r w:rsidR="006D590B" w:rsidRPr="00A34C62">
          <w:rPr>
            <w:rFonts w:asciiTheme="minorHAnsi" w:hAnsiTheme="minorHAnsi" w:cstheme="minorHAnsi"/>
            <w:noProof/>
            <w:webHidden/>
            <w:sz w:val="20"/>
            <w:szCs w:val="20"/>
          </w:rPr>
          <w:fldChar w:fldCharType="begin"/>
        </w:r>
        <w:r w:rsidR="006D590B" w:rsidRPr="00A34C62">
          <w:rPr>
            <w:rFonts w:asciiTheme="minorHAnsi" w:hAnsiTheme="minorHAnsi" w:cstheme="minorHAnsi"/>
            <w:noProof/>
            <w:webHidden/>
            <w:sz w:val="20"/>
            <w:szCs w:val="20"/>
          </w:rPr>
          <w:instrText xml:space="preserve"> PAGEREF _Toc46749079 \h </w:instrText>
        </w:r>
        <w:r w:rsidR="006D590B" w:rsidRPr="00A34C62">
          <w:rPr>
            <w:rFonts w:asciiTheme="minorHAnsi" w:hAnsiTheme="minorHAnsi" w:cstheme="minorHAnsi"/>
            <w:noProof/>
            <w:webHidden/>
            <w:sz w:val="20"/>
            <w:szCs w:val="20"/>
          </w:rPr>
        </w:r>
        <w:r w:rsidR="006D590B" w:rsidRPr="00A34C62">
          <w:rPr>
            <w:rFonts w:asciiTheme="minorHAnsi" w:hAnsiTheme="minorHAnsi" w:cstheme="minorHAnsi"/>
            <w:noProof/>
            <w:webHidden/>
            <w:sz w:val="20"/>
            <w:szCs w:val="20"/>
          </w:rPr>
          <w:fldChar w:fldCharType="separate"/>
        </w:r>
        <w:r w:rsidR="00107491">
          <w:rPr>
            <w:rFonts w:asciiTheme="minorHAnsi" w:hAnsiTheme="minorHAnsi" w:cstheme="minorHAnsi"/>
            <w:noProof/>
            <w:webHidden/>
            <w:sz w:val="20"/>
            <w:szCs w:val="20"/>
          </w:rPr>
          <w:t xml:space="preserve">31 </w:t>
        </w:r>
        <w:r w:rsidR="006D590B" w:rsidRPr="00A34C62">
          <w:rPr>
            <w:rFonts w:asciiTheme="minorHAnsi" w:hAnsiTheme="minorHAnsi" w:cstheme="minorHAnsi"/>
            <w:noProof/>
            <w:webHidden/>
            <w:sz w:val="20"/>
            <w:szCs w:val="20"/>
          </w:rPr>
          <w:fldChar w:fldCharType="end"/>
        </w:r>
      </w:hyperlink>
    </w:p>
    <w:p w14:paraId="3664A2C0" w14:textId="77777777" w:rsidR="00601D9B" w:rsidRDefault="00B330C0">
      <w:pPr>
        <w:pStyle w:val="TM1"/>
        <w:rPr>
          <w:rFonts w:asciiTheme="minorHAnsi" w:eastAsiaTheme="minorEastAsia" w:hAnsiTheme="minorHAnsi" w:cstheme="minorHAnsi"/>
          <w:noProof/>
          <w:sz w:val="20"/>
          <w:szCs w:val="20"/>
        </w:rPr>
      </w:pPr>
      <w:hyperlink w:anchor="_Toc46749080" w:history="1">
        <w:r w:rsidR="006D590B" w:rsidRPr="00A34C62">
          <w:rPr>
            <w:rStyle w:val="Lienhypertexte"/>
            <w:rFonts w:asciiTheme="minorHAnsi" w:hAnsiTheme="minorHAnsi" w:cstheme="minorHAnsi"/>
            <w:noProof/>
            <w:sz w:val="20"/>
            <w:szCs w:val="20"/>
          </w:rPr>
          <w:t>V.</w:t>
        </w:r>
        <w:r w:rsidR="006D590B" w:rsidRPr="00A34C62">
          <w:rPr>
            <w:rFonts w:asciiTheme="minorHAnsi" w:eastAsiaTheme="minorEastAsia" w:hAnsiTheme="minorHAnsi" w:cstheme="minorHAnsi"/>
            <w:noProof/>
            <w:sz w:val="20"/>
            <w:szCs w:val="20"/>
          </w:rPr>
          <w:tab/>
        </w:r>
        <w:r w:rsidR="006D590B" w:rsidRPr="00A34C62">
          <w:rPr>
            <w:rStyle w:val="Lienhypertexte"/>
            <w:rFonts w:asciiTheme="minorHAnsi" w:hAnsiTheme="minorHAnsi" w:cstheme="minorHAnsi"/>
            <w:noProof/>
            <w:sz w:val="20"/>
            <w:szCs w:val="20"/>
          </w:rPr>
          <w:t>Cadre des résultats du projet</w:t>
        </w:r>
        <w:r w:rsidR="006D590B" w:rsidRPr="00A34C62">
          <w:rPr>
            <w:rFonts w:asciiTheme="minorHAnsi" w:hAnsiTheme="minorHAnsi" w:cstheme="minorHAnsi"/>
            <w:noProof/>
            <w:webHidden/>
            <w:sz w:val="20"/>
            <w:szCs w:val="20"/>
          </w:rPr>
          <w:tab/>
        </w:r>
        <w:r w:rsidR="006D590B" w:rsidRPr="00A34C62">
          <w:rPr>
            <w:rFonts w:asciiTheme="minorHAnsi" w:hAnsiTheme="minorHAnsi" w:cstheme="minorHAnsi"/>
            <w:noProof/>
            <w:webHidden/>
            <w:sz w:val="20"/>
            <w:szCs w:val="20"/>
          </w:rPr>
          <w:fldChar w:fldCharType="begin"/>
        </w:r>
        <w:r w:rsidR="006D590B" w:rsidRPr="00A34C62">
          <w:rPr>
            <w:rFonts w:asciiTheme="minorHAnsi" w:hAnsiTheme="minorHAnsi" w:cstheme="minorHAnsi"/>
            <w:noProof/>
            <w:webHidden/>
            <w:sz w:val="20"/>
            <w:szCs w:val="20"/>
          </w:rPr>
          <w:instrText xml:space="preserve"> PAGEREF _Toc46749080 \h </w:instrText>
        </w:r>
        <w:r w:rsidR="006D590B" w:rsidRPr="00A34C62">
          <w:rPr>
            <w:rFonts w:asciiTheme="minorHAnsi" w:hAnsiTheme="minorHAnsi" w:cstheme="minorHAnsi"/>
            <w:noProof/>
            <w:webHidden/>
            <w:sz w:val="20"/>
            <w:szCs w:val="20"/>
          </w:rPr>
        </w:r>
        <w:r w:rsidR="006D590B" w:rsidRPr="00A34C62">
          <w:rPr>
            <w:rFonts w:asciiTheme="minorHAnsi" w:hAnsiTheme="minorHAnsi" w:cstheme="minorHAnsi"/>
            <w:noProof/>
            <w:webHidden/>
            <w:sz w:val="20"/>
            <w:szCs w:val="20"/>
          </w:rPr>
          <w:fldChar w:fldCharType="separate"/>
        </w:r>
        <w:r w:rsidR="00107491">
          <w:rPr>
            <w:rFonts w:asciiTheme="minorHAnsi" w:hAnsiTheme="minorHAnsi" w:cstheme="minorHAnsi"/>
            <w:noProof/>
            <w:webHidden/>
            <w:sz w:val="20"/>
            <w:szCs w:val="20"/>
          </w:rPr>
          <w:t xml:space="preserve">44 </w:t>
        </w:r>
        <w:r w:rsidR="006D590B" w:rsidRPr="00A34C62">
          <w:rPr>
            <w:rFonts w:asciiTheme="minorHAnsi" w:hAnsiTheme="minorHAnsi" w:cstheme="minorHAnsi"/>
            <w:noProof/>
            <w:webHidden/>
            <w:sz w:val="20"/>
            <w:szCs w:val="20"/>
          </w:rPr>
          <w:fldChar w:fldCharType="end"/>
        </w:r>
      </w:hyperlink>
    </w:p>
    <w:p w14:paraId="4DC462F6" w14:textId="77777777" w:rsidR="00601D9B" w:rsidRDefault="00B330C0">
      <w:pPr>
        <w:pStyle w:val="TM1"/>
        <w:rPr>
          <w:rFonts w:asciiTheme="minorHAnsi" w:eastAsiaTheme="minorEastAsia" w:hAnsiTheme="minorHAnsi" w:cstheme="minorHAnsi"/>
          <w:noProof/>
          <w:sz w:val="20"/>
          <w:szCs w:val="20"/>
        </w:rPr>
      </w:pPr>
      <w:hyperlink w:anchor="_Toc46749081" w:history="1">
        <w:r w:rsidR="006D590B" w:rsidRPr="00A34C62">
          <w:rPr>
            <w:rStyle w:val="Lienhypertexte"/>
            <w:rFonts w:asciiTheme="minorHAnsi" w:hAnsiTheme="minorHAnsi" w:cstheme="minorHAnsi"/>
            <w:noProof/>
            <w:sz w:val="20"/>
            <w:szCs w:val="20"/>
          </w:rPr>
          <w:t>VI.</w:t>
        </w:r>
        <w:r w:rsidR="006D590B" w:rsidRPr="00A34C62">
          <w:rPr>
            <w:rFonts w:asciiTheme="minorHAnsi" w:eastAsiaTheme="minorEastAsia" w:hAnsiTheme="minorHAnsi" w:cstheme="minorHAnsi"/>
            <w:noProof/>
            <w:sz w:val="20"/>
            <w:szCs w:val="20"/>
          </w:rPr>
          <w:tab/>
        </w:r>
        <w:r w:rsidR="006D590B" w:rsidRPr="00A34C62">
          <w:rPr>
            <w:rStyle w:val="Lienhypertexte"/>
            <w:rFonts w:asciiTheme="minorHAnsi" w:hAnsiTheme="minorHAnsi" w:cstheme="minorHAnsi"/>
            <w:noProof/>
            <w:sz w:val="20"/>
            <w:szCs w:val="20"/>
          </w:rPr>
          <w:t>Plan de suivi et d'évaluation (S&amp;E)</w:t>
        </w:r>
        <w:r w:rsidR="006D590B" w:rsidRPr="00A34C62">
          <w:rPr>
            <w:rFonts w:asciiTheme="minorHAnsi" w:hAnsiTheme="minorHAnsi" w:cstheme="minorHAnsi"/>
            <w:noProof/>
            <w:webHidden/>
            <w:sz w:val="20"/>
            <w:szCs w:val="20"/>
          </w:rPr>
          <w:tab/>
        </w:r>
        <w:r w:rsidR="006D590B" w:rsidRPr="00A34C62">
          <w:rPr>
            <w:rFonts w:asciiTheme="minorHAnsi" w:hAnsiTheme="minorHAnsi" w:cstheme="minorHAnsi"/>
            <w:noProof/>
            <w:webHidden/>
            <w:sz w:val="20"/>
            <w:szCs w:val="20"/>
          </w:rPr>
          <w:fldChar w:fldCharType="begin"/>
        </w:r>
        <w:r w:rsidR="006D590B" w:rsidRPr="00A34C62">
          <w:rPr>
            <w:rFonts w:asciiTheme="minorHAnsi" w:hAnsiTheme="minorHAnsi" w:cstheme="minorHAnsi"/>
            <w:noProof/>
            <w:webHidden/>
            <w:sz w:val="20"/>
            <w:szCs w:val="20"/>
          </w:rPr>
          <w:instrText xml:space="preserve"> PAGEREF _Toc46749081 \h </w:instrText>
        </w:r>
        <w:r w:rsidR="006D590B" w:rsidRPr="00A34C62">
          <w:rPr>
            <w:rFonts w:asciiTheme="minorHAnsi" w:hAnsiTheme="minorHAnsi" w:cstheme="minorHAnsi"/>
            <w:noProof/>
            <w:webHidden/>
            <w:sz w:val="20"/>
            <w:szCs w:val="20"/>
          </w:rPr>
        </w:r>
        <w:r w:rsidR="006D590B" w:rsidRPr="00A34C62">
          <w:rPr>
            <w:rFonts w:asciiTheme="minorHAnsi" w:hAnsiTheme="minorHAnsi" w:cstheme="minorHAnsi"/>
            <w:noProof/>
            <w:webHidden/>
            <w:sz w:val="20"/>
            <w:szCs w:val="20"/>
          </w:rPr>
          <w:fldChar w:fldCharType="separate"/>
        </w:r>
        <w:r w:rsidR="00107491">
          <w:rPr>
            <w:rFonts w:asciiTheme="minorHAnsi" w:hAnsiTheme="minorHAnsi" w:cstheme="minorHAnsi"/>
            <w:noProof/>
            <w:webHidden/>
            <w:sz w:val="20"/>
            <w:szCs w:val="20"/>
          </w:rPr>
          <w:t xml:space="preserve">47 </w:t>
        </w:r>
        <w:r w:rsidR="006D590B" w:rsidRPr="00A34C62">
          <w:rPr>
            <w:rFonts w:asciiTheme="minorHAnsi" w:hAnsiTheme="minorHAnsi" w:cstheme="minorHAnsi"/>
            <w:noProof/>
            <w:webHidden/>
            <w:sz w:val="20"/>
            <w:szCs w:val="20"/>
          </w:rPr>
          <w:fldChar w:fldCharType="end"/>
        </w:r>
      </w:hyperlink>
    </w:p>
    <w:p w14:paraId="02154E96" w14:textId="77777777" w:rsidR="00601D9B" w:rsidRDefault="00B330C0">
      <w:pPr>
        <w:pStyle w:val="TM1"/>
        <w:rPr>
          <w:rFonts w:asciiTheme="minorHAnsi" w:eastAsiaTheme="minorEastAsia" w:hAnsiTheme="minorHAnsi" w:cstheme="minorHAnsi"/>
          <w:noProof/>
          <w:sz w:val="20"/>
          <w:szCs w:val="20"/>
        </w:rPr>
      </w:pPr>
      <w:hyperlink w:anchor="_Toc46749082" w:history="1">
        <w:r w:rsidR="006D590B" w:rsidRPr="00A34C62">
          <w:rPr>
            <w:rStyle w:val="Lienhypertexte"/>
            <w:rFonts w:asciiTheme="minorHAnsi" w:hAnsiTheme="minorHAnsi" w:cstheme="minorHAnsi"/>
            <w:noProof/>
            <w:sz w:val="20"/>
            <w:szCs w:val="20"/>
          </w:rPr>
          <w:t>VII.</w:t>
        </w:r>
        <w:r w:rsidR="006D590B" w:rsidRPr="00A34C62">
          <w:rPr>
            <w:rFonts w:asciiTheme="minorHAnsi" w:eastAsiaTheme="minorEastAsia" w:hAnsiTheme="minorHAnsi" w:cstheme="minorHAnsi"/>
            <w:noProof/>
            <w:sz w:val="20"/>
            <w:szCs w:val="20"/>
          </w:rPr>
          <w:tab/>
        </w:r>
        <w:r w:rsidR="006D590B" w:rsidRPr="00A34C62">
          <w:rPr>
            <w:rStyle w:val="Lienhypertexte"/>
            <w:rFonts w:asciiTheme="minorHAnsi" w:hAnsiTheme="minorHAnsi" w:cstheme="minorHAnsi"/>
            <w:noProof/>
            <w:sz w:val="20"/>
            <w:szCs w:val="20"/>
          </w:rPr>
          <w:t>Dispositions en matière de gouvernance et de gestion</w:t>
        </w:r>
        <w:r w:rsidR="006D590B" w:rsidRPr="00A34C62">
          <w:rPr>
            <w:rFonts w:asciiTheme="minorHAnsi" w:hAnsiTheme="minorHAnsi" w:cstheme="minorHAnsi"/>
            <w:noProof/>
            <w:webHidden/>
            <w:sz w:val="20"/>
            <w:szCs w:val="20"/>
          </w:rPr>
          <w:tab/>
        </w:r>
        <w:r w:rsidR="006D590B" w:rsidRPr="00A34C62">
          <w:rPr>
            <w:rFonts w:asciiTheme="minorHAnsi" w:hAnsiTheme="minorHAnsi" w:cstheme="minorHAnsi"/>
            <w:noProof/>
            <w:webHidden/>
            <w:sz w:val="20"/>
            <w:szCs w:val="20"/>
          </w:rPr>
          <w:fldChar w:fldCharType="begin"/>
        </w:r>
        <w:r w:rsidR="006D590B" w:rsidRPr="00A34C62">
          <w:rPr>
            <w:rFonts w:asciiTheme="minorHAnsi" w:hAnsiTheme="minorHAnsi" w:cstheme="minorHAnsi"/>
            <w:noProof/>
            <w:webHidden/>
            <w:sz w:val="20"/>
            <w:szCs w:val="20"/>
          </w:rPr>
          <w:instrText xml:space="preserve"> PAGEREF _Toc46749082 \h </w:instrText>
        </w:r>
        <w:r w:rsidR="006D590B" w:rsidRPr="00A34C62">
          <w:rPr>
            <w:rFonts w:asciiTheme="minorHAnsi" w:hAnsiTheme="minorHAnsi" w:cstheme="minorHAnsi"/>
            <w:noProof/>
            <w:webHidden/>
            <w:sz w:val="20"/>
            <w:szCs w:val="20"/>
          </w:rPr>
        </w:r>
        <w:r w:rsidR="006D590B" w:rsidRPr="00A34C62">
          <w:rPr>
            <w:rFonts w:asciiTheme="minorHAnsi" w:hAnsiTheme="minorHAnsi" w:cstheme="minorHAnsi"/>
            <w:noProof/>
            <w:webHidden/>
            <w:sz w:val="20"/>
            <w:szCs w:val="20"/>
          </w:rPr>
          <w:fldChar w:fldCharType="separate"/>
        </w:r>
        <w:r w:rsidR="00107491">
          <w:rPr>
            <w:rFonts w:asciiTheme="minorHAnsi" w:hAnsiTheme="minorHAnsi" w:cstheme="minorHAnsi"/>
            <w:noProof/>
            <w:webHidden/>
            <w:sz w:val="20"/>
            <w:szCs w:val="20"/>
          </w:rPr>
          <w:t xml:space="preserve">50 </w:t>
        </w:r>
        <w:r w:rsidR="006D590B" w:rsidRPr="00A34C62">
          <w:rPr>
            <w:rFonts w:asciiTheme="minorHAnsi" w:hAnsiTheme="minorHAnsi" w:cstheme="minorHAnsi"/>
            <w:noProof/>
            <w:webHidden/>
            <w:sz w:val="20"/>
            <w:szCs w:val="20"/>
          </w:rPr>
          <w:fldChar w:fldCharType="end"/>
        </w:r>
      </w:hyperlink>
    </w:p>
    <w:p w14:paraId="06749475" w14:textId="77777777" w:rsidR="00601D9B" w:rsidRDefault="00B330C0">
      <w:pPr>
        <w:pStyle w:val="TM1"/>
        <w:rPr>
          <w:rFonts w:asciiTheme="minorHAnsi" w:eastAsiaTheme="minorEastAsia" w:hAnsiTheme="minorHAnsi" w:cstheme="minorHAnsi"/>
          <w:noProof/>
          <w:sz w:val="20"/>
          <w:szCs w:val="20"/>
        </w:rPr>
      </w:pPr>
      <w:hyperlink w:anchor="_Toc46749083" w:history="1">
        <w:r w:rsidR="006D590B" w:rsidRPr="00A34C62">
          <w:rPr>
            <w:rStyle w:val="Lienhypertexte"/>
            <w:rFonts w:asciiTheme="minorHAnsi" w:hAnsiTheme="minorHAnsi" w:cstheme="minorHAnsi"/>
            <w:noProof/>
            <w:sz w:val="20"/>
            <w:szCs w:val="20"/>
          </w:rPr>
          <w:t>VIII.</w:t>
        </w:r>
        <w:r w:rsidR="006D590B" w:rsidRPr="00A34C62">
          <w:rPr>
            <w:rFonts w:asciiTheme="minorHAnsi" w:eastAsiaTheme="minorEastAsia" w:hAnsiTheme="minorHAnsi" w:cstheme="minorHAnsi"/>
            <w:noProof/>
            <w:sz w:val="20"/>
            <w:szCs w:val="20"/>
          </w:rPr>
          <w:tab/>
        </w:r>
        <w:r w:rsidR="006D590B" w:rsidRPr="00A34C62">
          <w:rPr>
            <w:rStyle w:val="Lienhypertexte"/>
            <w:rFonts w:asciiTheme="minorHAnsi" w:hAnsiTheme="minorHAnsi" w:cstheme="minorHAnsi"/>
            <w:noProof/>
            <w:sz w:val="20"/>
            <w:szCs w:val="20"/>
          </w:rPr>
          <w:t>Planification et gestion financières</w:t>
        </w:r>
        <w:r w:rsidR="006D590B" w:rsidRPr="00A34C62">
          <w:rPr>
            <w:rFonts w:asciiTheme="minorHAnsi" w:hAnsiTheme="minorHAnsi" w:cstheme="minorHAnsi"/>
            <w:noProof/>
            <w:webHidden/>
            <w:sz w:val="20"/>
            <w:szCs w:val="20"/>
          </w:rPr>
          <w:tab/>
        </w:r>
        <w:r w:rsidR="006D590B" w:rsidRPr="00A34C62">
          <w:rPr>
            <w:rFonts w:asciiTheme="minorHAnsi" w:hAnsiTheme="minorHAnsi" w:cstheme="minorHAnsi"/>
            <w:noProof/>
            <w:webHidden/>
            <w:sz w:val="20"/>
            <w:szCs w:val="20"/>
          </w:rPr>
          <w:fldChar w:fldCharType="begin"/>
        </w:r>
        <w:r w:rsidR="006D590B" w:rsidRPr="00A34C62">
          <w:rPr>
            <w:rFonts w:asciiTheme="minorHAnsi" w:hAnsiTheme="minorHAnsi" w:cstheme="minorHAnsi"/>
            <w:noProof/>
            <w:webHidden/>
            <w:sz w:val="20"/>
            <w:szCs w:val="20"/>
          </w:rPr>
          <w:instrText xml:space="preserve"> PAGEREF _Toc46749083 \h </w:instrText>
        </w:r>
        <w:r w:rsidR="006D590B" w:rsidRPr="00A34C62">
          <w:rPr>
            <w:rFonts w:asciiTheme="minorHAnsi" w:hAnsiTheme="minorHAnsi" w:cstheme="minorHAnsi"/>
            <w:noProof/>
            <w:webHidden/>
            <w:sz w:val="20"/>
            <w:szCs w:val="20"/>
          </w:rPr>
        </w:r>
        <w:r w:rsidR="006D590B" w:rsidRPr="00A34C62">
          <w:rPr>
            <w:rFonts w:asciiTheme="minorHAnsi" w:hAnsiTheme="minorHAnsi" w:cstheme="minorHAnsi"/>
            <w:noProof/>
            <w:webHidden/>
            <w:sz w:val="20"/>
            <w:szCs w:val="20"/>
          </w:rPr>
          <w:fldChar w:fldCharType="separate"/>
        </w:r>
        <w:r w:rsidR="00107491">
          <w:rPr>
            <w:rFonts w:asciiTheme="minorHAnsi" w:hAnsiTheme="minorHAnsi" w:cstheme="minorHAnsi"/>
            <w:noProof/>
            <w:webHidden/>
            <w:sz w:val="20"/>
            <w:szCs w:val="20"/>
          </w:rPr>
          <w:t xml:space="preserve">55 </w:t>
        </w:r>
        <w:r w:rsidR="006D590B" w:rsidRPr="00A34C62">
          <w:rPr>
            <w:rFonts w:asciiTheme="minorHAnsi" w:hAnsiTheme="minorHAnsi" w:cstheme="minorHAnsi"/>
            <w:noProof/>
            <w:webHidden/>
            <w:sz w:val="20"/>
            <w:szCs w:val="20"/>
          </w:rPr>
          <w:fldChar w:fldCharType="end"/>
        </w:r>
      </w:hyperlink>
    </w:p>
    <w:p w14:paraId="416FF651" w14:textId="77777777" w:rsidR="00601D9B" w:rsidRDefault="00B330C0">
      <w:pPr>
        <w:pStyle w:val="TM1"/>
        <w:rPr>
          <w:rFonts w:asciiTheme="minorHAnsi" w:eastAsiaTheme="minorEastAsia" w:hAnsiTheme="minorHAnsi" w:cstheme="minorHAnsi"/>
          <w:noProof/>
          <w:sz w:val="20"/>
          <w:szCs w:val="20"/>
        </w:rPr>
      </w:pPr>
      <w:hyperlink w:anchor="_Toc46749084" w:history="1">
        <w:r w:rsidR="006D590B" w:rsidRPr="00A34C62">
          <w:rPr>
            <w:rStyle w:val="Lienhypertexte"/>
            <w:rFonts w:asciiTheme="minorHAnsi" w:hAnsiTheme="minorHAnsi" w:cstheme="minorHAnsi"/>
            <w:noProof/>
            <w:sz w:val="20"/>
            <w:szCs w:val="20"/>
          </w:rPr>
          <w:t>IX.</w:t>
        </w:r>
        <w:r w:rsidR="006D590B" w:rsidRPr="00A34C62">
          <w:rPr>
            <w:rFonts w:asciiTheme="minorHAnsi" w:eastAsiaTheme="minorEastAsia" w:hAnsiTheme="minorHAnsi" w:cstheme="minorHAnsi"/>
            <w:noProof/>
            <w:sz w:val="20"/>
            <w:szCs w:val="20"/>
          </w:rPr>
          <w:tab/>
        </w:r>
        <w:r w:rsidR="006D590B" w:rsidRPr="00A34C62">
          <w:rPr>
            <w:rStyle w:val="Lienhypertexte"/>
            <w:rFonts w:asciiTheme="minorHAnsi" w:hAnsiTheme="minorHAnsi" w:cstheme="minorHAnsi"/>
            <w:noProof/>
            <w:sz w:val="20"/>
            <w:szCs w:val="20"/>
          </w:rPr>
          <w:t>Budget total et plan de travail</w:t>
        </w:r>
        <w:r w:rsidR="006D590B" w:rsidRPr="00A34C62">
          <w:rPr>
            <w:rFonts w:asciiTheme="minorHAnsi" w:hAnsiTheme="minorHAnsi" w:cstheme="minorHAnsi"/>
            <w:noProof/>
            <w:webHidden/>
            <w:sz w:val="20"/>
            <w:szCs w:val="20"/>
          </w:rPr>
          <w:tab/>
        </w:r>
        <w:r w:rsidR="006D590B" w:rsidRPr="00A34C62">
          <w:rPr>
            <w:rFonts w:asciiTheme="minorHAnsi" w:hAnsiTheme="minorHAnsi" w:cstheme="minorHAnsi"/>
            <w:noProof/>
            <w:webHidden/>
            <w:sz w:val="20"/>
            <w:szCs w:val="20"/>
          </w:rPr>
          <w:fldChar w:fldCharType="begin"/>
        </w:r>
        <w:r w:rsidR="006D590B" w:rsidRPr="00A34C62">
          <w:rPr>
            <w:rFonts w:asciiTheme="minorHAnsi" w:hAnsiTheme="minorHAnsi" w:cstheme="minorHAnsi"/>
            <w:noProof/>
            <w:webHidden/>
            <w:sz w:val="20"/>
            <w:szCs w:val="20"/>
          </w:rPr>
          <w:instrText xml:space="preserve"> PAGEREF _Toc46749084 \h </w:instrText>
        </w:r>
        <w:r w:rsidR="006D590B" w:rsidRPr="00A34C62">
          <w:rPr>
            <w:rFonts w:asciiTheme="minorHAnsi" w:hAnsiTheme="minorHAnsi" w:cstheme="minorHAnsi"/>
            <w:noProof/>
            <w:webHidden/>
            <w:sz w:val="20"/>
            <w:szCs w:val="20"/>
          </w:rPr>
        </w:r>
        <w:r w:rsidR="006D590B" w:rsidRPr="00A34C62">
          <w:rPr>
            <w:rFonts w:asciiTheme="minorHAnsi" w:hAnsiTheme="minorHAnsi" w:cstheme="minorHAnsi"/>
            <w:noProof/>
            <w:webHidden/>
            <w:sz w:val="20"/>
            <w:szCs w:val="20"/>
          </w:rPr>
          <w:fldChar w:fldCharType="separate"/>
        </w:r>
        <w:r w:rsidR="00107491">
          <w:rPr>
            <w:rFonts w:asciiTheme="minorHAnsi" w:hAnsiTheme="minorHAnsi" w:cstheme="minorHAnsi"/>
            <w:noProof/>
            <w:webHidden/>
            <w:sz w:val="20"/>
            <w:szCs w:val="20"/>
          </w:rPr>
          <w:t xml:space="preserve">57 </w:t>
        </w:r>
        <w:r w:rsidR="006D590B" w:rsidRPr="00A34C62">
          <w:rPr>
            <w:rFonts w:asciiTheme="minorHAnsi" w:hAnsiTheme="minorHAnsi" w:cstheme="minorHAnsi"/>
            <w:noProof/>
            <w:webHidden/>
            <w:sz w:val="20"/>
            <w:szCs w:val="20"/>
          </w:rPr>
          <w:fldChar w:fldCharType="end"/>
        </w:r>
      </w:hyperlink>
    </w:p>
    <w:p w14:paraId="7F495987" w14:textId="77777777" w:rsidR="00601D9B" w:rsidRDefault="00B330C0">
      <w:pPr>
        <w:pStyle w:val="TM1"/>
        <w:rPr>
          <w:rFonts w:asciiTheme="minorHAnsi" w:eastAsiaTheme="minorEastAsia" w:hAnsiTheme="minorHAnsi" w:cstheme="minorHAnsi"/>
          <w:noProof/>
          <w:sz w:val="20"/>
          <w:szCs w:val="20"/>
        </w:rPr>
      </w:pPr>
      <w:hyperlink w:anchor="_Toc46749085" w:history="1">
        <w:r w:rsidR="006D590B" w:rsidRPr="00A34C62">
          <w:rPr>
            <w:rStyle w:val="Lienhypertexte"/>
            <w:rFonts w:asciiTheme="minorHAnsi" w:hAnsiTheme="minorHAnsi" w:cstheme="minorHAnsi"/>
            <w:noProof/>
            <w:sz w:val="20"/>
            <w:szCs w:val="20"/>
          </w:rPr>
          <w:t>X.</w:t>
        </w:r>
        <w:r w:rsidR="006D590B" w:rsidRPr="00A34C62">
          <w:rPr>
            <w:rFonts w:asciiTheme="minorHAnsi" w:eastAsiaTheme="minorEastAsia" w:hAnsiTheme="minorHAnsi" w:cstheme="minorHAnsi"/>
            <w:noProof/>
            <w:sz w:val="20"/>
            <w:szCs w:val="20"/>
          </w:rPr>
          <w:tab/>
        </w:r>
        <w:r w:rsidR="006D590B" w:rsidRPr="00A34C62">
          <w:rPr>
            <w:rStyle w:val="Lienhypertexte"/>
            <w:rFonts w:asciiTheme="minorHAnsi" w:hAnsiTheme="minorHAnsi" w:cstheme="minorHAnsi"/>
            <w:noProof/>
            <w:sz w:val="20"/>
            <w:szCs w:val="20"/>
          </w:rPr>
          <w:t>Contexte juridique</w:t>
        </w:r>
        <w:r w:rsidR="006D590B" w:rsidRPr="00A34C62">
          <w:rPr>
            <w:rFonts w:asciiTheme="minorHAnsi" w:hAnsiTheme="minorHAnsi" w:cstheme="minorHAnsi"/>
            <w:noProof/>
            <w:webHidden/>
            <w:sz w:val="20"/>
            <w:szCs w:val="20"/>
          </w:rPr>
          <w:tab/>
        </w:r>
        <w:r w:rsidR="006D590B" w:rsidRPr="00A34C62">
          <w:rPr>
            <w:rFonts w:asciiTheme="minorHAnsi" w:hAnsiTheme="minorHAnsi" w:cstheme="minorHAnsi"/>
            <w:noProof/>
            <w:webHidden/>
            <w:sz w:val="20"/>
            <w:szCs w:val="20"/>
          </w:rPr>
          <w:fldChar w:fldCharType="begin"/>
        </w:r>
        <w:r w:rsidR="006D590B" w:rsidRPr="00A34C62">
          <w:rPr>
            <w:rFonts w:asciiTheme="minorHAnsi" w:hAnsiTheme="minorHAnsi" w:cstheme="minorHAnsi"/>
            <w:noProof/>
            <w:webHidden/>
            <w:sz w:val="20"/>
            <w:szCs w:val="20"/>
          </w:rPr>
          <w:instrText xml:space="preserve"> PAGEREF _Toc46749085 \h </w:instrText>
        </w:r>
        <w:r w:rsidR="006D590B" w:rsidRPr="00A34C62">
          <w:rPr>
            <w:rFonts w:asciiTheme="minorHAnsi" w:hAnsiTheme="minorHAnsi" w:cstheme="minorHAnsi"/>
            <w:noProof/>
            <w:webHidden/>
            <w:sz w:val="20"/>
            <w:szCs w:val="20"/>
          </w:rPr>
        </w:r>
        <w:r w:rsidR="006D590B" w:rsidRPr="00A34C62">
          <w:rPr>
            <w:rFonts w:asciiTheme="minorHAnsi" w:hAnsiTheme="minorHAnsi" w:cstheme="minorHAnsi"/>
            <w:noProof/>
            <w:webHidden/>
            <w:sz w:val="20"/>
            <w:szCs w:val="20"/>
          </w:rPr>
          <w:fldChar w:fldCharType="separate"/>
        </w:r>
        <w:r w:rsidR="00107491">
          <w:rPr>
            <w:rFonts w:asciiTheme="minorHAnsi" w:hAnsiTheme="minorHAnsi" w:cstheme="minorHAnsi"/>
            <w:noProof/>
            <w:webHidden/>
            <w:sz w:val="20"/>
            <w:szCs w:val="20"/>
          </w:rPr>
          <w:t xml:space="preserve">67 </w:t>
        </w:r>
        <w:r w:rsidR="006D590B" w:rsidRPr="00A34C62">
          <w:rPr>
            <w:rFonts w:asciiTheme="minorHAnsi" w:hAnsiTheme="minorHAnsi" w:cstheme="minorHAnsi"/>
            <w:noProof/>
            <w:webHidden/>
            <w:sz w:val="20"/>
            <w:szCs w:val="20"/>
          </w:rPr>
          <w:fldChar w:fldCharType="end"/>
        </w:r>
      </w:hyperlink>
    </w:p>
    <w:p w14:paraId="3BFC9857" w14:textId="77777777" w:rsidR="00601D9B" w:rsidRDefault="00B330C0">
      <w:pPr>
        <w:pStyle w:val="TM1"/>
        <w:rPr>
          <w:rFonts w:asciiTheme="minorHAnsi" w:eastAsiaTheme="minorEastAsia" w:hAnsiTheme="minorHAnsi" w:cstheme="minorHAnsi"/>
          <w:noProof/>
          <w:sz w:val="20"/>
          <w:szCs w:val="20"/>
        </w:rPr>
      </w:pPr>
      <w:hyperlink w:anchor="_Toc46749086" w:history="1">
        <w:r w:rsidR="006D590B" w:rsidRPr="00A34C62">
          <w:rPr>
            <w:rStyle w:val="Lienhypertexte"/>
            <w:rFonts w:asciiTheme="minorHAnsi" w:hAnsiTheme="minorHAnsi" w:cstheme="minorHAnsi"/>
            <w:noProof/>
            <w:sz w:val="20"/>
            <w:szCs w:val="20"/>
          </w:rPr>
          <w:t>XI.</w:t>
        </w:r>
        <w:r w:rsidR="006D590B" w:rsidRPr="00A34C62">
          <w:rPr>
            <w:rFonts w:asciiTheme="minorHAnsi" w:eastAsiaTheme="minorEastAsia" w:hAnsiTheme="minorHAnsi" w:cstheme="minorHAnsi"/>
            <w:noProof/>
            <w:sz w:val="20"/>
            <w:szCs w:val="20"/>
          </w:rPr>
          <w:tab/>
        </w:r>
        <w:r w:rsidR="006D590B" w:rsidRPr="00A34C62">
          <w:rPr>
            <w:rStyle w:val="Lienhypertexte"/>
            <w:rFonts w:asciiTheme="minorHAnsi" w:hAnsiTheme="minorHAnsi" w:cstheme="minorHAnsi"/>
            <w:noProof/>
            <w:sz w:val="20"/>
            <w:szCs w:val="20"/>
          </w:rPr>
          <w:t>Gestion des risques</w:t>
        </w:r>
        <w:r w:rsidR="006D590B" w:rsidRPr="00A34C62">
          <w:rPr>
            <w:rFonts w:asciiTheme="minorHAnsi" w:hAnsiTheme="minorHAnsi" w:cstheme="minorHAnsi"/>
            <w:noProof/>
            <w:webHidden/>
            <w:sz w:val="20"/>
            <w:szCs w:val="20"/>
          </w:rPr>
          <w:tab/>
        </w:r>
        <w:r w:rsidR="006D590B" w:rsidRPr="00A34C62">
          <w:rPr>
            <w:rFonts w:asciiTheme="minorHAnsi" w:hAnsiTheme="minorHAnsi" w:cstheme="minorHAnsi"/>
            <w:noProof/>
            <w:webHidden/>
            <w:sz w:val="20"/>
            <w:szCs w:val="20"/>
          </w:rPr>
          <w:fldChar w:fldCharType="begin"/>
        </w:r>
        <w:r w:rsidR="006D590B" w:rsidRPr="00A34C62">
          <w:rPr>
            <w:rFonts w:asciiTheme="minorHAnsi" w:hAnsiTheme="minorHAnsi" w:cstheme="minorHAnsi"/>
            <w:noProof/>
            <w:webHidden/>
            <w:sz w:val="20"/>
            <w:szCs w:val="20"/>
          </w:rPr>
          <w:instrText xml:space="preserve"> PAGEREF _Toc46749086 \h </w:instrText>
        </w:r>
        <w:r w:rsidR="006D590B" w:rsidRPr="00A34C62">
          <w:rPr>
            <w:rFonts w:asciiTheme="minorHAnsi" w:hAnsiTheme="minorHAnsi" w:cstheme="minorHAnsi"/>
            <w:noProof/>
            <w:webHidden/>
            <w:sz w:val="20"/>
            <w:szCs w:val="20"/>
          </w:rPr>
        </w:r>
        <w:r w:rsidR="006D590B" w:rsidRPr="00A34C62">
          <w:rPr>
            <w:rFonts w:asciiTheme="minorHAnsi" w:hAnsiTheme="minorHAnsi" w:cstheme="minorHAnsi"/>
            <w:noProof/>
            <w:webHidden/>
            <w:sz w:val="20"/>
            <w:szCs w:val="20"/>
          </w:rPr>
          <w:fldChar w:fldCharType="separate"/>
        </w:r>
        <w:r w:rsidR="00107491">
          <w:rPr>
            <w:rFonts w:asciiTheme="minorHAnsi" w:hAnsiTheme="minorHAnsi" w:cstheme="minorHAnsi"/>
            <w:noProof/>
            <w:webHidden/>
            <w:sz w:val="20"/>
            <w:szCs w:val="20"/>
          </w:rPr>
          <w:t xml:space="preserve">69 </w:t>
        </w:r>
        <w:r w:rsidR="006D590B" w:rsidRPr="00A34C62">
          <w:rPr>
            <w:rFonts w:asciiTheme="minorHAnsi" w:hAnsiTheme="minorHAnsi" w:cstheme="minorHAnsi"/>
            <w:noProof/>
            <w:webHidden/>
            <w:sz w:val="20"/>
            <w:szCs w:val="20"/>
          </w:rPr>
          <w:fldChar w:fldCharType="end"/>
        </w:r>
      </w:hyperlink>
    </w:p>
    <w:p w14:paraId="646D04AA" w14:textId="77777777" w:rsidR="00601D9B" w:rsidRDefault="00B330C0">
      <w:pPr>
        <w:pStyle w:val="TM1"/>
        <w:rPr>
          <w:rFonts w:asciiTheme="minorHAnsi" w:eastAsiaTheme="minorEastAsia" w:hAnsiTheme="minorHAnsi" w:cstheme="minorHAnsi"/>
          <w:noProof/>
          <w:sz w:val="20"/>
          <w:szCs w:val="20"/>
        </w:rPr>
      </w:pPr>
      <w:hyperlink w:anchor="_Toc46749087" w:history="1">
        <w:r w:rsidR="006D590B" w:rsidRPr="00A34C62">
          <w:rPr>
            <w:rStyle w:val="Lienhypertexte"/>
            <w:rFonts w:asciiTheme="minorHAnsi" w:hAnsiTheme="minorHAnsi" w:cstheme="minorHAnsi"/>
            <w:noProof/>
            <w:sz w:val="20"/>
            <w:szCs w:val="20"/>
          </w:rPr>
          <w:t>XII.</w:t>
        </w:r>
        <w:r w:rsidR="006D590B" w:rsidRPr="00A34C62">
          <w:rPr>
            <w:rFonts w:asciiTheme="minorHAnsi" w:eastAsiaTheme="minorEastAsia" w:hAnsiTheme="minorHAnsi" w:cstheme="minorHAnsi"/>
            <w:noProof/>
            <w:sz w:val="20"/>
            <w:szCs w:val="20"/>
          </w:rPr>
          <w:tab/>
        </w:r>
        <w:r w:rsidR="006D590B" w:rsidRPr="00A34C62">
          <w:rPr>
            <w:rStyle w:val="Lienhypertexte"/>
            <w:rFonts w:asciiTheme="minorHAnsi" w:hAnsiTheme="minorHAnsi" w:cstheme="minorHAnsi"/>
            <w:noProof/>
            <w:sz w:val="20"/>
            <w:szCs w:val="20"/>
          </w:rPr>
          <w:t>Annexes obligatoires</w:t>
        </w:r>
        <w:r w:rsidR="006D590B" w:rsidRPr="00A34C62">
          <w:rPr>
            <w:rFonts w:asciiTheme="minorHAnsi" w:hAnsiTheme="minorHAnsi" w:cstheme="minorHAnsi"/>
            <w:noProof/>
            <w:webHidden/>
            <w:sz w:val="20"/>
            <w:szCs w:val="20"/>
          </w:rPr>
          <w:tab/>
        </w:r>
        <w:r w:rsidR="006D590B" w:rsidRPr="00A34C62">
          <w:rPr>
            <w:rFonts w:asciiTheme="minorHAnsi" w:hAnsiTheme="minorHAnsi" w:cstheme="minorHAnsi"/>
            <w:noProof/>
            <w:webHidden/>
            <w:sz w:val="20"/>
            <w:szCs w:val="20"/>
          </w:rPr>
          <w:fldChar w:fldCharType="begin"/>
        </w:r>
        <w:r w:rsidR="006D590B" w:rsidRPr="00A34C62">
          <w:rPr>
            <w:rFonts w:asciiTheme="minorHAnsi" w:hAnsiTheme="minorHAnsi" w:cstheme="minorHAnsi"/>
            <w:noProof/>
            <w:webHidden/>
            <w:sz w:val="20"/>
            <w:szCs w:val="20"/>
          </w:rPr>
          <w:instrText xml:space="preserve"> PAGEREF _Toc46749087 \h </w:instrText>
        </w:r>
        <w:r w:rsidR="006D590B" w:rsidRPr="00A34C62">
          <w:rPr>
            <w:rFonts w:asciiTheme="minorHAnsi" w:hAnsiTheme="minorHAnsi" w:cstheme="minorHAnsi"/>
            <w:noProof/>
            <w:webHidden/>
            <w:sz w:val="20"/>
            <w:szCs w:val="20"/>
          </w:rPr>
        </w:r>
        <w:r w:rsidR="006D590B" w:rsidRPr="00A34C62">
          <w:rPr>
            <w:rFonts w:asciiTheme="minorHAnsi" w:hAnsiTheme="minorHAnsi" w:cstheme="minorHAnsi"/>
            <w:noProof/>
            <w:webHidden/>
            <w:sz w:val="20"/>
            <w:szCs w:val="20"/>
          </w:rPr>
          <w:fldChar w:fldCharType="separate"/>
        </w:r>
        <w:r w:rsidR="00107491">
          <w:rPr>
            <w:rFonts w:asciiTheme="minorHAnsi" w:hAnsiTheme="minorHAnsi" w:cstheme="minorHAnsi"/>
            <w:noProof/>
            <w:webHidden/>
            <w:sz w:val="20"/>
            <w:szCs w:val="20"/>
          </w:rPr>
          <w:t xml:space="preserve">81 </w:t>
        </w:r>
        <w:r w:rsidR="006D590B" w:rsidRPr="00A34C62">
          <w:rPr>
            <w:rFonts w:asciiTheme="minorHAnsi" w:hAnsiTheme="minorHAnsi" w:cstheme="minorHAnsi"/>
            <w:noProof/>
            <w:webHidden/>
            <w:sz w:val="20"/>
            <w:szCs w:val="20"/>
          </w:rPr>
          <w:fldChar w:fldCharType="end"/>
        </w:r>
      </w:hyperlink>
    </w:p>
    <w:p w14:paraId="4558DD67" w14:textId="77777777" w:rsidR="00601D9B" w:rsidRDefault="00B330C0">
      <w:pPr>
        <w:pStyle w:val="TM2"/>
        <w:rPr>
          <w:rFonts w:asciiTheme="minorHAnsi" w:eastAsiaTheme="minorEastAsia" w:hAnsiTheme="minorHAnsi" w:cstheme="minorHAnsi"/>
          <w:noProof/>
          <w:sz w:val="20"/>
          <w:szCs w:val="20"/>
        </w:rPr>
      </w:pPr>
      <w:hyperlink w:anchor="_Toc46749088" w:history="1">
        <w:r w:rsidR="006D590B" w:rsidRPr="00A34C62">
          <w:rPr>
            <w:rStyle w:val="Lienhypertexte"/>
            <w:rFonts w:asciiTheme="minorHAnsi" w:hAnsiTheme="minorHAnsi" w:cstheme="minorHAnsi"/>
            <w:noProof/>
            <w:sz w:val="20"/>
            <w:szCs w:val="20"/>
          </w:rPr>
          <w:t>Annexe 1 : Modèle de budget du FEM</w:t>
        </w:r>
        <w:r w:rsidR="006D590B" w:rsidRPr="00A34C62">
          <w:rPr>
            <w:rFonts w:asciiTheme="minorHAnsi" w:hAnsiTheme="minorHAnsi" w:cstheme="minorHAnsi"/>
            <w:noProof/>
            <w:webHidden/>
            <w:sz w:val="20"/>
            <w:szCs w:val="20"/>
          </w:rPr>
          <w:tab/>
        </w:r>
        <w:r w:rsidR="006D590B" w:rsidRPr="00A34C62">
          <w:rPr>
            <w:rFonts w:asciiTheme="minorHAnsi" w:hAnsiTheme="minorHAnsi" w:cstheme="minorHAnsi"/>
            <w:noProof/>
            <w:webHidden/>
            <w:sz w:val="20"/>
            <w:szCs w:val="20"/>
          </w:rPr>
          <w:fldChar w:fldCharType="begin"/>
        </w:r>
        <w:r w:rsidR="006D590B" w:rsidRPr="00A34C62">
          <w:rPr>
            <w:rFonts w:asciiTheme="minorHAnsi" w:hAnsiTheme="minorHAnsi" w:cstheme="minorHAnsi"/>
            <w:noProof/>
            <w:webHidden/>
            <w:sz w:val="20"/>
            <w:szCs w:val="20"/>
          </w:rPr>
          <w:instrText xml:space="preserve"> PAGEREF _Toc46749088 \h </w:instrText>
        </w:r>
        <w:r w:rsidR="006D590B" w:rsidRPr="00A34C62">
          <w:rPr>
            <w:rFonts w:asciiTheme="minorHAnsi" w:hAnsiTheme="minorHAnsi" w:cstheme="minorHAnsi"/>
            <w:noProof/>
            <w:webHidden/>
            <w:sz w:val="20"/>
            <w:szCs w:val="20"/>
          </w:rPr>
        </w:r>
        <w:r w:rsidR="006D590B" w:rsidRPr="00A34C62">
          <w:rPr>
            <w:rFonts w:asciiTheme="minorHAnsi" w:hAnsiTheme="minorHAnsi" w:cstheme="minorHAnsi"/>
            <w:noProof/>
            <w:webHidden/>
            <w:sz w:val="20"/>
            <w:szCs w:val="20"/>
          </w:rPr>
          <w:fldChar w:fldCharType="separate"/>
        </w:r>
        <w:r w:rsidR="00107491">
          <w:rPr>
            <w:rFonts w:asciiTheme="minorHAnsi" w:hAnsiTheme="minorHAnsi" w:cstheme="minorHAnsi"/>
            <w:noProof/>
            <w:webHidden/>
            <w:sz w:val="20"/>
            <w:szCs w:val="20"/>
          </w:rPr>
          <w:t xml:space="preserve">82 </w:t>
        </w:r>
        <w:r w:rsidR="006D590B" w:rsidRPr="00A34C62">
          <w:rPr>
            <w:rFonts w:asciiTheme="minorHAnsi" w:hAnsiTheme="minorHAnsi" w:cstheme="minorHAnsi"/>
            <w:noProof/>
            <w:webHidden/>
            <w:sz w:val="20"/>
            <w:szCs w:val="20"/>
          </w:rPr>
          <w:fldChar w:fldCharType="end"/>
        </w:r>
      </w:hyperlink>
    </w:p>
    <w:p w14:paraId="7D32849E" w14:textId="77777777" w:rsidR="00601D9B" w:rsidRDefault="00B330C0">
      <w:pPr>
        <w:pStyle w:val="TM2"/>
        <w:rPr>
          <w:rFonts w:asciiTheme="minorHAnsi" w:eastAsiaTheme="minorEastAsia" w:hAnsiTheme="minorHAnsi" w:cstheme="minorHAnsi"/>
          <w:noProof/>
          <w:sz w:val="20"/>
          <w:szCs w:val="20"/>
        </w:rPr>
      </w:pPr>
      <w:hyperlink w:anchor="_Toc46749089" w:history="1">
        <w:r w:rsidR="006D590B" w:rsidRPr="00A34C62">
          <w:rPr>
            <w:rStyle w:val="Lienhypertexte"/>
            <w:rFonts w:asciiTheme="minorHAnsi" w:hAnsiTheme="minorHAnsi" w:cstheme="minorHAnsi"/>
            <w:noProof/>
            <w:sz w:val="20"/>
            <w:szCs w:val="20"/>
          </w:rPr>
          <w:t>Annexe 2 : Lettre d'appui à l'exécution du FEM</w:t>
        </w:r>
        <w:r w:rsidR="006D590B" w:rsidRPr="00A34C62">
          <w:rPr>
            <w:rFonts w:asciiTheme="minorHAnsi" w:hAnsiTheme="minorHAnsi" w:cstheme="minorHAnsi"/>
            <w:noProof/>
            <w:webHidden/>
            <w:sz w:val="20"/>
            <w:szCs w:val="20"/>
          </w:rPr>
          <w:tab/>
        </w:r>
        <w:r w:rsidR="006D590B" w:rsidRPr="00A34C62">
          <w:rPr>
            <w:rFonts w:asciiTheme="minorHAnsi" w:hAnsiTheme="minorHAnsi" w:cstheme="minorHAnsi"/>
            <w:noProof/>
            <w:webHidden/>
            <w:sz w:val="20"/>
            <w:szCs w:val="20"/>
          </w:rPr>
          <w:fldChar w:fldCharType="begin"/>
        </w:r>
        <w:r w:rsidR="006D590B" w:rsidRPr="00A34C62">
          <w:rPr>
            <w:rFonts w:asciiTheme="minorHAnsi" w:hAnsiTheme="minorHAnsi" w:cstheme="minorHAnsi"/>
            <w:noProof/>
            <w:webHidden/>
            <w:sz w:val="20"/>
            <w:szCs w:val="20"/>
          </w:rPr>
          <w:instrText xml:space="preserve"> PAGEREF _Toc46749089 \h </w:instrText>
        </w:r>
        <w:r w:rsidR="006D590B" w:rsidRPr="00A34C62">
          <w:rPr>
            <w:rFonts w:asciiTheme="minorHAnsi" w:hAnsiTheme="minorHAnsi" w:cstheme="minorHAnsi"/>
            <w:noProof/>
            <w:webHidden/>
            <w:sz w:val="20"/>
            <w:szCs w:val="20"/>
          </w:rPr>
        </w:r>
        <w:r w:rsidR="006D590B" w:rsidRPr="00A34C62">
          <w:rPr>
            <w:rFonts w:asciiTheme="minorHAnsi" w:hAnsiTheme="minorHAnsi" w:cstheme="minorHAnsi"/>
            <w:noProof/>
            <w:webHidden/>
            <w:sz w:val="20"/>
            <w:szCs w:val="20"/>
          </w:rPr>
          <w:fldChar w:fldCharType="separate"/>
        </w:r>
        <w:r w:rsidR="00107491">
          <w:rPr>
            <w:rFonts w:asciiTheme="minorHAnsi" w:hAnsiTheme="minorHAnsi" w:cstheme="minorHAnsi"/>
            <w:noProof/>
            <w:webHidden/>
            <w:sz w:val="20"/>
            <w:szCs w:val="20"/>
          </w:rPr>
          <w:t xml:space="preserve">83 </w:t>
        </w:r>
        <w:r w:rsidR="006D590B" w:rsidRPr="00A34C62">
          <w:rPr>
            <w:rFonts w:asciiTheme="minorHAnsi" w:hAnsiTheme="minorHAnsi" w:cstheme="minorHAnsi"/>
            <w:noProof/>
            <w:webHidden/>
            <w:sz w:val="20"/>
            <w:szCs w:val="20"/>
          </w:rPr>
          <w:fldChar w:fldCharType="end"/>
        </w:r>
      </w:hyperlink>
    </w:p>
    <w:p w14:paraId="16169730" w14:textId="77777777" w:rsidR="00601D9B" w:rsidRDefault="00B330C0">
      <w:pPr>
        <w:pStyle w:val="TM2"/>
        <w:rPr>
          <w:rFonts w:asciiTheme="minorHAnsi" w:eastAsiaTheme="minorEastAsia" w:hAnsiTheme="minorHAnsi" w:cstheme="minorHAnsi"/>
          <w:noProof/>
          <w:sz w:val="20"/>
          <w:szCs w:val="20"/>
        </w:rPr>
      </w:pPr>
      <w:hyperlink w:anchor="_Toc46749090" w:history="1">
        <w:r w:rsidR="006D590B" w:rsidRPr="00A34C62">
          <w:rPr>
            <w:rStyle w:val="Lienhypertexte"/>
            <w:rFonts w:asciiTheme="minorHAnsi" w:hAnsiTheme="minorHAnsi" w:cstheme="minorHAnsi"/>
            <w:noProof/>
            <w:sz w:val="20"/>
            <w:szCs w:val="20"/>
          </w:rPr>
          <w:t>Annexe 3 : Carte du projet et coordonnées géospatiales des sites du projet</w:t>
        </w:r>
        <w:r w:rsidR="006D590B" w:rsidRPr="00A34C62">
          <w:rPr>
            <w:rFonts w:asciiTheme="minorHAnsi" w:hAnsiTheme="minorHAnsi" w:cstheme="minorHAnsi"/>
            <w:noProof/>
            <w:webHidden/>
            <w:sz w:val="20"/>
            <w:szCs w:val="20"/>
          </w:rPr>
          <w:tab/>
        </w:r>
        <w:r w:rsidR="006D590B" w:rsidRPr="00A34C62">
          <w:rPr>
            <w:rFonts w:asciiTheme="minorHAnsi" w:hAnsiTheme="minorHAnsi" w:cstheme="minorHAnsi"/>
            <w:noProof/>
            <w:webHidden/>
            <w:sz w:val="20"/>
            <w:szCs w:val="20"/>
          </w:rPr>
          <w:fldChar w:fldCharType="begin"/>
        </w:r>
        <w:r w:rsidR="006D590B" w:rsidRPr="00A34C62">
          <w:rPr>
            <w:rFonts w:asciiTheme="minorHAnsi" w:hAnsiTheme="minorHAnsi" w:cstheme="minorHAnsi"/>
            <w:noProof/>
            <w:webHidden/>
            <w:sz w:val="20"/>
            <w:szCs w:val="20"/>
          </w:rPr>
          <w:instrText xml:space="preserve"> PAGEREF _Toc46749090 \h </w:instrText>
        </w:r>
        <w:r w:rsidR="006D590B" w:rsidRPr="00A34C62">
          <w:rPr>
            <w:rFonts w:asciiTheme="minorHAnsi" w:hAnsiTheme="minorHAnsi" w:cstheme="minorHAnsi"/>
            <w:noProof/>
            <w:webHidden/>
            <w:sz w:val="20"/>
            <w:szCs w:val="20"/>
          </w:rPr>
        </w:r>
        <w:r w:rsidR="006D590B" w:rsidRPr="00A34C62">
          <w:rPr>
            <w:rFonts w:asciiTheme="minorHAnsi" w:hAnsiTheme="minorHAnsi" w:cstheme="minorHAnsi"/>
            <w:noProof/>
            <w:webHidden/>
            <w:sz w:val="20"/>
            <w:szCs w:val="20"/>
          </w:rPr>
          <w:fldChar w:fldCharType="separate"/>
        </w:r>
        <w:r w:rsidR="00107491">
          <w:rPr>
            <w:rFonts w:asciiTheme="minorHAnsi" w:hAnsiTheme="minorHAnsi" w:cstheme="minorHAnsi"/>
            <w:noProof/>
            <w:webHidden/>
            <w:sz w:val="20"/>
            <w:szCs w:val="20"/>
          </w:rPr>
          <w:t xml:space="preserve">84 </w:t>
        </w:r>
        <w:r w:rsidR="006D590B" w:rsidRPr="00A34C62">
          <w:rPr>
            <w:rFonts w:asciiTheme="minorHAnsi" w:hAnsiTheme="minorHAnsi" w:cstheme="minorHAnsi"/>
            <w:noProof/>
            <w:webHidden/>
            <w:sz w:val="20"/>
            <w:szCs w:val="20"/>
          </w:rPr>
          <w:fldChar w:fldCharType="end"/>
        </w:r>
      </w:hyperlink>
    </w:p>
    <w:p w14:paraId="7BB2D497" w14:textId="77777777" w:rsidR="00601D9B" w:rsidRDefault="00B330C0">
      <w:pPr>
        <w:pStyle w:val="TM2"/>
        <w:rPr>
          <w:rFonts w:asciiTheme="minorHAnsi" w:eastAsiaTheme="minorEastAsia" w:hAnsiTheme="minorHAnsi" w:cstheme="minorHAnsi"/>
          <w:noProof/>
          <w:sz w:val="20"/>
          <w:szCs w:val="20"/>
        </w:rPr>
      </w:pPr>
      <w:hyperlink w:anchor="_Toc46749091" w:history="1">
        <w:r w:rsidR="006D590B" w:rsidRPr="00A34C62">
          <w:rPr>
            <w:rStyle w:val="Lienhypertexte"/>
            <w:rFonts w:asciiTheme="minorHAnsi" w:hAnsiTheme="minorHAnsi" w:cstheme="minorHAnsi"/>
            <w:noProof/>
            <w:sz w:val="20"/>
            <w:szCs w:val="20"/>
          </w:rPr>
          <w:t>Annexe 4 : Plan de travail pluriannuel</w:t>
        </w:r>
        <w:r w:rsidR="006D590B" w:rsidRPr="00A34C62">
          <w:rPr>
            <w:rFonts w:asciiTheme="minorHAnsi" w:hAnsiTheme="minorHAnsi" w:cstheme="minorHAnsi"/>
            <w:noProof/>
            <w:webHidden/>
            <w:sz w:val="20"/>
            <w:szCs w:val="20"/>
          </w:rPr>
          <w:tab/>
        </w:r>
        <w:r w:rsidR="006D590B" w:rsidRPr="00A34C62">
          <w:rPr>
            <w:rFonts w:asciiTheme="minorHAnsi" w:hAnsiTheme="minorHAnsi" w:cstheme="minorHAnsi"/>
            <w:noProof/>
            <w:webHidden/>
            <w:sz w:val="20"/>
            <w:szCs w:val="20"/>
          </w:rPr>
          <w:fldChar w:fldCharType="begin"/>
        </w:r>
        <w:r w:rsidR="006D590B" w:rsidRPr="00A34C62">
          <w:rPr>
            <w:rFonts w:asciiTheme="minorHAnsi" w:hAnsiTheme="minorHAnsi" w:cstheme="minorHAnsi"/>
            <w:noProof/>
            <w:webHidden/>
            <w:sz w:val="20"/>
            <w:szCs w:val="20"/>
          </w:rPr>
          <w:instrText xml:space="preserve"> PAGEREF _Toc46749091 \h </w:instrText>
        </w:r>
        <w:r w:rsidR="006D590B" w:rsidRPr="00A34C62">
          <w:rPr>
            <w:rFonts w:asciiTheme="minorHAnsi" w:hAnsiTheme="minorHAnsi" w:cstheme="minorHAnsi"/>
            <w:noProof/>
            <w:webHidden/>
            <w:sz w:val="20"/>
            <w:szCs w:val="20"/>
          </w:rPr>
        </w:r>
        <w:r w:rsidR="006D590B" w:rsidRPr="00A34C62">
          <w:rPr>
            <w:rFonts w:asciiTheme="minorHAnsi" w:hAnsiTheme="minorHAnsi" w:cstheme="minorHAnsi"/>
            <w:noProof/>
            <w:webHidden/>
            <w:sz w:val="20"/>
            <w:szCs w:val="20"/>
          </w:rPr>
          <w:fldChar w:fldCharType="separate"/>
        </w:r>
        <w:r w:rsidR="00107491">
          <w:rPr>
            <w:rFonts w:asciiTheme="minorHAnsi" w:hAnsiTheme="minorHAnsi" w:cstheme="minorHAnsi"/>
            <w:noProof/>
            <w:webHidden/>
            <w:sz w:val="20"/>
            <w:szCs w:val="20"/>
          </w:rPr>
          <w:t xml:space="preserve">85 </w:t>
        </w:r>
        <w:r w:rsidR="006D590B" w:rsidRPr="00A34C62">
          <w:rPr>
            <w:rFonts w:asciiTheme="minorHAnsi" w:hAnsiTheme="minorHAnsi" w:cstheme="minorHAnsi"/>
            <w:noProof/>
            <w:webHidden/>
            <w:sz w:val="20"/>
            <w:szCs w:val="20"/>
          </w:rPr>
          <w:fldChar w:fldCharType="end"/>
        </w:r>
      </w:hyperlink>
    </w:p>
    <w:p w14:paraId="1692A1FD" w14:textId="77777777" w:rsidR="00601D9B" w:rsidRDefault="00B330C0">
      <w:pPr>
        <w:pStyle w:val="TM2"/>
        <w:rPr>
          <w:rFonts w:asciiTheme="minorHAnsi" w:eastAsiaTheme="minorEastAsia" w:hAnsiTheme="minorHAnsi" w:cstheme="minorHAnsi"/>
          <w:noProof/>
          <w:sz w:val="20"/>
          <w:szCs w:val="20"/>
        </w:rPr>
      </w:pPr>
      <w:hyperlink w:anchor="_Toc46749092" w:history="1">
        <w:r w:rsidR="006D590B" w:rsidRPr="00A34C62">
          <w:rPr>
            <w:rStyle w:val="Lienhypertexte"/>
            <w:rFonts w:asciiTheme="minorHAnsi" w:hAnsiTheme="minorHAnsi" w:cstheme="minorHAnsi"/>
            <w:noProof/>
            <w:sz w:val="20"/>
            <w:szCs w:val="20"/>
          </w:rPr>
          <w:t>Annexe 5 : Plan de suivi</w:t>
        </w:r>
        <w:r w:rsidR="006D590B" w:rsidRPr="00A34C62">
          <w:rPr>
            <w:rFonts w:asciiTheme="minorHAnsi" w:hAnsiTheme="minorHAnsi" w:cstheme="minorHAnsi"/>
            <w:noProof/>
            <w:webHidden/>
            <w:sz w:val="20"/>
            <w:szCs w:val="20"/>
          </w:rPr>
          <w:tab/>
        </w:r>
        <w:r w:rsidR="006D590B" w:rsidRPr="00A34C62">
          <w:rPr>
            <w:rFonts w:asciiTheme="minorHAnsi" w:hAnsiTheme="minorHAnsi" w:cstheme="minorHAnsi"/>
            <w:noProof/>
            <w:webHidden/>
            <w:sz w:val="20"/>
            <w:szCs w:val="20"/>
          </w:rPr>
          <w:fldChar w:fldCharType="begin"/>
        </w:r>
        <w:r w:rsidR="006D590B" w:rsidRPr="00A34C62">
          <w:rPr>
            <w:rFonts w:asciiTheme="minorHAnsi" w:hAnsiTheme="minorHAnsi" w:cstheme="minorHAnsi"/>
            <w:noProof/>
            <w:webHidden/>
            <w:sz w:val="20"/>
            <w:szCs w:val="20"/>
          </w:rPr>
          <w:instrText xml:space="preserve"> PAGEREF _Toc46749092 \h </w:instrText>
        </w:r>
        <w:r w:rsidR="006D590B" w:rsidRPr="00A34C62">
          <w:rPr>
            <w:rFonts w:asciiTheme="minorHAnsi" w:hAnsiTheme="minorHAnsi" w:cstheme="minorHAnsi"/>
            <w:noProof/>
            <w:webHidden/>
            <w:sz w:val="20"/>
            <w:szCs w:val="20"/>
          </w:rPr>
        </w:r>
        <w:r w:rsidR="006D590B" w:rsidRPr="00A34C62">
          <w:rPr>
            <w:rFonts w:asciiTheme="minorHAnsi" w:hAnsiTheme="minorHAnsi" w:cstheme="minorHAnsi"/>
            <w:noProof/>
            <w:webHidden/>
            <w:sz w:val="20"/>
            <w:szCs w:val="20"/>
          </w:rPr>
          <w:fldChar w:fldCharType="separate"/>
        </w:r>
        <w:r w:rsidR="00107491">
          <w:rPr>
            <w:rFonts w:asciiTheme="minorHAnsi" w:hAnsiTheme="minorHAnsi" w:cstheme="minorHAnsi"/>
            <w:noProof/>
            <w:webHidden/>
            <w:sz w:val="20"/>
            <w:szCs w:val="20"/>
          </w:rPr>
          <w:t xml:space="preserve">86 </w:t>
        </w:r>
        <w:r w:rsidR="006D590B" w:rsidRPr="00A34C62">
          <w:rPr>
            <w:rFonts w:asciiTheme="minorHAnsi" w:hAnsiTheme="minorHAnsi" w:cstheme="minorHAnsi"/>
            <w:noProof/>
            <w:webHidden/>
            <w:sz w:val="20"/>
            <w:szCs w:val="20"/>
          </w:rPr>
          <w:fldChar w:fldCharType="end"/>
        </w:r>
      </w:hyperlink>
    </w:p>
    <w:p w14:paraId="125D2794" w14:textId="77777777" w:rsidR="00601D9B" w:rsidRDefault="00B330C0">
      <w:pPr>
        <w:pStyle w:val="TM2"/>
        <w:rPr>
          <w:rFonts w:asciiTheme="minorHAnsi" w:eastAsiaTheme="minorEastAsia" w:hAnsiTheme="minorHAnsi" w:cstheme="minorHAnsi"/>
          <w:noProof/>
          <w:sz w:val="20"/>
          <w:szCs w:val="20"/>
        </w:rPr>
      </w:pPr>
      <w:hyperlink w:anchor="_Toc46749093" w:history="1">
        <w:r w:rsidR="006D590B" w:rsidRPr="00A34C62">
          <w:rPr>
            <w:rStyle w:val="Lienhypertexte"/>
            <w:rFonts w:asciiTheme="minorHAnsi" w:hAnsiTheme="minorHAnsi" w:cstheme="minorHAnsi"/>
            <w:noProof/>
            <w:sz w:val="20"/>
            <w:szCs w:val="20"/>
          </w:rPr>
          <w:t>Annexe 6 : Procédure d'examen social et environnemental du PNUD (SESP)</w:t>
        </w:r>
        <w:r w:rsidR="006D590B" w:rsidRPr="00A34C62">
          <w:rPr>
            <w:rFonts w:asciiTheme="minorHAnsi" w:hAnsiTheme="minorHAnsi" w:cstheme="minorHAnsi"/>
            <w:noProof/>
            <w:webHidden/>
            <w:sz w:val="20"/>
            <w:szCs w:val="20"/>
          </w:rPr>
          <w:tab/>
        </w:r>
        <w:r w:rsidR="006D590B" w:rsidRPr="00A34C62">
          <w:rPr>
            <w:rFonts w:asciiTheme="minorHAnsi" w:hAnsiTheme="minorHAnsi" w:cstheme="minorHAnsi"/>
            <w:noProof/>
            <w:webHidden/>
            <w:sz w:val="20"/>
            <w:szCs w:val="20"/>
          </w:rPr>
          <w:fldChar w:fldCharType="begin"/>
        </w:r>
        <w:r w:rsidR="006D590B" w:rsidRPr="00A34C62">
          <w:rPr>
            <w:rFonts w:asciiTheme="minorHAnsi" w:hAnsiTheme="minorHAnsi" w:cstheme="minorHAnsi"/>
            <w:noProof/>
            <w:webHidden/>
            <w:sz w:val="20"/>
            <w:szCs w:val="20"/>
          </w:rPr>
          <w:instrText xml:space="preserve"> PAGEREF _Toc46749093 \h </w:instrText>
        </w:r>
        <w:r w:rsidR="006D590B" w:rsidRPr="00A34C62">
          <w:rPr>
            <w:rFonts w:asciiTheme="minorHAnsi" w:hAnsiTheme="minorHAnsi" w:cstheme="minorHAnsi"/>
            <w:noProof/>
            <w:webHidden/>
            <w:sz w:val="20"/>
            <w:szCs w:val="20"/>
          </w:rPr>
        </w:r>
        <w:r w:rsidR="006D590B" w:rsidRPr="00A34C62">
          <w:rPr>
            <w:rFonts w:asciiTheme="minorHAnsi" w:hAnsiTheme="minorHAnsi" w:cstheme="minorHAnsi"/>
            <w:noProof/>
            <w:webHidden/>
            <w:sz w:val="20"/>
            <w:szCs w:val="20"/>
          </w:rPr>
          <w:fldChar w:fldCharType="separate"/>
        </w:r>
        <w:r w:rsidR="00107491">
          <w:rPr>
            <w:rFonts w:asciiTheme="minorHAnsi" w:hAnsiTheme="minorHAnsi" w:cstheme="minorHAnsi"/>
            <w:noProof/>
            <w:webHidden/>
            <w:sz w:val="20"/>
            <w:szCs w:val="20"/>
          </w:rPr>
          <w:t xml:space="preserve">88 </w:t>
        </w:r>
        <w:r w:rsidR="006D590B" w:rsidRPr="00A34C62">
          <w:rPr>
            <w:rFonts w:asciiTheme="minorHAnsi" w:hAnsiTheme="minorHAnsi" w:cstheme="minorHAnsi"/>
            <w:noProof/>
            <w:webHidden/>
            <w:sz w:val="20"/>
            <w:szCs w:val="20"/>
          </w:rPr>
          <w:fldChar w:fldCharType="end"/>
        </w:r>
      </w:hyperlink>
    </w:p>
    <w:p w14:paraId="1AC402E1" w14:textId="77777777" w:rsidR="00601D9B" w:rsidRDefault="00B330C0">
      <w:pPr>
        <w:pStyle w:val="TM2"/>
        <w:rPr>
          <w:rFonts w:asciiTheme="minorHAnsi" w:eastAsiaTheme="minorEastAsia" w:hAnsiTheme="minorHAnsi" w:cstheme="minorHAnsi"/>
          <w:noProof/>
          <w:sz w:val="20"/>
          <w:szCs w:val="20"/>
        </w:rPr>
      </w:pPr>
      <w:hyperlink w:anchor="_Toc46749094" w:history="1">
        <w:r w:rsidR="006D590B" w:rsidRPr="00A34C62">
          <w:rPr>
            <w:rStyle w:val="Lienhypertexte"/>
            <w:rFonts w:asciiTheme="minorHAnsi" w:hAnsiTheme="minorHAnsi" w:cstheme="minorHAnsi"/>
            <w:noProof/>
            <w:sz w:val="20"/>
            <w:szCs w:val="20"/>
          </w:rPr>
          <w:t>Annexe 7 : Registre des risques du PNUD</w:t>
        </w:r>
        <w:r w:rsidR="006D590B" w:rsidRPr="00A34C62">
          <w:rPr>
            <w:rFonts w:asciiTheme="minorHAnsi" w:hAnsiTheme="minorHAnsi" w:cstheme="minorHAnsi"/>
            <w:noProof/>
            <w:webHidden/>
            <w:sz w:val="20"/>
            <w:szCs w:val="20"/>
          </w:rPr>
          <w:tab/>
        </w:r>
        <w:r w:rsidR="006D590B" w:rsidRPr="00A34C62">
          <w:rPr>
            <w:rFonts w:asciiTheme="minorHAnsi" w:hAnsiTheme="minorHAnsi" w:cstheme="minorHAnsi"/>
            <w:noProof/>
            <w:webHidden/>
            <w:sz w:val="20"/>
            <w:szCs w:val="20"/>
          </w:rPr>
          <w:fldChar w:fldCharType="begin"/>
        </w:r>
        <w:r w:rsidR="006D590B" w:rsidRPr="00A34C62">
          <w:rPr>
            <w:rFonts w:asciiTheme="minorHAnsi" w:hAnsiTheme="minorHAnsi" w:cstheme="minorHAnsi"/>
            <w:noProof/>
            <w:webHidden/>
            <w:sz w:val="20"/>
            <w:szCs w:val="20"/>
          </w:rPr>
          <w:instrText xml:space="preserve"> PAGEREF _Toc46749094 \h </w:instrText>
        </w:r>
        <w:r w:rsidR="006D590B" w:rsidRPr="00A34C62">
          <w:rPr>
            <w:rFonts w:asciiTheme="minorHAnsi" w:hAnsiTheme="minorHAnsi" w:cstheme="minorHAnsi"/>
            <w:noProof/>
            <w:webHidden/>
            <w:sz w:val="20"/>
            <w:szCs w:val="20"/>
          </w:rPr>
        </w:r>
        <w:r w:rsidR="006D590B" w:rsidRPr="00A34C62">
          <w:rPr>
            <w:rFonts w:asciiTheme="minorHAnsi" w:hAnsiTheme="minorHAnsi" w:cstheme="minorHAnsi"/>
            <w:noProof/>
            <w:webHidden/>
            <w:sz w:val="20"/>
            <w:szCs w:val="20"/>
          </w:rPr>
          <w:fldChar w:fldCharType="separate"/>
        </w:r>
        <w:r w:rsidR="00107491">
          <w:rPr>
            <w:rFonts w:asciiTheme="minorHAnsi" w:hAnsiTheme="minorHAnsi" w:cstheme="minorHAnsi"/>
            <w:noProof/>
            <w:webHidden/>
            <w:sz w:val="20"/>
            <w:szCs w:val="20"/>
          </w:rPr>
          <w:t xml:space="preserve">89 </w:t>
        </w:r>
        <w:r w:rsidR="006D590B" w:rsidRPr="00A34C62">
          <w:rPr>
            <w:rFonts w:asciiTheme="minorHAnsi" w:hAnsiTheme="minorHAnsi" w:cstheme="minorHAnsi"/>
            <w:noProof/>
            <w:webHidden/>
            <w:sz w:val="20"/>
            <w:szCs w:val="20"/>
          </w:rPr>
          <w:fldChar w:fldCharType="end"/>
        </w:r>
      </w:hyperlink>
    </w:p>
    <w:p w14:paraId="6CAF285C" w14:textId="77777777" w:rsidR="00601D9B" w:rsidRDefault="00B330C0">
      <w:pPr>
        <w:pStyle w:val="TM2"/>
        <w:rPr>
          <w:rFonts w:asciiTheme="minorHAnsi" w:eastAsiaTheme="minorEastAsia" w:hAnsiTheme="minorHAnsi" w:cstheme="minorHAnsi"/>
          <w:noProof/>
          <w:sz w:val="20"/>
          <w:szCs w:val="20"/>
        </w:rPr>
      </w:pPr>
      <w:hyperlink w:anchor="_Toc46749095" w:history="1">
        <w:r w:rsidR="006D590B" w:rsidRPr="00A34C62">
          <w:rPr>
            <w:rStyle w:val="Lienhypertexte"/>
            <w:rFonts w:asciiTheme="minorHAnsi" w:hAnsiTheme="minorHAnsi" w:cstheme="minorHAnsi"/>
            <w:noProof/>
            <w:sz w:val="20"/>
            <w:szCs w:val="20"/>
          </w:rPr>
          <w:t>Annexe 8 : Aperçu du personnel du projet et des consultants techniques</w:t>
        </w:r>
        <w:r w:rsidR="006D590B" w:rsidRPr="00A34C62">
          <w:rPr>
            <w:rFonts w:asciiTheme="minorHAnsi" w:hAnsiTheme="minorHAnsi" w:cstheme="minorHAnsi"/>
            <w:noProof/>
            <w:webHidden/>
            <w:sz w:val="20"/>
            <w:szCs w:val="20"/>
          </w:rPr>
          <w:tab/>
        </w:r>
        <w:r w:rsidR="006D590B" w:rsidRPr="00A34C62">
          <w:rPr>
            <w:rFonts w:asciiTheme="minorHAnsi" w:hAnsiTheme="minorHAnsi" w:cstheme="minorHAnsi"/>
            <w:noProof/>
            <w:webHidden/>
            <w:sz w:val="20"/>
            <w:szCs w:val="20"/>
          </w:rPr>
          <w:fldChar w:fldCharType="begin"/>
        </w:r>
        <w:r w:rsidR="006D590B" w:rsidRPr="00A34C62">
          <w:rPr>
            <w:rFonts w:asciiTheme="minorHAnsi" w:hAnsiTheme="minorHAnsi" w:cstheme="minorHAnsi"/>
            <w:noProof/>
            <w:webHidden/>
            <w:sz w:val="20"/>
            <w:szCs w:val="20"/>
          </w:rPr>
          <w:instrText xml:space="preserve"> PAGEREF _Toc46749095 \h </w:instrText>
        </w:r>
        <w:r w:rsidR="006D590B" w:rsidRPr="00A34C62">
          <w:rPr>
            <w:rFonts w:asciiTheme="minorHAnsi" w:hAnsiTheme="minorHAnsi" w:cstheme="minorHAnsi"/>
            <w:noProof/>
            <w:webHidden/>
            <w:sz w:val="20"/>
            <w:szCs w:val="20"/>
          </w:rPr>
        </w:r>
        <w:r w:rsidR="006D590B" w:rsidRPr="00A34C62">
          <w:rPr>
            <w:rFonts w:asciiTheme="minorHAnsi" w:hAnsiTheme="minorHAnsi" w:cstheme="minorHAnsi"/>
            <w:noProof/>
            <w:webHidden/>
            <w:sz w:val="20"/>
            <w:szCs w:val="20"/>
          </w:rPr>
          <w:fldChar w:fldCharType="separate"/>
        </w:r>
        <w:r w:rsidR="00107491">
          <w:rPr>
            <w:rFonts w:asciiTheme="minorHAnsi" w:hAnsiTheme="minorHAnsi" w:cstheme="minorHAnsi"/>
            <w:noProof/>
            <w:webHidden/>
            <w:sz w:val="20"/>
            <w:szCs w:val="20"/>
          </w:rPr>
          <w:t xml:space="preserve">92 </w:t>
        </w:r>
        <w:r w:rsidR="006D590B" w:rsidRPr="00A34C62">
          <w:rPr>
            <w:rFonts w:asciiTheme="minorHAnsi" w:hAnsiTheme="minorHAnsi" w:cstheme="minorHAnsi"/>
            <w:noProof/>
            <w:webHidden/>
            <w:sz w:val="20"/>
            <w:szCs w:val="20"/>
          </w:rPr>
          <w:fldChar w:fldCharType="end"/>
        </w:r>
      </w:hyperlink>
    </w:p>
    <w:p w14:paraId="16AC3B39" w14:textId="77777777" w:rsidR="00601D9B" w:rsidRDefault="00B330C0">
      <w:pPr>
        <w:pStyle w:val="TM2"/>
        <w:rPr>
          <w:rFonts w:asciiTheme="minorHAnsi" w:eastAsiaTheme="minorEastAsia" w:hAnsiTheme="minorHAnsi" w:cstheme="minorHAnsi"/>
          <w:noProof/>
          <w:sz w:val="20"/>
          <w:szCs w:val="20"/>
        </w:rPr>
      </w:pPr>
      <w:hyperlink w:anchor="_Toc46749096" w:history="1">
        <w:r w:rsidR="006D590B" w:rsidRPr="00A34C62">
          <w:rPr>
            <w:rStyle w:val="Lienhypertexte"/>
            <w:rFonts w:asciiTheme="minorHAnsi" w:hAnsiTheme="minorHAnsi" w:cstheme="minorHAnsi"/>
            <w:noProof/>
            <w:sz w:val="20"/>
            <w:szCs w:val="20"/>
          </w:rPr>
          <w:t>Annexe 9 : Plan d'engagement des parties prenantes</w:t>
        </w:r>
        <w:r w:rsidR="006D590B" w:rsidRPr="00A34C62">
          <w:rPr>
            <w:rFonts w:asciiTheme="minorHAnsi" w:hAnsiTheme="minorHAnsi" w:cstheme="minorHAnsi"/>
            <w:noProof/>
            <w:webHidden/>
            <w:sz w:val="20"/>
            <w:szCs w:val="20"/>
          </w:rPr>
          <w:tab/>
        </w:r>
        <w:r w:rsidR="006D590B" w:rsidRPr="00A34C62">
          <w:rPr>
            <w:rFonts w:asciiTheme="minorHAnsi" w:hAnsiTheme="minorHAnsi" w:cstheme="minorHAnsi"/>
            <w:noProof/>
            <w:webHidden/>
            <w:sz w:val="20"/>
            <w:szCs w:val="20"/>
          </w:rPr>
          <w:fldChar w:fldCharType="begin"/>
        </w:r>
        <w:r w:rsidR="006D590B" w:rsidRPr="00A34C62">
          <w:rPr>
            <w:rFonts w:asciiTheme="minorHAnsi" w:hAnsiTheme="minorHAnsi" w:cstheme="minorHAnsi"/>
            <w:noProof/>
            <w:webHidden/>
            <w:sz w:val="20"/>
            <w:szCs w:val="20"/>
          </w:rPr>
          <w:instrText xml:space="preserve"> PAGEREF _Toc46749096 \h </w:instrText>
        </w:r>
        <w:r w:rsidR="006D590B" w:rsidRPr="00A34C62">
          <w:rPr>
            <w:rFonts w:asciiTheme="minorHAnsi" w:hAnsiTheme="minorHAnsi" w:cstheme="minorHAnsi"/>
            <w:noProof/>
            <w:webHidden/>
            <w:sz w:val="20"/>
            <w:szCs w:val="20"/>
          </w:rPr>
        </w:r>
        <w:r w:rsidR="006D590B" w:rsidRPr="00A34C62">
          <w:rPr>
            <w:rFonts w:asciiTheme="minorHAnsi" w:hAnsiTheme="minorHAnsi" w:cstheme="minorHAnsi"/>
            <w:noProof/>
            <w:webHidden/>
            <w:sz w:val="20"/>
            <w:szCs w:val="20"/>
          </w:rPr>
          <w:fldChar w:fldCharType="separate"/>
        </w:r>
        <w:r w:rsidR="00107491">
          <w:rPr>
            <w:rFonts w:asciiTheme="minorHAnsi" w:hAnsiTheme="minorHAnsi" w:cstheme="minorHAnsi"/>
            <w:noProof/>
            <w:webHidden/>
            <w:sz w:val="20"/>
            <w:szCs w:val="20"/>
          </w:rPr>
          <w:t xml:space="preserve">98 </w:t>
        </w:r>
        <w:r w:rsidR="006D590B" w:rsidRPr="00A34C62">
          <w:rPr>
            <w:rFonts w:asciiTheme="minorHAnsi" w:hAnsiTheme="minorHAnsi" w:cstheme="minorHAnsi"/>
            <w:noProof/>
            <w:webHidden/>
            <w:sz w:val="20"/>
            <w:szCs w:val="20"/>
          </w:rPr>
          <w:fldChar w:fldCharType="end"/>
        </w:r>
      </w:hyperlink>
    </w:p>
    <w:p w14:paraId="6868BF77" w14:textId="77777777" w:rsidR="00601D9B" w:rsidRDefault="00B330C0">
      <w:pPr>
        <w:pStyle w:val="TM2"/>
        <w:rPr>
          <w:rFonts w:asciiTheme="minorHAnsi" w:eastAsiaTheme="minorEastAsia" w:hAnsiTheme="minorHAnsi" w:cstheme="minorHAnsi"/>
          <w:noProof/>
          <w:sz w:val="20"/>
          <w:szCs w:val="20"/>
        </w:rPr>
      </w:pPr>
      <w:hyperlink w:anchor="_Toc46749097" w:history="1">
        <w:r w:rsidR="006D590B" w:rsidRPr="00A34C62">
          <w:rPr>
            <w:rStyle w:val="Lienhypertexte"/>
            <w:rFonts w:asciiTheme="minorHAnsi" w:hAnsiTheme="minorHAnsi" w:cstheme="minorHAnsi"/>
            <w:noProof/>
            <w:sz w:val="20"/>
            <w:szCs w:val="20"/>
          </w:rPr>
          <w:t>Annexe 10 : Cadre de gestion environnementale et sociale (CGES) et autres cadres/plans de SES si nécessaire.</w:t>
        </w:r>
        <w:r w:rsidR="006D590B" w:rsidRPr="00A34C62">
          <w:rPr>
            <w:rFonts w:asciiTheme="minorHAnsi" w:hAnsiTheme="minorHAnsi" w:cstheme="minorHAnsi"/>
            <w:noProof/>
            <w:webHidden/>
            <w:sz w:val="20"/>
            <w:szCs w:val="20"/>
          </w:rPr>
          <w:tab/>
        </w:r>
        <w:r w:rsidR="006D590B" w:rsidRPr="00A34C62">
          <w:rPr>
            <w:rFonts w:asciiTheme="minorHAnsi" w:hAnsiTheme="minorHAnsi" w:cstheme="minorHAnsi"/>
            <w:noProof/>
            <w:webHidden/>
            <w:sz w:val="20"/>
            <w:szCs w:val="20"/>
          </w:rPr>
          <w:fldChar w:fldCharType="begin"/>
        </w:r>
        <w:r w:rsidR="006D590B" w:rsidRPr="00A34C62">
          <w:rPr>
            <w:rFonts w:asciiTheme="minorHAnsi" w:hAnsiTheme="minorHAnsi" w:cstheme="minorHAnsi"/>
            <w:noProof/>
            <w:webHidden/>
            <w:sz w:val="20"/>
            <w:szCs w:val="20"/>
          </w:rPr>
          <w:instrText xml:space="preserve"> PAGEREF _Toc46749097 \h </w:instrText>
        </w:r>
        <w:r w:rsidR="006D590B" w:rsidRPr="00A34C62">
          <w:rPr>
            <w:rFonts w:asciiTheme="minorHAnsi" w:hAnsiTheme="minorHAnsi" w:cstheme="minorHAnsi"/>
            <w:noProof/>
            <w:webHidden/>
            <w:sz w:val="20"/>
            <w:szCs w:val="20"/>
          </w:rPr>
        </w:r>
        <w:r w:rsidR="006D590B" w:rsidRPr="00A34C62">
          <w:rPr>
            <w:rFonts w:asciiTheme="minorHAnsi" w:hAnsiTheme="minorHAnsi" w:cstheme="minorHAnsi"/>
            <w:noProof/>
            <w:webHidden/>
            <w:sz w:val="20"/>
            <w:szCs w:val="20"/>
          </w:rPr>
          <w:fldChar w:fldCharType="separate"/>
        </w:r>
        <w:r w:rsidR="00107491">
          <w:rPr>
            <w:rFonts w:asciiTheme="minorHAnsi" w:hAnsiTheme="minorHAnsi" w:cstheme="minorHAnsi"/>
            <w:noProof/>
            <w:webHidden/>
            <w:sz w:val="20"/>
            <w:szCs w:val="20"/>
          </w:rPr>
          <w:t xml:space="preserve">99 </w:t>
        </w:r>
        <w:r w:rsidR="006D590B" w:rsidRPr="00A34C62">
          <w:rPr>
            <w:rFonts w:asciiTheme="minorHAnsi" w:hAnsiTheme="minorHAnsi" w:cstheme="minorHAnsi"/>
            <w:noProof/>
            <w:webHidden/>
            <w:sz w:val="20"/>
            <w:szCs w:val="20"/>
          </w:rPr>
          <w:fldChar w:fldCharType="end"/>
        </w:r>
      </w:hyperlink>
    </w:p>
    <w:p w14:paraId="15861632" w14:textId="77777777" w:rsidR="00601D9B" w:rsidRDefault="00B330C0">
      <w:pPr>
        <w:pStyle w:val="TM2"/>
        <w:rPr>
          <w:rFonts w:asciiTheme="minorHAnsi" w:eastAsiaTheme="minorEastAsia" w:hAnsiTheme="minorHAnsi" w:cstheme="minorHAnsi"/>
          <w:noProof/>
          <w:sz w:val="20"/>
          <w:szCs w:val="20"/>
        </w:rPr>
      </w:pPr>
      <w:hyperlink w:anchor="_Toc46749098" w:history="1">
        <w:r w:rsidR="006D590B" w:rsidRPr="00A34C62">
          <w:rPr>
            <w:rStyle w:val="Lienhypertexte"/>
            <w:rFonts w:asciiTheme="minorHAnsi" w:hAnsiTheme="minorHAnsi" w:cstheme="minorHAnsi"/>
            <w:noProof/>
            <w:sz w:val="20"/>
            <w:szCs w:val="20"/>
          </w:rPr>
          <w:t>Annexe 11 : Analyse de genre et plan d'action de genre</w:t>
        </w:r>
        <w:r w:rsidR="006D590B" w:rsidRPr="00A34C62">
          <w:rPr>
            <w:rFonts w:asciiTheme="minorHAnsi" w:hAnsiTheme="minorHAnsi" w:cstheme="minorHAnsi"/>
            <w:noProof/>
            <w:webHidden/>
            <w:sz w:val="20"/>
            <w:szCs w:val="20"/>
          </w:rPr>
          <w:tab/>
        </w:r>
        <w:r w:rsidR="006D590B" w:rsidRPr="00A34C62">
          <w:rPr>
            <w:rFonts w:asciiTheme="minorHAnsi" w:hAnsiTheme="minorHAnsi" w:cstheme="minorHAnsi"/>
            <w:noProof/>
            <w:webHidden/>
            <w:sz w:val="20"/>
            <w:szCs w:val="20"/>
          </w:rPr>
          <w:fldChar w:fldCharType="begin"/>
        </w:r>
        <w:r w:rsidR="006D590B" w:rsidRPr="00A34C62">
          <w:rPr>
            <w:rFonts w:asciiTheme="minorHAnsi" w:hAnsiTheme="minorHAnsi" w:cstheme="minorHAnsi"/>
            <w:noProof/>
            <w:webHidden/>
            <w:sz w:val="20"/>
            <w:szCs w:val="20"/>
          </w:rPr>
          <w:instrText xml:space="preserve"> PAGEREF _Toc46749098 \h </w:instrText>
        </w:r>
        <w:r w:rsidR="006D590B" w:rsidRPr="00A34C62">
          <w:rPr>
            <w:rFonts w:asciiTheme="minorHAnsi" w:hAnsiTheme="minorHAnsi" w:cstheme="minorHAnsi"/>
            <w:noProof/>
            <w:webHidden/>
            <w:sz w:val="20"/>
            <w:szCs w:val="20"/>
          </w:rPr>
        </w:r>
        <w:r w:rsidR="006D590B" w:rsidRPr="00A34C62">
          <w:rPr>
            <w:rFonts w:asciiTheme="minorHAnsi" w:hAnsiTheme="minorHAnsi" w:cstheme="minorHAnsi"/>
            <w:noProof/>
            <w:webHidden/>
            <w:sz w:val="20"/>
            <w:szCs w:val="20"/>
          </w:rPr>
          <w:fldChar w:fldCharType="separate"/>
        </w:r>
        <w:r w:rsidR="00107491">
          <w:rPr>
            <w:rFonts w:asciiTheme="minorHAnsi" w:hAnsiTheme="minorHAnsi" w:cstheme="minorHAnsi"/>
            <w:noProof/>
            <w:webHidden/>
            <w:sz w:val="20"/>
            <w:szCs w:val="20"/>
          </w:rPr>
          <w:t xml:space="preserve">99 </w:t>
        </w:r>
        <w:r w:rsidR="006D590B" w:rsidRPr="00A34C62">
          <w:rPr>
            <w:rFonts w:asciiTheme="minorHAnsi" w:hAnsiTheme="minorHAnsi" w:cstheme="minorHAnsi"/>
            <w:noProof/>
            <w:webHidden/>
            <w:sz w:val="20"/>
            <w:szCs w:val="20"/>
          </w:rPr>
          <w:fldChar w:fldCharType="end"/>
        </w:r>
      </w:hyperlink>
    </w:p>
    <w:p w14:paraId="540E2719" w14:textId="77777777" w:rsidR="00601D9B" w:rsidRDefault="00B330C0">
      <w:pPr>
        <w:pStyle w:val="TM2"/>
        <w:rPr>
          <w:rFonts w:asciiTheme="minorHAnsi" w:eastAsiaTheme="minorEastAsia" w:hAnsiTheme="minorHAnsi" w:cstheme="minorHAnsi"/>
          <w:noProof/>
          <w:sz w:val="20"/>
          <w:szCs w:val="20"/>
        </w:rPr>
      </w:pPr>
      <w:hyperlink w:anchor="_Toc46749099" w:history="1">
        <w:r w:rsidR="006D590B" w:rsidRPr="00A34C62">
          <w:rPr>
            <w:rStyle w:val="Lienhypertexte"/>
            <w:rFonts w:asciiTheme="minorHAnsi" w:hAnsiTheme="minorHAnsi" w:cstheme="minorHAnsi"/>
            <w:noProof/>
            <w:sz w:val="20"/>
            <w:szCs w:val="20"/>
          </w:rPr>
          <w:t>Annexe 12 : Plan de passation des marchés</w:t>
        </w:r>
        <w:r w:rsidR="006D590B" w:rsidRPr="00A34C62">
          <w:rPr>
            <w:rFonts w:asciiTheme="minorHAnsi" w:hAnsiTheme="minorHAnsi" w:cstheme="minorHAnsi"/>
            <w:noProof/>
            <w:webHidden/>
            <w:sz w:val="20"/>
            <w:szCs w:val="20"/>
          </w:rPr>
          <w:tab/>
        </w:r>
        <w:r w:rsidR="006D590B" w:rsidRPr="00A34C62">
          <w:rPr>
            <w:rFonts w:asciiTheme="minorHAnsi" w:hAnsiTheme="minorHAnsi" w:cstheme="minorHAnsi"/>
            <w:noProof/>
            <w:webHidden/>
            <w:sz w:val="20"/>
            <w:szCs w:val="20"/>
          </w:rPr>
          <w:fldChar w:fldCharType="begin"/>
        </w:r>
        <w:r w:rsidR="006D590B" w:rsidRPr="00A34C62">
          <w:rPr>
            <w:rFonts w:asciiTheme="minorHAnsi" w:hAnsiTheme="minorHAnsi" w:cstheme="minorHAnsi"/>
            <w:noProof/>
            <w:webHidden/>
            <w:sz w:val="20"/>
            <w:szCs w:val="20"/>
          </w:rPr>
          <w:instrText xml:space="preserve"> PAGEREF _Toc46749099 \h </w:instrText>
        </w:r>
        <w:r w:rsidR="006D590B" w:rsidRPr="00A34C62">
          <w:rPr>
            <w:rFonts w:asciiTheme="minorHAnsi" w:hAnsiTheme="minorHAnsi" w:cstheme="minorHAnsi"/>
            <w:noProof/>
            <w:webHidden/>
            <w:sz w:val="20"/>
            <w:szCs w:val="20"/>
          </w:rPr>
        </w:r>
        <w:r w:rsidR="006D590B" w:rsidRPr="00A34C62">
          <w:rPr>
            <w:rFonts w:asciiTheme="minorHAnsi" w:hAnsiTheme="minorHAnsi" w:cstheme="minorHAnsi"/>
            <w:noProof/>
            <w:webHidden/>
            <w:sz w:val="20"/>
            <w:szCs w:val="20"/>
          </w:rPr>
          <w:fldChar w:fldCharType="separate"/>
        </w:r>
        <w:r w:rsidR="00107491">
          <w:rPr>
            <w:rFonts w:asciiTheme="minorHAnsi" w:hAnsiTheme="minorHAnsi" w:cstheme="minorHAnsi"/>
            <w:noProof/>
            <w:webHidden/>
            <w:sz w:val="20"/>
            <w:szCs w:val="20"/>
          </w:rPr>
          <w:t xml:space="preserve">99 </w:t>
        </w:r>
        <w:r w:rsidR="006D590B" w:rsidRPr="00A34C62">
          <w:rPr>
            <w:rFonts w:asciiTheme="minorHAnsi" w:hAnsiTheme="minorHAnsi" w:cstheme="minorHAnsi"/>
            <w:noProof/>
            <w:webHidden/>
            <w:sz w:val="20"/>
            <w:szCs w:val="20"/>
          </w:rPr>
          <w:fldChar w:fldCharType="end"/>
        </w:r>
      </w:hyperlink>
    </w:p>
    <w:p w14:paraId="3DFEC6FE" w14:textId="77777777" w:rsidR="00601D9B" w:rsidRDefault="00B330C0">
      <w:pPr>
        <w:pStyle w:val="TM2"/>
        <w:rPr>
          <w:rFonts w:asciiTheme="minorHAnsi" w:eastAsiaTheme="minorEastAsia" w:hAnsiTheme="minorHAnsi" w:cstheme="minorHAnsi"/>
          <w:noProof/>
          <w:sz w:val="20"/>
          <w:szCs w:val="20"/>
        </w:rPr>
      </w:pPr>
      <w:hyperlink w:anchor="_Toc46749100" w:history="1">
        <w:r w:rsidR="006D590B" w:rsidRPr="00A34C62">
          <w:rPr>
            <w:rStyle w:val="Lienhypertexte"/>
            <w:rFonts w:asciiTheme="minorHAnsi" w:hAnsiTheme="minorHAnsi" w:cstheme="minorHAnsi"/>
            <w:noProof/>
            <w:sz w:val="20"/>
            <w:szCs w:val="20"/>
            <w:lang w:val="en-GB" w:eastAsia="ja-JP"/>
          </w:rPr>
          <w:t>Annexe 13 : Annexes spécifiques aux domaines d'intervention du FEM</w:t>
        </w:r>
        <w:r w:rsidR="006D590B" w:rsidRPr="00A34C62">
          <w:rPr>
            <w:rFonts w:asciiTheme="minorHAnsi" w:hAnsiTheme="minorHAnsi" w:cstheme="minorHAnsi"/>
            <w:noProof/>
            <w:webHidden/>
            <w:sz w:val="20"/>
            <w:szCs w:val="20"/>
          </w:rPr>
          <w:tab/>
        </w:r>
        <w:r w:rsidR="006D590B" w:rsidRPr="00A34C62">
          <w:rPr>
            <w:rFonts w:asciiTheme="minorHAnsi" w:hAnsiTheme="minorHAnsi" w:cstheme="minorHAnsi"/>
            <w:noProof/>
            <w:webHidden/>
            <w:sz w:val="20"/>
            <w:szCs w:val="20"/>
          </w:rPr>
          <w:fldChar w:fldCharType="begin"/>
        </w:r>
        <w:r w:rsidR="006D590B" w:rsidRPr="00A34C62">
          <w:rPr>
            <w:rFonts w:asciiTheme="minorHAnsi" w:hAnsiTheme="minorHAnsi" w:cstheme="minorHAnsi"/>
            <w:noProof/>
            <w:webHidden/>
            <w:sz w:val="20"/>
            <w:szCs w:val="20"/>
          </w:rPr>
          <w:instrText xml:space="preserve"> PAGEREF _Toc46749100 \h </w:instrText>
        </w:r>
        <w:r w:rsidR="006D590B" w:rsidRPr="00A34C62">
          <w:rPr>
            <w:rFonts w:asciiTheme="minorHAnsi" w:hAnsiTheme="minorHAnsi" w:cstheme="minorHAnsi"/>
            <w:noProof/>
            <w:webHidden/>
            <w:sz w:val="20"/>
            <w:szCs w:val="20"/>
          </w:rPr>
        </w:r>
        <w:r w:rsidR="006D590B" w:rsidRPr="00A34C62">
          <w:rPr>
            <w:rFonts w:asciiTheme="minorHAnsi" w:hAnsiTheme="minorHAnsi" w:cstheme="minorHAnsi"/>
            <w:noProof/>
            <w:webHidden/>
            <w:sz w:val="20"/>
            <w:szCs w:val="20"/>
          </w:rPr>
          <w:fldChar w:fldCharType="separate"/>
        </w:r>
        <w:r w:rsidR="00107491">
          <w:rPr>
            <w:rFonts w:asciiTheme="minorHAnsi" w:hAnsiTheme="minorHAnsi" w:cstheme="minorHAnsi"/>
            <w:noProof/>
            <w:webHidden/>
            <w:sz w:val="20"/>
            <w:szCs w:val="20"/>
          </w:rPr>
          <w:t xml:space="preserve">99 </w:t>
        </w:r>
        <w:r w:rsidR="006D590B" w:rsidRPr="00A34C62">
          <w:rPr>
            <w:rFonts w:asciiTheme="minorHAnsi" w:hAnsiTheme="minorHAnsi" w:cstheme="minorHAnsi"/>
            <w:noProof/>
            <w:webHidden/>
            <w:sz w:val="20"/>
            <w:szCs w:val="20"/>
          </w:rPr>
          <w:fldChar w:fldCharType="end"/>
        </w:r>
      </w:hyperlink>
    </w:p>
    <w:p w14:paraId="7224E11A" w14:textId="77777777" w:rsidR="00601D9B" w:rsidRDefault="00B330C0">
      <w:pPr>
        <w:pStyle w:val="TM2"/>
        <w:rPr>
          <w:rFonts w:asciiTheme="minorHAnsi" w:eastAsiaTheme="minorEastAsia" w:hAnsiTheme="minorHAnsi" w:cstheme="minorHAnsi"/>
          <w:noProof/>
          <w:sz w:val="20"/>
          <w:szCs w:val="20"/>
        </w:rPr>
      </w:pPr>
      <w:hyperlink w:anchor="_Toc46749101" w:history="1">
        <w:r w:rsidR="006D590B" w:rsidRPr="00A34C62">
          <w:rPr>
            <w:rStyle w:val="Lienhypertexte"/>
            <w:rFonts w:asciiTheme="minorHAnsi" w:hAnsiTheme="minorHAnsi" w:cstheme="minorHAnsi"/>
            <w:noProof/>
            <w:sz w:val="20"/>
            <w:szCs w:val="20"/>
            <w:lang w:val="en-GB" w:eastAsia="ja-JP"/>
          </w:rPr>
          <w:t>Annexe 14 : Accords complémentaires</w:t>
        </w:r>
        <w:r w:rsidR="006D590B" w:rsidRPr="00A34C62">
          <w:rPr>
            <w:rFonts w:asciiTheme="minorHAnsi" w:hAnsiTheme="minorHAnsi" w:cstheme="minorHAnsi"/>
            <w:noProof/>
            <w:webHidden/>
            <w:sz w:val="20"/>
            <w:szCs w:val="20"/>
          </w:rPr>
          <w:tab/>
        </w:r>
        <w:r w:rsidR="006D590B" w:rsidRPr="00A34C62">
          <w:rPr>
            <w:rFonts w:asciiTheme="minorHAnsi" w:hAnsiTheme="minorHAnsi" w:cstheme="minorHAnsi"/>
            <w:noProof/>
            <w:webHidden/>
            <w:sz w:val="20"/>
            <w:szCs w:val="20"/>
          </w:rPr>
          <w:fldChar w:fldCharType="begin"/>
        </w:r>
        <w:r w:rsidR="006D590B" w:rsidRPr="00A34C62">
          <w:rPr>
            <w:rFonts w:asciiTheme="minorHAnsi" w:hAnsiTheme="minorHAnsi" w:cstheme="minorHAnsi"/>
            <w:noProof/>
            <w:webHidden/>
            <w:sz w:val="20"/>
            <w:szCs w:val="20"/>
          </w:rPr>
          <w:instrText xml:space="preserve"> PAGEREF _Toc46749101 \h </w:instrText>
        </w:r>
        <w:r w:rsidR="006D590B" w:rsidRPr="00A34C62">
          <w:rPr>
            <w:rFonts w:asciiTheme="minorHAnsi" w:hAnsiTheme="minorHAnsi" w:cstheme="minorHAnsi"/>
            <w:noProof/>
            <w:webHidden/>
            <w:sz w:val="20"/>
            <w:szCs w:val="20"/>
          </w:rPr>
        </w:r>
        <w:r w:rsidR="006D590B" w:rsidRPr="00A34C62">
          <w:rPr>
            <w:rFonts w:asciiTheme="minorHAnsi" w:hAnsiTheme="minorHAnsi" w:cstheme="minorHAnsi"/>
            <w:noProof/>
            <w:webHidden/>
            <w:sz w:val="20"/>
            <w:szCs w:val="20"/>
          </w:rPr>
          <w:fldChar w:fldCharType="separate"/>
        </w:r>
        <w:r w:rsidR="00107491">
          <w:rPr>
            <w:rFonts w:asciiTheme="minorHAnsi" w:hAnsiTheme="minorHAnsi" w:cstheme="minorHAnsi"/>
            <w:noProof/>
            <w:webHidden/>
            <w:sz w:val="20"/>
            <w:szCs w:val="20"/>
          </w:rPr>
          <w:t xml:space="preserve">99 </w:t>
        </w:r>
        <w:r w:rsidR="006D590B" w:rsidRPr="00A34C62">
          <w:rPr>
            <w:rFonts w:asciiTheme="minorHAnsi" w:hAnsiTheme="minorHAnsi" w:cstheme="minorHAnsi"/>
            <w:noProof/>
            <w:webHidden/>
            <w:sz w:val="20"/>
            <w:szCs w:val="20"/>
          </w:rPr>
          <w:fldChar w:fldCharType="end"/>
        </w:r>
      </w:hyperlink>
    </w:p>
    <w:p w14:paraId="0BDC92B1" w14:textId="77777777" w:rsidR="00601D9B" w:rsidRDefault="00B330C0">
      <w:pPr>
        <w:pStyle w:val="TM2"/>
        <w:rPr>
          <w:rFonts w:asciiTheme="minorHAnsi" w:eastAsiaTheme="minorEastAsia" w:hAnsiTheme="minorHAnsi" w:cstheme="minorHAnsi"/>
          <w:noProof/>
          <w:sz w:val="20"/>
          <w:szCs w:val="20"/>
        </w:rPr>
      </w:pPr>
      <w:hyperlink w:anchor="_Toc46749102" w:history="1">
        <w:r w:rsidR="006D590B" w:rsidRPr="00A34C62">
          <w:rPr>
            <w:rStyle w:val="Lienhypertexte"/>
            <w:rFonts w:asciiTheme="minorHAnsi" w:hAnsiTheme="minorHAnsi" w:cstheme="minorHAnsi"/>
            <w:noProof/>
            <w:sz w:val="20"/>
            <w:szCs w:val="20"/>
          </w:rPr>
          <w:t>Annexe 15 : Indicateurs de base du FEM</w:t>
        </w:r>
        <w:r w:rsidR="006D590B" w:rsidRPr="00A34C62">
          <w:rPr>
            <w:rFonts w:asciiTheme="minorHAnsi" w:hAnsiTheme="minorHAnsi" w:cstheme="minorHAnsi"/>
            <w:noProof/>
            <w:webHidden/>
            <w:sz w:val="20"/>
            <w:szCs w:val="20"/>
          </w:rPr>
          <w:tab/>
        </w:r>
        <w:r w:rsidR="006D590B" w:rsidRPr="00A34C62">
          <w:rPr>
            <w:rFonts w:asciiTheme="minorHAnsi" w:hAnsiTheme="minorHAnsi" w:cstheme="minorHAnsi"/>
            <w:noProof/>
            <w:webHidden/>
            <w:sz w:val="20"/>
            <w:szCs w:val="20"/>
          </w:rPr>
          <w:fldChar w:fldCharType="begin"/>
        </w:r>
        <w:r w:rsidR="006D590B" w:rsidRPr="00A34C62">
          <w:rPr>
            <w:rFonts w:asciiTheme="minorHAnsi" w:hAnsiTheme="minorHAnsi" w:cstheme="minorHAnsi"/>
            <w:noProof/>
            <w:webHidden/>
            <w:sz w:val="20"/>
            <w:szCs w:val="20"/>
          </w:rPr>
          <w:instrText xml:space="preserve"> PAGEREF _Toc46749102 \h </w:instrText>
        </w:r>
        <w:r w:rsidR="006D590B" w:rsidRPr="00A34C62">
          <w:rPr>
            <w:rFonts w:asciiTheme="minorHAnsi" w:hAnsiTheme="minorHAnsi" w:cstheme="minorHAnsi"/>
            <w:noProof/>
            <w:webHidden/>
            <w:sz w:val="20"/>
            <w:szCs w:val="20"/>
          </w:rPr>
        </w:r>
        <w:r w:rsidR="006D590B" w:rsidRPr="00A34C62">
          <w:rPr>
            <w:rFonts w:asciiTheme="minorHAnsi" w:hAnsiTheme="minorHAnsi" w:cstheme="minorHAnsi"/>
            <w:noProof/>
            <w:webHidden/>
            <w:sz w:val="20"/>
            <w:szCs w:val="20"/>
          </w:rPr>
          <w:fldChar w:fldCharType="separate"/>
        </w:r>
        <w:r w:rsidR="00107491">
          <w:rPr>
            <w:rFonts w:asciiTheme="minorHAnsi" w:hAnsiTheme="minorHAnsi" w:cstheme="minorHAnsi"/>
            <w:noProof/>
            <w:webHidden/>
            <w:sz w:val="20"/>
            <w:szCs w:val="20"/>
          </w:rPr>
          <w:t xml:space="preserve">100 </w:t>
        </w:r>
        <w:r w:rsidR="006D590B" w:rsidRPr="00A34C62">
          <w:rPr>
            <w:rFonts w:asciiTheme="minorHAnsi" w:hAnsiTheme="minorHAnsi" w:cstheme="minorHAnsi"/>
            <w:noProof/>
            <w:webHidden/>
            <w:sz w:val="20"/>
            <w:szCs w:val="20"/>
          </w:rPr>
          <w:fldChar w:fldCharType="end"/>
        </w:r>
      </w:hyperlink>
    </w:p>
    <w:p w14:paraId="27F447AD" w14:textId="77777777" w:rsidR="00601D9B" w:rsidRDefault="00B330C0">
      <w:pPr>
        <w:pStyle w:val="TM2"/>
        <w:rPr>
          <w:rFonts w:asciiTheme="minorHAnsi" w:eastAsiaTheme="minorEastAsia" w:hAnsiTheme="minorHAnsi" w:cstheme="minorHAnsi"/>
          <w:noProof/>
          <w:sz w:val="20"/>
          <w:szCs w:val="20"/>
        </w:rPr>
      </w:pPr>
      <w:hyperlink w:anchor="_Toc46749103" w:history="1">
        <w:r w:rsidR="006D590B" w:rsidRPr="00A34C62">
          <w:rPr>
            <w:rStyle w:val="Lienhypertexte"/>
            <w:rFonts w:asciiTheme="minorHAnsi" w:hAnsiTheme="minorHAnsi" w:cstheme="minorHAnsi"/>
            <w:noProof/>
            <w:sz w:val="20"/>
            <w:szCs w:val="20"/>
          </w:rPr>
          <w:t>Annexe 16 : Taxonomie du FEM 7</w:t>
        </w:r>
        <w:r w:rsidR="006D590B" w:rsidRPr="00A34C62">
          <w:rPr>
            <w:rFonts w:asciiTheme="minorHAnsi" w:hAnsiTheme="minorHAnsi" w:cstheme="minorHAnsi"/>
            <w:noProof/>
            <w:webHidden/>
            <w:sz w:val="20"/>
            <w:szCs w:val="20"/>
          </w:rPr>
          <w:tab/>
        </w:r>
        <w:r w:rsidR="006D590B" w:rsidRPr="00A34C62">
          <w:rPr>
            <w:rFonts w:asciiTheme="minorHAnsi" w:hAnsiTheme="minorHAnsi" w:cstheme="minorHAnsi"/>
            <w:noProof/>
            <w:webHidden/>
            <w:sz w:val="20"/>
            <w:szCs w:val="20"/>
          </w:rPr>
          <w:fldChar w:fldCharType="begin"/>
        </w:r>
        <w:r w:rsidR="006D590B" w:rsidRPr="00A34C62">
          <w:rPr>
            <w:rFonts w:asciiTheme="minorHAnsi" w:hAnsiTheme="minorHAnsi" w:cstheme="minorHAnsi"/>
            <w:noProof/>
            <w:webHidden/>
            <w:sz w:val="20"/>
            <w:szCs w:val="20"/>
          </w:rPr>
          <w:instrText xml:space="preserve"> PAGEREF _Toc46749103 \h </w:instrText>
        </w:r>
        <w:r w:rsidR="006D590B" w:rsidRPr="00A34C62">
          <w:rPr>
            <w:rFonts w:asciiTheme="minorHAnsi" w:hAnsiTheme="minorHAnsi" w:cstheme="minorHAnsi"/>
            <w:noProof/>
            <w:webHidden/>
            <w:sz w:val="20"/>
            <w:szCs w:val="20"/>
          </w:rPr>
        </w:r>
        <w:r w:rsidR="006D590B" w:rsidRPr="00A34C62">
          <w:rPr>
            <w:rFonts w:asciiTheme="minorHAnsi" w:hAnsiTheme="minorHAnsi" w:cstheme="minorHAnsi"/>
            <w:noProof/>
            <w:webHidden/>
            <w:sz w:val="20"/>
            <w:szCs w:val="20"/>
          </w:rPr>
          <w:fldChar w:fldCharType="separate"/>
        </w:r>
        <w:r w:rsidR="00107491">
          <w:rPr>
            <w:rFonts w:asciiTheme="minorHAnsi" w:hAnsiTheme="minorHAnsi" w:cstheme="minorHAnsi"/>
            <w:noProof/>
            <w:webHidden/>
            <w:sz w:val="20"/>
            <w:szCs w:val="20"/>
          </w:rPr>
          <w:t xml:space="preserve">107 </w:t>
        </w:r>
        <w:r w:rsidR="006D590B" w:rsidRPr="00A34C62">
          <w:rPr>
            <w:rFonts w:asciiTheme="minorHAnsi" w:hAnsiTheme="minorHAnsi" w:cstheme="minorHAnsi"/>
            <w:noProof/>
            <w:webHidden/>
            <w:sz w:val="20"/>
            <w:szCs w:val="20"/>
          </w:rPr>
          <w:fldChar w:fldCharType="end"/>
        </w:r>
      </w:hyperlink>
    </w:p>
    <w:p w14:paraId="616E743D" w14:textId="77777777" w:rsidR="00905BC9" w:rsidRDefault="00D64EA4" w:rsidP="005D330B">
      <w:pPr>
        <w:spacing w:after="240"/>
        <w:rPr>
          <w:b/>
          <w:bCs/>
          <w:noProof/>
          <w:szCs w:val="20"/>
        </w:rPr>
      </w:pPr>
      <w:r w:rsidRPr="00A34C62">
        <w:rPr>
          <w:rFonts w:asciiTheme="minorHAnsi" w:hAnsiTheme="minorHAnsi" w:cstheme="minorHAnsi"/>
          <w:b/>
          <w:bCs/>
          <w:noProof/>
          <w:sz w:val="20"/>
          <w:szCs w:val="20"/>
        </w:rPr>
        <w:fldChar w:fldCharType="end"/>
      </w:r>
    </w:p>
    <w:p w14:paraId="656E316F" w14:textId="77777777" w:rsidR="00905BC9" w:rsidRDefault="00905BC9">
      <w:pPr>
        <w:rPr>
          <w:b/>
          <w:bCs/>
          <w:noProof/>
          <w:szCs w:val="20"/>
        </w:rPr>
      </w:pPr>
      <w:r>
        <w:rPr>
          <w:b/>
          <w:bCs/>
          <w:noProof/>
          <w:szCs w:val="20"/>
        </w:rPr>
        <w:br w:type="page"/>
      </w:r>
    </w:p>
    <w:p w14:paraId="4F6B5108" w14:textId="77777777" w:rsidR="00601D9B" w:rsidRDefault="000E53A0">
      <w:pPr>
        <w:pStyle w:val="Titre2"/>
        <w:rPr>
          <w:rFonts w:asciiTheme="minorHAnsi" w:hAnsiTheme="minorHAnsi" w:cstheme="minorHAnsi"/>
        </w:rPr>
      </w:pPr>
      <w:r w:rsidRPr="00861083">
        <w:rPr>
          <w:rFonts w:asciiTheme="minorHAnsi" w:hAnsiTheme="minorHAnsi" w:cstheme="minorHAnsi"/>
        </w:rPr>
        <w:lastRenderedPageBreak/>
        <w:t>Acronymes</w:t>
      </w:r>
    </w:p>
    <w:p w14:paraId="63107459" w14:textId="77777777" w:rsidR="00AE31A1" w:rsidRPr="00AE31A1" w:rsidRDefault="00AE31A1" w:rsidP="005D330B">
      <w:pPr>
        <w:spacing w:after="240"/>
        <w:rPr>
          <w:rFonts w:cs="Arial"/>
          <w:i/>
          <w:szCs w:val="20"/>
        </w:rPr>
      </w:pPr>
    </w:p>
    <w:tbl>
      <w:tblPr>
        <w:tblW w:w="0" w:type="auto"/>
        <w:tblBorders>
          <w:bottom w:val="single" w:sz="4" w:space="0" w:color="auto"/>
        </w:tblBorders>
        <w:tblLook w:val="04A0" w:firstRow="1" w:lastRow="0" w:firstColumn="1" w:lastColumn="0" w:noHBand="0" w:noVBand="1"/>
      </w:tblPr>
      <w:tblGrid>
        <w:gridCol w:w="1530"/>
        <w:gridCol w:w="7496"/>
      </w:tblGrid>
      <w:tr w:rsidR="009D0A09" w:rsidRPr="000E53A0" w14:paraId="039345BC" w14:textId="77777777" w:rsidTr="009D0A09">
        <w:trPr>
          <w:trHeight w:val="288"/>
        </w:trPr>
        <w:tc>
          <w:tcPr>
            <w:tcW w:w="1530" w:type="dxa"/>
            <w:shd w:val="clear" w:color="auto" w:fill="auto"/>
          </w:tcPr>
          <w:p w14:paraId="094C6F60" w14:textId="77777777" w:rsidR="00601D9B" w:rsidRDefault="000E53A0">
            <w:pPr>
              <w:rPr>
                <w:rFonts w:asciiTheme="minorHAnsi" w:hAnsiTheme="minorHAnsi" w:cstheme="minorHAnsi"/>
                <w:sz w:val="20"/>
                <w:szCs w:val="20"/>
              </w:rPr>
            </w:pPr>
            <w:r>
              <w:rPr>
                <w:rFonts w:asciiTheme="minorHAnsi" w:hAnsiTheme="minorHAnsi" w:cstheme="minorHAnsi"/>
                <w:sz w:val="20"/>
                <w:szCs w:val="20"/>
              </w:rPr>
              <w:t>AEDD</w:t>
            </w:r>
          </w:p>
        </w:tc>
        <w:tc>
          <w:tcPr>
            <w:tcW w:w="7496" w:type="dxa"/>
            <w:shd w:val="clear" w:color="auto" w:fill="auto"/>
          </w:tcPr>
          <w:p w14:paraId="54595EB6" w14:textId="77777777" w:rsidR="00601D9B" w:rsidRPr="000E53A0" w:rsidRDefault="000E53A0">
            <w:pPr>
              <w:ind w:left="116"/>
              <w:rPr>
                <w:rFonts w:asciiTheme="minorHAnsi" w:hAnsiTheme="minorHAnsi" w:cstheme="minorHAnsi"/>
                <w:sz w:val="20"/>
                <w:szCs w:val="20"/>
                <w:lang w:val="fr-FR"/>
              </w:rPr>
            </w:pPr>
            <w:r w:rsidRPr="000E53A0">
              <w:rPr>
                <w:rFonts w:asciiTheme="minorHAnsi" w:hAnsiTheme="minorHAnsi" w:cstheme="minorHAnsi"/>
                <w:sz w:val="20"/>
                <w:szCs w:val="20"/>
                <w:lang w:val="fr-FR"/>
              </w:rPr>
              <w:t>Agence pour l'environnement et le développement durable</w:t>
            </w:r>
          </w:p>
        </w:tc>
      </w:tr>
      <w:tr w:rsidR="009D0A09" w:rsidRPr="000E53A0" w14:paraId="11BF10C8" w14:textId="77777777" w:rsidTr="009D0A09">
        <w:trPr>
          <w:trHeight w:val="288"/>
        </w:trPr>
        <w:tc>
          <w:tcPr>
            <w:tcW w:w="1530" w:type="dxa"/>
            <w:shd w:val="clear" w:color="auto" w:fill="auto"/>
          </w:tcPr>
          <w:p w14:paraId="43E6FA10" w14:textId="77777777" w:rsidR="00601D9B" w:rsidRDefault="000E53A0">
            <w:pPr>
              <w:rPr>
                <w:rFonts w:asciiTheme="minorHAnsi" w:hAnsiTheme="minorHAnsi" w:cstheme="minorHAnsi"/>
                <w:sz w:val="20"/>
                <w:szCs w:val="20"/>
              </w:rPr>
            </w:pPr>
            <w:r>
              <w:rPr>
                <w:rFonts w:asciiTheme="minorHAnsi" w:hAnsiTheme="minorHAnsi" w:cstheme="minorHAnsi"/>
                <w:sz w:val="20"/>
                <w:szCs w:val="20"/>
              </w:rPr>
              <w:t>AMEDD</w:t>
            </w:r>
          </w:p>
        </w:tc>
        <w:tc>
          <w:tcPr>
            <w:tcW w:w="7496" w:type="dxa"/>
            <w:shd w:val="clear" w:color="auto" w:fill="auto"/>
          </w:tcPr>
          <w:p w14:paraId="0F141D92" w14:textId="77777777" w:rsidR="00601D9B" w:rsidRPr="000E53A0" w:rsidRDefault="000E53A0">
            <w:pPr>
              <w:ind w:left="116"/>
              <w:rPr>
                <w:rFonts w:asciiTheme="minorHAnsi" w:hAnsiTheme="minorHAnsi" w:cstheme="minorHAnsi"/>
                <w:sz w:val="20"/>
                <w:szCs w:val="20"/>
                <w:lang w:val="fr-FR"/>
              </w:rPr>
            </w:pPr>
            <w:r w:rsidRPr="000E53A0">
              <w:rPr>
                <w:rFonts w:asciiTheme="minorHAnsi" w:hAnsiTheme="minorHAnsi" w:cstheme="minorHAnsi"/>
                <w:sz w:val="20"/>
                <w:szCs w:val="20"/>
                <w:lang w:val="fr-FR"/>
              </w:rPr>
              <w:t>Association malienne d'éveil au développement durable</w:t>
            </w:r>
          </w:p>
        </w:tc>
      </w:tr>
      <w:tr w:rsidR="004F7944" w:rsidRPr="003D1E3A" w14:paraId="5116ACB5" w14:textId="77777777" w:rsidTr="009D0A09">
        <w:trPr>
          <w:trHeight w:val="288"/>
        </w:trPr>
        <w:tc>
          <w:tcPr>
            <w:tcW w:w="1530" w:type="dxa"/>
            <w:shd w:val="clear" w:color="auto" w:fill="auto"/>
          </w:tcPr>
          <w:p w14:paraId="69F3789C" w14:textId="77777777" w:rsidR="00601D9B" w:rsidRDefault="000E53A0">
            <w:pPr>
              <w:rPr>
                <w:rFonts w:asciiTheme="minorHAnsi" w:hAnsiTheme="minorHAnsi" w:cstheme="minorHAnsi"/>
                <w:sz w:val="20"/>
                <w:szCs w:val="20"/>
              </w:rPr>
            </w:pPr>
            <w:r w:rsidRPr="003D1E3A">
              <w:rPr>
                <w:rFonts w:asciiTheme="minorHAnsi" w:hAnsiTheme="minorHAnsi" w:cstheme="minorHAnsi"/>
                <w:sz w:val="20"/>
                <w:szCs w:val="20"/>
              </w:rPr>
              <w:t>CBD</w:t>
            </w:r>
          </w:p>
        </w:tc>
        <w:tc>
          <w:tcPr>
            <w:tcW w:w="7496" w:type="dxa"/>
            <w:shd w:val="clear" w:color="auto" w:fill="auto"/>
          </w:tcPr>
          <w:p w14:paraId="3C66DC1A" w14:textId="77777777" w:rsidR="00601D9B" w:rsidRDefault="000E53A0">
            <w:pPr>
              <w:ind w:left="116"/>
              <w:rPr>
                <w:rFonts w:asciiTheme="minorHAnsi" w:hAnsiTheme="minorHAnsi" w:cstheme="minorHAnsi"/>
                <w:sz w:val="20"/>
                <w:szCs w:val="20"/>
              </w:rPr>
            </w:pPr>
            <w:r w:rsidRPr="003D1E3A">
              <w:rPr>
                <w:rFonts w:asciiTheme="minorHAnsi" w:hAnsiTheme="minorHAnsi" w:cstheme="minorHAnsi"/>
                <w:sz w:val="20"/>
                <w:szCs w:val="20"/>
              </w:rPr>
              <w:t>Convention sur la biodiversité</w:t>
            </w:r>
          </w:p>
        </w:tc>
      </w:tr>
      <w:tr w:rsidR="009D0A09" w:rsidRPr="003D1E3A" w14:paraId="79448FE0" w14:textId="77777777" w:rsidTr="009D0A09">
        <w:trPr>
          <w:trHeight w:val="288"/>
        </w:trPr>
        <w:tc>
          <w:tcPr>
            <w:tcW w:w="1530" w:type="dxa"/>
            <w:shd w:val="clear" w:color="auto" w:fill="auto"/>
          </w:tcPr>
          <w:p w14:paraId="6DEC7EBB" w14:textId="77777777" w:rsidR="00601D9B" w:rsidRDefault="000E53A0">
            <w:pPr>
              <w:rPr>
                <w:rFonts w:asciiTheme="minorHAnsi" w:hAnsiTheme="minorHAnsi" w:cstheme="minorHAnsi"/>
                <w:sz w:val="20"/>
                <w:szCs w:val="20"/>
              </w:rPr>
            </w:pPr>
            <w:r>
              <w:rPr>
                <w:rFonts w:asciiTheme="minorHAnsi" w:hAnsiTheme="minorHAnsi" w:cstheme="minorHAnsi"/>
                <w:sz w:val="20"/>
                <w:szCs w:val="20"/>
              </w:rPr>
              <w:t>CBO</w:t>
            </w:r>
          </w:p>
        </w:tc>
        <w:tc>
          <w:tcPr>
            <w:tcW w:w="7496" w:type="dxa"/>
            <w:shd w:val="clear" w:color="auto" w:fill="auto"/>
          </w:tcPr>
          <w:p w14:paraId="24C6CA1D" w14:textId="77777777" w:rsidR="00601D9B" w:rsidRDefault="000E53A0">
            <w:pPr>
              <w:ind w:left="116"/>
              <w:rPr>
                <w:rFonts w:asciiTheme="minorHAnsi" w:hAnsiTheme="minorHAnsi" w:cstheme="minorHAnsi"/>
                <w:sz w:val="20"/>
                <w:szCs w:val="20"/>
              </w:rPr>
            </w:pPr>
            <w:r>
              <w:rPr>
                <w:rFonts w:asciiTheme="minorHAnsi" w:hAnsiTheme="minorHAnsi" w:cstheme="minorHAnsi"/>
                <w:sz w:val="20"/>
                <w:szCs w:val="20"/>
              </w:rPr>
              <w:t>Organisation à base communautaire</w:t>
            </w:r>
          </w:p>
        </w:tc>
      </w:tr>
      <w:tr w:rsidR="009D0A09" w:rsidRPr="000E53A0" w14:paraId="4DB2150D" w14:textId="77777777" w:rsidTr="009D0A09">
        <w:trPr>
          <w:trHeight w:val="288"/>
        </w:trPr>
        <w:tc>
          <w:tcPr>
            <w:tcW w:w="1530" w:type="dxa"/>
            <w:shd w:val="clear" w:color="auto" w:fill="auto"/>
          </w:tcPr>
          <w:p w14:paraId="5650804E" w14:textId="77777777" w:rsidR="00601D9B" w:rsidRDefault="000E53A0">
            <w:pPr>
              <w:rPr>
                <w:rFonts w:asciiTheme="minorHAnsi" w:hAnsiTheme="minorHAnsi" w:cstheme="minorHAnsi"/>
                <w:sz w:val="20"/>
                <w:szCs w:val="20"/>
              </w:rPr>
            </w:pPr>
            <w:r>
              <w:rPr>
                <w:rFonts w:asciiTheme="minorHAnsi" w:hAnsiTheme="minorHAnsi" w:cstheme="minorHAnsi"/>
                <w:sz w:val="20"/>
                <w:szCs w:val="20"/>
              </w:rPr>
              <w:t>CSO</w:t>
            </w:r>
          </w:p>
        </w:tc>
        <w:tc>
          <w:tcPr>
            <w:tcW w:w="7496" w:type="dxa"/>
            <w:shd w:val="clear" w:color="auto" w:fill="auto"/>
          </w:tcPr>
          <w:p w14:paraId="69571AF5" w14:textId="77777777" w:rsidR="00601D9B" w:rsidRPr="000E53A0" w:rsidRDefault="000E53A0">
            <w:pPr>
              <w:ind w:left="116"/>
              <w:rPr>
                <w:rFonts w:asciiTheme="minorHAnsi" w:hAnsiTheme="minorHAnsi" w:cstheme="minorHAnsi"/>
                <w:sz w:val="20"/>
                <w:szCs w:val="20"/>
                <w:lang w:val="fr-FR"/>
              </w:rPr>
            </w:pPr>
            <w:r w:rsidRPr="000E53A0">
              <w:rPr>
                <w:rFonts w:asciiTheme="minorHAnsi" w:hAnsiTheme="minorHAnsi" w:cstheme="minorHAnsi"/>
                <w:sz w:val="20"/>
                <w:szCs w:val="20"/>
                <w:lang w:val="fr-FR"/>
              </w:rPr>
              <w:t>Organisation de la société civile</w:t>
            </w:r>
          </w:p>
        </w:tc>
      </w:tr>
      <w:tr w:rsidR="005D3919" w:rsidRPr="000E53A0" w14:paraId="06582B18" w14:textId="77777777" w:rsidTr="009D0A09">
        <w:trPr>
          <w:trHeight w:val="288"/>
        </w:trPr>
        <w:tc>
          <w:tcPr>
            <w:tcW w:w="1530" w:type="dxa"/>
            <w:shd w:val="clear" w:color="auto" w:fill="auto"/>
          </w:tcPr>
          <w:p w14:paraId="43DE6AB7" w14:textId="77777777" w:rsidR="00601D9B" w:rsidRDefault="000E53A0">
            <w:pPr>
              <w:rPr>
                <w:rFonts w:asciiTheme="minorHAnsi" w:hAnsiTheme="minorHAnsi" w:cstheme="minorHAnsi"/>
                <w:sz w:val="20"/>
                <w:szCs w:val="20"/>
              </w:rPr>
            </w:pPr>
            <w:r>
              <w:rPr>
                <w:rFonts w:asciiTheme="minorHAnsi" w:hAnsiTheme="minorHAnsi" w:cstheme="minorHAnsi"/>
                <w:sz w:val="20"/>
                <w:szCs w:val="20"/>
              </w:rPr>
              <w:t>DGCT</w:t>
            </w:r>
          </w:p>
        </w:tc>
        <w:tc>
          <w:tcPr>
            <w:tcW w:w="7496" w:type="dxa"/>
            <w:shd w:val="clear" w:color="auto" w:fill="auto"/>
          </w:tcPr>
          <w:p w14:paraId="46B0C3E6" w14:textId="77777777" w:rsidR="00601D9B" w:rsidRPr="000E53A0" w:rsidRDefault="000E53A0">
            <w:pPr>
              <w:ind w:left="116"/>
              <w:rPr>
                <w:rFonts w:asciiTheme="minorHAnsi" w:hAnsiTheme="minorHAnsi" w:cs="Calibri"/>
                <w:sz w:val="20"/>
                <w:szCs w:val="20"/>
                <w:lang w:val="fr-FR"/>
              </w:rPr>
            </w:pPr>
            <w:r w:rsidRPr="000E53A0">
              <w:rPr>
                <w:rFonts w:asciiTheme="minorHAnsi" w:hAnsiTheme="minorHAnsi" w:cs="Calibri"/>
                <w:sz w:val="20"/>
                <w:szCs w:val="20"/>
                <w:lang w:val="fr-FR"/>
              </w:rPr>
              <w:t>Direction générale des collectivités territoriales</w:t>
            </w:r>
          </w:p>
        </w:tc>
      </w:tr>
      <w:tr w:rsidR="00580C68" w:rsidRPr="000E53A0" w14:paraId="536F34F2" w14:textId="77777777" w:rsidTr="009D0A09">
        <w:trPr>
          <w:trHeight w:val="288"/>
        </w:trPr>
        <w:tc>
          <w:tcPr>
            <w:tcW w:w="1530" w:type="dxa"/>
            <w:shd w:val="clear" w:color="auto" w:fill="auto"/>
          </w:tcPr>
          <w:p w14:paraId="7F79F7B4" w14:textId="77777777" w:rsidR="00601D9B" w:rsidRDefault="000E53A0">
            <w:pPr>
              <w:rPr>
                <w:rFonts w:asciiTheme="minorHAnsi" w:hAnsiTheme="minorHAnsi" w:cstheme="minorHAnsi"/>
                <w:sz w:val="20"/>
                <w:szCs w:val="20"/>
              </w:rPr>
            </w:pPr>
            <w:r>
              <w:rPr>
                <w:rFonts w:asciiTheme="minorHAnsi" w:hAnsiTheme="minorHAnsi" w:cstheme="minorHAnsi"/>
                <w:sz w:val="20"/>
                <w:szCs w:val="20"/>
              </w:rPr>
              <w:t>DGPC</w:t>
            </w:r>
          </w:p>
        </w:tc>
        <w:tc>
          <w:tcPr>
            <w:tcW w:w="7496" w:type="dxa"/>
            <w:shd w:val="clear" w:color="auto" w:fill="auto"/>
          </w:tcPr>
          <w:p w14:paraId="0520B93E" w14:textId="77777777" w:rsidR="00601D9B" w:rsidRPr="000E53A0" w:rsidRDefault="000E53A0">
            <w:pPr>
              <w:ind w:left="116"/>
              <w:rPr>
                <w:rFonts w:asciiTheme="minorHAnsi" w:hAnsiTheme="minorHAnsi" w:cstheme="minorHAnsi"/>
                <w:sz w:val="20"/>
                <w:szCs w:val="20"/>
                <w:lang w:val="fr-FR"/>
              </w:rPr>
            </w:pPr>
            <w:r w:rsidRPr="000E53A0">
              <w:rPr>
                <w:rFonts w:asciiTheme="minorHAnsi" w:hAnsiTheme="minorHAnsi" w:cs="Calibri"/>
                <w:sz w:val="20"/>
                <w:szCs w:val="20"/>
                <w:lang w:val="fr-FR"/>
              </w:rPr>
              <w:t>Direction générale de la protection civile</w:t>
            </w:r>
          </w:p>
        </w:tc>
      </w:tr>
      <w:tr w:rsidR="00580C68" w:rsidRPr="003D1E3A" w14:paraId="35F15FF3" w14:textId="77777777" w:rsidTr="009D0A09">
        <w:trPr>
          <w:trHeight w:val="288"/>
        </w:trPr>
        <w:tc>
          <w:tcPr>
            <w:tcW w:w="1530" w:type="dxa"/>
            <w:shd w:val="clear" w:color="auto" w:fill="auto"/>
          </w:tcPr>
          <w:p w14:paraId="6C4F154F" w14:textId="77777777" w:rsidR="00601D9B" w:rsidRDefault="000E53A0">
            <w:pPr>
              <w:rPr>
                <w:rFonts w:asciiTheme="minorHAnsi" w:hAnsiTheme="minorHAnsi" w:cstheme="minorHAnsi"/>
                <w:sz w:val="20"/>
                <w:szCs w:val="20"/>
              </w:rPr>
            </w:pPr>
            <w:r>
              <w:rPr>
                <w:rFonts w:asciiTheme="minorHAnsi" w:hAnsiTheme="minorHAnsi" w:cstheme="minorHAnsi"/>
                <w:sz w:val="20"/>
                <w:szCs w:val="20"/>
              </w:rPr>
              <w:t>ADN</w:t>
            </w:r>
          </w:p>
        </w:tc>
        <w:tc>
          <w:tcPr>
            <w:tcW w:w="7496" w:type="dxa"/>
            <w:shd w:val="clear" w:color="auto" w:fill="auto"/>
          </w:tcPr>
          <w:p w14:paraId="30F15908" w14:textId="77777777" w:rsidR="00601D9B" w:rsidRDefault="000E53A0">
            <w:pPr>
              <w:ind w:left="116"/>
              <w:rPr>
                <w:rFonts w:asciiTheme="minorHAnsi" w:hAnsiTheme="minorHAnsi" w:cstheme="minorHAnsi"/>
                <w:sz w:val="20"/>
                <w:szCs w:val="20"/>
              </w:rPr>
            </w:pPr>
            <w:r>
              <w:rPr>
                <w:rFonts w:asciiTheme="minorHAnsi" w:hAnsiTheme="minorHAnsi" w:cstheme="minorHAnsi"/>
                <w:sz w:val="20"/>
                <w:szCs w:val="20"/>
              </w:rPr>
              <w:t>Direction nationale de l'agriculture</w:t>
            </w:r>
          </w:p>
        </w:tc>
      </w:tr>
      <w:tr w:rsidR="009D0A09" w:rsidRPr="000E53A0" w14:paraId="2D86D777" w14:textId="77777777" w:rsidTr="009D0A09">
        <w:trPr>
          <w:trHeight w:val="288"/>
        </w:trPr>
        <w:tc>
          <w:tcPr>
            <w:tcW w:w="1530" w:type="dxa"/>
            <w:shd w:val="clear" w:color="auto" w:fill="auto"/>
          </w:tcPr>
          <w:p w14:paraId="07FAB12B" w14:textId="77777777" w:rsidR="00601D9B" w:rsidRDefault="000E53A0">
            <w:pPr>
              <w:rPr>
                <w:rFonts w:asciiTheme="minorHAnsi" w:hAnsiTheme="minorHAnsi" w:cstheme="minorHAnsi"/>
                <w:sz w:val="20"/>
                <w:szCs w:val="20"/>
              </w:rPr>
            </w:pPr>
            <w:r>
              <w:rPr>
                <w:rFonts w:asciiTheme="minorHAnsi" w:hAnsiTheme="minorHAnsi" w:cstheme="minorHAnsi"/>
                <w:sz w:val="20"/>
                <w:szCs w:val="20"/>
              </w:rPr>
              <w:t>DNAT</w:t>
            </w:r>
          </w:p>
        </w:tc>
        <w:tc>
          <w:tcPr>
            <w:tcW w:w="7496" w:type="dxa"/>
            <w:shd w:val="clear" w:color="auto" w:fill="auto"/>
          </w:tcPr>
          <w:p w14:paraId="376B6177" w14:textId="77777777" w:rsidR="00601D9B" w:rsidRPr="000E53A0" w:rsidRDefault="000E53A0">
            <w:pPr>
              <w:ind w:left="116"/>
              <w:rPr>
                <w:rFonts w:asciiTheme="minorHAnsi" w:hAnsiTheme="minorHAnsi" w:cstheme="minorHAnsi"/>
                <w:sz w:val="20"/>
                <w:szCs w:val="20"/>
                <w:lang w:val="fr-FR"/>
              </w:rPr>
            </w:pPr>
            <w:r w:rsidRPr="000E53A0">
              <w:rPr>
                <w:rFonts w:asciiTheme="minorHAnsi" w:hAnsiTheme="minorHAnsi" w:cstheme="minorHAnsi"/>
                <w:sz w:val="20"/>
                <w:szCs w:val="20"/>
                <w:lang w:val="fr-FR"/>
              </w:rPr>
              <w:t>Direction nationale de l'aménagement du territoire</w:t>
            </w:r>
          </w:p>
        </w:tc>
      </w:tr>
      <w:tr w:rsidR="009D0A09" w:rsidRPr="000E53A0" w14:paraId="0219C032" w14:textId="77777777" w:rsidTr="009D0A09">
        <w:trPr>
          <w:trHeight w:val="288"/>
        </w:trPr>
        <w:tc>
          <w:tcPr>
            <w:tcW w:w="1530" w:type="dxa"/>
            <w:shd w:val="clear" w:color="auto" w:fill="auto"/>
          </w:tcPr>
          <w:p w14:paraId="2904C3C7" w14:textId="77777777" w:rsidR="00601D9B" w:rsidRDefault="000E53A0">
            <w:pPr>
              <w:rPr>
                <w:rFonts w:asciiTheme="minorHAnsi" w:hAnsiTheme="minorHAnsi" w:cstheme="minorHAnsi"/>
                <w:sz w:val="20"/>
                <w:szCs w:val="20"/>
              </w:rPr>
            </w:pPr>
            <w:r>
              <w:rPr>
                <w:rFonts w:asciiTheme="minorHAnsi" w:hAnsiTheme="minorHAnsi" w:cstheme="minorHAnsi"/>
                <w:sz w:val="20"/>
                <w:szCs w:val="20"/>
              </w:rPr>
              <w:t>DNEF</w:t>
            </w:r>
          </w:p>
        </w:tc>
        <w:tc>
          <w:tcPr>
            <w:tcW w:w="7496" w:type="dxa"/>
            <w:shd w:val="clear" w:color="auto" w:fill="auto"/>
          </w:tcPr>
          <w:p w14:paraId="36D77113" w14:textId="77777777" w:rsidR="00601D9B" w:rsidRPr="000E53A0" w:rsidRDefault="000E53A0">
            <w:pPr>
              <w:ind w:left="116"/>
              <w:rPr>
                <w:rFonts w:asciiTheme="minorHAnsi" w:hAnsiTheme="minorHAnsi" w:cstheme="minorHAnsi"/>
                <w:sz w:val="20"/>
                <w:szCs w:val="20"/>
                <w:lang w:val="fr-FR"/>
              </w:rPr>
            </w:pPr>
            <w:r w:rsidRPr="000E53A0">
              <w:rPr>
                <w:rFonts w:asciiTheme="minorHAnsi" w:hAnsiTheme="minorHAnsi" w:cs="Calibri"/>
                <w:sz w:val="20"/>
                <w:szCs w:val="20"/>
                <w:lang w:val="fr-FR"/>
              </w:rPr>
              <w:t>Direction nationale des eaux et forêts</w:t>
            </w:r>
          </w:p>
        </w:tc>
      </w:tr>
      <w:tr w:rsidR="00580C68" w:rsidRPr="000E53A0" w14:paraId="03DE6289" w14:textId="77777777" w:rsidTr="009D0A09">
        <w:trPr>
          <w:trHeight w:val="288"/>
        </w:trPr>
        <w:tc>
          <w:tcPr>
            <w:tcW w:w="1530" w:type="dxa"/>
            <w:shd w:val="clear" w:color="auto" w:fill="auto"/>
          </w:tcPr>
          <w:p w14:paraId="30EEECEC" w14:textId="77777777" w:rsidR="00601D9B" w:rsidRDefault="000E53A0">
            <w:pPr>
              <w:rPr>
                <w:rFonts w:asciiTheme="minorHAnsi" w:hAnsiTheme="minorHAnsi" w:cstheme="minorHAnsi"/>
                <w:sz w:val="20"/>
                <w:szCs w:val="20"/>
              </w:rPr>
            </w:pPr>
            <w:r>
              <w:rPr>
                <w:rFonts w:asciiTheme="minorHAnsi" w:hAnsiTheme="minorHAnsi" w:cstheme="minorHAnsi"/>
                <w:sz w:val="20"/>
                <w:szCs w:val="20"/>
              </w:rPr>
              <w:t>DNCP</w:t>
            </w:r>
          </w:p>
        </w:tc>
        <w:tc>
          <w:tcPr>
            <w:tcW w:w="7496" w:type="dxa"/>
            <w:shd w:val="clear" w:color="auto" w:fill="auto"/>
          </w:tcPr>
          <w:p w14:paraId="5903DA66" w14:textId="77777777" w:rsidR="00601D9B" w:rsidRPr="000E53A0" w:rsidRDefault="000E53A0">
            <w:pPr>
              <w:ind w:left="116"/>
              <w:rPr>
                <w:rFonts w:asciiTheme="minorHAnsi" w:hAnsiTheme="minorHAnsi" w:cs="Calibri"/>
                <w:sz w:val="20"/>
                <w:szCs w:val="20"/>
                <w:lang w:val="fr-FR"/>
              </w:rPr>
            </w:pPr>
            <w:r w:rsidRPr="000E53A0">
              <w:rPr>
                <w:rFonts w:asciiTheme="minorHAnsi" w:hAnsiTheme="minorHAnsi" w:cs="Calibri"/>
                <w:sz w:val="20"/>
                <w:szCs w:val="20"/>
                <w:lang w:val="fr-FR"/>
              </w:rPr>
              <w:t>Direction nationale de la consolidation de la paix</w:t>
            </w:r>
          </w:p>
        </w:tc>
      </w:tr>
      <w:tr w:rsidR="009D0A09" w:rsidRPr="000E53A0" w14:paraId="28D7D0FA" w14:textId="77777777" w:rsidTr="009D0A09">
        <w:trPr>
          <w:trHeight w:val="288"/>
        </w:trPr>
        <w:tc>
          <w:tcPr>
            <w:tcW w:w="1530" w:type="dxa"/>
            <w:shd w:val="clear" w:color="auto" w:fill="auto"/>
          </w:tcPr>
          <w:p w14:paraId="0576CF54" w14:textId="77777777" w:rsidR="00601D9B" w:rsidRDefault="000E53A0">
            <w:pPr>
              <w:rPr>
                <w:rFonts w:asciiTheme="minorHAnsi" w:hAnsiTheme="minorHAnsi" w:cstheme="minorHAnsi"/>
                <w:sz w:val="20"/>
                <w:szCs w:val="20"/>
              </w:rPr>
            </w:pPr>
            <w:r>
              <w:rPr>
                <w:rFonts w:asciiTheme="minorHAnsi" w:hAnsiTheme="minorHAnsi" w:cstheme="minorHAnsi"/>
                <w:sz w:val="20"/>
                <w:szCs w:val="20"/>
              </w:rPr>
              <w:t>DNPIA</w:t>
            </w:r>
          </w:p>
        </w:tc>
        <w:tc>
          <w:tcPr>
            <w:tcW w:w="7496" w:type="dxa"/>
            <w:shd w:val="clear" w:color="auto" w:fill="auto"/>
          </w:tcPr>
          <w:p w14:paraId="39FC8DC7" w14:textId="77777777" w:rsidR="00601D9B" w:rsidRPr="000E53A0" w:rsidRDefault="000E53A0">
            <w:pPr>
              <w:ind w:left="116"/>
              <w:rPr>
                <w:rFonts w:asciiTheme="minorHAnsi" w:hAnsiTheme="minorHAnsi" w:cstheme="minorHAnsi"/>
                <w:sz w:val="20"/>
                <w:szCs w:val="20"/>
                <w:lang w:val="fr-FR"/>
              </w:rPr>
            </w:pPr>
            <w:r w:rsidRPr="000E53A0">
              <w:rPr>
                <w:rFonts w:asciiTheme="minorHAnsi" w:hAnsiTheme="minorHAnsi" w:cs="Calibri"/>
                <w:sz w:val="20"/>
                <w:szCs w:val="20"/>
                <w:lang w:val="fr-FR"/>
              </w:rPr>
              <w:t>Direction nationale de la production et des industries animales</w:t>
            </w:r>
          </w:p>
        </w:tc>
      </w:tr>
      <w:tr w:rsidR="009D0A09" w:rsidRPr="003D1E3A" w14:paraId="493CFEB8" w14:textId="77777777" w:rsidTr="009D0A09">
        <w:trPr>
          <w:trHeight w:val="288"/>
        </w:trPr>
        <w:tc>
          <w:tcPr>
            <w:tcW w:w="1530" w:type="dxa"/>
            <w:shd w:val="clear" w:color="auto" w:fill="auto"/>
          </w:tcPr>
          <w:p w14:paraId="7A78DDCF" w14:textId="77777777" w:rsidR="00601D9B" w:rsidRDefault="000E53A0">
            <w:pPr>
              <w:rPr>
                <w:rFonts w:asciiTheme="minorHAnsi" w:hAnsiTheme="minorHAnsi" w:cstheme="minorHAnsi"/>
                <w:sz w:val="20"/>
                <w:szCs w:val="20"/>
              </w:rPr>
            </w:pPr>
            <w:r>
              <w:rPr>
                <w:rFonts w:asciiTheme="minorHAnsi" w:hAnsiTheme="minorHAnsi" w:cstheme="minorHAnsi"/>
                <w:sz w:val="20"/>
                <w:szCs w:val="20"/>
              </w:rPr>
              <w:t>DRA</w:t>
            </w:r>
          </w:p>
        </w:tc>
        <w:tc>
          <w:tcPr>
            <w:tcW w:w="7496" w:type="dxa"/>
            <w:shd w:val="clear" w:color="auto" w:fill="auto"/>
          </w:tcPr>
          <w:p w14:paraId="09E249FC" w14:textId="77777777" w:rsidR="00601D9B" w:rsidRDefault="000E53A0">
            <w:pPr>
              <w:ind w:left="116"/>
              <w:rPr>
                <w:rFonts w:asciiTheme="minorHAnsi" w:hAnsiTheme="minorHAnsi" w:cstheme="minorHAnsi"/>
                <w:sz w:val="20"/>
                <w:szCs w:val="20"/>
              </w:rPr>
            </w:pPr>
            <w:r>
              <w:rPr>
                <w:rFonts w:asciiTheme="minorHAnsi" w:hAnsiTheme="minorHAnsi" w:cstheme="minorHAnsi"/>
                <w:sz w:val="20"/>
                <w:szCs w:val="20"/>
              </w:rPr>
              <w:t>Direction régionale de l'agriculture</w:t>
            </w:r>
          </w:p>
        </w:tc>
      </w:tr>
      <w:tr w:rsidR="009D0A09" w:rsidRPr="000E53A0" w14:paraId="60F01F04" w14:textId="77777777" w:rsidTr="009D0A09">
        <w:trPr>
          <w:trHeight w:val="288"/>
        </w:trPr>
        <w:tc>
          <w:tcPr>
            <w:tcW w:w="1530" w:type="dxa"/>
            <w:shd w:val="clear" w:color="auto" w:fill="auto"/>
          </w:tcPr>
          <w:p w14:paraId="4404BF32" w14:textId="77777777" w:rsidR="00601D9B" w:rsidRDefault="000E53A0">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DRDS</w:t>
            </w:r>
          </w:p>
        </w:tc>
        <w:tc>
          <w:tcPr>
            <w:tcW w:w="7496" w:type="dxa"/>
            <w:shd w:val="clear" w:color="auto" w:fill="auto"/>
          </w:tcPr>
          <w:p w14:paraId="0527BFA7" w14:textId="77777777" w:rsidR="00601D9B" w:rsidRPr="000E53A0" w:rsidRDefault="000E53A0">
            <w:pPr>
              <w:ind w:left="116"/>
              <w:rPr>
                <w:rFonts w:asciiTheme="minorHAnsi" w:hAnsiTheme="minorHAnsi" w:cstheme="minorHAnsi"/>
                <w:sz w:val="20"/>
                <w:szCs w:val="20"/>
                <w:lang w:val="fr-FR"/>
              </w:rPr>
            </w:pPr>
            <w:r w:rsidRPr="000E53A0">
              <w:rPr>
                <w:rFonts w:asciiTheme="minorHAnsi" w:hAnsiTheme="minorHAnsi" w:cstheme="minorHAnsi"/>
                <w:sz w:val="20"/>
                <w:szCs w:val="20"/>
                <w:lang w:val="fr-FR"/>
              </w:rPr>
              <w:t>Direction régionale du développement social</w:t>
            </w:r>
          </w:p>
        </w:tc>
      </w:tr>
      <w:tr w:rsidR="009D0A09" w:rsidRPr="000E53A0" w14:paraId="65958A8A" w14:textId="77777777" w:rsidTr="009D0A09">
        <w:trPr>
          <w:trHeight w:val="288"/>
        </w:trPr>
        <w:tc>
          <w:tcPr>
            <w:tcW w:w="1530" w:type="dxa"/>
            <w:shd w:val="clear" w:color="auto" w:fill="auto"/>
          </w:tcPr>
          <w:p w14:paraId="76E2C2E1" w14:textId="77777777" w:rsidR="00601D9B" w:rsidRDefault="000E53A0">
            <w:pPr>
              <w:rPr>
                <w:rFonts w:asciiTheme="minorHAnsi" w:hAnsiTheme="minorHAnsi" w:cstheme="minorHAnsi"/>
                <w:sz w:val="20"/>
                <w:szCs w:val="20"/>
              </w:rPr>
            </w:pPr>
            <w:r w:rsidRPr="00AF223E">
              <w:rPr>
                <w:rFonts w:asciiTheme="minorHAnsi" w:hAnsiTheme="minorHAnsi" w:cstheme="minorHAnsi"/>
                <w:color w:val="000000" w:themeColor="text1"/>
                <w:sz w:val="22"/>
                <w:szCs w:val="22"/>
              </w:rPr>
              <w:t>DREF</w:t>
            </w:r>
          </w:p>
        </w:tc>
        <w:tc>
          <w:tcPr>
            <w:tcW w:w="7496" w:type="dxa"/>
            <w:shd w:val="clear" w:color="auto" w:fill="auto"/>
          </w:tcPr>
          <w:p w14:paraId="745B1730" w14:textId="77777777" w:rsidR="00601D9B" w:rsidRPr="000E53A0" w:rsidRDefault="000E53A0">
            <w:pPr>
              <w:ind w:left="116"/>
              <w:rPr>
                <w:rFonts w:asciiTheme="minorHAnsi" w:hAnsiTheme="minorHAnsi" w:cstheme="minorHAnsi"/>
                <w:sz w:val="20"/>
                <w:szCs w:val="20"/>
                <w:lang w:val="fr-FR"/>
              </w:rPr>
            </w:pPr>
            <w:r w:rsidRPr="000E53A0">
              <w:rPr>
                <w:rFonts w:asciiTheme="minorHAnsi" w:hAnsiTheme="minorHAnsi" w:cs="Calibri"/>
                <w:sz w:val="20"/>
                <w:szCs w:val="20"/>
                <w:lang w:val="fr-FR"/>
              </w:rPr>
              <w:t>Direction régionale des eaux et forêts</w:t>
            </w:r>
          </w:p>
        </w:tc>
      </w:tr>
      <w:tr w:rsidR="009D0A09" w:rsidRPr="000E53A0" w14:paraId="5512BF04" w14:textId="77777777" w:rsidTr="009D0A09">
        <w:trPr>
          <w:trHeight w:val="288"/>
        </w:trPr>
        <w:tc>
          <w:tcPr>
            <w:tcW w:w="1530" w:type="dxa"/>
            <w:shd w:val="clear" w:color="auto" w:fill="auto"/>
          </w:tcPr>
          <w:p w14:paraId="34F0C4F2" w14:textId="77777777" w:rsidR="00601D9B" w:rsidRDefault="000E53A0">
            <w:pPr>
              <w:rPr>
                <w:rFonts w:asciiTheme="minorHAnsi" w:hAnsiTheme="minorHAnsi" w:cstheme="minorHAnsi"/>
                <w:sz w:val="20"/>
                <w:szCs w:val="20"/>
              </w:rPr>
            </w:pPr>
            <w:r>
              <w:rPr>
                <w:rFonts w:asciiTheme="minorHAnsi" w:hAnsiTheme="minorHAnsi" w:cstheme="minorHAnsi"/>
                <w:sz w:val="20"/>
                <w:szCs w:val="20"/>
              </w:rPr>
              <w:t>DRP</w:t>
            </w:r>
          </w:p>
        </w:tc>
        <w:tc>
          <w:tcPr>
            <w:tcW w:w="7496" w:type="dxa"/>
            <w:shd w:val="clear" w:color="auto" w:fill="auto"/>
          </w:tcPr>
          <w:p w14:paraId="13C05893" w14:textId="77777777" w:rsidR="00601D9B" w:rsidRPr="000E53A0" w:rsidRDefault="000E53A0">
            <w:pPr>
              <w:ind w:left="116"/>
              <w:rPr>
                <w:rFonts w:asciiTheme="minorHAnsi" w:hAnsiTheme="minorHAnsi" w:cstheme="minorHAnsi"/>
                <w:sz w:val="20"/>
                <w:szCs w:val="20"/>
                <w:lang w:val="fr-FR"/>
              </w:rPr>
            </w:pPr>
            <w:r w:rsidRPr="000E53A0">
              <w:rPr>
                <w:rFonts w:asciiTheme="minorHAnsi" w:hAnsiTheme="minorHAnsi" w:cstheme="minorHAnsi"/>
                <w:sz w:val="20"/>
                <w:szCs w:val="20"/>
                <w:lang w:val="fr-FR"/>
              </w:rPr>
              <w:t>Direction régionale de la pêche</w:t>
            </w:r>
          </w:p>
        </w:tc>
      </w:tr>
      <w:tr w:rsidR="009D0A09" w:rsidRPr="000E53A0" w14:paraId="2D0842D8" w14:textId="77777777" w:rsidTr="009D0A09">
        <w:trPr>
          <w:trHeight w:val="288"/>
        </w:trPr>
        <w:tc>
          <w:tcPr>
            <w:tcW w:w="1530" w:type="dxa"/>
            <w:shd w:val="clear" w:color="auto" w:fill="auto"/>
          </w:tcPr>
          <w:p w14:paraId="4B36DE75" w14:textId="77777777" w:rsidR="00601D9B" w:rsidRDefault="000E53A0">
            <w:pPr>
              <w:rPr>
                <w:rFonts w:asciiTheme="minorHAnsi" w:hAnsiTheme="minorHAnsi" w:cstheme="minorHAnsi"/>
                <w:sz w:val="20"/>
                <w:szCs w:val="20"/>
              </w:rPr>
            </w:pPr>
            <w:r>
              <w:rPr>
                <w:rFonts w:asciiTheme="minorHAnsi" w:hAnsiTheme="minorHAnsi" w:cstheme="minorHAnsi"/>
                <w:sz w:val="20"/>
                <w:szCs w:val="20"/>
              </w:rPr>
              <w:t>DRPIA</w:t>
            </w:r>
          </w:p>
        </w:tc>
        <w:tc>
          <w:tcPr>
            <w:tcW w:w="7496" w:type="dxa"/>
            <w:shd w:val="clear" w:color="auto" w:fill="auto"/>
          </w:tcPr>
          <w:p w14:paraId="13011ED3" w14:textId="77777777" w:rsidR="00601D9B" w:rsidRPr="000E53A0" w:rsidRDefault="000E53A0">
            <w:pPr>
              <w:ind w:left="116"/>
              <w:rPr>
                <w:rFonts w:asciiTheme="minorHAnsi" w:hAnsiTheme="minorHAnsi" w:cstheme="minorHAnsi"/>
                <w:sz w:val="20"/>
                <w:szCs w:val="20"/>
                <w:lang w:val="fr-FR"/>
              </w:rPr>
            </w:pPr>
            <w:r w:rsidRPr="000E53A0">
              <w:rPr>
                <w:rFonts w:asciiTheme="minorHAnsi" w:hAnsiTheme="minorHAnsi" w:cstheme="minorHAnsi"/>
                <w:sz w:val="20"/>
                <w:szCs w:val="20"/>
                <w:lang w:val="fr-FR"/>
              </w:rPr>
              <w:t xml:space="preserve">Direction régionale de la </w:t>
            </w:r>
            <w:r w:rsidRPr="000E53A0">
              <w:rPr>
                <w:rFonts w:asciiTheme="minorHAnsi" w:hAnsiTheme="minorHAnsi" w:cs="Calibri"/>
                <w:sz w:val="20"/>
                <w:szCs w:val="20"/>
                <w:lang w:val="fr-FR"/>
              </w:rPr>
              <w:t>production et des industries animales</w:t>
            </w:r>
          </w:p>
        </w:tc>
      </w:tr>
      <w:tr w:rsidR="004F7944" w:rsidRPr="000E53A0" w14:paraId="4A03E93D" w14:textId="77777777" w:rsidTr="009D0A09">
        <w:trPr>
          <w:trHeight w:val="288"/>
        </w:trPr>
        <w:tc>
          <w:tcPr>
            <w:tcW w:w="1530" w:type="dxa"/>
            <w:shd w:val="clear" w:color="auto" w:fill="auto"/>
          </w:tcPr>
          <w:p w14:paraId="30F9292B" w14:textId="77777777" w:rsidR="00601D9B" w:rsidRDefault="000E53A0">
            <w:pPr>
              <w:rPr>
                <w:rFonts w:asciiTheme="minorHAnsi" w:hAnsiTheme="minorHAnsi" w:cstheme="minorHAnsi"/>
                <w:sz w:val="20"/>
                <w:szCs w:val="20"/>
              </w:rPr>
            </w:pPr>
            <w:r w:rsidRPr="003D1E3A">
              <w:rPr>
                <w:rFonts w:asciiTheme="minorHAnsi" w:hAnsiTheme="minorHAnsi" w:cstheme="minorHAnsi"/>
                <w:sz w:val="20"/>
                <w:szCs w:val="20"/>
              </w:rPr>
              <w:t>EOCWAS</w:t>
            </w:r>
          </w:p>
        </w:tc>
        <w:tc>
          <w:tcPr>
            <w:tcW w:w="7496" w:type="dxa"/>
            <w:shd w:val="clear" w:color="auto" w:fill="auto"/>
          </w:tcPr>
          <w:p w14:paraId="61AD2226" w14:textId="77777777" w:rsidR="00601D9B" w:rsidRPr="000E53A0" w:rsidRDefault="000E53A0">
            <w:pPr>
              <w:ind w:left="116"/>
              <w:rPr>
                <w:rFonts w:asciiTheme="minorHAnsi" w:hAnsiTheme="minorHAnsi" w:cstheme="minorHAnsi"/>
                <w:sz w:val="20"/>
                <w:szCs w:val="20"/>
                <w:lang w:val="fr-FR"/>
              </w:rPr>
            </w:pPr>
            <w:r w:rsidRPr="000E53A0">
              <w:rPr>
                <w:rFonts w:asciiTheme="minorHAnsi" w:hAnsiTheme="minorHAnsi" w:cstheme="minorHAnsi"/>
                <w:sz w:val="20"/>
                <w:szCs w:val="20"/>
                <w:lang w:val="fr-FR"/>
              </w:rPr>
              <w:t>Communauté économique des États de l'Afrique de l'Ouest</w:t>
            </w:r>
          </w:p>
        </w:tc>
      </w:tr>
      <w:tr w:rsidR="004C454A" w:rsidRPr="003D1E3A" w14:paraId="74F7A98D" w14:textId="77777777" w:rsidTr="009D0A09">
        <w:trPr>
          <w:trHeight w:val="288"/>
        </w:trPr>
        <w:tc>
          <w:tcPr>
            <w:tcW w:w="1530" w:type="dxa"/>
            <w:shd w:val="clear" w:color="auto" w:fill="auto"/>
          </w:tcPr>
          <w:p w14:paraId="1317B669" w14:textId="77777777" w:rsidR="00601D9B" w:rsidRDefault="000E53A0">
            <w:pPr>
              <w:rPr>
                <w:rFonts w:asciiTheme="minorHAnsi" w:hAnsiTheme="minorHAnsi" w:cstheme="minorHAnsi"/>
                <w:sz w:val="20"/>
                <w:szCs w:val="20"/>
              </w:rPr>
            </w:pPr>
            <w:r w:rsidRPr="003D1E3A">
              <w:rPr>
                <w:rFonts w:asciiTheme="minorHAnsi" w:hAnsiTheme="minorHAnsi" w:cstheme="minorHAnsi"/>
                <w:sz w:val="20"/>
                <w:szCs w:val="20"/>
              </w:rPr>
              <w:t>FSP</w:t>
            </w:r>
          </w:p>
        </w:tc>
        <w:tc>
          <w:tcPr>
            <w:tcW w:w="7496" w:type="dxa"/>
            <w:shd w:val="clear" w:color="auto" w:fill="auto"/>
          </w:tcPr>
          <w:p w14:paraId="0FBD872E" w14:textId="77777777" w:rsidR="00601D9B" w:rsidRDefault="000E53A0">
            <w:pPr>
              <w:ind w:left="116"/>
              <w:rPr>
                <w:rFonts w:asciiTheme="minorHAnsi" w:hAnsiTheme="minorHAnsi" w:cstheme="minorHAnsi"/>
                <w:sz w:val="20"/>
                <w:szCs w:val="20"/>
              </w:rPr>
            </w:pPr>
            <w:r w:rsidRPr="003D1E3A">
              <w:rPr>
                <w:rFonts w:asciiTheme="minorHAnsi" w:hAnsiTheme="minorHAnsi" w:cstheme="minorHAnsi"/>
                <w:sz w:val="20"/>
                <w:szCs w:val="20"/>
              </w:rPr>
              <w:t>Projet de grande envergure</w:t>
            </w:r>
          </w:p>
        </w:tc>
      </w:tr>
      <w:tr w:rsidR="00E21FF2" w:rsidRPr="000E53A0" w14:paraId="6F6A6CA4" w14:textId="77777777" w:rsidTr="009D0A09">
        <w:trPr>
          <w:trHeight w:val="288"/>
        </w:trPr>
        <w:tc>
          <w:tcPr>
            <w:tcW w:w="1530" w:type="dxa"/>
            <w:shd w:val="clear" w:color="auto" w:fill="auto"/>
          </w:tcPr>
          <w:p w14:paraId="5C308F1E" w14:textId="77777777" w:rsidR="00601D9B" w:rsidRDefault="000E53A0">
            <w:pPr>
              <w:rPr>
                <w:rFonts w:asciiTheme="minorHAnsi" w:hAnsiTheme="minorHAnsi" w:cstheme="minorHAnsi"/>
                <w:sz w:val="20"/>
                <w:szCs w:val="20"/>
              </w:rPr>
            </w:pPr>
            <w:r w:rsidRPr="003D1E3A">
              <w:rPr>
                <w:rFonts w:asciiTheme="minorHAnsi" w:hAnsiTheme="minorHAnsi" w:cstheme="minorHAnsi"/>
                <w:sz w:val="20"/>
                <w:szCs w:val="20"/>
              </w:rPr>
              <w:t>GBV</w:t>
            </w:r>
          </w:p>
        </w:tc>
        <w:tc>
          <w:tcPr>
            <w:tcW w:w="7496" w:type="dxa"/>
            <w:shd w:val="clear" w:color="auto" w:fill="auto"/>
          </w:tcPr>
          <w:p w14:paraId="4DEF4658" w14:textId="77777777" w:rsidR="00601D9B" w:rsidRPr="000E53A0" w:rsidRDefault="000E53A0">
            <w:pPr>
              <w:ind w:left="116"/>
              <w:rPr>
                <w:rFonts w:asciiTheme="minorHAnsi" w:hAnsiTheme="minorHAnsi" w:cstheme="minorHAnsi"/>
                <w:sz w:val="20"/>
                <w:szCs w:val="20"/>
                <w:lang w:val="fr-FR"/>
              </w:rPr>
            </w:pPr>
            <w:r w:rsidRPr="000E53A0">
              <w:rPr>
                <w:rFonts w:asciiTheme="minorHAnsi" w:hAnsiTheme="minorHAnsi" w:cstheme="minorHAnsi"/>
                <w:sz w:val="20"/>
                <w:szCs w:val="20"/>
                <w:lang w:val="fr-FR"/>
              </w:rPr>
              <w:t>Violence fondée sur le genre</w:t>
            </w:r>
          </w:p>
        </w:tc>
      </w:tr>
      <w:tr w:rsidR="004F7944" w:rsidRPr="003D1E3A" w14:paraId="39107C4D" w14:textId="77777777" w:rsidTr="009D0A09">
        <w:trPr>
          <w:trHeight w:val="288"/>
        </w:trPr>
        <w:tc>
          <w:tcPr>
            <w:tcW w:w="1530" w:type="dxa"/>
            <w:shd w:val="clear" w:color="auto" w:fill="auto"/>
          </w:tcPr>
          <w:p w14:paraId="60D6C524" w14:textId="77777777" w:rsidR="00601D9B" w:rsidRDefault="000E53A0">
            <w:pPr>
              <w:rPr>
                <w:rFonts w:asciiTheme="minorHAnsi" w:hAnsiTheme="minorHAnsi" w:cstheme="minorHAnsi"/>
                <w:sz w:val="20"/>
                <w:szCs w:val="20"/>
              </w:rPr>
            </w:pPr>
            <w:r w:rsidRPr="003D1E3A">
              <w:rPr>
                <w:rFonts w:asciiTheme="minorHAnsi" w:hAnsiTheme="minorHAnsi" w:cstheme="minorHAnsi"/>
                <w:sz w:val="20"/>
                <w:szCs w:val="20"/>
              </w:rPr>
              <w:t>PIB</w:t>
            </w:r>
          </w:p>
        </w:tc>
        <w:tc>
          <w:tcPr>
            <w:tcW w:w="7496" w:type="dxa"/>
            <w:shd w:val="clear" w:color="auto" w:fill="auto"/>
          </w:tcPr>
          <w:p w14:paraId="2A55CFC5" w14:textId="77777777" w:rsidR="00601D9B" w:rsidRDefault="000E53A0">
            <w:pPr>
              <w:ind w:left="116"/>
              <w:rPr>
                <w:rFonts w:asciiTheme="minorHAnsi" w:hAnsiTheme="minorHAnsi" w:cstheme="minorHAnsi"/>
                <w:sz w:val="20"/>
                <w:szCs w:val="20"/>
              </w:rPr>
            </w:pPr>
            <w:r w:rsidRPr="003D1E3A">
              <w:rPr>
                <w:rFonts w:asciiTheme="minorHAnsi" w:hAnsiTheme="minorHAnsi" w:cstheme="minorHAnsi"/>
                <w:sz w:val="20"/>
                <w:szCs w:val="20"/>
              </w:rPr>
              <w:t>Produit intérieur brut</w:t>
            </w:r>
          </w:p>
        </w:tc>
      </w:tr>
      <w:tr w:rsidR="004C454A" w:rsidRPr="003D1E3A" w14:paraId="24A8EBD1" w14:textId="77777777" w:rsidTr="009D0A09">
        <w:trPr>
          <w:trHeight w:val="288"/>
        </w:trPr>
        <w:tc>
          <w:tcPr>
            <w:tcW w:w="1530" w:type="dxa"/>
            <w:shd w:val="clear" w:color="auto" w:fill="auto"/>
          </w:tcPr>
          <w:p w14:paraId="487D779B" w14:textId="77777777" w:rsidR="00601D9B" w:rsidRDefault="000E53A0">
            <w:pPr>
              <w:rPr>
                <w:rFonts w:asciiTheme="minorHAnsi" w:hAnsiTheme="minorHAnsi" w:cstheme="minorHAnsi"/>
                <w:sz w:val="20"/>
                <w:szCs w:val="20"/>
              </w:rPr>
            </w:pPr>
            <w:r w:rsidRPr="003D1E3A">
              <w:rPr>
                <w:rFonts w:asciiTheme="minorHAnsi" w:hAnsiTheme="minorHAnsi" w:cstheme="minorHAnsi"/>
                <w:sz w:val="20"/>
                <w:szCs w:val="20"/>
              </w:rPr>
              <w:t>GEF</w:t>
            </w:r>
          </w:p>
        </w:tc>
        <w:tc>
          <w:tcPr>
            <w:tcW w:w="7496" w:type="dxa"/>
            <w:shd w:val="clear" w:color="auto" w:fill="auto"/>
          </w:tcPr>
          <w:p w14:paraId="106242CA" w14:textId="77777777" w:rsidR="00601D9B" w:rsidRDefault="000E53A0">
            <w:pPr>
              <w:ind w:left="116"/>
              <w:rPr>
                <w:rFonts w:asciiTheme="minorHAnsi" w:hAnsiTheme="minorHAnsi" w:cstheme="minorHAnsi"/>
                <w:sz w:val="20"/>
                <w:szCs w:val="20"/>
              </w:rPr>
            </w:pPr>
            <w:r w:rsidRPr="003D1E3A">
              <w:rPr>
                <w:rFonts w:asciiTheme="minorHAnsi" w:hAnsiTheme="minorHAnsi" w:cstheme="minorHAnsi"/>
                <w:sz w:val="20"/>
                <w:szCs w:val="20"/>
              </w:rPr>
              <w:t>Fonds pour l'environnement mondial</w:t>
            </w:r>
          </w:p>
        </w:tc>
      </w:tr>
      <w:tr w:rsidR="004C454A" w:rsidRPr="000E53A0" w14:paraId="508466E9" w14:textId="77777777" w:rsidTr="009D0A09">
        <w:trPr>
          <w:trHeight w:val="288"/>
        </w:trPr>
        <w:tc>
          <w:tcPr>
            <w:tcW w:w="1530" w:type="dxa"/>
            <w:shd w:val="clear" w:color="auto" w:fill="auto"/>
          </w:tcPr>
          <w:p w14:paraId="7F6B7FBF" w14:textId="77777777" w:rsidR="00601D9B" w:rsidRDefault="000E53A0">
            <w:pPr>
              <w:rPr>
                <w:rFonts w:asciiTheme="minorHAnsi" w:hAnsiTheme="minorHAnsi" w:cstheme="minorHAnsi"/>
                <w:sz w:val="20"/>
                <w:szCs w:val="20"/>
              </w:rPr>
            </w:pPr>
            <w:r w:rsidRPr="003D1E3A">
              <w:rPr>
                <w:rFonts w:asciiTheme="minorHAnsi" w:hAnsiTheme="minorHAnsi" w:cstheme="minorHAnsi"/>
                <w:sz w:val="20"/>
                <w:szCs w:val="20"/>
              </w:rPr>
              <w:t>GEFSEC</w:t>
            </w:r>
          </w:p>
        </w:tc>
        <w:tc>
          <w:tcPr>
            <w:tcW w:w="7496" w:type="dxa"/>
            <w:shd w:val="clear" w:color="auto" w:fill="auto"/>
          </w:tcPr>
          <w:p w14:paraId="5A10C5E2" w14:textId="77777777" w:rsidR="00601D9B" w:rsidRPr="000E53A0" w:rsidRDefault="000E53A0">
            <w:pPr>
              <w:ind w:left="116"/>
              <w:rPr>
                <w:rFonts w:asciiTheme="minorHAnsi" w:hAnsiTheme="minorHAnsi" w:cstheme="minorHAnsi"/>
                <w:sz w:val="20"/>
                <w:szCs w:val="20"/>
                <w:lang w:val="fr-FR"/>
              </w:rPr>
            </w:pPr>
            <w:r w:rsidRPr="000E53A0">
              <w:rPr>
                <w:rFonts w:asciiTheme="minorHAnsi" w:hAnsiTheme="minorHAnsi" w:cstheme="minorHAnsi"/>
                <w:sz w:val="20"/>
                <w:szCs w:val="20"/>
                <w:lang w:val="fr-FR"/>
              </w:rPr>
              <w:t>Secrétariat du Fonds pour l'environnement mondial</w:t>
            </w:r>
          </w:p>
        </w:tc>
      </w:tr>
      <w:tr w:rsidR="004F7944" w:rsidRPr="003D1E3A" w14:paraId="539F416A" w14:textId="77777777" w:rsidTr="009D0A09">
        <w:trPr>
          <w:trHeight w:val="288"/>
        </w:trPr>
        <w:tc>
          <w:tcPr>
            <w:tcW w:w="1530" w:type="dxa"/>
            <w:shd w:val="clear" w:color="auto" w:fill="auto"/>
          </w:tcPr>
          <w:p w14:paraId="026CE37F" w14:textId="77777777" w:rsidR="00601D9B" w:rsidRDefault="000E53A0">
            <w:pPr>
              <w:rPr>
                <w:rFonts w:asciiTheme="minorHAnsi" w:hAnsiTheme="minorHAnsi" w:cstheme="minorHAnsi"/>
                <w:sz w:val="20"/>
                <w:szCs w:val="20"/>
              </w:rPr>
            </w:pPr>
            <w:r w:rsidRPr="003D1E3A">
              <w:rPr>
                <w:rFonts w:asciiTheme="minorHAnsi" w:hAnsiTheme="minorHAnsi" w:cstheme="minorHAnsi"/>
                <w:sz w:val="20"/>
                <w:szCs w:val="20"/>
              </w:rPr>
              <w:t>HDI</w:t>
            </w:r>
          </w:p>
        </w:tc>
        <w:tc>
          <w:tcPr>
            <w:tcW w:w="7496" w:type="dxa"/>
            <w:shd w:val="clear" w:color="auto" w:fill="auto"/>
          </w:tcPr>
          <w:p w14:paraId="2660335D" w14:textId="77777777" w:rsidR="00601D9B" w:rsidRDefault="000E53A0">
            <w:pPr>
              <w:ind w:left="116"/>
              <w:rPr>
                <w:rFonts w:asciiTheme="minorHAnsi" w:hAnsiTheme="minorHAnsi" w:cstheme="minorHAnsi"/>
                <w:sz w:val="20"/>
                <w:szCs w:val="20"/>
              </w:rPr>
            </w:pPr>
            <w:r w:rsidRPr="003D1E3A">
              <w:rPr>
                <w:rFonts w:asciiTheme="minorHAnsi" w:hAnsiTheme="minorHAnsi" w:cstheme="minorHAnsi"/>
                <w:sz w:val="20"/>
                <w:szCs w:val="20"/>
              </w:rPr>
              <w:t>Indice de développement humain</w:t>
            </w:r>
          </w:p>
        </w:tc>
      </w:tr>
      <w:tr w:rsidR="004F7944" w:rsidRPr="000E53A0" w14:paraId="04143200" w14:textId="77777777" w:rsidTr="009D0A09">
        <w:trPr>
          <w:trHeight w:val="288"/>
        </w:trPr>
        <w:tc>
          <w:tcPr>
            <w:tcW w:w="1530" w:type="dxa"/>
            <w:shd w:val="clear" w:color="auto" w:fill="auto"/>
          </w:tcPr>
          <w:p w14:paraId="1F9D6D0E" w14:textId="77777777" w:rsidR="00601D9B" w:rsidRDefault="000E53A0">
            <w:pPr>
              <w:rPr>
                <w:rFonts w:asciiTheme="minorHAnsi" w:hAnsiTheme="minorHAnsi" w:cstheme="minorHAnsi"/>
                <w:sz w:val="20"/>
                <w:szCs w:val="20"/>
              </w:rPr>
            </w:pPr>
            <w:r w:rsidRPr="003D1E3A">
              <w:rPr>
                <w:rFonts w:asciiTheme="minorHAnsi" w:hAnsiTheme="minorHAnsi" w:cstheme="minorHAnsi"/>
                <w:sz w:val="20"/>
                <w:szCs w:val="20"/>
              </w:rPr>
              <w:t>PDI</w:t>
            </w:r>
          </w:p>
        </w:tc>
        <w:tc>
          <w:tcPr>
            <w:tcW w:w="7496" w:type="dxa"/>
            <w:shd w:val="clear" w:color="auto" w:fill="auto"/>
          </w:tcPr>
          <w:p w14:paraId="756D7AFD" w14:textId="77777777" w:rsidR="00601D9B" w:rsidRPr="000E53A0" w:rsidRDefault="000E53A0">
            <w:pPr>
              <w:ind w:left="116"/>
              <w:rPr>
                <w:rFonts w:asciiTheme="minorHAnsi" w:hAnsiTheme="minorHAnsi" w:cstheme="minorHAnsi"/>
                <w:sz w:val="20"/>
                <w:szCs w:val="20"/>
                <w:lang w:val="fr-FR"/>
              </w:rPr>
            </w:pPr>
            <w:r w:rsidRPr="000E53A0">
              <w:rPr>
                <w:rFonts w:asciiTheme="minorHAnsi" w:hAnsiTheme="minorHAnsi" w:cstheme="minorHAnsi"/>
                <w:sz w:val="20"/>
                <w:szCs w:val="20"/>
                <w:lang w:val="fr-FR"/>
              </w:rPr>
              <w:t>Personnes déplacées à l'intérieur de leur propre pays</w:t>
            </w:r>
          </w:p>
        </w:tc>
      </w:tr>
      <w:tr w:rsidR="009D0A09" w:rsidRPr="003D1E3A" w14:paraId="6431C4CB" w14:textId="77777777" w:rsidTr="009D0A09">
        <w:trPr>
          <w:trHeight w:val="288"/>
        </w:trPr>
        <w:tc>
          <w:tcPr>
            <w:tcW w:w="1530" w:type="dxa"/>
            <w:shd w:val="clear" w:color="auto" w:fill="auto"/>
          </w:tcPr>
          <w:p w14:paraId="15CEE7AB" w14:textId="77777777" w:rsidR="00601D9B" w:rsidRDefault="000E53A0">
            <w:pPr>
              <w:rPr>
                <w:rFonts w:asciiTheme="minorHAnsi" w:hAnsiTheme="minorHAnsi" w:cstheme="minorHAnsi"/>
                <w:sz w:val="20"/>
                <w:szCs w:val="20"/>
              </w:rPr>
            </w:pPr>
            <w:r>
              <w:rPr>
                <w:rFonts w:asciiTheme="minorHAnsi" w:hAnsiTheme="minorHAnsi" w:cstheme="minorHAnsi"/>
                <w:sz w:val="20"/>
                <w:szCs w:val="20"/>
              </w:rPr>
              <w:t>IER</w:t>
            </w:r>
          </w:p>
        </w:tc>
        <w:tc>
          <w:tcPr>
            <w:tcW w:w="7496" w:type="dxa"/>
            <w:shd w:val="clear" w:color="auto" w:fill="auto"/>
          </w:tcPr>
          <w:p w14:paraId="3D9A5168" w14:textId="77777777" w:rsidR="00601D9B" w:rsidRDefault="000E53A0">
            <w:pPr>
              <w:ind w:left="116"/>
              <w:rPr>
                <w:rFonts w:asciiTheme="minorHAnsi" w:hAnsiTheme="minorHAnsi" w:cstheme="minorHAnsi"/>
                <w:sz w:val="20"/>
                <w:szCs w:val="20"/>
              </w:rPr>
            </w:pPr>
            <w:r w:rsidRPr="00F144C9">
              <w:rPr>
                <w:rFonts w:asciiTheme="minorHAnsi" w:hAnsiTheme="minorHAnsi" w:cs="Calibri"/>
                <w:sz w:val="20"/>
                <w:szCs w:val="20"/>
              </w:rPr>
              <w:t>Institut d'économie rurale</w:t>
            </w:r>
          </w:p>
        </w:tc>
      </w:tr>
      <w:tr w:rsidR="009D0A09" w:rsidRPr="003D1E3A" w14:paraId="71C42239" w14:textId="77777777" w:rsidTr="009D0A09">
        <w:trPr>
          <w:trHeight w:val="288"/>
        </w:trPr>
        <w:tc>
          <w:tcPr>
            <w:tcW w:w="1530" w:type="dxa"/>
            <w:shd w:val="clear" w:color="auto" w:fill="auto"/>
          </w:tcPr>
          <w:p w14:paraId="64577A8F" w14:textId="77777777" w:rsidR="00601D9B" w:rsidRDefault="000E53A0">
            <w:pPr>
              <w:rPr>
                <w:rFonts w:asciiTheme="minorHAnsi" w:hAnsiTheme="minorHAnsi" w:cstheme="minorHAnsi"/>
                <w:sz w:val="20"/>
                <w:szCs w:val="20"/>
              </w:rPr>
            </w:pPr>
            <w:r>
              <w:rPr>
                <w:rFonts w:asciiTheme="minorHAnsi" w:hAnsiTheme="minorHAnsi" w:cstheme="minorHAnsi"/>
                <w:sz w:val="20"/>
                <w:szCs w:val="20"/>
              </w:rPr>
              <w:t>IGM</w:t>
            </w:r>
          </w:p>
        </w:tc>
        <w:tc>
          <w:tcPr>
            <w:tcW w:w="7496" w:type="dxa"/>
            <w:shd w:val="clear" w:color="auto" w:fill="auto"/>
          </w:tcPr>
          <w:p w14:paraId="0B059F7D" w14:textId="77777777" w:rsidR="00601D9B" w:rsidRDefault="000E53A0">
            <w:pPr>
              <w:ind w:left="116"/>
              <w:rPr>
                <w:rFonts w:asciiTheme="minorHAnsi" w:hAnsiTheme="minorHAnsi" w:cstheme="minorHAnsi"/>
                <w:sz w:val="20"/>
                <w:szCs w:val="20"/>
              </w:rPr>
            </w:pPr>
            <w:r w:rsidRPr="00F144C9">
              <w:rPr>
                <w:rFonts w:asciiTheme="minorHAnsi" w:hAnsiTheme="minorHAnsi" w:cs="Calibri"/>
                <w:sz w:val="20"/>
                <w:szCs w:val="20"/>
              </w:rPr>
              <w:t>Institut géographique du Mali</w:t>
            </w:r>
          </w:p>
        </w:tc>
      </w:tr>
      <w:tr w:rsidR="009D0A09" w:rsidRPr="000E53A0" w14:paraId="66C9F286" w14:textId="77777777" w:rsidTr="009D0A09">
        <w:trPr>
          <w:trHeight w:val="288"/>
        </w:trPr>
        <w:tc>
          <w:tcPr>
            <w:tcW w:w="1530" w:type="dxa"/>
            <w:shd w:val="clear" w:color="auto" w:fill="auto"/>
          </w:tcPr>
          <w:p w14:paraId="0C61DE2B" w14:textId="77777777" w:rsidR="00601D9B" w:rsidRDefault="000E53A0">
            <w:pPr>
              <w:rPr>
                <w:rFonts w:asciiTheme="minorHAnsi" w:hAnsiTheme="minorHAnsi" w:cstheme="minorHAnsi"/>
                <w:sz w:val="20"/>
                <w:szCs w:val="20"/>
              </w:rPr>
            </w:pPr>
            <w:r>
              <w:rPr>
                <w:rFonts w:asciiTheme="minorHAnsi" w:hAnsiTheme="minorHAnsi" w:cstheme="minorHAnsi"/>
                <w:sz w:val="20"/>
                <w:szCs w:val="20"/>
              </w:rPr>
              <w:t>UICN</w:t>
            </w:r>
          </w:p>
        </w:tc>
        <w:tc>
          <w:tcPr>
            <w:tcW w:w="7496" w:type="dxa"/>
            <w:shd w:val="clear" w:color="auto" w:fill="auto"/>
          </w:tcPr>
          <w:p w14:paraId="2194DC08" w14:textId="77777777" w:rsidR="00601D9B" w:rsidRPr="000E53A0" w:rsidRDefault="000E53A0">
            <w:pPr>
              <w:ind w:left="116"/>
              <w:rPr>
                <w:rFonts w:asciiTheme="minorHAnsi" w:hAnsiTheme="minorHAnsi" w:cstheme="minorHAnsi"/>
                <w:sz w:val="20"/>
                <w:szCs w:val="20"/>
                <w:lang w:val="fr-FR"/>
              </w:rPr>
            </w:pPr>
            <w:r w:rsidRPr="000E53A0">
              <w:rPr>
                <w:rFonts w:asciiTheme="minorHAnsi" w:hAnsiTheme="minorHAnsi" w:cstheme="minorHAnsi"/>
                <w:sz w:val="20"/>
                <w:szCs w:val="20"/>
                <w:lang w:val="fr-FR"/>
              </w:rPr>
              <w:t>Union internationale pour la conservation de la nature</w:t>
            </w:r>
          </w:p>
        </w:tc>
      </w:tr>
      <w:tr w:rsidR="004F7944" w:rsidRPr="003D1E3A" w14:paraId="0A234EA8" w14:textId="77777777" w:rsidTr="009D0A09">
        <w:trPr>
          <w:trHeight w:val="288"/>
        </w:trPr>
        <w:tc>
          <w:tcPr>
            <w:tcW w:w="1530" w:type="dxa"/>
            <w:tcBorders>
              <w:bottom w:val="nil"/>
            </w:tcBorders>
            <w:shd w:val="clear" w:color="auto" w:fill="auto"/>
          </w:tcPr>
          <w:p w14:paraId="6C69F3CA" w14:textId="77777777" w:rsidR="00601D9B" w:rsidRDefault="000E53A0">
            <w:pPr>
              <w:rPr>
                <w:rFonts w:asciiTheme="minorHAnsi" w:hAnsiTheme="minorHAnsi" w:cstheme="minorHAnsi"/>
                <w:sz w:val="20"/>
                <w:szCs w:val="20"/>
              </w:rPr>
            </w:pPr>
            <w:r w:rsidRPr="003D1E3A">
              <w:rPr>
                <w:rFonts w:asciiTheme="minorHAnsi" w:hAnsiTheme="minorHAnsi" w:cstheme="minorHAnsi"/>
                <w:sz w:val="20"/>
                <w:szCs w:val="20"/>
              </w:rPr>
              <w:t>LDC</w:t>
            </w:r>
          </w:p>
        </w:tc>
        <w:tc>
          <w:tcPr>
            <w:tcW w:w="7496" w:type="dxa"/>
            <w:tcBorders>
              <w:bottom w:val="nil"/>
            </w:tcBorders>
            <w:shd w:val="clear" w:color="auto" w:fill="auto"/>
          </w:tcPr>
          <w:p w14:paraId="37BA88EA" w14:textId="77777777" w:rsidR="00601D9B" w:rsidRDefault="000E53A0">
            <w:pPr>
              <w:ind w:left="116"/>
              <w:rPr>
                <w:rFonts w:asciiTheme="minorHAnsi" w:hAnsiTheme="minorHAnsi" w:cstheme="minorHAnsi"/>
                <w:sz w:val="20"/>
                <w:szCs w:val="20"/>
              </w:rPr>
            </w:pPr>
            <w:r w:rsidRPr="003D1E3A">
              <w:rPr>
                <w:rFonts w:asciiTheme="minorHAnsi" w:hAnsiTheme="minorHAnsi" w:cstheme="minorHAnsi"/>
                <w:sz w:val="20"/>
                <w:szCs w:val="20"/>
              </w:rPr>
              <w:t>Pays les moins avancés</w:t>
            </w:r>
          </w:p>
        </w:tc>
      </w:tr>
      <w:tr w:rsidR="000C1CE7" w:rsidRPr="000E53A0" w14:paraId="5DC0D67B" w14:textId="77777777" w:rsidTr="009D0A09">
        <w:trPr>
          <w:trHeight w:val="288"/>
        </w:trPr>
        <w:tc>
          <w:tcPr>
            <w:tcW w:w="1530" w:type="dxa"/>
            <w:tcBorders>
              <w:bottom w:val="nil"/>
            </w:tcBorders>
            <w:shd w:val="clear" w:color="auto" w:fill="auto"/>
          </w:tcPr>
          <w:p w14:paraId="078D27C0" w14:textId="77777777" w:rsidR="00601D9B" w:rsidRDefault="000E53A0">
            <w:pPr>
              <w:rPr>
                <w:rFonts w:asciiTheme="minorHAnsi" w:hAnsiTheme="minorHAnsi" w:cstheme="minorHAnsi"/>
                <w:sz w:val="20"/>
                <w:szCs w:val="20"/>
              </w:rPr>
            </w:pPr>
            <w:r w:rsidRPr="003D1E3A">
              <w:rPr>
                <w:rFonts w:asciiTheme="minorHAnsi" w:hAnsiTheme="minorHAnsi" w:cstheme="minorHAnsi"/>
                <w:sz w:val="20"/>
                <w:szCs w:val="20"/>
              </w:rPr>
              <w:t>LDN</w:t>
            </w:r>
          </w:p>
        </w:tc>
        <w:tc>
          <w:tcPr>
            <w:tcW w:w="7496" w:type="dxa"/>
            <w:tcBorders>
              <w:bottom w:val="nil"/>
            </w:tcBorders>
            <w:shd w:val="clear" w:color="auto" w:fill="auto"/>
          </w:tcPr>
          <w:p w14:paraId="4D3AA460" w14:textId="77777777" w:rsidR="00601D9B" w:rsidRPr="000E53A0" w:rsidRDefault="000E53A0">
            <w:pPr>
              <w:ind w:left="116"/>
              <w:rPr>
                <w:rFonts w:asciiTheme="minorHAnsi" w:hAnsiTheme="minorHAnsi" w:cstheme="minorHAnsi"/>
                <w:sz w:val="20"/>
                <w:szCs w:val="20"/>
                <w:lang w:val="fr-FR"/>
              </w:rPr>
            </w:pPr>
            <w:r w:rsidRPr="000E53A0">
              <w:rPr>
                <w:rFonts w:asciiTheme="minorHAnsi" w:hAnsiTheme="minorHAnsi" w:cstheme="minorHAnsi"/>
                <w:sz w:val="20"/>
                <w:szCs w:val="20"/>
                <w:lang w:val="fr-FR"/>
              </w:rPr>
              <w:t>Neutralité en matière de dégradation des terres</w:t>
            </w:r>
          </w:p>
        </w:tc>
      </w:tr>
      <w:tr w:rsidR="009D0A09" w:rsidRPr="003D1E3A" w14:paraId="66C966C9" w14:textId="77777777" w:rsidTr="009D0A09">
        <w:trPr>
          <w:trHeight w:val="288"/>
        </w:trPr>
        <w:tc>
          <w:tcPr>
            <w:tcW w:w="1530" w:type="dxa"/>
            <w:tcBorders>
              <w:bottom w:val="nil"/>
            </w:tcBorders>
            <w:shd w:val="clear" w:color="auto" w:fill="auto"/>
          </w:tcPr>
          <w:p w14:paraId="49F12432" w14:textId="77777777" w:rsidR="00601D9B" w:rsidRDefault="000E53A0">
            <w:pPr>
              <w:rPr>
                <w:rFonts w:asciiTheme="minorHAnsi" w:hAnsiTheme="minorHAnsi" w:cstheme="minorHAnsi"/>
                <w:sz w:val="20"/>
                <w:szCs w:val="20"/>
              </w:rPr>
            </w:pPr>
            <w:r>
              <w:rPr>
                <w:rFonts w:asciiTheme="minorHAnsi" w:hAnsiTheme="minorHAnsi" w:cstheme="minorHAnsi"/>
                <w:sz w:val="20"/>
                <w:szCs w:val="20"/>
              </w:rPr>
              <w:t>MALI METEO</w:t>
            </w:r>
          </w:p>
        </w:tc>
        <w:tc>
          <w:tcPr>
            <w:tcW w:w="7496" w:type="dxa"/>
            <w:tcBorders>
              <w:bottom w:val="nil"/>
            </w:tcBorders>
            <w:shd w:val="clear" w:color="auto" w:fill="auto"/>
          </w:tcPr>
          <w:p w14:paraId="43066123" w14:textId="77777777" w:rsidR="00601D9B" w:rsidRDefault="000E53A0">
            <w:pPr>
              <w:ind w:left="116"/>
              <w:rPr>
                <w:rFonts w:asciiTheme="minorHAnsi" w:hAnsiTheme="minorHAnsi" w:cstheme="minorHAnsi"/>
                <w:iCs/>
                <w:sz w:val="20"/>
                <w:szCs w:val="20"/>
                <w:lang w:val="en-US"/>
              </w:rPr>
            </w:pPr>
            <w:r w:rsidRPr="009D0A09">
              <w:rPr>
                <w:rFonts w:asciiTheme="minorHAnsi" w:hAnsiTheme="minorHAnsi" w:cstheme="minorHAnsi"/>
                <w:iCs/>
                <w:sz w:val="20"/>
                <w:szCs w:val="20"/>
                <w:lang w:val="en-US"/>
              </w:rPr>
              <w:t>Agence nationale de météorologie</w:t>
            </w:r>
          </w:p>
        </w:tc>
      </w:tr>
      <w:tr w:rsidR="009D0A09" w:rsidRPr="000E53A0" w14:paraId="458CE603" w14:textId="77777777" w:rsidTr="009D0A09">
        <w:trPr>
          <w:trHeight w:val="288"/>
        </w:trPr>
        <w:tc>
          <w:tcPr>
            <w:tcW w:w="1530" w:type="dxa"/>
            <w:tcBorders>
              <w:bottom w:val="nil"/>
            </w:tcBorders>
            <w:shd w:val="clear" w:color="auto" w:fill="auto"/>
          </w:tcPr>
          <w:p w14:paraId="57791C83" w14:textId="77777777" w:rsidR="00601D9B" w:rsidRDefault="000E53A0">
            <w:pPr>
              <w:rPr>
                <w:rFonts w:asciiTheme="minorHAnsi" w:hAnsiTheme="minorHAnsi" w:cstheme="minorHAnsi"/>
                <w:sz w:val="20"/>
                <w:szCs w:val="20"/>
              </w:rPr>
            </w:pPr>
            <w:r>
              <w:rPr>
                <w:rFonts w:asciiTheme="minorHAnsi" w:hAnsiTheme="minorHAnsi" w:cstheme="minorHAnsi"/>
                <w:sz w:val="20"/>
                <w:szCs w:val="20"/>
              </w:rPr>
              <w:t>MEADD</w:t>
            </w:r>
          </w:p>
        </w:tc>
        <w:tc>
          <w:tcPr>
            <w:tcW w:w="7496" w:type="dxa"/>
            <w:tcBorders>
              <w:bottom w:val="nil"/>
            </w:tcBorders>
            <w:shd w:val="clear" w:color="auto" w:fill="auto"/>
          </w:tcPr>
          <w:p w14:paraId="5C47B238" w14:textId="77777777" w:rsidR="00601D9B" w:rsidRPr="000E53A0" w:rsidRDefault="000E53A0">
            <w:pPr>
              <w:ind w:left="116"/>
              <w:rPr>
                <w:rFonts w:asciiTheme="minorHAnsi" w:hAnsiTheme="minorHAnsi" w:cstheme="minorHAnsi"/>
                <w:iCs/>
                <w:sz w:val="20"/>
                <w:szCs w:val="20"/>
                <w:lang w:val="fr-FR"/>
              </w:rPr>
            </w:pPr>
            <w:r w:rsidRPr="000E53A0">
              <w:rPr>
                <w:rFonts w:asciiTheme="minorHAnsi" w:hAnsiTheme="minorHAnsi" w:cstheme="minorHAnsi"/>
                <w:iCs/>
                <w:sz w:val="20"/>
                <w:szCs w:val="20"/>
                <w:lang w:val="fr-FR"/>
              </w:rPr>
              <w:t>Ministère de l'environnement, de l'assainissement et du développement durable</w:t>
            </w:r>
          </w:p>
        </w:tc>
      </w:tr>
      <w:tr w:rsidR="009D0A09" w:rsidRPr="003D1E3A" w14:paraId="7A6A66A2" w14:textId="77777777" w:rsidTr="009D0A09">
        <w:trPr>
          <w:trHeight w:val="288"/>
        </w:trPr>
        <w:tc>
          <w:tcPr>
            <w:tcW w:w="1530" w:type="dxa"/>
            <w:tcBorders>
              <w:bottom w:val="nil"/>
            </w:tcBorders>
            <w:shd w:val="clear" w:color="auto" w:fill="auto"/>
          </w:tcPr>
          <w:p w14:paraId="4960C87F" w14:textId="77777777" w:rsidR="00601D9B" w:rsidRDefault="000E53A0">
            <w:pPr>
              <w:rPr>
                <w:rFonts w:asciiTheme="minorHAnsi" w:hAnsiTheme="minorHAnsi" w:cstheme="minorHAnsi"/>
                <w:sz w:val="20"/>
                <w:szCs w:val="20"/>
              </w:rPr>
            </w:pPr>
            <w:r>
              <w:rPr>
                <w:rFonts w:asciiTheme="minorHAnsi" w:hAnsiTheme="minorHAnsi" w:cstheme="minorHAnsi"/>
                <w:sz w:val="20"/>
                <w:szCs w:val="20"/>
              </w:rPr>
              <w:t>ONG</w:t>
            </w:r>
          </w:p>
        </w:tc>
        <w:tc>
          <w:tcPr>
            <w:tcW w:w="7496" w:type="dxa"/>
            <w:tcBorders>
              <w:bottom w:val="nil"/>
            </w:tcBorders>
            <w:shd w:val="clear" w:color="auto" w:fill="auto"/>
          </w:tcPr>
          <w:p w14:paraId="20F88DF3" w14:textId="77777777" w:rsidR="00601D9B" w:rsidRDefault="000E53A0">
            <w:pPr>
              <w:ind w:left="116"/>
              <w:rPr>
                <w:rFonts w:asciiTheme="minorHAnsi" w:hAnsiTheme="minorHAnsi" w:cstheme="minorHAnsi"/>
                <w:iCs/>
                <w:sz w:val="20"/>
                <w:szCs w:val="20"/>
                <w:lang w:val="en-US"/>
              </w:rPr>
            </w:pPr>
            <w:r>
              <w:rPr>
                <w:rFonts w:asciiTheme="minorHAnsi" w:hAnsiTheme="minorHAnsi" w:cstheme="minorHAnsi"/>
                <w:iCs/>
                <w:sz w:val="20"/>
                <w:szCs w:val="20"/>
                <w:lang w:val="en-US"/>
              </w:rPr>
              <w:t>Organisation non gouvernementale</w:t>
            </w:r>
          </w:p>
        </w:tc>
      </w:tr>
      <w:tr w:rsidR="00B25A23" w:rsidRPr="000E53A0" w14:paraId="1652E01A" w14:textId="77777777" w:rsidTr="009D0A09">
        <w:trPr>
          <w:trHeight w:val="288"/>
        </w:trPr>
        <w:tc>
          <w:tcPr>
            <w:tcW w:w="1530" w:type="dxa"/>
            <w:tcBorders>
              <w:bottom w:val="nil"/>
            </w:tcBorders>
            <w:shd w:val="clear" w:color="auto" w:fill="auto"/>
          </w:tcPr>
          <w:p w14:paraId="5EF0605E" w14:textId="77777777" w:rsidR="00601D9B" w:rsidRDefault="000E53A0">
            <w:pPr>
              <w:rPr>
                <w:rFonts w:asciiTheme="minorHAnsi" w:hAnsiTheme="minorHAnsi" w:cstheme="minorHAnsi"/>
                <w:sz w:val="20"/>
                <w:szCs w:val="20"/>
              </w:rPr>
            </w:pPr>
            <w:r w:rsidRPr="003D1E3A">
              <w:rPr>
                <w:rFonts w:asciiTheme="minorHAnsi" w:hAnsiTheme="minorHAnsi" w:cstheme="minorHAnsi"/>
                <w:sz w:val="20"/>
                <w:szCs w:val="20"/>
              </w:rPr>
              <w:t>PDSEC</w:t>
            </w:r>
          </w:p>
        </w:tc>
        <w:tc>
          <w:tcPr>
            <w:tcW w:w="7496" w:type="dxa"/>
            <w:tcBorders>
              <w:bottom w:val="nil"/>
            </w:tcBorders>
            <w:shd w:val="clear" w:color="auto" w:fill="auto"/>
          </w:tcPr>
          <w:p w14:paraId="46ADD861" w14:textId="77777777" w:rsidR="00601D9B" w:rsidRPr="000E53A0" w:rsidRDefault="000E53A0">
            <w:pPr>
              <w:ind w:left="116"/>
              <w:rPr>
                <w:rFonts w:asciiTheme="minorHAnsi" w:hAnsiTheme="minorHAnsi" w:cstheme="minorHAnsi"/>
                <w:sz w:val="20"/>
                <w:szCs w:val="20"/>
                <w:lang w:val="fr-FR"/>
              </w:rPr>
            </w:pPr>
            <w:r w:rsidRPr="000E53A0">
              <w:rPr>
                <w:rFonts w:asciiTheme="minorHAnsi" w:hAnsiTheme="minorHAnsi" w:cstheme="minorHAnsi"/>
                <w:iCs/>
                <w:sz w:val="20"/>
                <w:szCs w:val="20"/>
                <w:lang w:val="fr-FR"/>
              </w:rPr>
              <w:t>Plans de développement économique, social et culturel</w:t>
            </w:r>
          </w:p>
        </w:tc>
      </w:tr>
      <w:tr w:rsidR="004C454A" w:rsidRPr="003D1E3A" w14:paraId="5F682093" w14:textId="77777777" w:rsidTr="009D0A09">
        <w:trPr>
          <w:trHeight w:val="288"/>
        </w:trPr>
        <w:tc>
          <w:tcPr>
            <w:tcW w:w="1530" w:type="dxa"/>
            <w:tcBorders>
              <w:bottom w:val="nil"/>
            </w:tcBorders>
            <w:shd w:val="clear" w:color="auto" w:fill="auto"/>
          </w:tcPr>
          <w:p w14:paraId="046BF747" w14:textId="77777777" w:rsidR="00601D9B" w:rsidRDefault="000E53A0">
            <w:pPr>
              <w:rPr>
                <w:rFonts w:asciiTheme="minorHAnsi" w:hAnsiTheme="minorHAnsi" w:cstheme="minorHAnsi"/>
                <w:sz w:val="20"/>
                <w:szCs w:val="20"/>
              </w:rPr>
            </w:pPr>
            <w:r w:rsidRPr="003D1E3A">
              <w:rPr>
                <w:rFonts w:asciiTheme="minorHAnsi" w:hAnsiTheme="minorHAnsi" w:cstheme="minorHAnsi"/>
                <w:sz w:val="20"/>
                <w:szCs w:val="20"/>
              </w:rPr>
              <w:t>PIF</w:t>
            </w:r>
          </w:p>
        </w:tc>
        <w:tc>
          <w:tcPr>
            <w:tcW w:w="7496" w:type="dxa"/>
            <w:tcBorders>
              <w:bottom w:val="nil"/>
            </w:tcBorders>
            <w:shd w:val="clear" w:color="auto" w:fill="auto"/>
          </w:tcPr>
          <w:p w14:paraId="3CFA0A40" w14:textId="77777777" w:rsidR="00601D9B" w:rsidRDefault="000E53A0">
            <w:pPr>
              <w:ind w:left="116"/>
              <w:rPr>
                <w:rFonts w:asciiTheme="minorHAnsi" w:hAnsiTheme="minorHAnsi" w:cstheme="minorHAnsi"/>
                <w:sz w:val="20"/>
                <w:szCs w:val="20"/>
              </w:rPr>
            </w:pPr>
            <w:r w:rsidRPr="003D1E3A">
              <w:rPr>
                <w:rFonts w:asciiTheme="minorHAnsi" w:hAnsiTheme="minorHAnsi" w:cstheme="minorHAnsi"/>
                <w:sz w:val="20"/>
                <w:szCs w:val="20"/>
              </w:rPr>
              <w:t>Formulaire d'identification du projet</w:t>
            </w:r>
          </w:p>
        </w:tc>
      </w:tr>
      <w:tr w:rsidR="00477E70" w:rsidRPr="000E53A0" w14:paraId="23BCF78D" w14:textId="77777777" w:rsidTr="009D0A09">
        <w:trPr>
          <w:trHeight w:val="288"/>
        </w:trPr>
        <w:tc>
          <w:tcPr>
            <w:tcW w:w="1530" w:type="dxa"/>
            <w:tcBorders>
              <w:bottom w:val="nil"/>
            </w:tcBorders>
            <w:shd w:val="clear" w:color="auto" w:fill="auto"/>
          </w:tcPr>
          <w:p w14:paraId="38B693C0" w14:textId="77777777" w:rsidR="00601D9B" w:rsidRDefault="000E53A0">
            <w:pPr>
              <w:rPr>
                <w:rFonts w:asciiTheme="minorHAnsi" w:hAnsiTheme="minorHAnsi" w:cstheme="minorHAnsi"/>
                <w:sz w:val="20"/>
                <w:szCs w:val="20"/>
              </w:rPr>
            </w:pPr>
            <w:r w:rsidRPr="003D1E3A">
              <w:rPr>
                <w:rFonts w:asciiTheme="minorHAnsi" w:hAnsiTheme="minorHAnsi" w:cstheme="minorHAnsi"/>
                <w:sz w:val="20"/>
                <w:szCs w:val="20"/>
              </w:rPr>
              <w:t>PIR</w:t>
            </w:r>
          </w:p>
        </w:tc>
        <w:tc>
          <w:tcPr>
            <w:tcW w:w="7496" w:type="dxa"/>
            <w:tcBorders>
              <w:bottom w:val="nil"/>
            </w:tcBorders>
            <w:shd w:val="clear" w:color="auto" w:fill="auto"/>
          </w:tcPr>
          <w:p w14:paraId="4F4EF940" w14:textId="77777777" w:rsidR="00601D9B" w:rsidRPr="000E53A0" w:rsidRDefault="000E53A0">
            <w:pPr>
              <w:ind w:left="116"/>
              <w:rPr>
                <w:rFonts w:asciiTheme="minorHAnsi" w:hAnsiTheme="minorHAnsi" w:cstheme="minorHAnsi"/>
                <w:sz w:val="20"/>
                <w:szCs w:val="20"/>
                <w:lang w:val="fr-FR"/>
              </w:rPr>
            </w:pPr>
            <w:r w:rsidRPr="000E53A0">
              <w:rPr>
                <w:rFonts w:asciiTheme="minorHAnsi" w:hAnsiTheme="minorHAnsi" w:cstheme="minorHAnsi"/>
                <w:sz w:val="20"/>
                <w:szCs w:val="20"/>
                <w:lang w:val="fr-FR"/>
              </w:rPr>
              <w:t>Rapport d'exécution du projet FEM</w:t>
            </w:r>
          </w:p>
        </w:tc>
      </w:tr>
      <w:tr w:rsidR="00C779CB" w:rsidRPr="003D1E3A" w14:paraId="5609B14B" w14:textId="77777777" w:rsidTr="009D0A09">
        <w:trPr>
          <w:trHeight w:val="288"/>
        </w:trPr>
        <w:tc>
          <w:tcPr>
            <w:tcW w:w="1530" w:type="dxa"/>
            <w:tcBorders>
              <w:bottom w:val="nil"/>
            </w:tcBorders>
            <w:shd w:val="clear" w:color="auto" w:fill="auto"/>
          </w:tcPr>
          <w:p w14:paraId="237193E5" w14:textId="77777777" w:rsidR="00601D9B" w:rsidRDefault="000E53A0">
            <w:pPr>
              <w:rPr>
                <w:rFonts w:asciiTheme="minorHAnsi" w:hAnsiTheme="minorHAnsi" w:cstheme="minorHAnsi"/>
                <w:sz w:val="20"/>
                <w:szCs w:val="20"/>
              </w:rPr>
            </w:pPr>
            <w:r>
              <w:rPr>
                <w:rFonts w:asciiTheme="minorHAnsi" w:hAnsiTheme="minorHAnsi" w:cstheme="minorHAnsi"/>
                <w:sz w:val="20"/>
                <w:szCs w:val="20"/>
              </w:rPr>
              <w:t>PM</w:t>
            </w:r>
          </w:p>
        </w:tc>
        <w:tc>
          <w:tcPr>
            <w:tcW w:w="7496" w:type="dxa"/>
            <w:tcBorders>
              <w:bottom w:val="nil"/>
            </w:tcBorders>
            <w:shd w:val="clear" w:color="auto" w:fill="auto"/>
          </w:tcPr>
          <w:p w14:paraId="57439075" w14:textId="77777777" w:rsidR="00601D9B" w:rsidRDefault="000E53A0">
            <w:pPr>
              <w:ind w:left="116"/>
              <w:rPr>
                <w:rFonts w:asciiTheme="minorHAnsi" w:hAnsiTheme="minorHAnsi" w:cstheme="minorHAnsi"/>
                <w:sz w:val="20"/>
                <w:szCs w:val="20"/>
              </w:rPr>
            </w:pPr>
            <w:r>
              <w:rPr>
                <w:rFonts w:asciiTheme="minorHAnsi" w:hAnsiTheme="minorHAnsi" w:cstheme="minorHAnsi"/>
                <w:sz w:val="20"/>
                <w:szCs w:val="20"/>
              </w:rPr>
              <w:t>Chef de projet</w:t>
            </w:r>
          </w:p>
        </w:tc>
      </w:tr>
      <w:tr w:rsidR="009D0A09" w:rsidRPr="000E53A0" w14:paraId="080E147C" w14:textId="77777777" w:rsidTr="009D0A09">
        <w:trPr>
          <w:trHeight w:val="288"/>
        </w:trPr>
        <w:tc>
          <w:tcPr>
            <w:tcW w:w="1530" w:type="dxa"/>
            <w:tcBorders>
              <w:bottom w:val="nil"/>
            </w:tcBorders>
            <w:shd w:val="clear" w:color="auto" w:fill="auto"/>
          </w:tcPr>
          <w:p w14:paraId="4CE36D73" w14:textId="77777777" w:rsidR="00601D9B" w:rsidRDefault="000E53A0">
            <w:pPr>
              <w:rPr>
                <w:rFonts w:asciiTheme="minorHAnsi" w:hAnsiTheme="minorHAnsi" w:cstheme="minorHAnsi"/>
                <w:sz w:val="20"/>
                <w:szCs w:val="20"/>
              </w:rPr>
            </w:pPr>
            <w:r>
              <w:rPr>
                <w:rFonts w:asciiTheme="minorHAnsi" w:hAnsiTheme="minorHAnsi" w:cstheme="minorHAnsi"/>
                <w:sz w:val="20"/>
                <w:szCs w:val="20"/>
              </w:rPr>
              <w:t>PMU</w:t>
            </w:r>
          </w:p>
        </w:tc>
        <w:tc>
          <w:tcPr>
            <w:tcW w:w="7496" w:type="dxa"/>
            <w:tcBorders>
              <w:bottom w:val="nil"/>
            </w:tcBorders>
            <w:shd w:val="clear" w:color="auto" w:fill="auto"/>
          </w:tcPr>
          <w:p w14:paraId="4BEAC17F" w14:textId="77777777" w:rsidR="00601D9B" w:rsidRPr="000E53A0" w:rsidRDefault="000E53A0">
            <w:pPr>
              <w:ind w:left="116"/>
              <w:rPr>
                <w:rFonts w:asciiTheme="minorHAnsi" w:hAnsiTheme="minorHAnsi" w:cstheme="minorHAnsi"/>
                <w:sz w:val="20"/>
                <w:szCs w:val="20"/>
                <w:lang w:val="fr-FR"/>
              </w:rPr>
            </w:pPr>
            <w:r w:rsidRPr="000E53A0">
              <w:rPr>
                <w:rFonts w:asciiTheme="minorHAnsi" w:hAnsiTheme="minorHAnsi" w:cstheme="minorHAnsi"/>
                <w:sz w:val="20"/>
                <w:szCs w:val="20"/>
                <w:lang w:val="fr-FR"/>
              </w:rPr>
              <w:t>Unité de gestion de projet</w:t>
            </w:r>
          </w:p>
        </w:tc>
      </w:tr>
      <w:tr w:rsidR="004C454A" w:rsidRPr="000E53A0" w14:paraId="004270AE" w14:textId="77777777" w:rsidTr="009D0A09">
        <w:trPr>
          <w:trHeight w:val="288"/>
        </w:trPr>
        <w:tc>
          <w:tcPr>
            <w:tcW w:w="1530" w:type="dxa"/>
            <w:tcBorders>
              <w:bottom w:val="nil"/>
            </w:tcBorders>
            <w:shd w:val="clear" w:color="auto" w:fill="auto"/>
          </w:tcPr>
          <w:p w14:paraId="1F348961" w14:textId="77777777" w:rsidR="00601D9B" w:rsidRDefault="000E53A0">
            <w:pPr>
              <w:rPr>
                <w:rFonts w:asciiTheme="minorHAnsi" w:hAnsiTheme="minorHAnsi" w:cstheme="minorHAnsi"/>
                <w:sz w:val="20"/>
                <w:szCs w:val="20"/>
              </w:rPr>
            </w:pPr>
            <w:r w:rsidRPr="003D1E3A">
              <w:rPr>
                <w:rFonts w:asciiTheme="minorHAnsi" w:hAnsiTheme="minorHAnsi" w:cstheme="minorHAnsi"/>
                <w:sz w:val="20"/>
                <w:szCs w:val="20"/>
              </w:rPr>
              <w:t>POPP</w:t>
            </w:r>
          </w:p>
        </w:tc>
        <w:tc>
          <w:tcPr>
            <w:tcW w:w="7496" w:type="dxa"/>
            <w:tcBorders>
              <w:bottom w:val="nil"/>
            </w:tcBorders>
            <w:shd w:val="clear" w:color="auto" w:fill="auto"/>
          </w:tcPr>
          <w:p w14:paraId="3D8707C9" w14:textId="77777777" w:rsidR="00601D9B" w:rsidRPr="000E53A0" w:rsidRDefault="000E53A0">
            <w:pPr>
              <w:ind w:left="116"/>
              <w:rPr>
                <w:rFonts w:asciiTheme="minorHAnsi" w:hAnsiTheme="minorHAnsi" w:cstheme="minorHAnsi"/>
                <w:sz w:val="20"/>
                <w:szCs w:val="20"/>
                <w:lang w:val="fr-FR"/>
              </w:rPr>
            </w:pPr>
            <w:r w:rsidRPr="000E53A0">
              <w:rPr>
                <w:rFonts w:asciiTheme="minorHAnsi" w:hAnsiTheme="minorHAnsi" w:cstheme="minorHAnsi"/>
                <w:sz w:val="20"/>
                <w:szCs w:val="20"/>
                <w:lang w:val="fr-FR"/>
              </w:rPr>
              <w:t>Politiques et procédures relatives aux programmes et aux opérations</w:t>
            </w:r>
          </w:p>
        </w:tc>
      </w:tr>
      <w:tr w:rsidR="004C454A" w:rsidRPr="000E53A0" w14:paraId="0081895C" w14:textId="77777777" w:rsidTr="009D0A09">
        <w:trPr>
          <w:trHeight w:val="288"/>
        </w:trPr>
        <w:tc>
          <w:tcPr>
            <w:tcW w:w="1530" w:type="dxa"/>
            <w:tcBorders>
              <w:bottom w:val="nil"/>
            </w:tcBorders>
            <w:shd w:val="clear" w:color="auto" w:fill="auto"/>
          </w:tcPr>
          <w:p w14:paraId="0FE981B4" w14:textId="77777777" w:rsidR="00601D9B" w:rsidRDefault="000E53A0">
            <w:pPr>
              <w:rPr>
                <w:rFonts w:asciiTheme="minorHAnsi" w:hAnsiTheme="minorHAnsi" w:cstheme="minorHAnsi"/>
                <w:sz w:val="20"/>
                <w:szCs w:val="20"/>
              </w:rPr>
            </w:pPr>
            <w:r w:rsidRPr="003D1E3A">
              <w:rPr>
                <w:rFonts w:asciiTheme="minorHAnsi" w:hAnsiTheme="minorHAnsi" w:cstheme="minorHAnsi"/>
                <w:sz w:val="20"/>
                <w:szCs w:val="20"/>
              </w:rPr>
              <w:t>PPG</w:t>
            </w:r>
          </w:p>
        </w:tc>
        <w:tc>
          <w:tcPr>
            <w:tcW w:w="7496" w:type="dxa"/>
            <w:tcBorders>
              <w:bottom w:val="nil"/>
            </w:tcBorders>
            <w:shd w:val="clear" w:color="auto" w:fill="auto"/>
          </w:tcPr>
          <w:p w14:paraId="0C219C9A" w14:textId="77777777" w:rsidR="00601D9B" w:rsidRPr="000E53A0" w:rsidRDefault="000E53A0">
            <w:pPr>
              <w:ind w:left="116"/>
              <w:rPr>
                <w:rFonts w:asciiTheme="minorHAnsi" w:hAnsiTheme="minorHAnsi" w:cstheme="minorHAnsi"/>
                <w:sz w:val="20"/>
                <w:szCs w:val="20"/>
                <w:lang w:val="fr-FR"/>
              </w:rPr>
            </w:pPr>
            <w:r w:rsidRPr="000E53A0">
              <w:rPr>
                <w:rFonts w:asciiTheme="minorHAnsi" w:hAnsiTheme="minorHAnsi" w:cstheme="minorHAnsi"/>
                <w:sz w:val="20"/>
                <w:szCs w:val="20"/>
                <w:lang w:val="fr-FR"/>
              </w:rPr>
              <w:t>Subvention pour la préparation de projets</w:t>
            </w:r>
          </w:p>
        </w:tc>
      </w:tr>
      <w:tr w:rsidR="009D0A09" w:rsidRPr="003D1E3A" w14:paraId="52699F91" w14:textId="77777777" w:rsidTr="009D0A09">
        <w:trPr>
          <w:trHeight w:val="288"/>
        </w:trPr>
        <w:tc>
          <w:tcPr>
            <w:tcW w:w="1530" w:type="dxa"/>
            <w:tcBorders>
              <w:bottom w:val="nil"/>
            </w:tcBorders>
            <w:shd w:val="clear" w:color="auto" w:fill="auto"/>
          </w:tcPr>
          <w:p w14:paraId="047F4A0D" w14:textId="77777777" w:rsidR="00601D9B" w:rsidRDefault="000E53A0">
            <w:pPr>
              <w:rPr>
                <w:rFonts w:asciiTheme="minorHAnsi" w:hAnsiTheme="minorHAnsi" w:cstheme="minorHAnsi"/>
                <w:sz w:val="20"/>
                <w:szCs w:val="20"/>
              </w:rPr>
            </w:pPr>
            <w:r>
              <w:rPr>
                <w:rFonts w:asciiTheme="minorHAnsi" w:hAnsiTheme="minorHAnsi" w:cstheme="minorHAnsi"/>
                <w:sz w:val="20"/>
                <w:szCs w:val="20"/>
              </w:rPr>
              <w:t>PSC</w:t>
            </w:r>
          </w:p>
        </w:tc>
        <w:tc>
          <w:tcPr>
            <w:tcW w:w="7496" w:type="dxa"/>
            <w:tcBorders>
              <w:bottom w:val="nil"/>
            </w:tcBorders>
            <w:shd w:val="clear" w:color="auto" w:fill="auto"/>
          </w:tcPr>
          <w:p w14:paraId="2248802A" w14:textId="77777777" w:rsidR="00601D9B" w:rsidRDefault="000E53A0">
            <w:pPr>
              <w:ind w:left="116"/>
              <w:rPr>
                <w:rFonts w:asciiTheme="minorHAnsi" w:hAnsiTheme="minorHAnsi" w:cstheme="minorHAnsi"/>
                <w:sz w:val="20"/>
                <w:szCs w:val="20"/>
              </w:rPr>
            </w:pPr>
            <w:r>
              <w:rPr>
                <w:rFonts w:asciiTheme="minorHAnsi" w:hAnsiTheme="minorHAnsi" w:cstheme="minorHAnsi"/>
                <w:sz w:val="20"/>
                <w:szCs w:val="20"/>
              </w:rPr>
              <w:t>Comité directeur du projet</w:t>
            </w:r>
          </w:p>
        </w:tc>
      </w:tr>
      <w:tr w:rsidR="004F7944" w:rsidRPr="003D1E3A" w14:paraId="064613CF" w14:textId="77777777" w:rsidTr="009D0A09">
        <w:trPr>
          <w:trHeight w:val="288"/>
        </w:trPr>
        <w:tc>
          <w:tcPr>
            <w:tcW w:w="1530" w:type="dxa"/>
            <w:tcBorders>
              <w:bottom w:val="nil"/>
            </w:tcBorders>
            <w:shd w:val="clear" w:color="auto" w:fill="auto"/>
          </w:tcPr>
          <w:p w14:paraId="391B554E" w14:textId="77777777" w:rsidR="00601D9B" w:rsidRDefault="000E53A0">
            <w:pPr>
              <w:rPr>
                <w:rFonts w:asciiTheme="minorHAnsi" w:hAnsiTheme="minorHAnsi" w:cstheme="minorHAnsi"/>
                <w:sz w:val="20"/>
                <w:szCs w:val="20"/>
              </w:rPr>
            </w:pPr>
            <w:r w:rsidRPr="003D1E3A">
              <w:rPr>
                <w:rFonts w:asciiTheme="minorHAnsi" w:hAnsiTheme="minorHAnsi" w:cstheme="minorHAnsi"/>
                <w:sz w:val="20"/>
                <w:szCs w:val="20"/>
              </w:rPr>
              <w:t>PCR</w:t>
            </w:r>
          </w:p>
        </w:tc>
        <w:tc>
          <w:tcPr>
            <w:tcW w:w="7496" w:type="dxa"/>
            <w:tcBorders>
              <w:bottom w:val="nil"/>
            </w:tcBorders>
            <w:shd w:val="clear" w:color="auto" w:fill="auto"/>
          </w:tcPr>
          <w:p w14:paraId="68A46867" w14:textId="77777777" w:rsidR="00601D9B" w:rsidRDefault="000E53A0">
            <w:pPr>
              <w:ind w:left="116"/>
              <w:rPr>
                <w:rFonts w:asciiTheme="minorHAnsi" w:hAnsiTheme="minorHAnsi" w:cstheme="minorHAnsi"/>
                <w:sz w:val="20"/>
                <w:szCs w:val="20"/>
              </w:rPr>
            </w:pPr>
            <w:r w:rsidRPr="003D1E3A">
              <w:rPr>
                <w:rFonts w:asciiTheme="minorHAnsi" w:hAnsiTheme="minorHAnsi" w:cstheme="minorHAnsi"/>
                <w:sz w:val="20"/>
                <w:szCs w:val="20"/>
              </w:rPr>
              <w:t>Voie de concentration représentative</w:t>
            </w:r>
          </w:p>
        </w:tc>
      </w:tr>
      <w:tr w:rsidR="009D0A09" w:rsidRPr="000E53A0" w14:paraId="748FC8C8" w14:textId="77777777" w:rsidTr="009D0A09">
        <w:trPr>
          <w:trHeight w:val="288"/>
        </w:trPr>
        <w:tc>
          <w:tcPr>
            <w:tcW w:w="1530" w:type="dxa"/>
            <w:tcBorders>
              <w:bottom w:val="nil"/>
            </w:tcBorders>
            <w:shd w:val="clear" w:color="auto" w:fill="auto"/>
          </w:tcPr>
          <w:p w14:paraId="49729E40" w14:textId="77777777" w:rsidR="00601D9B" w:rsidRDefault="000E53A0">
            <w:pPr>
              <w:rPr>
                <w:rFonts w:asciiTheme="minorHAnsi" w:hAnsiTheme="minorHAnsi" w:cstheme="minorHAnsi"/>
                <w:sz w:val="20"/>
                <w:szCs w:val="20"/>
              </w:rPr>
            </w:pPr>
            <w:r>
              <w:rPr>
                <w:rFonts w:asciiTheme="minorHAnsi" w:hAnsiTheme="minorHAnsi" w:cstheme="minorHAnsi"/>
                <w:sz w:val="20"/>
                <w:szCs w:val="20"/>
              </w:rPr>
              <w:t>RECOTRADE</w:t>
            </w:r>
          </w:p>
        </w:tc>
        <w:tc>
          <w:tcPr>
            <w:tcW w:w="7496" w:type="dxa"/>
            <w:tcBorders>
              <w:bottom w:val="nil"/>
            </w:tcBorders>
            <w:shd w:val="clear" w:color="auto" w:fill="auto"/>
          </w:tcPr>
          <w:p w14:paraId="4D2DE3FA" w14:textId="77777777" w:rsidR="00601D9B" w:rsidRPr="000E53A0" w:rsidRDefault="000E53A0">
            <w:pPr>
              <w:ind w:left="116"/>
              <w:rPr>
                <w:rFonts w:asciiTheme="minorHAnsi" w:hAnsiTheme="minorHAnsi" w:cstheme="minorHAnsi"/>
                <w:sz w:val="20"/>
                <w:szCs w:val="20"/>
                <w:lang w:val="fr-FR"/>
              </w:rPr>
            </w:pPr>
            <w:r w:rsidRPr="000E53A0">
              <w:rPr>
                <w:rFonts w:asciiTheme="minorHAnsi" w:hAnsiTheme="minorHAnsi" w:cstheme="minorHAnsi"/>
                <w:sz w:val="20"/>
                <w:szCs w:val="20"/>
                <w:lang w:val="fr-FR"/>
              </w:rPr>
              <w:t>Réseau des communicateurs traditionnels pour le développement</w:t>
            </w:r>
          </w:p>
        </w:tc>
      </w:tr>
      <w:tr w:rsidR="004C454A" w:rsidRPr="000E53A0" w14:paraId="1EBEBCD1" w14:textId="77777777" w:rsidTr="009D0A09">
        <w:trPr>
          <w:trHeight w:val="288"/>
        </w:trPr>
        <w:tc>
          <w:tcPr>
            <w:tcW w:w="1530" w:type="dxa"/>
            <w:tcBorders>
              <w:bottom w:val="nil"/>
            </w:tcBorders>
            <w:shd w:val="clear" w:color="auto" w:fill="auto"/>
          </w:tcPr>
          <w:p w14:paraId="4B168E20" w14:textId="77777777" w:rsidR="00601D9B" w:rsidRDefault="000E53A0">
            <w:pPr>
              <w:rPr>
                <w:rFonts w:asciiTheme="minorHAnsi" w:hAnsiTheme="minorHAnsi" w:cstheme="minorHAnsi"/>
                <w:sz w:val="20"/>
                <w:szCs w:val="20"/>
              </w:rPr>
            </w:pPr>
            <w:r w:rsidRPr="003D1E3A">
              <w:rPr>
                <w:rFonts w:asciiTheme="minorHAnsi" w:hAnsiTheme="minorHAnsi" w:cstheme="minorHAnsi"/>
                <w:sz w:val="20"/>
                <w:szCs w:val="20"/>
              </w:rPr>
              <w:t>STAP</w:t>
            </w:r>
          </w:p>
        </w:tc>
        <w:tc>
          <w:tcPr>
            <w:tcW w:w="7496" w:type="dxa"/>
            <w:tcBorders>
              <w:bottom w:val="nil"/>
            </w:tcBorders>
            <w:shd w:val="clear" w:color="auto" w:fill="auto"/>
          </w:tcPr>
          <w:p w14:paraId="3B574A00" w14:textId="77777777" w:rsidR="00601D9B" w:rsidRPr="000E53A0" w:rsidRDefault="000E53A0">
            <w:pPr>
              <w:ind w:left="116"/>
              <w:rPr>
                <w:rFonts w:asciiTheme="minorHAnsi" w:hAnsiTheme="minorHAnsi" w:cstheme="minorHAnsi"/>
                <w:sz w:val="20"/>
                <w:szCs w:val="20"/>
                <w:lang w:val="fr-FR"/>
              </w:rPr>
            </w:pPr>
            <w:r w:rsidRPr="000E53A0">
              <w:rPr>
                <w:rFonts w:asciiTheme="minorHAnsi" w:hAnsiTheme="minorHAnsi" w:cstheme="minorHAnsi"/>
                <w:sz w:val="20"/>
                <w:szCs w:val="20"/>
                <w:lang w:val="fr-FR"/>
              </w:rPr>
              <w:t xml:space="preserve">Groupe consultatif scientifique </w:t>
            </w:r>
            <w:r w:rsidR="00861083" w:rsidRPr="000E53A0">
              <w:rPr>
                <w:rFonts w:asciiTheme="minorHAnsi" w:hAnsiTheme="minorHAnsi" w:cstheme="minorHAnsi"/>
                <w:sz w:val="20"/>
                <w:szCs w:val="20"/>
                <w:lang w:val="fr-FR"/>
              </w:rPr>
              <w:t xml:space="preserve">et </w:t>
            </w:r>
            <w:r w:rsidRPr="000E53A0">
              <w:rPr>
                <w:rFonts w:asciiTheme="minorHAnsi" w:hAnsiTheme="minorHAnsi" w:cstheme="minorHAnsi"/>
                <w:sz w:val="20"/>
                <w:szCs w:val="20"/>
                <w:lang w:val="fr-FR"/>
              </w:rPr>
              <w:t>technique du FEM</w:t>
            </w:r>
          </w:p>
        </w:tc>
      </w:tr>
      <w:tr w:rsidR="00FE2A0D" w:rsidRPr="003D1E3A" w14:paraId="03BBF170" w14:textId="77777777" w:rsidTr="009D0A09">
        <w:trPr>
          <w:trHeight w:val="288"/>
        </w:trPr>
        <w:tc>
          <w:tcPr>
            <w:tcW w:w="1530" w:type="dxa"/>
            <w:tcBorders>
              <w:bottom w:val="nil"/>
            </w:tcBorders>
            <w:shd w:val="clear" w:color="auto" w:fill="auto"/>
          </w:tcPr>
          <w:p w14:paraId="165E5719" w14:textId="77777777" w:rsidR="00601D9B" w:rsidRDefault="000E53A0">
            <w:pPr>
              <w:rPr>
                <w:rFonts w:asciiTheme="minorHAnsi" w:hAnsiTheme="minorHAnsi" w:cstheme="minorHAnsi"/>
                <w:sz w:val="20"/>
                <w:szCs w:val="20"/>
              </w:rPr>
            </w:pPr>
            <w:r w:rsidRPr="003D1E3A">
              <w:rPr>
                <w:rFonts w:asciiTheme="minorHAnsi" w:hAnsiTheme="minorHAnsi" w:cstheme="minorHAnsi"/>
                <w:sz w:val="20"/>
                <w:szCs w:val="20"/>
              </w:rPr>
              <w:t>ToC</w:t>
            </w:r>
          </w:p>
        </w:tc>
        <w:tc>
          <w:tcPr>
            <w:tcW w:w="7496" w:type="dxa"/>
            <w:tcBorders>
              <w:bottom w:val="nil"/>
            </w:tcBorders>
            <w:shd w:val="clear" w:color="auto" w:fill="auto"/>
          </w:tcPr>
          <w:p w14:paraId="3C402443" w14:textId="77777777" w:rsidR="00601D9B" w:rsidRDefault="000E53A0">
            <w:pPr>
              <w:ind w:left="116"/>
              <w:rPr>
                <w:rFonts w:asciiTheme="minorHAnsi" w:hAnsiTheme="minorHAnsi" w:cstheme="minorHAnsi"/>
                <w:sz w:val="20"/>
                <w:szCs w:val="20"/>
              </w:rPr>
            </w:pPr>
            <w:r w:rsidRPr="003D1E3A">
              <w:rPr>
                <w:rFonts w:asciiTheme="minorHAnsi" w:hAnsiTheme="minorHAnsi" w:cstheme="minorHAnsi"/>
                <w:sz w:val="20"/>
                <w:szCs w:val="20"/>
              </w:rPr>
              <w:t>Théorie du changement</w:t>
            </w:r>
          </w:p>
        </w:tc>
      </w:tr>
      <w:tr w:rsidR="004F7944" w:rsidRPr="000E53A0" w14:paraId="4FD2D240" w14:textId="77777777" w:rsidTr="009D0A09">
        <w:trPr>
          <w:trHeight w:val="288"/>
        </w:trPr>
        <w:tc>
          <w:tcPr>
            <w:tcW w:w="1530" w:type="dxa"/>
            <w:tcBorders>
              <w:bottom w:val="nil"/>
            </w:tcBorders>
            <w:shd w:val="clear" w:color="auto" w:fill="auto"/>
          </w:tcPr>
          <w:p w14:paraId="5C2A1A05" w14:textId="77777777" w:rsidR="00601D9B" w:rsidRDefault="000E53A0">
            <w:pPr>
              <w:rPr>
                <w:rFonts w:asciiTheme="minorHAnsi" w:hAnsiTheme="minorHAnsi" w:cstheme="minorHAnsi"/>
                <w:sz w:val="20"/>
                <w:szCs w:val="20"/>
              </w:rPr>
            </w:pPr>
            <w:r w:rsidRPr="003D1E3A">
              <w:rPr>
                <w:rFonts w:asciiTheme="minorHAnsi" w:hAnsiTheme="minorHAnsi" w:cstheme="minorHAnsi"/>
                <w:sz w:val="20"/>
                <w:szCs w:val="20"/>
              </w:rPr>
              <w:lastRenderedPageBreak/>
              <w:t>UNCCD</w:t>
            </w:r>
          </w:p>
        </w:tc>
        <w:tc>
          <w:tcPr>
            <w:tcW w:w="7496" w:type="dxa"/>
            <w:tcBorders>
              <w:bottom w:val="nil"/>
            </w:tcBorders>
            <w:shd w:val="clear" w:color="auto" w:fill="auto"/>
          </w:tcPr>
          <w:p w14:paraId="563524D5" w14:textId="77777777" w:rsidR="00601D9B" w:rsidRPr="000E53A0" w:rsidRDefault="000E53A0">
            <w:pPr>
              <w:ind w:left="116"/>
              <w:rPr>
                <w:rFonts w:asciiTheme="minorHAnsi" w:hAnsiTheme="minorHAnsi" w:cstheme="minorHAnsi"/>
                <w:sz w:val="20"/>
                <w:szCs w:val="20"/>
                <w:lang w:val="fr-FR"/>
              </w:rPr>
            </w:pPr>
            <w:r w:rsidRPr="000E53A0">
              <w:rPr>
                <w:rFonts w:asciiTheme="minorHAnsi" w:hAnsiTheme="minorHAnsi" w:cstheme="minorHAnsi"/>
                <w:sz w:val="20"/>
                <w:szCs w:val="20"/>
                <w:lang w:val="fr-FR"/>
              </w:rPr>
              <w:t>Convention des Nations unies sur la lutte contre la désertification</w:t>
            </w:r>
          </w:p>
        </w:tc>
      </w:tr>
      <w:tr w:rsidR="004F7944" w:rsidRPr="000E53A0" w14:paraId="156E16D7" w14:textId="77777777" w:rsidTr="009D0A09">
        <w:trPr>
          <w:trHeight w:val="288"/>
        </w:trPr>
        <w:tc>
          <w:tcPr>
            <w:tcW w:w="1530" w:type="dxa"/>
            <w:tcBorders>
              <w:bottom w:val="nil"/>
            </w:tcBorders>
            <w:shd w:val="clear" w:color="auto" w:fill="auto"/>
          </w:tcPr>
          <w:p w14:paraId="65D8B70A" w14:textId="77777777" w:rsidR="00601D9B" w:rsidRDefault="000E53A0">
            <w:pPr>
              <w:rPr>
                <w:rFonts w:asciiTheme="minorHAnsi" w:hAnsiTheme="minorHAnsi" w:cstheme="minorHAnsi"/>
                <w:sz w:val="20"/>
                <w:szCs w:val="20"/>
              </w:rPr>
            </w:pPr>
            <w:r w:rsidRPr="003D1E3A">
              <w:rPr>
                <w:rFonts w:asciiTheme="minorHAnsi" w:hAnsiTheme="minorHAnsi" w:cstheme="minorHAnsi"/>
                <w:sz w:val="20"/>
                <w:szCs w:val="20"/>
              </w:rPr>
              <w:t>CCNUCC</w:t>
            </w:r>
          </w:p>
        </w:tc>
        <w:tc>
          <w:tcPr>
            <w:tcW w:w="7496" w:type="dxa"/>
            <w:tcBorders>
              <w:bottom w:val="nil"/>
            </w:tcBorders>
            <w:shd w:val="clear" w:color="auto" w:fill="auto"/>
          </w:tcPr>
          <w:p w14:paraId="45F2FA03" w14:textId="77777777" w:rsidR="00601D9B" w:rsidRPr="000E53A0" w:rsidRDefault="000E53A0">
            <w:pPr>
              <w:ind w:left="116"/>
              <w:rPr>
                <w:rFonts w:asciiTheme="minorHAnsi" w:hAnsiTheme="minorHAnsi" w:cstheme="minorHAnsi"/>
                <w:sz w:val="20"/>
                <w:szCs w:val="20"/>
                <w:lang w:val="fr-FR"/>
              </w:rPr>
            </w:pPr>
            <w:r w:rsidRPr="000E53A0">
              <w:rPr>
                <w:rFonts w:asciiTheme="minorHAnsi" w:hAnsiTheme="minorHAnsi" w:cstheme="minorHAnsi"/>
                <w:sz w:val="20"/>
                <w:szCs w:val="20"/>
                <w:lang w:val="fr-FR"/>
              </w:rPr>
              <w:t>Convention-cadre des Nations unies sur les changements climatiques</w:t>
            </w:r>
          </w:p>
        </w:tc>
      </w:tr>
      <w:tr w:rsidR="004C454A" w:rsidRPr="000E53A0" w14:paraId="0B75F05A" w14:textId="77777777" w:rsidTr="009D0A09">
        <w:trPr>
          <w:trHeight w:val="20"/>
        </w:trPr>
        <w:tc>
          <w:tcPr>
            <w:tcW w:w="1530" w:type="dxa"/>
            <w:tcBorders>
              <w:bottom w:val="nil"/>
              <w:right w:val="nil"/>
            </w:tcBorders>
            <w:shd w:val="clear" w:color="auto" w:fill="auto"/>
          </w:tcPr>
          <w:p w14:paraId="3B6EF01A" w14:textId="77777777" w:rsidR="00601D9B" w:rsidRDefault="000E53A0">
            <w:pPr>
              <w:pStyle w:val="Sansinterligne"/>
              <w:rPr>
                <w:rFonts w:asciiTheme="minorHAnsi" w:hAnsiTheme="minorHAnsi" w:cstheme="minorHAnsi"/>
                <w:sz w:val="20"/>
                <w:szCs w:val="20"/>
              </w:rPr>
            </w:pPr>
            <w:r w:rsidRPr="003D1E3A">
              <w:rPr>
                <w:rFonts w:asciiTheme="minorHAnsi" w:hAnsiTheme="minorHAnsi" w:cstheme="minorHAnsi"/>
                <w:sz w:val="20"/>
                <w:szCs w:val="20"/>
              </w:rPr>
              <w:t>BPPS NCE-VF</w:t>
            </w:r>
          </w:p>
        </w:tc>
        <w:tc>
          <w:tcPr>
            <w:tcW w:w="7496" w:type="dxa"/>
            <w:tcBorders>
              <w:left w:val="nil"/>
              <w:bottom w:val="nil"/>
            </w:tcBorders>
            <w:shd w:val="clear" w:color="auto" w:fill="auto"/>
          </w:tcPr>
          <w:p w14:paraId="29FDDF8D" w14:textId="77777777" w:rsidR="00601D9B" w:rsidRPr="000E53A0" w:rsidRDefault="000E53A0">
            <w:pPr>
              <w:pStyle w:val="Sansinterligne"/>
              <w:ind w:left="116"/>
              <w:rPr>
                <w:rFonts w:asciiTheme="minorHAnsi" w:hAnsiTheme="minorHAnsi" w:cstheme="minorHAnsi"/>
                <w:sz w:val="20"/>
                <w:szCs w:val="20"/>
                <w:lang w:val="fr-FR"/>
              </w:rPr>
            </w:pPr>
            <w:r w:rsidRPr="000E53A0">
              <w:rPr>
                <w:rFonts w:asciiTheme="minorHAnsi" w:hAnsiTheme="minorHAnsi" w:cstheme="minorHAnsi"/>
                <w:sz w:val="20"/>
                <w:szCs w:val="20"/>
                <w:lang w:val="fr-FR"/>
              </w:rPr>
              <w:t>Bureau pour le soutien aux politiques et aux programmes</w:t>
            </w:r>
            <w:r w:rsidR="00D447E1" w:rsidRPr="000E53A0">
              <w:rPr>
                <w:rFonts w:asciiTheme="minorHAnsi" w:hAnsiTheme="minorHAnsi" w:cstheme="minorHAnsi"/>
                <w:sz w:val="20"/>
                <w:szCs w:val="20"/>
                <w:lang w:val="fr-FR"/>
              </w:rPr>
              <w:t xml:space="preserve">, </w:t>
            </w:r>
            <w:r w:rsidRPr="000E53A0">
              <w:rPr>
                <w:rFonts w:asciiTheme="minorHAnsi" w:hAnsiTheme="minorHAnsi" w:cstheme="minorHAnsi"/>
                <w:sz w:val="20"/>
                <w:szCs w:val="20"/>
                <w:lang w:val="fr-FR"/>
              </w:rPr>
              <w:t>Nature, climat et énergie</w:t>
            </w:r>
            <w:r w:rsidR="00D447E1" w:rsidRPr="000E53A0">
              <w:rPr>
                <w:rFonts w:asciiTheme="minorHAnsi" w:hAnsiTheme="minorHAnsi" w:cstheme="minorHAnsi"/>
                <w:sz w:val="20"/>
                <w:szCs w:val="20"/>
                <w:lang w:val="fr-FR"/>
              </w:rPr>
              <w:t>, équipe du Fonds vertical</w:t>
            </w:r>
          </w:p>
        </w:tc>
      </w:tr>
    </w:tbl>
    <w:p w14:paraId="46927527" w14:textId="77777777" w:rsidR="00905BC9" w:rsidRPr="000E53A0" w:rsidRDefault="00905BC9">
      <w:pPr>
        <w:rPr>
          <w:b/>
          <w:smallCaps/>
          <w:spacing w:val="-2"/>
          <w:sz w:val="28"/>
          <w:szCs w:val="20"/>
          <w:lang w:val="fr-FR"/>
        </w:rPr>
      </w:pPr>
      <w:bookmarkStart w:id="5" w:name="_Toc407785517"/>
      <w:bookmarkStart w:id="6" w:name="_Toc46749077"/>
      <w:r w:rsidRPr="000E53A0">
        <w:rPr>
          <w:lang w:val="fr-FR"/>
        </w:rPr>
        <w:br w:type="page"/>
      </w:r>
    </w:p>
    <w:p w14:paraId="7BA52571" w14:textId="77777777" w:rsidR="00601D9B" w:rsidRDefault="004C3717">
      <w:pPr>
        <w:pStyle w:val="Titre1"/>
        <w:spacing w:before="0" w:after="0" w:line="271" w:lineRule="auto"/>
        <w:rPr>
          <w:rFonts w:ascii="Calibri" w:hAnsi="Calibri"/>
        </w:rPr>
      </w:pPr>
      <w:r w:rsidRPr="0003763F">
        <w:rPr>
          <w:rFonts w:ascii="Calibri" w:hAnsi="Calibri"/>
        </w:rPr>
        <w:lastRenderedPageBreak/>
        <w:t xml:space="preserve">Défi du </w:t>
      </w:r>
      <w:r w:rsidR="000E53A0" w:rsidRPr="0003763F">
        <w:rPr>
          <w:rFonts w:ascii="Calibri" w:hAnsi="Calibri"/>
        </w:rPr>
        <w:t xml:space="preserve">développement </w:t>
      </w:r>
      <w:bookmarkEnd w:id="5"/>
      <w:bookmarkEnd w:id="6"/>
    </w:p>
    <w:p w14:paraId="099A5CCF" w14:textId="77777777" w:rsidR="00601D9B" w:rsidRPr="000E53A0" w:rsidRDefault="000E53A0">
      <w:pPr>
        <w:jc w:val="both"/>
        <w:rPr>
          <w:rFonts w:asciiTheme="minorHAnsi" w:hAnsiTheme="minorHAnsi" w:cstheme="minorHAnsi"/>
          <w:sz w:val="20"/>
          <w:szCs w:val="20"/>
          <w:lang w:val="fr-FR"/>
        </w:rPr>
      </w:pPr>
      <w:bookmarkStart w:id="7" w:name="_Hlk77870860"/>
      <w:r w:rsidRPr="000E53A0">
        <w:rPr>
          <w:rFonts w:asciiTheme="minorHAnsi" w:hAnsiTheme="minorHAnsi" w:cstheme="minorHAnsi"/>
          <w:sz w:val="20"/>
          <w:szCs w:val="20"/>
          <w:lang w:val="fr-FR"/>
        </w:rPr>
        <w:t xml:space="preserve">Le Mali est un pays moins avancé (PMA) enclavé au cœur des zones arides de l'Afrique de l'Ouest, couvrant 1 241 238 </w:t>
      </w:r>
      <w:r w:rsidRPr="000E53A0">
        <w:rPr>
          <w:rFonts w:asciiTheme="minorHAnsi" w:hAnsiTheme="minorHAnsi" w:cstheme="minorHAnsi"/>
          <w:sz w:val="20"/>
          <w:szCs w:val="20"/>
          <w:vertAlign w:val="superscript"/>
          <w:lang w:val="fr-FR"/>
        </w:rPr>
        <w:t>km2</w:t>
      </w:r>
      <w:r w:rsidR="00C43CFD" w:rsidRPr="000E53A0">
        <w:rPr>
          <w:rFonts w:asciiTheme="minorHAnsi" w:hAnsiTheme="minorHAnsi" w:cstheme="minorHAnsi"/>
          <w:sz w:val="20"/>
          <w:szCs w:val="20"/>
          <w:lang w:val="fr-FR"/>
        </w:rPr>
        <w:t xml:space="preserve">. </w:t>
      </w:r>
      <w:r w:rsidRPr="000E53A0">
        <w:rPr>
          <w:rFonts w:asciiTheme="minorHAnsi" w:hAnsiTheme="minorHAnsi" w:cstheme="minorHAnsi"/>
          <w:sz w:val="20"/>
          <w:szCs w:val="20"/>
          <w:lang w:val="fr-FR"/>
        </w:rPr>
        <w:t xml:space="preserve">La valeur de l'indice de développement humain (IDH) du pays place le Mali à la 184e position sur 189 pays en 2019 </w:t>
      </w:r>
      <w:r w:rsidRPr="00A537FD">
        <w:rPr>
          <w:rStyle w:val="Appelnotedebasdep"/>
          <w:rFonts w:asciiTheme="minorHAnsi" w:hAnsiTheme="minorHAnsi" w:cstheme="minorHAnsi"/>
          <w:sz w:val="20"/>
          <w:szCs w:val="20"/>
        </w:rPr>
        <w:footnoteReference w:id="8"/>
      </w:r>
      <w:r w:rsidRPr="000E53A0">
        <w:rPr>
          <w:rFonts w:asciiTheme="minorHAnsi" w:hAnsiTheme="minorHAnsi" w:cstheme="minorHAnsi"/>
          <w:sz w:val="20"/>
          <w:szCs w:val="20"/>
          <w:lang w:val="fr-FR"/>
        </w:rPr>
        <w:t>. Le taux de pauvreté s'élevait à 70%</w:t>
      </w:r>
      <w:r w:rsidRPr="00A537FD">
        <w:rPr>
          <w:rStyle w:val="Appelnotedebasdep"/>
          <w:rFonts w:asciiTheme="minorHAnsi" w:hAnsiTheme="minorHAnsi" w:cstheme="minorHAnsi"/>
          <w:sz w:val="20"/>
          <w:szCs w:val="20"/>
        </w:rPr>
        <w:footnoteReference w:id="9"/>
      </w:r>
      <w:r w:rsidRPr="000E53A0">
        <w:rPr>
          <w:rFonts w:asciiTheme="minorHAnsi" w:hAnsiTheme="minorHAnsi" w:cstheme="minorHAnsi"/>
          <w:sz w:val="20"/>
          <w:szCs w:val="20"/>
          <w:lang w:val="fr-FR"/>
        </w:rPr>
        <w:t xml:space="preserve"> , touchant de manière disproportionnée les populations des zones rurales</w:t>
      </w:r>
      <w:r w:rsidRPr="00A537FD">
        <w:rPr>
          <w:rStyle w:val="Appelnotedebasdep"/>
          <w:rFonts w:asciiTheme="minorHAnsi" w:hAnsiTheme="minorHAnsi" w:cstheme="minorHAnsi"/>
          <w:sz w:val="20"/>
          <w:szCs w:val="20"/>
        </w:rPr>
        <w:footnoteReference w:id="10"/>
      </w:r>
      <w:r w:rsidRPr="000E53A0">
        <w:rPr>
          <w:rFonts w:asciiTheme="minorHAnsi" w:hAnsiTheme="minorHAnsi" w:cstheme="minorHAnsi"/>
          <w:sz w:val="20"/>
          <w:szCs w:val="20"/>
          <w:lang w:val="fr-FR"/>
        </w:rPr>
        <w:t xml:space="preserve"> . L'économie est dominée par le secteur agricole qui contribue à 36,7% du PIB et emploie 83% de la population</w:t>
      </w:r>
      <w:r w:rsidRPr="00A537FD">
        <w:rPr>
          <w:rStyle w:val="Appelnotedebasdep"/>
          <w:rFonts w:asciiTheme="minorHAnsi" w:hAnsiTheme="minorHAnsi" w:cstheme="minorHAnsi"/>
          <w:sz w:val="20"/>
          <w:szCs w:val="20"/>
        </w:rPr>
        <w:footnoteReference w:id="11"/>
      </w:r>
      <w:r w:rsidRPr="000E53A0">
        <w:rPr>
          <w:rFonts w:asciiTheme="minorHAnsi" w:hAnsiTheme="minorHAnsi" w:cstheme="minorHAnsi"/>
          <w:sz w:val="20"/>
          <w:szCs w:val="20"/>
          <w:lang w:val="fr-FR"/>
        </w:rPr>
        <w:t xml:space="preserve"> . Les zones agricoles les plus productives se situent le long des rives du fleuve Niger entre Bamako et Mopti, et s'étendent au sud jusqu'aux frontières de la Guinée, de la Côte d'Ivoire et du Burkina Faso. Les terres cultivables couvrent 7,3 millions d'hectares, soit 18% de la superficie du pays</w:t>
      </w:r>
      <w:r w:rsidRPr="00A537FD">
        <w:rPr>
          <w:rStyle w:val="Appelnotedebasdep"/>
          <w:rFonts w:asciiTheme="minorHAnsi" w:hAnsiTheme="minorHAnsi" w:cstheme="minorHAnsi"/>
          <w:sz w:val="20"/>
          <w:szCs w:val="20"/>
        </w:rPr>
        <w:footnoteReference w:id="12"/>
      </w:r>
      <w:r w:rsidRPr="000E53A0">
        <w:rPr>
          <w:rFonts w:asciiTheme="minorHAnsi" w:hAnsiTheme="minorHAnsi" w:cstheme="minorHAnsi"/>
          <w:sz w:val="20"/>
          <w:szCs w:val="20"/>
          <w:lang w:val="fr-FR"/>
        </w:rPr>
        <w:t>, et les principaux produits agricoles sont le mil, le sorgho, le maïs, le riz et le niébé.</w:t>
      </w:r>
      <w:r w:rsidRPr="00A537FD">
        <w:rPr>
          <w:rStyle w:val="Appelnotedebasdep"/>
          <w:rFonts w:asciiTheme="minorHAnsi" w:hAnsiTheme="minorHAnsi" w:cstheme="minorHAnsi"/>
          <w:sz w:val="20"/>
          <w:szCs w:val="20"/>
        </w:rPr>
        <w:footnoteReference w:id="13"/>
      </w:r>
      <w:r w:rsidRPr="000E53A0">
        <w:rPr>
          <w:rFonts w:asciiTheme="minorHAnsi" w:hAnsiTheme="minorHAnsi" w:cstheme="minorHAnsi"/>
          <w:sz w:val="20"/>
          <w:szCs w:val="20"/>
          <w:lang w:val="fr-FR"/>
        </w:rPr>
        <w:t xml:space="preserve"> L'élevage est pratiqué par 63% des ménages, avec des systèmes à la fois sédentaires et transhumants. La pêche est pratiquée sur tous les plans d'eau (fleuves, lacs, étangs, plaines inondables, barrages)</w:t>
      </w:r>
      <w:r w:rsidR="008214A1" w:rsidRPr="000E53A0">
        <w:rPr>
          <w:rFonts w:asciiTheme="minorHAnsi" w:hAnsiTheme="minorHAnsi" w:cstheme="minorHAnsi"/>
          <w:sz w:val="20"/>
          <w:szCs w:val="20"/>
          <w:lang w:val="fr-FR"/>
        </w:rPr>
        <w:t xml:space="preserve">, avec un </w:t>
      </w:r>
      <w:r w:rsidRPr="000E53A0">
        <w:rPr>
          <w:rFonts w:asciiTheme="minorHAnsi" w:hAnsiTheme="minorHAnsi" w:cstheme="minorHAnsi"/>
          <w:sz w:val="20"/>
          <w:szCs w:val="20"/>
          <w:lang w:val="fr-FR"/>
        </w:rPr>
        <w:t xml:space="preserve">potentiel essentiellement concentré dans la région du Delta Central et la région de Mopti, qui représente près de 80 % de la production totale </w:t>
      </w:r>
      <w:r w:rsidRPr="00A537FD">
        <w:rPr>
          <w:rStyle w:val="Appelnotedebasdep"/>
          <w:rFonts w:asciiTheme="minorHAnsi" w:hAnsiTheme="minorHAnsi" w:cstheme="minorHAnsi"/>
          <w:sz w:val="20"/>
          <w:szCs w:val="20"/>
        </w:rPr>
        <w:footnoteReference w:id="14"/>
      </w:r>
      <w:r w:rsidRPr="000E53A0">
        <w:rPr>
          <w:rFonts w:asciiTheme="minorHAnsi" w:hAnsiTheme="minorHAnsi" w:cstheme="minorHAnsi"/>
          <w:sz w:val="20"/>
          <w:szCs w:val="20"/>
          <w:lang w:val="fr-FR"/>
        </w:rPr>
        <w:t xml:space="preserve">. La foresterie joue </w:t>
      </w:r>
      <w:r w:rsidR="008214A1" w:rsidRPr="000E53A0">
        <w:rPr>
          <w:rFonts w:asciiTheme="minorHAnsi" w:hAnsiTheme="minorHAnsi" w:cstheme="minorHAnsi"/>
          <w:sz w:val="20"/>
          <w:szCs w:val="20"/>
          <w:lang w:val="fr-FR"/>
        </w:rPr>
        <w:t xml:space="preserve">également un </w:t>
      </w:r>
      <w:r w:rsidRPr="000E53A0">
        <w:rPr>
          <w:rFonts w:asciiTheme="minorHAnsi" w:hAnsiTheme="minorHAnsi" w:cstheme="minorHAnsi"/>
          <w:sz w:val="20"/>
          <w:szCs w:val="20"/>
          <w:lang w:val="fr-FR"/>
        </w:rPr>
        <w:t xml:space="preserve">rôle important dans les activités socio-économiques du Mali, contribuant à 4,9 % du PIB du pays, bien que les forêts ne couvrent que 3,8 % de la superficie totale des terres </w:t>
      </w:r>
      <w:r w:rsidRPr="00A537FD">
        <w:rPr>
          <w:rStyle w:val="Appelnotedebasdep"/>
          <w:rFonts w:asciiTheme="minorHAnsi" w:hAnsiTheme="minorHAnsi" w:cstheme="minorHAnsi"/>
          <w:sz w:val="20"/>
          <w:szCs w:val="20"/>
        </w:rPr>
        <w:footnoteReference w:id="15"/>
      </w:r>
      <w:r w:rsidRPr="000E53A0">
        <w:rPr>
          <w:rFonts w:asciiTheme="minorHAnsi" w:hAnsiTheme="minorHAnsi" w:cstheme="minorHAnsi"/>
          <w:sz w:val="20"/>
          <w:szCs w:val="20"/>
          <w:lang w:val="fr-FR"/>
        </w:rPr>
        <w:t xml:space="preserve">. Fournir plus de 90 % de l'énergie du Mali sous forme de charbon de bois et de bois de chauffage. </w:t>
      </w:r>
    </w:p>
    <w:p w14:paraId="01E73550" w14:textId="77777777" w:rsidR="00601D9B" w:rsidRPr="000E53A0" w:rsidRDefault="000E53A0">
      <w:pPr>
        <w:pStyle w:val="Titre2"/>
        <w:rPr>
          <w:rFonts w:asciiTheme="minorHAnsi" w:hAnsiTheme="minorHAnsi" w:cstheme="minorHAnsi"/>
          <w:lang w:val="fr-FR"/>
        </w:rPr>
      </w:pPr>
      <w:r w:rsidRPr="000E53A0">
        <w:rPr>
          <w:rFonts w:asciiTheme="minorHAnsi" w:hAnsiTheme="minorHAnsi" w:cstheme="minorHAnsi"/>
          <w:lang w:val="fr-FR"/>
        </w:rPr>
        <w:t>Contexte de sécurité</w:t>
      </w:r>
    </w:p>
    <w:p w14:paraId="1DF4F5D0" w14:textId="77777777" w:rsidR="00601D9B" w:rsidRPr="000E53A0" w:rsidRDefault="000E53A0">
      <w:pPr>
        <w:pStyle w:val="p"/>
        <w:shd w:val="clear" w:color="auto" w:fill="FFFFFF"/>
        <w:spacing w:before="0" w:beforeAutospacing="0" w:after="150" w:afterAutospacing="0"/>
        <w:jc w:val="both"/>
        <w:rPr>
          <w:rFonts w:asciiTheme="minorHAnsi" w:hAnsiTheme="minorHAnsi" w:cstheme="minorHAnsi"/>
          <w:sz w:val="20"/>
          <w:szCs w:val="20"/>
        </w:rPr>
      </w:pPr>
      <w:r w:rsidRPr="000E53A0">
        <w:rPr>
          <w:rFonts w:asciiTheme="minorHAnsi" w:hAnsiTheme="minorHAnsi" w:cstheme="minorHAnsi"/>
          <w:sz w:val="20"/>
          <w:szCs w:val="20"/>
        </w:rPr>
        <w:t xml:space="preserve">Le pays a été confronté à une crise économique, politique et environnementale multidimensionnelle qui s'est considérablement aggravée depuis 2012. </w:t>
      </w:r>
      <w:r w:rsidR="0092649C" w:rsidRPr="000E53A0">
        <w:rPr>
          <w:rFonts w:asciiTheme="minorHAnsi" w:hAnsiTheme="minorHAnsi" w:cstheme="minorHAnsi"/>
          <w:sz w:val="20"/>
          <w:szCs w:val="20"/>
        </w:rPr>
        <w:t xml:space="preserve">La violence nationale et intercommunautaire au Mali a émergé dans le processus de construction de l'État après que le Mali a obtenu son indépendance en 1960, et depuis lors, le pays a traversé des années d'instabilité politique. </w:t>
      </w:r>
      <w:r w:rsidR="0092649C" w:rsidRPr="000E53A0">
        <w:rPr>
          <w:rFonts w:asciiTheme="minorHAnsi" w:hAnsiTheme="minorHAnsi" w:cstheme="minorHAnsi"/>
          <w:color w:val="000000" w:themeColor="text1"/>
          <w:sz w:val="20"/>
          <w:szCs w:val="20"/>
        </w:rPr>
        <w:t xml:space="preserve">Récemment, l'incapacité perçue à mettre fin aux massacres de civils a été l'un des problèmes mis en évidence lors des manifestations antigouvernementales à Bamako, qui ont conduit à la démission forcée du président Ibrahim Keita le 18 août 2020 </w:t>
      </w:r>
      <w:r w:rsidR="0092649C" w:rsidRPr="008214A1">
        <w:rPr>
          <w:rStyle w:val="Appelnotedebasdep"/>
          <w:rFonts w:asciiTheme="minorHAnsi" w:eastAsiaTheme="majorEastAsia" w:hAnsiTheme="minorHAnsi" w:cstheme="minorHAnsi"/>
          <w:color w:val="000000" w:themeColor="text1"/>
          <w:sz w:val="20"/>
          <w:szCs w:val="20"/>
          <w:lang w:val="en-GB"/>
        </w:rPr>
        <w:footnoteReference w:id="16"/>
      </w:r>
      <w:r w:rsidR="0092649C" w:rsidRPr="000E53A0">
        <w:rPr>
          <w:rFonts w:asciiTheme="minorHAnsi" w:hAnsiTheme="minorHAnsi" w:cstheme="minorHAnsi"/>
          <w:color w:val="000000" w:themeColor="text1"/>
          <w:sz w:val="20"/>
          <w:szCs w:val="20"/>
        </w:rPr>
        <w:t>. Le 24 mai 2021, le président de la transition et son premier ministre ont été accusés par le vice-président de violer la charte de la transition, et ont démissionné le lendemain, entraînant un nouveau chaos politique dans ce pays déjà fragile</w:t>
      </w:r>
      <w:r w:rsidR="0092649C" w:rsidRPr="000E53A0">
        <w:rPr>
          <w:rFonts w:asciiTheme="minorHAnsi" w:hAnsiTheme="minorHAnsi" w:cstheme="minorHAnsi"/>
          <w:sz w:val="20"/>
          <w:szCs w:val="20"/>
        </w:rPr>
        <w:t>. Avant ces récents événements</w:t>
      </w:r>
      <w:r w:rsidR="0092649C" w:rsidRPr="000E53A0">
        <w:rPr>
          <w:rFonts w:asciiTheme="minorHAnsi" w:hAnsiTheme="minorHAnsi" w:cstheme="minorHAnsi"/>
          <w:color w:val="333333"/>
          <w:sz w:val="20"/>
          <w:szCs w:val="20"/>
          <w:shd w:val="clear" w:color="auto" w:fill="FFFFFF"/>
        </w:rPr>
        <w:t xml:space="preserve">, la </w:t>
      </w:r>
      <w:r w:rsidR="0092649C" w:rsidRPr="000E53A0">
        <w:rPr>
          <w:rFonts w:asciiTheme="minorHAnsi" w:hAnsiTheme="minorHAnsi" w:cstheme="minorHAnsi"/>
          <w:sz w:val="20"/>
          <w:szCs w:val="20"/>
        </w:rPr>
        <w:t>rébellion touareg a initié un mouvement séparatiste en 2012, dont la force est venue dans le sillage des changements politiques et révolutionnaires en Libye et en Côte d'Ivoire et d'un retour des Maliens qui vivaient à l'étranger, intensifiant ainsi les sentiments séparatistes</w:t>
      </w:r>
      <w:r w:rsidR="0092649C" w:rsidRPr="008214A1">
        <w:rPr>
          <w:rStyle w:val="Appelnotedebasdep"/>
          <w:rFonts w:asciiTheme="minorHAnsi" w:eastAsiaTheme="majorEastAsia" w:hAnsiTheme="minorHAnsi" w:cstheme="minorHAnsi"/>
          <w:sz w:val="20"/>
          <w:szCs w:val="20"/>
          <w:lang w:val="en-US"/>
        </w:rPr>
        <w:footnoteReference w:id="17"/>
      </w:r>
      <w:r w:rsidR="0092649C" w:rsidRPr="000E53A0">
        <w:rPr>
          <w:rFonts w:asciiTheme="minorHAnsi" w:hAnsiTheme="minorHAnsi" w:cstheme="minorHAnsi"/>
          <w:color w:val="000000" w:themeColor="text1"/>
          <w:sz w:val="20"/>
          <w:szCs w:val="20"/>
        </w:rPr>
        <w:t xml:space="preserve"> </w:t>
      </w:r>
      <w:r w:rsidR="0092649C" w:rsidRPr="000E53A0">
        <w:rPr>
          <w:rFonts w:asciiTheme="minorHAnsi" w:hAnsiTheme="minorHAnsi" w:cstheme="minorHAnsi"/>
          <w:sz w:val="20"/>
          <w:szCs w:val="20"/>
        </w:rPr>
        <w:t xml:space="preserve">. La montée des groupes extrémistes islamistes dans le nord du pays a aggravé l'instabilité. </w:t>
      </w:r>
      <w:r w:rsidR="0092649C" w:rsidRPr="000E53A0">
        <w:rPr>
          <w:rFonts w:asciiTheme="minorHAnsi" w:hAnsiTheme="minorHAnsi" w:cstheme="minorHAnsi"/>
          <w:color w:val="000000" w:themeColor="text1"/>
          <w:sz w:val="20"/>
          <w:szCs w:val="20"/>
        </w:rPr>
        <w:t xml:space="preserve">Le gouvernement a signé un accord de paix avec les rebelles séparatistes du nord en 2015, mais les groupes armés continuent d'affirmer leur contrôle territorial dans une grande partie de la région. Dans le même temps, les groupes insurgés islamistes se sont étendus du nord au centre du Mali, auparavant stable, et auraient tiré parti des tensions interethniques et du ressentiment local envers les acteurs étatiques pour recruter des partisans et fomenter le conflit. </w:t>
      </w:r>
    </w:p>
    <w:p w14:paraId="5986E56F" w14:textId="77777777" w:rsidR="00601D9B" w:rsidRPr="000E53A0" w:rsidRDefault="0092649C">
      <w:pPr>
        <w:pStyle w:val="p"/>
        <w:shd w:val="clear" w:color="auto" w:fill="FFFFFF"/>
        <w:spacing w:before="0" w:beforeAutospacing="0" w:after="150" w:afterAutospacing="0"/>
        <w:jc w:val="both"/>
        <w:rPr>
          <w:rFonts w:asciiTheme="minorHAnsi" w:hAnsiTheme="minorHAnsi" w:cstheme="minorHAnsi"/>
          <w:sz w:val="20"/>
          <w:szCs w:val="20"/>
        </w:rPr>
      </w:pPr>
      <w:r w:rsidRPr="000E53A0">
        <w:rPr>
          <w:rFonts w:asciiTheme="minorHAnsi" w:hAnsiTheme="minorHAnsi" w:cstheme="minorHAnsi"/>
          <w:color w:val="000000" w:themeColor="text1"/>
          <w:sz w:val="20"/>
          <w:szCs w:val="20"/>
        </w:rPr>
        <w:lastRenderedPageBreak/>
        <w:t xml:space="preserve">En 2019, Mopti a fait face à une détérioration dramatique de sa situation sécuritaire, avec des centaines de violations enregistrées des droits humains et du droit international humanitaire. </w:t>
      </w:r>
      <w:r w:rsidRPr="000E53A0">
        <w:rPr>
          <w:rFonts w:asciiTheme="minorHAnsi" w:hAnsiTheme="minorHAnsi" w:cstheme="minorHAnsi"/>
          <w:sz w:val="20"/>
          <w:szCs w:val="20"/>
        </w:rPr>
        <w:t xml:space="preserve">190 des 305 événements violents signalés pour le Mali en 2019 se sont produits dans la région de Mopti, dont 90 % dans les quatre cercles orientaux de la région : Bandiagara, Bankass, Douentza et Koro. </w:t>
      </w:r>
      <w:r w:rsidRPr="000E53A0">
        <w:rPr>
          <w:rFonts w:asciiTheme="minorHAnsi" w:hAnsiTheme="minorHAnsi" w:cstheme="minorHAnsi"/>
          <w:color w:val="000000" w:themeColor="text1"/>
          <w:sz w:val="20"/>
          <w:szCs w:val="20"/>
        </w:rPr>
        <w:t xml:space="preserve">La présence de groupes armés et de milices d'autodéfense, l'augmentation de la criminalité (par exemple, le vol de bétail) et les tensions intercommunautaires ont déclenché une spirale de violence, entraînant une perte de moyens de subsistance pour les populations déplacées, ainsi que des difficultés à cultiver les champs (illustrées par </w:t>
      </w:r>
      <w:r w:rsidRPr="000E53A0">
        <w:rPr>
          <w:rFonts w:asciiTheme="minorHAnsi" w:hAnsiTheme="minorHAnsi" w:cstheme="minorHAnsi"/>
          <w:sz w:val="20"/>
          <w:szCs w:val="20"/>
        </w:rPr>
        <w:t>une baisse de 25 % de la superficie cultivée par rapport à l'année précédente</w:t>
      </w:r>
      <w:r w:rsidRPr="000E53A0">
        <w:rPr>
          <w:rFonts w:asciiTheme="minorHAnsi" w:hAnsiTheme="minorHAnsi" w:cstheme="minorHAnsi"/>
          <w:color w:val="000000" w:themeColor="text1"/>
          <w:sz w:val="20"/>
          <w:szCs w:val="20"/>
        </w:rPr>
        <w:t xml:space="preserve">) et des difficultés d'accès aux marchés pour ceux qui sont restés dans leurs villages. En </w:t>
      </w:r>
      <w:r w:rsidRPr="000E53A0">
        <w:rPr>
          <w:rFonts w:asciiTheme="minorHAnsi" w:hAnsiTheme="minorHAnsi" w:cstheme="minorHAnsi"/>
          <w:sz w:val="20"/>
          <w:szCs w:val="20"/>
        </w:rPr>
        <w:t xml:space="preserve">plus des pertes de terres cultivées et des abandons dus aux craintes sécuritaires, plus d'une centaine de villages ont été détectés comme probablement endommagés ou détruits en 2019 </w:t>
      </w:r>
      <w:r w:rsidRPr="008214A1">
        <w:rPr>
          <w:rStyle w:val="Appelnotedebasdep"/>
          <w:rFonts w:asciiTheme="minorHAnsi" w:eastAsiaTheme="majorEastAsia" w:hAnsiTheme="minorHAnsi" w:cstheme="minorHAnsi"/>
          <w:color w:val="000000" w:themeColor="text1"/>
          <w:sz w:val="20"/>
          <w:szCs w:val="20"/>
        </w:rPr>
        <w:footnoteReference w:id="18"/>
      </w:r>
      <w:r w:rsidRPr="000E53A0">
        <w:rPr>
          <w:rFonts w:asciiTheme="minorHAnsi" w:hAnsiTheme="minorHAnsi" w:cstheme="minorHAnsi"/>
          <w:sz w:val="20"/>
          <w:szCs w:val="20"/>
        </w:rPr>
        <w:t>. En outre, l'insurrection et l'anarchie ont poussé davantage de pasteurs au sud du fleuve Niger, et les conflits dans le nord du Mali et le delta intérieur ont accru les tensions entre agriculteurs et éleveurs. Les pasteurs sont à la fois affectés et impliqués dans des groupes armés, avec une portée régionale potentielle</w:t>
      </w:r>
      <w:r w:rsidRPr="008214A1">
        <w:rPr>
          <w:rStyle w:val="Appelnotedebasdep"/>
          <w:rFonts w:asciiTheme="minorHAnsi" w:hAnsiTheme="minorHAnsi" w:cstheme="minorHAnsi"/>
          <w:sz w:val="20"/>
          <w:szCs w:val="20"/>
          <w:lang w:val="en-US"/>
        </w:rPr>
        <w:footnoteReference w:id="19"/>
      </w:r>
      <w:r w:rsidRPr="000E53A0">
        <w:rPr>
          <w:rFonts w:asciiTheme="minorHAnsi" w:hAnsiTheme="minorHAnsi" w:cstheme="minorHAnsi"/>
          <w:sz w:val="20"/>
          <w:szCs w:val="20"/>
        </w:rPr>
        <w:t xml:space="preserve">. Les conflits entre agriculteurs et éleveurs reflètent </w:t>
      </w:r>
      <w:r w:rsidR="001C7DE3" w:rsidRPr="000E53A0">
        <w:rPr>
          <w:rFonts w:asciiTheme="minorHAnsi" w:hAnsiTheme="minorHAnsi" w:cstheme="minorHAnsi"/>
          <w:sz w:val="20"/>
          <w:szCs w:val="20"/>
        </w:rPr>
        <w:t xml:space="preserve">en outre les </w:t>
      </w:r>
      <w:r w:rsidRPr="000E53A0">
        <w:rPr>
          <w:rFonts w:asciiTheme="minorHAnsi" w:hAnsiTheme="minorHAnsi" w:cstheme="minorHAnsi"/>
          <w:sz w:val="20"/>
          <w:szCs w:val="20"/>
        </w:rPr>
        <w:t>politiques et la législation de l'État en matière de pastoralisme et de régime foncier, car celles-ci favorisent généralement les agriculteurs et tendent à priver les éleveurs de l'accès aux pâturages</w:t>
      </w:r>
      <w:r w:rsidRPr="008214A1">
        <w:rPr>
          <w:rStyle w:val="Appelnotedebasdep"/>
          <w:rFonts w:asciiTheme="minorHAnsi" w:hAnsiTheme="minorHAnsi" w:cstheme="minorHAnsi"/>
          <w:sz w:val="20"/>
          <w:szCs w:val="20"/>
          <w:lang w:val="en-US"/>
        </w:rPr>
        <w:footnoteReference w:id="20"/>
      </w:r>
      <w:r w:rsidRPr="000E53A0">
        <w:rPr>
          <w:rFonts w:asciiTheme="minorHAnsi" w:hAnsiTheme="minorHAnsi" w:cstheme="minorHAnsi"/>
          <w:sz w:val="20"/>
          <w:szCs w:val="20"/>
        </w:rPr>
        <w:t xml:space="preserve">. </w:t>
      </w:r>
    </w:p>
    <w:p w14:paraId="271CBEFF" w14:textId="77777777" w:rsidR="00601D9B" w:rsidRPr="000E53A0" w:rsidRDefault="000E53A0">
      <w:pPr>
        <w:pStyle w:val="p"/>
        <w:shd w:val="clear" w:color="auto" w:fill="FFFFFF"/>
        <w:spacing w:before="0" w:beforeAutospacing="0" w:after="150" w:afterAutospacing="0"/>
        <w:jc w:val="both"/>
        <w:rPr>
          <w:rFonts w:asciiTheme="minorHAnsi" w:hAnsiTheme="minorHAnsi" w:cstheme="minorHAnsi"/>
          <w:sz w:val="20"/>
          <w:szCs w:val="20"/>
        </w:rPr>
      </w:pPr>
      <w:r w:rsidRPr="000E53A0">
        <w:rPr>
          <w:rFonts w:asciiTheme="minorHAnsi" w:hAnsiTheme="minorHAnsi" w:cstheme="minorHAnsi"/>
          <w:sz w:val="20"/>
          <w:szCs w:val="20"/>
        </w:rPr>
        <w:t xml:space="preserve">Historiquement, dans la région de Mopti, les conflits entre agriculteurs et éleveurs ont été résolus par des mécanismes coutumiers locaux et des accords traditionnels (Djowro) pour la gestion des pâturages et des terres agricoles. Cependant, le système qui régit l'accès aux terres et le cadre de résolution des conflits est fragile en raison de la concurrence accrue entre agriculteurs, éleveurs, riziculteurs et pêcheurs, et devient plus complexe, exploité à la fois par les milices et les groupes extrémistes violents. </w:t>
      </w:r>
    </w:p>
    <w:p w14:paraId="14D81727" w14:textId="77777777" w:rsidR="00601D9B" w:rsidRPr="000E53A0" w:rsidRDefault="000E53A0">
      <w:pPr>
        <w:pStyle w:val="Titre2"/>
        <w:rPr>
          <w:rFonts w:asciiTheme="minorHAnsi" w:hAnsiTheme="minorHAnsi" w:cstheme="minorHAnsi"/>
          <w:lang w:val="fr-FR"/>
        </w:rPr>
      </w:pPr>
      <w:bookmarkStart w:id="8" w:name="_Toc78981251"/>
      <w:r w:rsidRPr="000E53A0">
        <w:rPr>
          <w:rFonts w:asciiTheme="minorHAnsi" w:hAnsiTheme="minorHAnsi" w:cstheme="minorHAnsi"/>
          <w:lang w:val="fr-FR"/>
        </w:rPr>
        <w:t xml:space="preserve">COVID-19 </w:t>
      </w:r>
      <w:bookmarkEnd w:id="8"/>
    </w:p>
    <w:p w14:paraId="40FCF6D4" w14:textId="77777777" w:rsidR="00601D9B" w:rsidRPr="000E53A0" w:rsidRDefault="000E53A0">
      <w:pPr>
        <w:jc w:val="both"/>
        <w:rPr>
          <w:rFonts w:asciiTheme="minorHAnsi" w:hAnsiTheme="minorHAnsi" w:cstheme="minorHAnsi"/>
          <w:sz w:val="20"/>
          <w:szCs w:val="20"/>
          <w:lang w:val="fr-FR"/>
        </w:rPr>
      </w:pPr>
      <w:r w:rsidRPr="000E53A0">
        <w:rPr>
          <w:rFonts w:asciiTheme="minorHAnsi" w:hAnsiTheme="minorHAnsi" w:cstheme="minorHAnsi"/>
          <w:color w:val="2E3436"/>
          <w:spacing w:val="3"/>
          <w:sz w:val="20"/>
          <w:szCs w:val="20"/>
          <w:shd w:val="clear" w:color="auto" w:fill="FFFFFF"/>
          <w:lang w:val="fr-FR"/>
        </w:rPr>
        <w:t>Le Mali est l'un des derniers pays d'Afrique à enregistrer une épidémie de coronavirus</w:t>
      </w:r>
      <w:r w:rsidRPr="000E53A0">
        <w:rPr>
          <w:rFonts w:asciiTheme="minorHAnsi" w:hAnsiTheme="minorHAnsi" w:cstheme="minorHAnsi"/>
          <w:sz w:val="20"/>
          <w:szCs w:val="20"/>
          <w:lang w:val="fr-FR"/>
        </w:rPr>
        <w:t xml:space="preserve">. Du 3 janvier 2020 au 24 mai 2021, 14 241 cas confirmés de COVID-19 et 514 décès ont été signalés à l'OMS. Ces chiffres sont probablement une sous-représentation de la situation réelle, compte tenu de la capacité limitée des établissements de santé dans de grandes parties du pays, du faible niveau des capacités de dépistage disponibles et de l'indisponibilité des données et des analyses. </w:t>
      </w:r>
      <w:r w:rsidRPr="000E53A0">
        <w:rPr>
          <w:rFonts w:asciiTheme="minorHAnsi" w:hAnsiTheme="minorHAnsi" w:cstheme="minorHAnsi"/>
          <w:spacing w:val="3"/>
          <w:sz w:val="20"/>
          <w:szCs w:val="20"/>
          <w:lang w:val="fr-FR"/>
        </w:rPr>
        <w:t>Dans ce contexte fragile, la pandémie a aggravé la pauvreté et les conditions de vie de la population, notamment la protection des civils confrontés à des risques sanitaires et sécuritaires.</w:t>
      </w:r>
      <w:r w:rsidRPr="000E53A0">
        <w:rPr>
          <w:rFonts w:asciiTheme="minorHAnsi" w:hAnsiTheme="minorHAnsi" w:cstheme="minorHAnsi"/>
          <w:spacing w:val="3"/>
          <w:sz w:val="20"/>
          <w:szCs w:val="20"/>
          <w:lang w:val="fr-FR" w:eastAsia="fr-FR"/>
        </w:rPr>
        <w:t xml:space="preserve"> En effet, la pandémie a limité l'accès à l'aide humanitaire en ralentissant les capacités logistiques et en restreignant les déplacements, et a réduit l'accès aux services de santé. Par ailleurs, plusieurs sources indiquent que la crise accroît les risques de violences sexistes (VSS) à </w:t>
      </w:r>
      <w:r w:rsidRPr="00A537FD">
        <w:rPr>
          <w:rStyle w:val="Appelnotedebasdep"/>
          <w:rFonts w:asciiTheme="minorHAnsi" w:hAnsiTheme="minorHAnsi" w:cstheme="minorHAnsi"/>
          <w:spacing w:val="3"/>
          <w:sz w:val="20"/>
          <w:szCs w:val="20"/>
          <w:lang w:eastAsia="fr-FR"/>
        </w:rPr>
        <w:footnoteReference w:id="21"/>
      </w:r>
      <w:r w:rsidRPr="000E53A0">
        <w:rPr>
          <w:rFonts w:asciiTheme="minorHAnsi" w:hAnsiTheme="minorHAnsi" w:cstheme="minorHAnsi"/>
          <w:spacing w:val="3"/>
          <w:sz w:val="20"/>
          <w:szCs w:val="20"/>
          <w:lang w:val="fr-FR" w:eastAsia="fr-FR"/>
        </w:rPr>
        <w:t xml:space="preserve">l'égard des femmes, qui sont également plus vulnérables économiquement en période de </w:t>
      </w:r>
      <w:r w:rsidR="00F1092D">
        <w:rPr>
          <w:rFonts w:asciiTheme="minorHAnsi" w:hAnsiTheme="minorHAnsi" w:cstheme="minorHAnsi"/>
          <w:spacing w:val="3"/>
          <w:sz w:val="20"/>
          <w:szCs w:val="20"/>
          <w:lang w:val="fr-FR" w:eastAsia="fr-FR"/>
        </w:rPr>
        <w:t>confinement</w:t>
      </w:r>
      <w:r w:rsidRPr="000E53A0">
        <w:rPr>
          <w:rFonts w:asciiTheme="minorHAnsi" w:hAnsiTheme="minorHAnsi" w:cstheme="minorHAnsi"/>
          <w:spacing w:val="3"/>
          <w:sz w:val="20"/>
          <w:szCs w:val="20"/>
          <w:lang w:val="fr-FR" w:eastAsia="fr-FR"/>
        </w:rPr>
        <w:t xml:space="preserve">. </w:t>
      </w:r>
      <w:r w:rsidRPr="000E53A0">
        <w:rPr>
          <w:rFonts w:asciiTheme="minorHAnsi" w:hAnsiTheme="minorHAnsi" w:cstheme="minorHAnsi"/>
          <w:sz w:val="20"/>
          <w:szCs w:val="20"/>
          <w:lang w:val="fr-FR"/>
        </w:rPr>
        <w:t xml:space="preserve">Les jeunes générations sont particulièrement exposées, sachant </w:t>
      </w:r>
      <w:r w:rsidRPr="000E53A0">
        <w:rPr>
          <w:rFonts w:asciiTheme="minorHAnsi" w:hAnsiTheme="minorHAnsi" w:cstheme="minorHAnsi"/>
          <w:spacing w:val="3"/>
          <w:sz w:val="20"/>
          <w:szCs w:val="20"/>
          <w:lang w:val="fr-FR" w:eastAsia="fr-FR"/>
        </w:rPr>
        <w:t xml:space="preserve">que la pauvreté non monétaire (par exemple, privation d'éducation, d'accès à l'eau, de santé) touche 54% des enfants de moins de 17 ans, et plus de 80% d'entre eux dans les régions de Mopti, Tombouctou, Gao et Meneka </w:t>
      </w:r>
      <w:r w:rsidRPr="00A537FD">
        <w:rPr>
          <w:rStyle w:val="Appelnotedebasdep"/>
          <w:rFonts w:asciiTheme="minorHAnsi" w:hAnsiTheme="minorHAnsi" w:cstheme="minorHAnsi"/>
          <w:spacing w:val="3"/>
          <w:sz w:val="20"/>
          <w:szCs w:val="20"/>
          <w:lang w:eastAsia="fr-FR"/>
        </w:rPr>
        <w:footnoteReference w:id="22"/>
      </w:r>
      <w:r w:rsidRPr="000E53A0">
        <w:rPr>
          <w:rFonts w:asciiTheme="minorHAnsi" w:hAnsiTheme="minorHAnsi" w:cstheme="minorHAnsi"/>
          <w:spacing w:val="3"/>
          <w:sz w:val="20"/>
          <w:szCs w:val="20"/>
          <w:lang w:val="fr-FR" w:eastAsia="fr-FR"/>
        </w:rPr>
        <w:t xml:space="preserve">. </w:t>
      </w:r>
      <w:r w:rsidRPr="000E53A0">
        <w:rPr>
          <w:rFonts w:asciiTheme="minorHAnsi" w:hAnsiTheme="minorHAnsi" w:cstheme="minorHAnsi"/>
          <w:sz w:val="20"/>
          <w:szCs w:val="20"/>
          <w:lang w:val="fr-FR"/>
        </w:rPr>
        <w:t xml:space="preserve"> </w:t>
      </w:r>
    </w:p>
    <w:p w14:paraId="4395FDAE" w14:textId="77777777" w:rsidR="00601D9B" w:rsidRPr="000E53A0" w:rsidRDefault="000E53A0">
      <w:pPr>
        <w:jc w:val="both"/>
        <w:rPr>
          <w:rFonts w:asciiTheme="minorHAnsi" w:hAnsiTheme="minorHAnsi" w:cstheme="minorHAnsi"/>
          <w:sz w:val="20"/>
          <w:szCs w:val="20"/>
          <w:lang w:val="fr-FR"/>
        </w:rPr>
      </w:pPr>
      <w:r w:rsidRPr="000E53A0">
        <w:rPr>
          <w:rFonts w:asciiTheme="minorHAnsi" w:hAnsiTheme="minorHAnsi" w:cstheme="minorHAnsi"/>
          <w:sz w:val="20"/>
          <w:szCs w:val="20"/>
          <w:lang w:val="fr-FR"/>
        </w:rPr>
        <w:t xml:space="preserve">La pandémie et la crise sociopolitique résultant du coup d'État de 2020 ont fait basculer le Mali dans une récession économique. La pandémie a entraîné une contraction du PIB estimée à 2% en 2020 et une détérioration du déficit budgétaire de -1,8% du PIB en 2019 à -6,1% du PIB en 2020, reflétant la baisse de la demande mondiale, les difficultés d'approvisionnement et les restrictions internes et impactant la performance du secteur agricole. Les répercussions économiques de la crise COVID-19 se font sentir sur les chaînes d'approvisionnement et les marchés, entraînant : une hausse des prix des denrées alimentaires, des intrants et des services pour l'agriculture et l'élevage ; une augmentation des coûts de transport et de production ; et des pertes d'emploi et de revenus, avec des impacts accrus pour les jeunes et les femmes travaillant dans les secteurs primaire et tertiaire. Une étude de la FAO sur les impacts du COVID-19 au Mali </w:t>
      </w:r>
      <w:r w:rsidRPr="00A537FD">
        <w:rPr>
          <w:rStyle w:val="Appelnotedebasdep"/>
          <w:rFonts w:asciiTheme="minorHAnsi" w:hAnsiTheme="minorHAnsi" w:cstheme="minorHAnsi"/>
          <w:sz w:val="20"/>
          <w:szCs w:val="20"/>
        </w:rPr>
        <w:footnoteReference w:id="23"/>
      </w:r>
      <w:r w:rsidRPr="000E53A0">
        <w:rPr>
          <w:rFonts w:asciiTheme="minorHAnsi" w:hAnsiTheme="minorHAnsi" w:cstheme="minorHAnsi"/>
          <w:sz w:val="20"/>
          <w:szCs w:val="20"/>
          <w:lang w:val="fr-FR"/>
        </w:rPr>
        <w:t xml:space="preserve">a également montré que la pandémie affecte différemment les communautés. Notamment, les pasteurs ont été plus touchés par les mesures de restriction que les agriculteurs (60 % contre 41 %), tandis que les agriculteurs </w:t>
      </w:r>
      <w:r w:rsidRPr="000E53A0">
        <w:rPr>
          <w:rFonts w:asciiTheme="minorHAnsi" w:hAnsiTheme="minorHAnsi" w:cstheme="minorHAnsi"/>
          <w:sz w:val="20"/>
          <w:szCs w:val="20"/>
          <w:lang w:val="fr-FR"/>
        </w:rPr>
        <w:lastRenderedPageBreak/>
        <w:t>ont été plus touchés que les pasteurs par la perte de revenus (53 % contre 42 %). La crise affecte particulièrement les moyennes et petites entreprises privées, dont la majorité n'est pas éligible aux aides financières de l'Etat (abattement fiscal, crédits, fonds de garantie du secteur privé)</w:t>
      </w:r>
      <w:r w:rsidRPr="00A537FD">
        <w:rPr>
          <w:rStyle w:val="Appelnotedebasdep"/>
          <w:rFonts w:asciiTheme="minorHAnsi" w:hAnsiTheme="minorHAnsi" w:cstheme="minorHAnsi"/>
          <w:sz w:val="20"/>
          <w:szCs w:val="20"/>
        </w:rPr>
        <w:footnoteReference w:id="24"/>
      </w:r>
      <w:r w:rsidRPr="000E53A0">
        <w:rPr>
          <w:rFonts w:asciiTheme="minorHAnsi" w:hAnsiTheme="minorHAnsi" w:cstheme="minorHAnsi"/>
          <w:sz w:val="20"/>
          <w:szCs w:val="20"/>
          <w:lang w:val="fr-FR"/>
        </w:rPr>
        <w:t xml:space="preserve">. Les autorités maliennes ont adopté un plan de 214 milliards de francs CFA pour faire face à la crise socio-économique du COVID-19, ce qui a entraîné une hausse des dépenses budgétaires </w:t>
      </w:r>
      <w:r w:rsidRPr="00A537FD">
        <w:rPr>
          <w:rStyle w:val="Appelnotedebasdep"/>
          <w:rFonts w:asciiTheme="minorHAnsi" w:hAnsiTheme="minorHAnsi" w:cstheme="minorHAnsi"/>
          <w:sz w:val="20"/>
          <w:szCs w:val="20"/>
        </w:rPr>
        <w:footnoteReference w:id="25"/>
      </w:r>
      <w:r w:rsidRPr="000E53A0">
        <w:rPr>
          <w:rFonts w:asciiTheme="minorHAnsi" w:hAnsiTheme="minorHAnsi" w:cstheme="minorHAnsi"/>
          <w:sz w:val="20"/>
          <w:szCs w:val="20"/>
          <w:lang w:val="fr-FR"/>
        </w:rPr>
        <w:t xml:space="preserve">. </w:t>
      </w:r>
      <w:bookmarkEnd w:id="7"/>
    </w:p>
    <w:p w14:paraId="6C31CDCE" w14:textId="77777777" w:rsidR="00601D9B" w:rsidRPr="000E53A0" w:rsidRDefault="000E53A0">
      <w:pPr>
        <w:pStyle w:val="Titre2"/>
        <w:spacing w:before="120"/>
        <w:rPr>
          <w:rFonts w:asciiTheme="minorHAnsi" w:hAnsiTheme="minorHAnsi" w:cstheme="minorHAnsi"/>
          <w:lang w:val="fr-FR"/>
        </w:rPr>
      </w:pPr>
      <w:r w:rsidRPr="000E53A0">
        <w:rPr>
          <w:rFonts w:asciiTheme="minorHAnsi" w:hAnsiTheme="minorHAnsi" w:cstheme="minorHAnsi"/>
          <w:lang w:val="fr-FR"/>
        </w:rPr>
        <w:t>Exposé du problème</w:t>
      </w:r>
    </w:p>
    <w:p w14:paraId="4DB1509F" w14:textId="77777777" w:rsidR="00601D9B" w:rsidRPr="000E53A0" w:rsidRDefault="008E4EF3">
      <w:pPr>
        <w:jc w:val="both"/>
        <w:rPr>
          <w:rFonts w:asciiTheme="minorHAnsi" w:hAnsiTheme="minorHAnsi" w:cstheme="minorHAnsi"/>
          <w:sz w:val="20"/>
          <w:szCs w:val="20"/>
          <w:lang w:val="fr-FR"/>
        </w:rPr>
      </w:pPr>
      <w:r w:rsidRPr="000E53A0">
        <w:rPr>
          <w:rFonts w:asciiTheme="minorHAnsi" w:hAnsiTheme="minorHAnsi" w:cstheme="minorHAnsi"/>
          <w:sz w:val="20"/>
          <w:szCs w:val="20"/>
          <w:lang w:val="fr-FR"/>
        </w:rPr>
        <w:t xml:space="preserve">Le </w:t>
      </w:r>
      <w:r w:rsidR="000E53A0" w:rsidRPr="000E53A0">
        <w:rPr>
          <w:rFonts w:asciiTheme="minorHAnsi" w:hAnsiTheme="minorHAnsi" w:cstheme="minorHAnsi"/>
          <w:sz w:val="20"/>
          <w:szCs w:val="20"/>
          <w:lang w:val="fr-FR"/>
        </w:rPr>
        <w:t>projet proposé s'attaque aux défis interdépendants de la dégradation des terres et du changement climatique au Mali qui, ensemble, menacent la durabilité à long terme des paysages productifs vulnérables dans les régions centrales du pays</w:t>
      </w:r>
      <w:r w:rsidRPr="000E53A0">
        <w:rPr>
          <w:rFonts w:asciiTheme="minorHAnsi" w:hAnsiTheme="minorHAnsi" w:cstheme="minorHAnsi"/>
          <w:sz w:val="20"/>
          <w:szCs w:val="20"/>
          <w:lang w:val="fr-FR"/>
        </w:rPr>
        <w:t>, et multiplient les menaces sécuritaires</w:t>
      </w:r>
      <w:r w:rsidR="000E53A0" w:rsidRPr="000E53A0">
        <w:rPr>
          <w:rFonts w:asciiTheme="minorHAnsi" w:hAnsiTheme="minorHAnsi" w:cstheme="minorHAnsi"/>
          <w:sz w:val="20"/>
          <w:szCs w:val="20"/>
          <w:lang w:val="fr-FR"/>
        </w:rPr>
        <w:t xml:space="preserve">. </w:t>
      </w:r>
      <w:r w:rsidRPr="000E53A0">
        <w:rPr>
          <w:rFonts w:asciiTheme="minorHAnsi" w:hAnsiTheme="minorHAnsi" w:cstheme="minorHAnsi"/>
          <w:sz w:val="20"/>
          <w:szCs w:val="20"/>
          <w:lang w:val="fr-FR"/>
        </w:rPr>
        <w:t xml:space="preserve">En effet, alors que les impacts anthropiques et climatiques réduisent la base productive des ressources naturelles, les conflits </w:t>
      </w:r>
      <w:r w:rsidR="00883980">
        <w:rPr>
          <w:rFonts w:asciiTheme="minorHAnsi" w:hAnsiTheme="minorHAnsi" w:cstheme="minorHAnsi"/>
          <w:sz w:val="20"/>
          <w:szCs w:val="20"/>
          <w:lang w:val="fr-FR"/>
        </w:rPr>
        <w:t>dus</w:t>
      </w:r>
      <w:r w:rsidRPr="000E53A0">
        <w:rPr>
          <w:rFonts w:asciiTheme="minorHAnsi" w:hAnsiTheme="minorHAnsi" w:cstheme="minorHAnsi"/>
          <w:sz w:val="20"/>
          <w:szCs w:val="20"/>
          <w:lang w:val="fr-FR"/>
        </w:rPr>
        <w:t xml:space="preserve"> </w:t>
      </w:r>
      <w:r w:rsidR="00883980">
        <w:rPr>
          <w:rFonts w:asciiTheme="minorHAnsi" w:hAnsiTheme="minorHAnsi" w:cstheme="minorHAnsi"/>
          <w:sz w:val="20"/>
          <w:szCs w:val="20"/>
          <w:lang w:val="fr-FR"/>
        </w:rPr>
        <w:t xml:space="preserve">à l’accès à </w:t>
      </w:r>
      <w:r w:rsidRPr="000E53A0">
        <w:rPr>
          <w:rFonts w:asciiTheme="minorHAnsi" w:hAnsiTheme="minorHAnsi" w:cstheme="minorHAnsi"/>
          <w:sz w:val="20"/>
          <w:szCs w:val="20"/>
          <w:lang w:val="fr-FR"/>
        </w:rPr>
        <w:t>la terre et l'eau s'intensifient, en particulier entre les communautés d'agriculteurs et d'éleveurs, alimentant le conflit actuel entre les djihadistes et les milices civiles.</w:t>
      </w:r>
    </w:p>
    <w:p w14:paraId="266EB61C" w14:textId="77777777" w:rsidR="008E4EF3" w:rsidRPr="000E53A0" w:rsidRDefault="008E4EF3" w:rsidP="00A537FD">
      <w:pPr>
        <w:jc w:val="both"/>
        <w:rPr>
          <w:rStyle w:val="Accentuation"/>
          <w:rFonts w:asciiTheme="minorHAnsi" w:hAnsiTheme="minorHAnsi" w:cstheme="minorHAnsi"/>
          <w:sz w:val="20"/>
          <w:szCs w:val="20"/>
          <w:lang w:val="fr-FR"/>
        </w:rPr>
      </w:pPr>
    </w:p>
    <w:p w14:paraId="004D1B8E" w14:textId="77777777" w:rsidR="00601D9B" w:rsidRPr="000E53A0" w:rsidRDefault="000E53A0">
      <w:pPr>
        <w:jc w:val="both"/>
        <w:rPr>
          <w:rFonts w:asciiTheme="minorHAnsi" w:hAnsiTheme="minorHAnsi" w:cstheme="minorHAnsi"/>
          <w:sz w:val="20"/>
          <w:szCs w:val="20"/>
          <w:lang w:val="fr-FR"/>
        </w:rPr>
      </w:pPr>
      <w:r w:rsidRPr="000E53A0">
        <w:rPr>
          <w:rStyle w:val="Accentuation"/>
          <w:rFonts w:asciiTheme="minorHAnsi" w:hAnsiTheme="minorHAnsi" w:cstheme="minorHAnsi"/>
          <w:sz w:val="20"/>
          <w:szCs w:val="20"/>
          <w:lang w:val="fr-FR"/>
        </w:rPr>
        <w:t>Dégradation des sols</w:t>
      </w:r>
    </w:p>
    <w:p w14:paraId="2926BFB9" w14:textId="77777777" w:rsidR="00601D9B" w:rsidRPr="000E53A0" w:rsidRDefault="000E53A0">
      <w:pPr>
        <w:jc w:val="both"/>
        <w:rPr>
          <w:rFonts w:asciiTheme="minorHAnsi" w:hAnsiTheme="minorHAnsi" w:cstheme="minorHAnsi"/>
          <w:sz w:val="20"/>
          <w:szCs w:val="20"/>
          <w:lang w:val="fr-FR"/>
        </w:rPr>
      </w:pPr>
      <w:r w:rsidRPr="000E53A0">
        <w:rPr>
          <w:rFonts w:asciiTheme="minorHAnsi" w:hAnsiTheme="minorHAnsi" w:cstheme="minorHAnsi"/>
          <w:sz w:val="20"/>
          <w:szCs w:val="20"/>
          <w:lang w:val="fr-FR"/>
        </w:rPr>
        <w:t xml:space="preserve">La République du Mali s'est engagée à atteindre la neutralité de la dégradation des terres, définie par la CNULCD comme "un état dans lequel la quantité et la qualité des ressources en terres, nécessaires pour soutenir les fonctions et services des écosystèmes et améliorer la sécurité alimentaire, restent stables ou augmentent dans des échelles temporelles et spatiales et des écosystèmes spécifiés". Actuellement, ce défi mondial n'est pas relevé </w:t>
      </w:r>
      <w:r w:rsidR="0041377D" w:rsidRPr="000E53A0">
        <w:rPr>
          <w:rFonts w:asciiTheme="minorHAnsi" w:hAnsiTheme="minorHAnsi" w:cstheme="minorHAnsi"/>
          <w:sz w:val="20"/>
          <w:szCs w:val="20"/>
          <w:lang w:val="fr-FR"/>
        </w:rPr>
        <w:t>: au Mali</w:t>
      </w:r>
      <w:r w:rsidRPr="000E53A0">
        <w:rPr>
          <w:rFonts w:asciiTheme="minorHAnsi" w:hAnsiTheme="minorHAnsi" w:cstheme="minorHAnsi"/>
          <w:sz w:val="20"/>
          <w:szCs w:val="20"/>
          <w:lang w:val="fr-FR"/>
        </w:rPr>
        <w:t xml:space="preserve">, la superficie sur laquelle la productivité a été perdue au cours des deux dernières décennies dépasse largement les petites poches où la productivité a été restaurée, et ces tendances se poursuivent. Au </w:t>
      </w:r>
      <w:r w:rsidR="00C75398" w:rsidRPr="000E53A0">
        <w:rPr>
          <w:rFonts w:asciiTheme="minorHAnsi" w:hAnsiTheme="minorHAnsi" w:cstheme="minorHAnsi"/>
          <w:sz w:val="20"/>
          <w:szCs w:val="20"/>
          <w:lang w:val="fr-FR"/>
        </w:rPr>
        <w:t xml:space="preserve">Mali, la </w:t>
      </w:r>
      <w:r w:rsidRPr="000E53A0">
        <w:rPr>
          <w:rFonts w:asciiTheme="minorHAnsi" w:hAnsiTheme="minorHAnsi" w:cstheme="minorHAnsi"/>
          <w:sz w:val="20"/>
          <w:szCs w:val="20"/>
          <w:lang w:val="fr-FR"/>
        </w:rPr>
        <w:t xml:space="preserve">dégradation des terres touche </w:t>
      </w:r>
      <w:r w:rsidR="00C75398" w:rsidRPr="000E53A0">
        <w:rPr>
          <w:rFonts w:asciiTheme="minorHAnsi" w:hAnsiTheme="minorHAnsi" w:cstheme="minorHAnsi"/>
          <w:sz w:val="20"/>
          <w:szCs w:val="20"/>
          <w:lang w:val="fr-FR"/>
        </w:rPr>
        <w:t xml:space="preserve">plus de </w:t>
      </w:r>
      <w:r w:rsidRPr="000E53A0">
        <w:rPr>
          <w:rFonts w:asciiTheme="minorHAnsi" w:hAnsiTheme="minorHAnsi" w:cstheme="minorHAnsi"/>
          <w:sz w:val="20"/>
          <w:szCs w:val="20"/>
          <w:lang w:val="fr-FR"/>
        </w:rPr>
        <w:t>2 millions de personnes</w:t>
      </w:r>
      <w:r w:rsidRPr="00A537FD">
        <w:rPr>
          <w:rStyle w:val="Appelnotedebasdep"/>
          <w:rFonts w:asciiTheme="minorHAnsi" w:hAnsiTheme="minorHAnsi" w:cstheme="minorHAnsi"/>
          <w:sz w:val="20"/>
          <w:szCs w:val="20"/>
        </w:rPr>
        <w:footnoteReference w:id="26"/>
      </w:r>
      <w:r w:rsidR="00543D97" w:rsidRPr="000E53A0">
        <w:rPr>
          <w:rFonts w:asciiTheme="minorHAnsi" w:hAnsiTheme="minorHAnsi" w:cstheme="minorHAnsi"/>
          <w:sz w:val="20"/>
          <w:szCs w:val="20"/>
          <w:lang w:val="fr-FR"/>
        </w:rPr>
        <w:t xml:space="preserve">, ce qui reflète les </w:t>
      </w:r>
      <w:r w:rsidRPr="000E53A0">
        <w:rPr>
          <w:rFonts w:asciiTheme="minorHAnsi" w:hAnsiTheme="minorHAnsi" w:cstheme="minorHAnsi"/>
          <w:sz w:val="20"/>
          <w:szCs w:val="20"/>
          <w:lang w:val="fr-FR"/>
        </w:rPr>
        <w:t>inégalités socio-économiques</w:t>
      </w:r>
      <w:r w:rsidR="00543D97" w:rsidRPr="000E53A0">
        <w:rPr>
          <w:rFonts w:asciiTheme="minorHAnsi" w:hAnsiTheme="minorHAnsi" w:cstheme="minorHAnsi"/>
          <w:sz w:val="20"/>
          <w:szCs w:val="20"/>
          <w:lang w:val="fr-FR"/>
        </w:rPr>
        <w:t xml:space="preserve">, les </w:t>
      </w:r>
      <w:r w:rsidRPr="000E53A0">
        <w:rPr>
          <w:rFonts w:asciiTheme="minorHAnsi" w:hAnsiTheme="minorHAnsi" w:cstheme="minorHAnsi"/>
          <w:sz w:val="20"/>
          <w:szCs w:val="20"/>
          <w:lang w:val="fr-FR"/>
        </w:rPr>
        <w:t xml:space="preserve">terres dégradées se trouvant </w:t>
      </w:r>
      <w:r w:rsidR="00543D97" w:rsidRPr="000E53A0">
        <w:rPr>
          <w:rFonts w:asciiTheme="minorHAnsi" w:hAnsiTheme="minorHAnsi" w:cstheme="minorHAnsi"/>
          <w:sz w:val="20"/>
          <w:szCs w:val="20"/>
          <w:lang w:val="fr-FR"/>
        </w:rPr>
        <w:t xml:space="preserve">de manière disproportionnée </w:t>
      </w:r>
      <w:r w:rsidRPr="000E53A0">
        <w:rPr>
          <w:rFonts w:asciiTheme="minorHAnsi" w:hAnsiTheme="minorHAnsi" w:cstheme="minorHAnsi"/>
          <w:sz w:val="20"/>
          <w:szCs w:val="20"/>
          <w:lang w:val="fr-FR"/>
        </w:rPr>
        <w:t>dans les zones où l'incidence de la pauvreté est la plus élevée</w:t>
      </w:r>
      <w:r w:rsidRPr="00A537FD">
        <w:rPr>
          <w:rStyle w:val="Appelnotedebasdep"/>
          <w:rFonts w:asciiTheme="minorHAnsi" w:hAnsiTheme="minorHAnsi" w:cstheme="minorHAnsi"/>
          <w:sz w:val="20"/>
          <w:szCs w:val="20"/>
        </w:rPr>
        <w:footnoteReference w:id="27"/>
      </w:r>
      <w:r w:rsidR="000477AF" w:rsidRPr="000E53A0">
        <w:rPr>
          <w:rFonts w:asciiTheme="minorHAnsi" w:hAnsiTheme="minorHAnsi" w:cstheme="minorHAnsi"/>
          <w:sz w:val="20"/>
          <w:szCs w:val="20"/>
          <w:lang w:val="fr-FR"/>
        </w:rPr>
        <w:t>. Le pays est confronté à de graves menaces liées à l'</w:t>
      </w:r>
      <w:r w:rsidR="00AE52C8" w:rsidRPr="000E53A0">
        <w:rPr>
          <w:rFonts w:asciiTheme="minorHAnsi" w:hAnsiTheme="minorHAnsi" w:cstheme="minorHAnsi"/>
          <w:sz w:val="20"/>
          <w:szCs w:val="20"/>
          <w:lang w:val="fr-FR"/>
        </w:rPr>
        <w:t>empiètement du Sahara</w:t>
      </w:r>
      <w:r w:rsidR="005A2101" w:rsidRPr="000E53A0">
        <w:rPr>
          <w:rFonts w:asciiTheme="minorHAnsi" w:hAnsiTheme="minorHAnsi" w:cstheme="minorHAnsi"/>
          <w:sz w:val="20"/>
          <w:szCs w:val="20"/>
          <w:lang w:val="fr-FR"/>
        </w:rPr>
        <w:t xml:space="preserve">, dont la limite méridionale aurait </w:t>
      </w:r>
      <w:r w:rsidR="005E4C1B" w:rsidRPr="000E53A0">
        <w:rPr>
          <w:rFonts w:asciiTheme="minorHAnsi" w:hAnsiTheme="minorHAnsi" w:cstheme="minorHAnsi"/>
          <w:sz w:val="20"/>
          <w:szCs w:val="20"/>
          <w:lang w:val="fr-FR"/>
        </w:rPr>
        <w:t xml:space="preserve">progressé de plus de </w:t>
      </w:r>
      <w:r w:rsidR="005A2101" w:rsidRPr="000E53A0">
        <w:rPr>
          <w:rFonts w:asciiTheme="minorHAnsi" w:hAnsiTheme="minorHAnsi" w:cstheme="minorHAnsi"/>
          <w:sz w:val="20"/>
          <w:szCs w:val="20"/>
          <w:lang w:val="fr-FR"/>
        </w:rPr>
        <w:t xml:space="preserve">100 km entre 1950 et 2015, une tendance </w:t>
      </w:r>
      <w:r w:rsidR="005E4C1B" w:rsidRPr="000E53A0">
        <w:rPr>
          <w:rFonts w:asciiTheme="minorHAnsi" w:hAnsiTheme="minorHAnsi" w:cstheme="minorHAnsi"/>
          <w:sz w:val="20"/>
          <w:szCs w:val="20"/>
          <w:lang w:val="fr-FR"/>
        </w:rPr>
        <w:t xml:space="preserve">qui pourrait s'inverser dans les </w:t>
      </w:r>
      <w:r w:rsidR="005A2101" w:rsidRPr="000E53A0">
        <w:rPr>
          <w:rFonts w:asciiTheme="minorHAnsi" w:hAnsiTheme="minorHAnsi" w:cstheme="minorHAnsi"/>
          <w:sz w:val="20"/>
          <w:szCs w:val="20"/>
          <w:lang w:val="fr-FR"/>
        </w:rPr>
        <w:t xml:space="preserve">années 2050 </w:t>
      </w:r>
      <w:r w:rsidR="005E4C1B" w:rsidRPr="000E53A0">
        <w:rPr>
          <w:rFonts w:asciiTheme="minorHAnsi" w:hAnsiTheme="minorHAnsi" w:cstheme="minorHAnsi"/>
          <w:sz w:val="20"/>
          <w:szCs w:val="20"/>
          <w:lang w:val="fr-FR"/>
        </w:rPr>
        <w:t>selon le scénario RCP4.5, en supposant qu'aucun changement d'affectation des terres n'intervienne</w:t>
      </w:r>
      <w:r w:rsidRPr="00A537FD">
        <w:rPr>
          <w:rStyle w:val="Appelnotedebasdep"/>
          <w:rFonts w:asciiTheme="minorHAnsi" w:hAnsiTheme="minorHAnsi" w:cstheme="minorHAnsi"/>
          <w:sz w:val="20"/>
          <w:szCs w:val="20"/>
        </w:rPr>
        <w:footnoteReference w:id="28"/>
      </w:r>
      <w:r w:rsidR="005E4C1B" w:rsidRPr="000E53A0">
        <w:rPr>
          <w:rFonts w:asciiTheme="minorHAnsi" w:hAnsiTheme="minorHAnsi" w:cstheme="minorHAnsi"/>
          <w:sz w:val="20"/>
          <w:szCs w:val="20"/>
          <w:lang w:val="fr-FR"/>
        </w:rPr>
        <w:t xml:space="preserve">. </w:t>
      </w:r>
      <w:r w:rsidRPr="000E53A0">
        <w:rPr>
          <w:rFonts w:asciiTheme="minorHAnsi" w:hAnsiTheme="minorHAnsi" w:cstheme="minorHAnsi"/>
          <w:sz w:val="20"/>
          <w:szCs w:val="20"/>
          <w:lang w:val="fr-FR"/>
        </w:rPr>
        <w:t>On estime que la désertification menace 98 % du territoire</w:t>
      </w:r>
      <w:r w:rsidRPr="00A537FD">
        <w:rPr>
          <w:rStyle w:val="Appelnotedebasdep"/>
          <w:rFonts w:asciiTheme="minorHAnsi" w:hAnsiTheme="minorHAnsi" w:cstheme="minorHAnsi"/>
          <w:sz w:val="20"/>
          <w:szCs w:val="20"/>
        </w:rPr>
        <w:footnoteReference w:id="29"/>
      </w:r>
      <w:r w:rsidRPr="000E53A0">
        <w:rPr>
          <w:rFonts w:asciiTheme="minorHAnsi" w:hAnsiTheme="minorHAnsi" w:cstheme="minorHAnsi"/>
          <w:sz w:val="20"/>
          <w:szCs w:val="20"/>
          <w:lang w:val="fr-FR"/>
        </w:rPr>
        <w:t xml:space="preserve">. </w:t>
      </w:r>
      <w:r w:rsidR="00AE52C8" w:rsidRPr="000E53A0">
        <w:rPr>
          <w:rFonts w:asciiTheme="minorHAnsi" w:hAnsiTheme="minorHAnsi" w:cstheme="minorHAnsi"/>
          <w:sz w:val="20"/>
          <w:szCs w:val="20"/>
          <w:lang w:val="fr-FR"/>
        </w:rPr>
        <w:t xml:space="preserve">Les forêts sont </w:t>
      </w:r>
      <w:r w:rsidR="000477AF" w:rsidRPr="000E53A0">
        <w:rPr>
          <w:rFonts w:asciiTheme="minorHAnsi" w:hAnsiTheme="minorHAnsi" w:cstheme="minorHAnsi"/>
          <w:sz w:val="20"/>
          <w:szCs w:val="20"/>
          <w:lang w:val="fr-FR"/>
        </w:rPr>
        <w:t xml:space="preserve">également </w:t>
      </w:r>
      <w:r w:rsidR="00AE52C8" w:rsidRPr="000E53A0">
        <w:rPr>
          <w:rFonts w:asciiTheme="minorHAnsi" w:hAnsiTheme="minorHAnsi" w:cstheme="minorHAnsi"/>
          <w:sz w:val="20"/>
          <w:szCs w:val="20"/>
          <w:lang w:val="fr-FR"/>
        </w:rPr>
        <w:t>de plus en plus sujettes à la dégradation, principalement en raison de l'aridité du climat, des sécheresses successives et surtout des activités anthropiques (défrichement agricole, exploitation du bois de chauffage, surpâturage, feux de brousse, etc.</w:t>
      </w:r>
      <w:r w:rsidR="005E4C1B" w:rsidRPr="000E53A0">
        <w:rPr>
          <w:rFonts w:asciiTheme="minorHAnsi" w:hAnsiTheme="minorHAnsi" w:cstheme="minorHAnsi"/>
          <w:sz w:val="20"/>
          <w:szCs w:val="20"/>
          <w:lang w:val="fr-FR"/>
        </w:rPr>
        <w:t xml:space="preserve">), et </w:t>
      </w:r>
      <w:r w:rsidR="00AE52C8" w:rsidRPr="000E53A0">
        <w:rPr>
          <w:rFonts w:asciiTheme="minorHAnsi" w:hAnsiTheme="minorHAnsi" w:cstheme="minorHAnsi"/>
          <w:sz w:val="20"/>
          <w:szCs w:val="20"/>
          <w:lang w:val="fr-FR"/>
        </w:rPr>
        <w:t xml:space="preserve">on estime qu'environ 100 000 hectares disparaissent chaque année </w:t>
      </w:r>
      <w:r w:rsidR="00AE52C8" w:rsidRPr="00A537FD">
        <w:rPr>
          <w:rStyle w:val="Appelnotedebasdep"/>
          <w:rFonts w:asciiTheme="minorHAnsi" w:hAnsiTheme="minorHAnsi" w:cstheme="minorHAnsi"/>
          <w:sz w:val="20"/>
          <w:szCs w:val="20"/>
        </w:rPr>
        <w:footnoteReference w:id="30"/>
      </w:r>
      <w:r w:rsidR="00AE52C8" w:rsidRPr="000E53A0">
        <w:rPr>
          <w:rFonts w:asciiTheme="minorHAnsi" w:hAnsiTheme="minorHAnsi" w:cstheme="minorHAnsi"/>
          <w:sz w:val="20"/>
          <w:szCs w:val="20"/>
          <w:lang w:val="fr-FR"/>
        </w:rPr>
        <w:t>.</w:t>
      </w:r>
    </w:p>
    <w:p w14:paraId="4E95EB55" w14:textId="77777777" w:rsidR="00601D9B" w:rsidRPr="000E53A0" w:rsidRDefault="001D2501">
      <w:pPr>
        <w:jc w:val="both"/>
        <w:rPr>
          <w:rFonts w:asciiTheme="minorHAnsi" w:hAnsiTheme="minorHAnsi" w:cstheme="minorHAnsi"/>
          <w:sz w:val="20"/>
          <w:szCs w:val="20"/>
          <w:lang w:val="fr-FR"/>
        </w:rPr>
      </w:pPr>
      <w:r w:rsidRPr="000E53A0">
        <w:rPr>
          <w:rFonts w:asciiTheme="minorHAnsi" w:hAnsiTheme="minorHAnsi" w:cstheme="minorHAnsi"/>
          <w:sz w:val="20"/>
          <w:szCs w:val="20"/>
          <w:lang w:val="fr-FR"/>
        </w:rPr>
        <w:t xml:space="preserve">La </w:t>
      </w:r>
      <w:r w:rsidR="000E53A0" w:rsidRPr="000E53A0">
        <w:rPr>
          <w:rFonts w:asciiTheme="minorHAnsi" w:hAnsiTheme="minorHAnsi" w:cstheme="minorHAnsi"/>
          <w:sz w:val="20"/>
          <w:szCs w:val="20"/>
          <w:lang w:val="fr-FR"/>
        </w:rPr>
        <w:t xml:space="preserve">dégradation des sols </w:t>
      </w:r>
      <w:r w:rsidRPr="000E53A0">
        <w:rPr>
          <w:rFonts w:asciiTheme="minorHAnsi" w:hAnsiTheme="minorHAnsi" w:cstheme="minorHAnsi"/>
          <w:sz w:val="20"/>
          <w:szCs w:val="20"/>
          <w:lang w:val="fr-FR"/>
        </w:rPr>
        <w:t xml:space="preserve">a des effets </w:t>
      </w:r>
      <w:r w:rsidR="000E53A0" w:rsidRPr="000E53A0">
        <w:rPr>
          <w:rFonts w:asciiTheme="minorHAnsi" w:hAnsiTheme="minorHAnsi" w:cstheme="minorHAnsi"/>
          <w:sz w:val="20"/>
          <w:szCs w:val="20"/>
          <w:lang w:val="fr-FR"/>
        </w:rPr>
        <w:t xml:space="preserve">négatifs </w:t>
      </w:r>
      <w:r w:rsidRPr="000E53A0">
        <w:rPr>
          <w:rFonts w:asciiTheme="minorHAnsi" w:hAnsiTheme="minorHAnsi" w:cstheme="minorHAnsi"/>
          <w:sz w:val="20"/>
          <w:szCs w:val="20"/>
          <w:lang w:val="fr-FR"/>
        </w:rPr>
        <w:t>sur la production agricole et la disponibilité de l'eau pour les populations locales et le bétail</w:t>
      </w:r>
      <w:r w:rsidR="000E53A0" w:rsidRPr="000E53A0">
        <w:rPr>
          <w:rFonts w:asciiTheme="minorHAnsi" w:hAnsiTheme="minorHAnsi" w:cstheme="minorHAnsi"/>
          <w:sz w:val="20"/>
          <w:szCs w:val="20"/>
          <w:lang w:val="fr-FR"/>
        </w:rPr>
        <w:t xml:space="preserve">, </w:t>
      </w:r>
      <w:r w:rsidRPr="000E53A0">
        <w:rPr>
          <w:rFonts w:asciiTheme="minorHAnsi" w:hAnsiTheme="minorHAnsi" w:cstheme="minorHAnsi"/>
          <w:sz w:val="20"/>
          <w:szCs w:val="20"/>
          <w:lang w:val="fr-FR"/>
        </w:rPr>
        <w:t xml:space="preserve">et réduit considérablement la </w:t>
      </w:r>
      <w:r w:rsidR="0041377D" w:rsidRPr="000E53A0">
        <w:rPr>
          <w:rFonts w:asciiTheme="minorHAnsi" w:hAnsiTheme="minorHAnsi" w:cstheme="minorHAnsi"/>
          <w:sz w:val="20"/>
          <w:szCs w:val="20"/>
          <w:lang w:val="fr-FR"/>
        </w:rPr>
        <w:t xml:space="preserve">superficie </w:t>
      </w:r>
      <w:r w:rsidRPr="000E53A0">
        <w:rPr>
          <w:rFonts w:asciiTheme="minorHAnsi" w:hAnsiTheme="minorHAnsi" w:cstheme="minorHAnsi"/>
          <w:sz w:val="20"/>
          <w:szCs w:val="20"/>
          <w:lang w:val="fr-FR"/>
        </w:rPr>
        <w:t xml:space="preserve">des terres cultivables. La qualité des sols est souvent médiocre, la </w:t>
      </w:r>
      <w:r w:rsidR="000E53A0" w:rsidRPr="000E53A0">
        <w:rPr>
          <w:rFonts w:asciiTheme="minorHAnsi" w:hAnsiTheme="minorHAnsi" w:cstheme="minorHAnsi"/>
          <w:sz w:val="20"/>
          <w:szCs w:val="20"/>
          <w:lang w:val="fr-FR"/>
        </w:rPr>
        <w:t xml:space="preserve">couverture végétale est faible </w:t>
      </w:r>
      <w:r w:rsidRPr="000E53A0">
        <w:rPr>
          <w:rFonts w:asciiTheme="minorHAnsi" w:hAnsiTheme="minorHAnsi" w:cstheme="minorHAnsi"/>
          <w:sz w:val="20"/>
          <w:szCs w:val="20"/>
          <w:lang w:val="fr-FR"/>
        </w:rPr>
        <w:t xml:space="preserve">et les </w:t>
      </w:r>
      <w:r w:rsidR="000E53A0" w:rsidRPr="000E53A0">
        <w:rPr>
          <w:rFonts w:asciiTheme="minorHAnsi" w:hAnsiTheme="minorHAnsi" w:cstheme="minorHAnsi"/>
          <w:sz w:val="20"/>
          <w:szCs w:val="20"/>
          <w:lang w:val="fr-FR"/>
        </w:rPr>
        <w:t xml:space="preserve">ressources sont menacées </w:t>
      </w:r>
      <w:r w:rsidRPr="000E53A0">
        <w:rPr>
          <w:rFonts w:asciiTheme="minorHAnsi" w:hAnsiTheme="minorHAnsi" w:cstheme="minorHAnsi"/>
          <w:sz w:val="20"/>
          <w:szCs w:val="20"/>
          <w:lang w:val="fr-FR"/>
        </w:rPr>
        <w:t>par le surpâturage, la culture continue et l'intrusion de sable</w:t>
      </w:r>
      <w:r w:rsidRPr="00A537FD">
        <w:rPr>
          <w:rStyle w:val="Appelnotedebasdep"/>
          <w:rFonts w:asciiTheme="minorHAnsi" w:hAnsiTheme="minorHAnsi" w:cstheme="minorHAnsi"/>
          <w:sz w:val="20"/>
          <w:szCs w:val="20"/>
        </w:rPr>
        <w:footnoteReference w:id="31"/>
      </w:r>
      <w:r w:rsidRPr="000E53A0">
        <w:rPr>
          <w:rFonts w:asciiTheme="minorHAnsi" w:hAnsiTheme="minorHAnsi" w:cstheme="minorHAnsi"/>
          <w:sz w:val="20"/>
          <w:szCs w:val="20"/>
          <w:lang w:val="fr-FR"/>
        </w:rPr>
        <w:t xml:space="preserve">. Les activités humaines agissent comme un accélérateur du phénomène, surtout en l'absence de réglementation. Des rapports estiment que la dégradation des terres et la mauvaise utilisation des ressources naturelles coûtent chaque année plus de 30% du PIB </w:t>
      </w:r>
      <w:r w:rsidR="000E53A0" w:rsidRPr="000E53A0">
        <w:rPr>
          <w:rFonts w:asciiTheme="minorHAnsi" w:hAnsiTheme="minorHAnsi" w:cstheme="minorHAnsi"/>
          <w:sz w:val="20"/>
          <w:szCs w:val="20"/>
          <w:lang w:val="fr-FR"/>
        </w:rPr>
        <w:t>(~2</w:t>
      </w:r>
      <w:r w:rsidR="00AE52C8" w:rsidRPr="000E53A0">
        <w:rPr>
          <w:rFonts w:asciiTheme="minorHAnsi" w:hAnsiTheme="minorHAnsi" w:cstheme="minorHAnsi"/>
          <w:sz w:val="20"/>
          <w:szCs w:val="20"/>
          <w:lang w:val="fr-FR"/>
        </w:rPr>
        <w:t>,</w:t>
      </w:r>
      <w:r w:rsidRPr="000E53A0">
        <w:rPr>
          <w:rFonts w:asciiTheme="minorHAnsi" w:hAnsiTheme="minorHAnsi" w:cstheme="minorHAnsi"/>
          <w:sz w:val="20"/>
          <w:szCs w:val="20"/>
          <w:lang w:val="fr-FR"/>
        </w:rPr>
        <w:t xml:space="preserve">2 milliards de </w:t>
      </w:r>
      <w:r w:rsidR="000E53A0" w:rsidRPr="000E53A0">
        <w:rPr>
          <w:rFonts w:asciiTheme="minorHAnsi" w:hAnsiTheme="minorHAnsi" w:cstheme="minorHAnsi"/>
          <w:sz w:val="20"/>
          <w:szCs w:val="20"/>
          <w:lang w:val="fr-FR"/>
        </w:rPr>
        <w:t>dollars US)</w:t>
      </w:r>
      <w:r w:rsidRPr="000E53A0">
        <w:rPr>
          <w:rFonts w:asciiTheme="minorHAnsi" w:hAnsiTheme="minorHAnsi" w:cstheme="minorHAnsi"/>
          <w:sz w:val="20"/>
          <w:szCs w:val="20"/>
          <w:lang w:val="fr-FR"/>
        </w:rPr>
        <w:t>. Les estimations suggèrent un retour sur investissement de 5 dollars pour chaque dollar investi dans des actions de lutte contre la dégradation des terres au Mali</w:t>
      </w:r>
      <w:r w:rsidRPr="00A537FD">
        <w:rPr>
          <w:rStyle w:val="Appelnotedebasdep"/>
          <w:rFonts w:asciiTheme="minorHAnsi" w:hAnsiTheme="minorHAnsi" w:cstheme="minorHAnsi"/>
          <w:sz w:val="20"/>
          <w:szCs w:val="20"/>
        </w:rPr>
        <w:footnoteReference w:id="32"/>
      </w:r>
      <w:r w:rsidRPr="000E53A0">
        <w:rPr>
          <w:rFonts w:asciiTheme="minorHAnsi" w:hAnsiTheme="minorHAnsi" w:cstheme="minorHAnsi"/>
          <w:sz w:val="20"/>
          <w:szCs w:val="20"/>
          <w:lang w:val="fr-FR"/>
        </w:rPr>
        <w:t xml:space="preserve">.  </w:t>
      </w:r>
    </w:p>
    <w:p w14:paraId="6871FCE9" w14:textId="77777777" w:rsidR="001D2501" w:rsidRPr="000E53A0" w:rsidRDefault="001D2501" w:rsidP="00A537FD">
      <w:pPr>
        <w:jc w:val="both"/>
        <w:rPr>
          <w:rFonts w:asciiTheme="minorHAnsi" w:hAnsiTheme="minorHAnsi" w:cstheme="minorHAnsi"/>
          <w:sz w:val="20"/>
          <w:szCs w:val="20"/>
          <w:lang w:val="fr-FR"/>
        </w:rPr>
      </w:pPr>
    </w:p>
    <w:p w14:paraId="78005919" w14:textId="77777777" w:rsidR="00601D9B" w:rsidRPr="000E53A0" w:rsidRDefault="000E53A0">
      <w:pPr>
        <w:jc w:val="both"/>
        <w:rPr>
          <w:rStyle w:val="Accentuation"/>
          <w:rFonts w:asciiTheme="minorHAnsi" w:hAnsiTheme="minorHAnsi" w:cstheme="minorHAnsi"/>
          <w:sz w:val="20"/>
          <w:szCs w:val="20"/>
          <w:lang w:val="fr-FR"/>
        </w:rPr>
      </w:pPr>
      <w:r w:rsidRPr="000E53A0">
        <w:rPr>
          <w:rStyle w:val="Accentuation"/>
          <w:rFonts w:asciiTheme="minorHAnsi" w:hAnsiTheme="minorHAnsi" w:cstheme="minorHAnsi"/>
          <w:sz w:val="20"/>
          <w:szCs w:val="20"/>
          <w:lang w:val="fr-FR"/>
        </w:rPr>
        <w:t>Projections du changement climatique</w:t>
      </w:r>
    </w:p>
    <w:p w14:paraId="406707D9" w14:textId="77777777" w:rsidR="00601D9B" w:rsidRPr="000E53A0" w:rsidRDefault="000E53A0">
      <w:pPr>
        <w:jc w:val="both"/>
        <w:rPr>
          <w:rFonts w:asciiTheme="minorHAnsi" w:hAnsiTheme="minorHAnsi" w:cstheme="minorHAnsi"/>
          <w:sz w:val="20"/>
          <w:szCs w:val="20"/>
          <w:lang w:val="fr-FR"/>
        </w:rPr>
      </w:pPr>
      <w:r w:rsidRPr="000E53A0">
        <w:rPr>
          <w:rFonts w:asciiTheme="minorHAnsi" w:hAnsiTheme="minorHAnsi" w:cstheme="minorHAnsi"/>
          <w:sz w:val="20"/>
          <w:szCs w:val="20"/>
          <w:lang w:val="fr-FR"/>
        </w:rPr>
        <w:t xml:space="preserve">La dégradation des terres et le changement climatique sont étroitement </w:t>
      </w:r>
      <w:r w:rsidR="0041377D" w:rsidRPr="000E53A0">
        <w:rPr>
          <w:rFonts w:asciiTheme="minorHAnsi" w:hAnsiTheme="minorHAnsi" w:cstheme="minorHAnsi"/>
          <w:sz w:val="20"/>
          <w:szCs w:val="20"/>
          <w:lang w:val="fr-FR"/>
        </w:rPr>
        <w:t>liés</w:t>
      </w:r>
      <w:r w:rsidRPr="000E53A0">
        <w:rPr>
          <w:rFonts w:asciiTheme="minorHAnsi" w:hAnsiTheme="minorHAnsi" w:cstheme="minorHAnsi"/>
          <w:sz w:val="20"/>
          <w:szCs w:val="20"/>
          <w:lang w:val="fr-FR"/>
        </w:rPr>
        <w:t xml:space="preserve">. En effet, d'une part, on s'attend à ce que la dégradation des terres contribue au changement climatique régional et mondial </w:t>
      </w:r>
      <w:r w:rsidR="00ED7413" w:rsidRPr="000E53A0">
        <w:rPr>
          <w:rFonts w:asciiTheme="minorHAnsi" w:hAnsiTheme="minorHAnsi" w:cstheme="minorHAnsi"/>
          <w:sz w:val="20"/>
          <w:szCs w:val="20"/>
          <w:lang w:val="fr-FR"/>
        </w:rPr>
        <w:t xml:space="preserve">en </w:t>
      </w:r>
      <w:r w:rsidRPr="000E53A0">
        <w:rPr>
          <w:rFonts w:asciiTheme="minorHAnsi" w:hAnsiTheme="minorHAnsi" w:cstheme="minorHAnsi"/>
          <w:sz w:val="20"/>
          <w:szCs w:val="20"/>
          <w:lang w:val="fr-FR"/>
        </w:rPr>
        <w:t xml:space="preserve">réduisant la capacité de piégeage du carbone. D'autre part, le changement climatique exacerbe certains effets de la dégradation des terres, comme les tempêtes de poussière, l'envasement des rivières, les inondations en aval, </w:t>
      </w:r>
      <w:r w:rsidRPr="000E53A0">
        <w:rPr>
          <w:rFonts w:asciiTheme="minorHAnsi" w:hAnsiTheme="minorHAnsi" w:cstheme="minorHAnsi"/>
          <w:sz w:val="20"/>
          <w:szCs w:val="20"/>
          <w:lang w:val="fr-FR"/>
        </w:rPr>
        <w:lastRenderedPageBreak/>
        <w:t>l'érosion et la formation de dunes. Il peut avoir des effets sociaux dévastateurs, comme l'augmentation de la pauvreté, la diminution de la production agricole et sylvicole</w:t>
      </w:r>
      <w:r w:rsidR="00ED7413" w:rsidRPr="000E53A0">
        <w:rPr>
          <w:rFonts w:asciiTheme="minorHAnsi" w:hAnsiTheme="minorHAnsi" w:cstheme="minorHAnsi"/>
          <w:sz w:val="20"/>
          <w:szCs w:val="20"/>
          <w:lang w:val="fr-FR"/>
        </w:rPr>
        <w:t xml:space="preserve">, </w:t>
      </w:r>
      <w:r w:rsidRPr="000E53A0">
        <w:rPr>
          <w:rFonts w:asciiTheme="minorHAnsi" w:hAnsiTheme="minorHAnsi" w:cstheme="minorHAnsi"/>
          <w:sz w:val="20"/>
          <w:szCs w:val="20"/>
          <w:lang w:val="fr-FR"/>
        </w:rPr>
        <w:t xml:space="preserve">et </w:t>
      </w:r>
      <w:r w:rsidR="00ED7413" w:rsidRPr="000E53A0">
        <w:rPr>
          <w:rFonts w:asciiTheme="minorHAnsi" w:hAnsiTheme="minorHAnsi" w:cstheme="minorHAnsi"/>
          <w:sz w:val="20"/>
          <w:szCs w:val="20"/>
          <w:lang w:val="fr-FR"/>
        </w:rPr>
        <w:t>nuire à la sécurité alimentaire et à la santé humaine</w:t>
      </w:r>
      <w:r w:rsidRPr="000E53A0">
        <w:rPr>
          <w:rFonts w:asciiTheme="minorHAnsi" w:hAnsiTheme="minorHAnsi" w:cstheme="minorHAnsi"/>
          <w:sz w:val="20"/>
          <w:szCs w:val="20"/>
          <w:lang w:val="fr-FR"/>
        </w:rPr>
        <w:t>.</w:t>
      </w:r>
    </w:p>
    <w:p w14:paraId="4BA4DBBC" w14:textId="77777777" w:rsidR="00601D9B" w:rsidRPr="000E53A0" w:rsidRDefault="000E53A0">
      <w:pPr>
        <w:jc w:val="both"/>
        <w:rPr>
          <w:rFonts w:asciiTheme="minorHAnsi" w:hAnsiTheme="minorHAnsi" w:cstheme="minorHAnsi"/>
          <w:sz w:val="20"/>
          <w:szCs w:val="20"/>
          <w:lang w:val="fr-FR"/>
        </w:rPr>
      </w:pPr>
      <w:r w:rsidRPr="000E53A0">
        <w:rPr>
          <w:rFonts w:asciiTheme="minorHAnsi" w:hAnsiTheme="minorHAnsi" w:cstheme="minorHAnsi"/>
          <w:sz w:val="20"/>
          <w:szCs w:val="20"/>
          <w:lang w:val="fr-FR"/>
        </w:rPr>
        <w:t xml:space="preserve">Les projections climatiques futures pour le Mali montrent une augmentation significative des températures mensuelles moyennes pour les </w:t>
      </w:r>
      <w:r w:rsidR="00543D97" w:rsidRPr="000E53A0">
        <w:rPr>
          <w:rFonts w:asciiTheme="minorHAnsi" w:hAnsiTheme="minorHAnsi" w:cstheme="minorHAnsi"/>
          <w:sz w:val="20"/>
          <w:szCs w:val="20"/>
          <w:lang w:val="fr-FR"/>
        </w:rPr>
        <w:t xml:space="preserve">années 2050 </w:t>
      </w:r>
      <w:r w:rsidR="00035361" w:rsidRPr="000E53A0">
        <w:rPr>
          <w:rFonts w:asciiTheme="minorHAnsi" w:hAnsiTheme="minorHAnsi" w:cstheme="minorHAnsi"/>
          <w:sz w:val="20"/>
          <w:szCs w:val="20"/>
          <w:lang w:val="fr-FR"/>
        </w:rPr>
        <w:t xml:space="preserve">: </w:t>
      </w:r>
      <w:r w:rsidRPr="000E53A0">
        <w:rPr>
          <w:rFonts w:asciiTheme="minorHAnsi" w:hAnsiTheme="minorHAnsi" w:cstheme="minorHAnsi"/>
          <w:sz w:val="20"/>
          <w:szCs w:val="20"/>
          <w:lang w:val="fr-FR"/>
        </w:rPr>
        <w:t xml:space="preserve">1,7°C (0,9 à 1,6°C) pour RCP 4.5 et 2,4°C (1,4 à 3,3°C) pour RCP 8.5. Les projections des changements de précipitations pour le Mali et les régions sahéliennes et sud-sahariennes en général sont très incertaines et montrent un large désaccord. </w:t>
      </w:r>
      <w:r w:rsidR="00035361" w:rsidRPr="000E53A0">
        <w:rPr>
          <w:rFonts w:asciiTheme="minorHAnsi" w:hAnsiTheme="minorHAnsi" w:cstheme="minorHAnsi"/>
          <w:sz w:val="20"/>
          <w:szCs w:val="20"/>
          <w:lang w:val="fr-FR"/>
        </w:rPr>
        <w:t>Cependant, les projections</w:t>
      </w:r>
      <w:r w:rsidRPr="000E53A0">
        <w:rPr>
          <w:rFonts w:asciiTheme="minorHAnsi" w:hAnsiTheme="minorHAnsi" w:cstheme="minorHAnsi"/>
          <w:sz w:val="20"/>
          <w:szCs w:val="20"/>
          <w:lang w:val="fr-FR"/>
        </w:rPr>
        <w:t xml:space="preserve"> RCP 4.5 et 8.5 </w:t>
      </w:r>
      <w:r w:rsidR="00035361" w:rsidRPr="000E53A0">
        <w:rPr>
          <w:rFonts w:asciiTheme="minorHAnsi" w:hAnsiTheme="minorHAnsi" w:cstheme="minorHAnsi"/>
          <w:sz w:val="20"/>
          <w:szCs w:val="20"/>
          <w:lang w:val="fr-FR"/>
        </w:rPr>
        <w:t xml:space="preserve">montrent des </w:t>
      </w:r>
      <w:r w:rsidRPr="000E53A0">
        <w:rPr>
          <w:rFonts w:asciiTheme="minorHAnsi" w:hAnsiTheme="minorHAnsi" w:cstheme="minorHAnsi"/>
          <w:sz w:val="20"/>
          <w:szCs w:val="20"/>
          <w:lang w:val="fr-FR"/>
        </w:rPr>
        <w:t xml:space="preserve">changements significatifs </w:t>
      </w:r>
      <w:r w:rsidR="00543D97" w:rsidRPr="000E53A0">
        <w:rPr>
          <w:rFonts w:asciiTheme="minorHAnsi" w:hAnsiTheme="minorHAnsi" w:cstheme="minorHAnsi"/>
          <w:sz w:val="20"/>
          <w:szCs w:val="20"/>
          <w:lang w:val="fr-FR"/>
        </w:rPr>
        <w:t>d</w:t>
      </w:r>
      <w:r w:rsidRPr="000E53A0">
        <w:rPr>
          <w:rFonts w:asciiTheme="minorHAnsi" w:hAnsiTheme="minorHAnsi" w:cstheme="minorHAnsi"/>
          <w:sz w:val="20"/>
          <w:szCs w:val="20"/>
          <w:lang w:val="fr-FR"/>
        </w:rPr>
        <w:t>'</w:t>
      </w:r>
      <w:r w:rsidR="00543D97" w:rsidRPr="000E53A0">
        <w:rPr>
          <w:rFonts w:asciiTheme="minorHAnsi" w:hAnsiTheme="minorHAnsi" w:cstheme="minorHAnsi"/>
          <w:sz w:val="20"/>
          <w:szCs w:val="20"/>
          <w:lang w:val="fr-FR"/>
        </w:rPr>
        <w:t xml:space="preserve">ici les années 2050 </w:t>
      </w:r>
      <w:r w:rsidRPr="000E53A0">
        <w:rPr>
          <w:rFonts w:asciiTheme="minorHAnsi" w:hAnsiTheme="minorHAnsi" w:cstheme="minorHAnsi"/>
          <w:sz w:val="20"/>
          <w:szCs w:val="20"/>
          <w:lang w:val="fr-FR"/>
        </w:rPr>
        <w:t xml:space="preserve">pendant la saison des pluies principale, en particulier dans le début et la fin de la saison. </w:t>
      </w:r>
      <w:r w:rsidR="00035361" w:rsidRPr="000E53A0">
        <w:rPr>
          <w:rFonts w:asciiTheme="minorHAnsi" w:hAnsiTheme="minorHAnsi" w:cstheme="minorHAnsi"/>
          <w:sz w:val="20"/>
          <w:szCs w:val="20"/>
          <w:lang w:val="fr-FR"/>
        </w:rPr>
        <w:t xml:space="preserve">De même, les projections font état d'une augmentation de la fréquence et de l'intensité des événements extrêmes. </w:t>
      </w:r>
      <w:r w:rsidR="00035361" w:rsidRPr="00A537FD">
        <w:rPr>
          <w:rFonts w:asciiTheme="minorHAnsi" w:hAnsiTheme="minorHAnsi" w:cstheme="minorHAnsi"/>
          <w:sz w:val="20"/>
          <w:szCs w:val="20"/>
          <w:vertAlign w:val="superscript"/>
        </w:rPr>
        <w:footnoteReference w:id="33"/>
      </w:r>
      <w:r w:rsidR="00035361" w:rsidRPr="00A537FD">
        <w:rPr>
          <w:rFonts w:asciiTheme="minorHAnsi" w:hAnsiTheme="minorHAnsi" w:cstheme="minorHAnsi"/>
          <w:sz w:val="20"/>
          <w:szCs w:val="20"/>
          <w:vertAlign w:val="superscript"/>
        </w:rPr>
        <w:footnoteReference w:id="34"/>
      </w:r>
      <w:r w:rsidR="00035361" w:rsidRPr="000E53A0">
        <w:rPr>
          <w:rFonts w:asciiTheme="minorHAnsi" w:hAnsiTheme="minorHAnsi" w:cstheme="minorHAnsi"/>
          <w:sz w:val="20"/>
          <w:szCs w:val="20"/>
          <w:lang w:val="fr-FR"/>
        </w:rPr>
        <w:t>Par exemple</w:t>
      </w:r>
      <w:r w:rsidR="00035361" w:rsidRPr="000E53A0">
        <w:rPr>
          <w:rFonts w:asciiTheme="minorHAnsi" w:hAnsiTheme="minorHAnsi" w:cstheme="minorHAnsi"/>
          <w:sz w:val="20"/>
          <w:szCs w:val="20"/>
          <w:vertAlign w:val="superscript"/>
          <w:lang w:val="fr-FR"/>
        </w:rPr>
        <w:t xml:space="preserve">, de </w:t>
      </w:r>
      <w:r w:rsidR="00035361" w:rsidRPr="000E53A0">
        <w:rPr>
          <w:rFonts w:asciiTheme="minorHAnsi" w:hAnsiTheme="minorHAnsi" w:cstheme="minorHAnsi"/>
          <w:sz w:val="20"/>
          <w:szCs w:val="20"/>
          <w:lang w:val="fr-FR"/>
        </w:rPr>
        <w:t xml:space="preserve">longues périodes de sécheresse pendant </w:t>
      </w:r>
      <w:r w:rsidRPr="000E53A0">
        <w:rPr>
          <w:rFonts w:asciiTheme="minorHAnsi" w:hAnsiTheme="minorHAnsi" w:cstheme="minorHAnsi"/>
          <w:sz w:val="20"/>
          <w:szCs w:val="20"/>
          <w:lang w:val="fr-FR"/>
        </w:rPr>
        <w:t>la saison des pluies pourraient affecter les sources naturelles d'approvisionnement en eau, car les eaux de surface et les eaux souterraines diminueraient</w:t>
      </w:r>
      <w:r w:rsidR="00035361" w:rsidRPr="000E53A0">
        <w:rPr>
          <w:rFonts w:asciiTheme="minorHAnsi" w:hAnsiTheme="minorHAnsi" w:cstheme="minorHAnsi"/>
          <w:sz w:val="20"/>
          <w:szCs w:val="20"/>
          <w:lang w:val="fr-FR"/>
        </w:rPr>
        <w:t xml:space="preserve">, la </w:t>
      </w:r>
      <w:r w:rsidRPr="000E53A0">
        <w:rPr>
          <w:rFonts w:asciiTheme="minorHAnsi" w:hAnsiTheme="minorHAnsi" w:cstheme="minorHAnsi"/>
          <w:sz w:val="20"/>
          <w:szCs w:val="20"/>
          <w:lang w:val="fr-FR"/>
        </w:rPr>
        <w:t xml:space="preserve">disponibilité de l'eau devant diminuer </w:t>
      </w:r>
      <w:r w:rsidR="00035361" w:rsidRPr="000E53A0">
        <w:rPr>
          <w:rFonts w:asciiTheme="minorHAnsi" w:hAnsiTheme="minorHAnsi" w:cstheme="minorHAnsi"/>
          <w:sz w:val="20"/>
          <w:szCs w:val="20"/>
          <w:lang w:val="fr-FR"/>
        </w:rPr>
        <w:t xml:space="preserve">globalement </w:t>
      </w:r>
      <w:r w:rsidRPr="000E53A0">
        <w:rPr>
          <w:rFonts w:asciiTheme="minorHAnsi" w:hAnsiTheme="minorHAnsi" w:cstheme="minorHAnsi"/>
          <w:sz w:val="20"/>
          <w:szCs w:val="20"/>
          <w:lang w:val="fr-FR"/>
        </w:rPr>
        <w:t>de 77 % d'ici 2080 par rapport à l'an 2000.</w:t>
      </w:r>
      <w:r w:rsidRPr="00A537FD">
        <w:rPr>
          <w:rFonts w:asciiTheme="minorHAnsi" w:hAnsiTheme="minorHAnsi" w:cstheme="minorHAnsi"/>
          <w:sz w:val="20"/>
          <w:szCs w:val="20"/>
        </w:rPr>
        <w:footnoteReference w:id="35"/>
      </w:r>
      <w:r w:rsidRPr="000E53A0">
        <w:rPr>
          <w:rFonts w:asciiTheme="minorHAnsi" w:hAnsiTheme="minorHAnsi" w:cstheme="minorHAnsi"/>
          <w:sz w:val="20"/>
          <w:szCs w:val="20"/>
          <w:lang w:val="fr-FR"/>
        </w:rPr>
        <w:t xml:space="preserve"> La proportion de la population touchée par au moins une vague de chaleur par an devrait passer à 16 % en 2080, contre 2 % en 2000. Les décès liés aux vagues de chaleur </w:t>
      </w:r>
      <w:r w:rsidR="0041377D" w:rsidRPr="000E53A0">
        <w:rPr>
          <w:rFonts w:asciiTheme="minorHAnsi" w:hAnsiTheme="minorHAnsi" w:cstheme="minorHAnsi"/>
          <w:sz w:val="20"/>
          <w:szCs w:val="20"/>
          <w:lang w:val="fr-FR"/>
        </w:rPr>
        <w:t xml:space="preserve">pourraient </w:t>
      </w:r>
      <w:r w:rsidRPr="000E53A0">
        <w:rPr>
          <w:rFonts w:asciiTheme="minorHAnsi" w:hAnsiTheme="minorHAnsi" w:cstheme="minorHAnsi"/>
          <w:sz w:val="20"/>
          <w:szCs w:val="20"/>
          <w:lang w:val="fr-FR"/>
        </w:rPr>
        <w:t xml:space="preserve">être multipliés par 5 d'ici 2080. </w:t>
      </w:r>
    </w:p>
    <w:p w14:paraId="0E8E9537" w14:textId="77777777" w:rsidR="001C7DE3" w:rsidRPr="000E53A0" w:rsidRDefault="001C7DE3" w:rsidP="00A16291">
      <w:pPr>
        <w:rPr>
          <w:lang w:val="fr-FR"/>
        </w:rPr>
      </w:pPr>
    </w:p>
    <w:p w14:paraId="0EFF1143" w14:textId="77777777" w:rsidR="00601D9B" w:rsidRPr="000E53A0" w:rsidRDefault="000E53A0">
      <w:pPr>
        <w:pStyle w:val="Titre2"/>
        <w:rPr>
          <w:rFonts w:asciiTheme="minorHAnsi" w:hAnsiTheme="minorHAnsi" w:cstheme="minorHAnsi"/>
          <w:lang w:val="fr-FR"/>
        </w:rPr>
      </w:pPr>
      <w:bookmarkStart w:id="9" w:name="_Toc78981262"/>
      <w:r w:rsidRPr="000E53A0">
        <w:rPr>
          <w:rFonts w:asciiTheme="minorHAnsi" w:hAnsiTheme="minorHAnsi" w:cstheme="minorHAnsi"/>
          <w:lang w:val="fr-FR"/>
        </w:rPr>
        <w:t xml:space="preserve">Causes profondes </w:t>
      </w:r>
      <w:bookmarkEnd w:id="9"/>
    </w:p>
    <w:p w14:paraId="6A45E63E" w14:textId="77777777" w:rsidR="00601D9B" w:rsidRDefault="000E53A0">
      <w:pPr>
        <w:jc w:val="both"/>
        <w:rPr>
          <w:rFonts w:asciiTheme="minorHAnsi" w:hAnsiTheme="minorHAnsi" w:cstheme="minorHAnsi"/>
          <w:sz w:val="20"/>
          <w:szCs w:val="20"/>
          <w:lang w:val="x-none"/>
        </w:rPr>
      </w:pPr>
      <w:bookmarkStart w:id="10" w:name="_Hlk40782663"/>
      <w:r w:rsidRPr="000E53A0">
        <w:rPr>
          <w:rFonts w:asciiTheme="minorHAnsi" w:hAnsiTheme="minorHAnsi" w:cstheme="minorHAnsi"/>
          <w:sz w:val="20"/>
          <w:szCs w:val="20"/>
          <w:lang w:val="fr-FR"/>
        </w:rPr>
        <w:t xml:space="preserve">Plusieurs facteurs sont responsables de la </w:t>
      </w:r>
      <w:r w:rsidR="009F064A" w:rsidRPr="000E53A0">
        <w:rPr>
          <w:rFonts w:asciiTheme="minorHAnsi" w:hAnsiTheme="minorHAnsi" w:cstheme="minorHAnsi"/>
          <w:sz w:val="20"/>
          <w:szCs w:val="20"/>
          <w:lang w:val="fr-FR"/>
        </w:rPr>
        <w:t xml:space="preserve">dégradation des terres et de la vulnérabilité climatique </w:t>
      </w:r>
      <w:r w:rsidR="00FF52DB" w:rsidRPr="000E53A0">
        <w:rPr>
          <w:rFonts w:asciiTheme="minorHAnsi" w:hAnsiTheme="minorHAnsi" w:cstheme="minorHAnsi"/>
          <w:sz w:val="20"/>
          <w:szCs w:val="20"/>
          <w:lang w:val="fr-FR"/>
        </w:rPr>
        <w:t>dans les zones d'intervention</w:t>
      </w:r>
      <w:r w:rsidR="009F064A" w:rsidRPr="000E53A0">
        <w:rPr>
          <w:rFonts w:asciiTheme="minorHAnsi" w:hAnsiTheme="minorHAnsi" w:cstheme="minorHAnsi"/>
          <w:sz w:val="20"/>
          <w:szCs w:val="20"/>
          <w:lang w:val="fr-FR"/>
        </w:rPr>
        <w:t>, notamment :</w:t>
      </w:r>
    </w:p>
    <w:p w14:paraId="169ECD7D" w14:textId="77777777" w:rsidR="00601D9B" w:rsidRPr="000E53A0" w:rsidRDefault="00FF52DB">
      <w:pPr>
        <w:pStyle w:val="ParagraphOED"/>
        <w:numPr>
          <w:ilvl w:val="0"/>
          <w:numId w:val="52"/>
        </w:numPr>
        <w:rPr>
          <w:rFonts w:asciiTheme="minorHAnsi" w:hAnsiTheme="minorHAnsi" w:cstheme="minorHAnsi"/>
          <w:lang w:val="fr-FR"/>
        </w:rPr>
      </w:pPr>
      <w:r w:rsidRPr="000E53A0">
        <w:rPr>
          <w:rFonts w:asciiTheme="minorHAnsi" w:hAnsiTheme="minorHAnsi" w:cstheme="minorHAnsi"/>
          <w:lang w:val="fr-FR"/>
        </w:rPr>
        <w:t xml:space="preserve">La </w:t>
      </w:r>
      <w:r w:rsidR="000E53A0" w:rsidRPr="000E53A0">
        <w:rPr>
          <w:rFonts w:asciiTheme="minorHAnsi" w:hAnsiTheme="minorHAnsi" w:cstheme="minorHAnsi"/>
          <w:b/>
          <w:bCs/>
          <w:lang w:val="fr-FR"/>
        </w:rPr>
        <w:t xml:space="preserve">pression démographique </w:t>
      </w:r>
      <w:r w:rsidR="008214A1" w:rsidRPr="000E53A0">
        <w:rPr>
          <w:rFonts w:asciiTheme="minorHAnsi" w:hAnsiTheme="minorHAnsi" w:cstheme="minorHAnsi"/>
          <w:lang w:val="fr-FR"/>
        </w:rPr>
        <w:t xml:space="preserve">agit comme un facteur de stress supplémentaire sur </w:t>
      </w:r>
      <w:r w:rsidRPr="000E53A0">
        <w:rPr>
          <w:rFonts w:asciiTheme="minorHAnsi" w:hAnsiTheme="minorHAnsi" w:cstheme="minorHAnsi"/>
          <w:lang w:val="fr-FR"/>
        </w:rPr>
        <w:t xml:space="preserve">la </w:t>
      </w:r>
      <w:r w:rsidR="008214A1" w:rsidRPr="000E53A0">
        <w:rPr>
          <w:rFonts w:asciiTheme="minorHAnsi" w:hAnsiTheme="minorHAnsi" w:cstheme="minorHAnsi"/>
          <w:lang w:val="fr-FR"/>
        </w:rPr>
        <w:t xml:space="preserve">base de ressources naturelles, ainsi que sur l'empreinte écologique, puisque le pays a dépassé les 20 millions d'habitants en 2020 et devrait doubler d'ici 2050 </w:t>
      </w:r>
      <w:r w:rsidRPr="000E53A0">
        <w:rPr>
          <w:rFonts w:asciiTheme="minorHAnsi" w:hAnsiTheme="minorHAnsi" w:cstheme="minorHAnsi"/>
          <w:lang w:val="fr-FR"/>
        </w:rPr>
        <w:t xml:space="preserve">dans un pays qui a le taux de fécondité le plus élevé au monde avec 5,92 naissances par femme </w:t>
      </w:r>
      <w:r w:rsidR="008214A1" w:rsidRPr="00FF52DB">
        <w:rPr>
          <w:rStyle w:val="Appelnotedebasdep"/>
          <w:rFonts w:asciiTheme="minorHAnsi" w:hAnsiTheme="minorHAnsi" w:cstheme="minorHAnsi"/>
          <w:sz w:val="20"/>
          <w:lang w:val="en-US"/>
        </w:rPr>
        <w:footnoteReference w:id="36"/>
      </w:r>
      <w:r w:rsidR="008214A1" w:rsidRPr="000E53A0">
        <w:rPr>
          <w:rFonts w:asciiTheme="minorHAnsi" w:hAnsiTheme="minorHAnsi" w:cstheme="minorHAnsi"/>
          <w:lang w:val="fr-FR"/>
        </w:rPr>
        <w:t xml:space="preserve">. </w:t>
      </w:r>
      <w:r w:rsidRPr="000E53A0">
        <w:rPr>
          <w:rFonts w:asciiTheme="minorHAnsi" w:hAnsiTheme="minorHAnsi" w:cstheme="minorHAnsi"/>
          <w:lang w:val="fr-FR"/>
        </w:rPr>
        <w:t xml:space="preserve">Dans les régions où la pression démographique est forte, elle se traduit également par la mise en culture de terres marginales ou forestières, la réduction de la durée des jachères, la diminution de la fertilité et l'augmentation du phénomène d'érosion. </w:t>
      </w:r>
    </w:p>
    <w:p w14:paraId="653DFCA4" w14:textId="77777777" w:rsidR="00601D9B" w:rsidRPr="000E53A0" w:rsidRDefault="000E53A0">
      <w:pPr>
        <w:pStyle w:val="ParagraphOED"/>
        <w:numPr>
          <w:ilvl w:val="0"/>
          <w:numId w:val="52"/>
        </w:numPr>
        <w:rPr>
          <w:rFonts w:asciiTheme="minorHAnsi" w:hAnsiTheme="minorHAnsi" w:cstheme="minorHAnsi"/>
          <w:lang w:val="fr-FR"/>
        </w:rPr>
      </w:pPr>
      <w:r w:rsidRPr="000E53A0">
        <w:rPr>
          <w:rFonts w:asciiTheme="minorHAnsi" w:hAnsiTheme="minorHAnsi" w:cstheme="minorHAnsi"/>
          <w:b/>
          <w:bCs/>
          <w:lang w:val="fr-FR"/>
        </w:rPr>
        <w:t xml:space="preserve">Insécurité </w:t>
      </w:r>
      <w:r w:rsidRPr="005A3483">
        <w:rPr>
          <w:rFonts w:asciiTheme="minorHAnsi" w:hAnsiTheme="minorHAnsi" w:cstheme="minorHAnsi"/>
          <w:b/>
          <w:bCs/>
        </w:rPr>
        <w:t xml:space="preserve">et déplacements internes : Les </w:t>
      </w:r>
      <w:r w:rsidR="00C43CFD" w:rsidRPr="005A3483">
        <w:rPr>
          <w:rFonts w:asciiTheme="minorHAnsi" w:hAnsiTheme="minorHAnsi" w:cstheme="minorHAnsi"/>
          <w:lang w:eastAsia="ar-SA"/>
        </w:rPr>
        <w:t xml:space="preserve">conflits dans les régions du Nord et du Centre depuis 2012 </w:t>
      </w:r>
      <w:r w:rsidR="00FF52DB" w:rsidRPr="005A3483">
        <w:rPr>
          <w:rFonts w:asciiTheme="minorHAnsi" w:hAnsiTheme="minorHAnsi" w:cstheme="minorHAnsi"/>
          <w:lang w:eastAsia="ar-SA"/>
        </w:rPr>
        <w:t xml:space="preserve">ont </w:t>
      </w:r>
      <w:r w:rsidR="00C43CFD" w:rsidRPr="005A3483">
        <w:rPr>
          <w:rFonts w:asciiTheme="minorHAnsi" w:hAnsiTheme="minorHAnsi" w:cstheme="minorHAnsi"/>
          <w:lang w:eastAsia="ar-SA"/>
        </w:rPr>
        <w:t xml:space="preserve">provoqué d'importantes migrations internes, avec plus de 800 000 citoyens maliens estimés déplacés à l'intérieur du pays </w:t>
      </w:r>
      <w:r w:rsidR="00FF52DB" w:rsidRPr="005A3483">
        <w:rPr>
          <w:rFonts w:asciiTheme="minorHAnsi" w:hAnsiTheme="minorHAnsi" w:cstheme="minorHAnsi"/>
          <w:lang w:eastAsia="ar-SA"/>
        </w:rPr>
        <w:t xml:space="preserve">; </w:t>
      </w:r>
      <w:r w:rsidR="00C43CFD" w:rsidRPr="005A3483">
        <w:rPr>
          <w:rFonts w:asciiTheme="minorHAnsi" w:hAnsiTheme="minorHAnsi" w:cstheme="minorHAnsi"/>
          <w:lang w:eastAsia="ar-SA"/>
        </w:rPr>
        <w:t xml:space="preserve">dans les pays voisins </w:t>
      </w:r>
      <w:r w:rsidR="00FF52DB" w:rsidRPr="005A3483">
        <w:rPr>
          <w:rFonts w:asciiTheme="minorHAnsi" w:hAnsiTheme="minorHAnsi" w:cstheme="minorHAnsi"/>
          <w:lang w:eastAsia="ar-SA"/>
        </w:rPr>
        <w:t xml:space="preserve">; </w:t>
      </w:r>
      <w:r w:rsidR="00C43CFD" w:rsidRPr="005A3483">
        <w:rPr>
          <w:rFonts w:asciiTheme="minorHAnsi" w:hAnsiTheme="minorHAnsi" w:cstheme="minorHAnsi"/>
          <w:lang w:eastAsia="ar-SA"/>
        </w:rPr>
        <w:t>ou récemment rentrés</w:t>
      </w:r>
      <w:r w:rsidR="00FF52DB" w:rsidRPr="005A3483">
        <w:rPr>
          <w:rFonts w:asciiTheme="minorHAnsi" w:hAnsiTheme="minorHAnsi" w:cstheme="minorHAnsi"/>
          <w:lang w:eastAsia="ar-SA"/>
        </w:rPr>
        <w:t xml:space="preserve">. </w:t>
      </w:r>
      <w:r w:rsidRPr="005A3483">
        <w:rPr>
          <w:rFonts w:asciiTheme="minorHAnsi" w:hAnsiTheme="minorHAnsi" w:cstheme="minorHAnsi"/>
        </w:rPr>
        <w:t xml:space="preserve">En effet, la population totale était estimée à 2 720 999 personnes en 2018, dont 56 400 personnes déplacées internes (PDI) enregistrées dans la région de </w:t>
      </w:r>
      <w:r w:rsidRPr="000E53A0">
        <w:rPr>
          <w:rFonts w:asciiTheme="minorHAnsi" w:hAnsiTheme="minorHAnsi" w:cstheme="minorHAnsi"/>
          <w:lang w:val="fr-FR"/>
        </w:rPr>
        <w:t>Mopti</w:t>
      </w:r>
      <w:r w:rsidRPr="005A3483">
        <w:rPr>
          <w:rFonts w:asciiTheme="minorHAnsi" w:hAnsiTheme="minorHAnsi" w:cstheme="minorHAnsi"/>
        </w:rPr>
        <w:t xml:space="preserve">, ce qui représente 45% des PDI au Mali. Dans la région, </w:t>
      </w:r>
      <w:r w:rsidR="00154075" w:rsidRPr="000E53A0">
        <w:rPr>
          <w:rFonts w:asciiTheme="minorHAnsi" w:hAnsiTheme="minorHAnsi" w:cstheme="minorHAnsi"/>
          <w:lang w:val="fr-FR"/>
        </w:rPr>
        <w:t>la plupart des exploitations agricoles et des petites entreprises</w:t>
      </w:r>
      <w:r w:rsidRPr="005A3483">
        <w:rPr>
          <w:rStyle w:val="Appelnotedebasdep"/>
          <w:rFonts w:asciiTheme="minorHAnsi" w:hAnsiTheme="minorHAnsi" w:cstheme="minorHAnsi"/>
          <w:sz w:val="20"/>
        </w:rPr>
        <w:footnoteReference w:id="37"/>
      </w:r>
      <w:r w:rsidRPr="005A3483">
        <w:rPr>
          <w:rFonts w:asciiTheme="minorHAnsi" w:hAnsiTheme="minorHAnsi" w:cstheme="minorHAnsi"/>
          <w:lang w:eastAsia="ar-SA"/>
        </w:rPr>
        <w:t xml:space="preserve"> </w:t>
      </w:r>
      <w:r w:rsidR="00154075" w:rsidRPr="000E53A0">
        <w:rPr>
          <w:rFonts w:asciiTheme="minorHAnsi" w:hAnsiTheme="minorHAnsi" w:cstheme="minorHAnsi"/>
          <w:lang w:val="fr-FR"/>
        </w:rPr>
        <w:t xml:space="preserve">ont été </w:t>
      </w:r>
      <w:r w:rsidR="00AE4FA0" w:rsidRPr="000E53A0">
        <w:rPr>
          <w:rFonts w:asciiTheme="minorHAnsi" w:hAnsiTheme="minorHAnsi" w:cstheme="minorHAnsi"/>
          <w:lang w:val="fr-FR"/>
        </w:rPr>
        <w:t xml:space="preserve">directement impactées par les déplacements, </w:t>
      </w:r>
      <w:r w:rsidRPr="005A3483">
        <w:rPr>
          <w:rFonts w:asciiTheme="minorHAnsi" w:hAnsiTheme="minorHAnsi" w:cstheme="minorHAnsi"/>
        </w:rPr>
        <w:t xml:space="preserve">qui ont entraîné le chômage </w:t>
      </w:r>
      <w:r w:rsidR="00154075" w:rsidRPr="000E53A0">
        <w:rPr>
          <w:rFonts w:asciiTheme="minorHAnsi" w:hAnsiTheme="minorHAnsi" w:cstheme="minorHAnsi"/>
          <w:lang w:val="fr-FR"/>
        </w:rPr>
        <w:t>; l'</w:t>
      </w:r>
      <w:r w:rsidRPr="005A3483">
        <w:rPr>
          <w:rFonts w:asciiTheme="minorHAnsi" w:hAnsiTheme="minorHAnsi" w:cstheme="minorHAnsi"/>
        </w:rPr>
        <w:t xml:space="preserve">abandon des cultures </w:t>
      </w:r>
      <w:r w:rsidR="00154075" w:rsidRPr="000E53A0">
        <w:rPr>
          <w:rFonts w:asciiTheme="minorHAnsi" w:hAnsiTheme="minorHAnsi" w:cstheme="minorHAnsi"/>
          <w:lang w:val="fr-FR"/>
        </w:rPr>
        <w:t xml:space="preserve">; la </w:t>
      </w:r>
      <w:r w:rsidRPr="005A3483">
        <w:rPr>
          <w:rFonts w:asciiTheme="minorHAnsi" w:hAnsiTheme="minorHAnsi" w:cstheme="minorHAnsi"/>
        </w:rPr>
        <w:t xml:space="preserve">diminution des revenus </w:t>
      </w:r>
      <w:r w:rsidR="00154075" w:rsidRPr="000E53A0">
        <w:rPr>
          <w:rFonts w:asciiTheme="minorHAnsi" w:hAnsiTheme="minorHAnsi" w:cstheme="minorHAnsi"/>
          <w:lang w:val="fr-FR"/>
        </w:rPr>
        <w:t xml:space="preserve">; le </w:t>
      </w:r>
      <w:r w:rsidRPr="005A3483">
        <w:rPr>
          <w:rFonts w:asciiTheme="minorHAnsi" w:hAnsiTheme="minorHAnsi" w:cstheme="minorHAnsi"/>
        </w:rPr>
        <w:t xml:space="preserve">manque de production </w:t>
      </w:r>
      <w:r w:rsidR="00154075" w:rsidRPr="000E53A0">
        <w:rPr>
          <w:rFonts w:asciiTheme="minorHAnsi" w:hAnsiTheme="minorHAnsi" w:cstheme="minorHAnsi"/>
          <w:lang w:val="fr-FR"/>
        </w:rPr>
        <w:t>; l'</w:t>
      </w:r>
      <w:r w:rsidRPr="005A3483">
        <w:rPr>
          <w:rFonts w:asciiTheme="minorHAnsi" w:hAnsiTheme="minorHAnsi" w:cstheme="minorHAnsi"/>
        </w:rPr>
        <w:t xml:space="preserve">exode des populations ; la pénurie de ressources ; le manque de clients ; la fermeture des entreprises locales ; ainsi que l'augmentation des tensions entre les </w:t>
      </w:r>
      <w:r w:rsidRPr="000E53A0">
        <w:rPr>
          <w:rFonts w:asciiTheme="minorHAnsi" w:hAnsiTheme="minorHAnsi" w:cstheme="minorHAnsi"/>
          <w:lang w:val="fr-FR"/>
        </w:rPr>
        <w:t>groupes d'utilisateurs</w:t>
      </w:r>
      <w:r w:rsidRPr="005A3483">
        <w:rPr>
          <w:rFonts w:asciiTheme="minorHAnsi" w:hAnsiTheme="minorHAnsi" w:cstheme="minorHAnsi"/>
        </w:rPr>
        <w:t xml:space="preserve">. Les évaluations réalisées lors de la phase PPG à travers l'enquête ménage ont montré que 98% des </w:t>
      </w:r>
      <w:r w:rsidR="00AE4FA0" w:rsidRPr="000E53A0">
        <w:rPr>
          <w:rFonts w:asciiTheme="minorHAnsi" w:hAnsiTheme="minorHAnsi" w:cstheme="minorHAnsi"/>
          <w:lang w:val="fr-FR"/>
        </w:rPr>
        <w:t xml:space="preserve">agriculteurs </w:t>
      </w:r>
      <w:r w:rsidRPr="005A3483">
        <w:rPr>
          <w:rFonts w:asciiTheme="minorHAnsi" w:hAnsiTheme="minorHAnsi" w:cstheme="minorHAnsi"/>
        </w:rPr>
        <w:t xml:space="preserve">ont reconnu l'augmentation de l'insécurité dans la région de Mopti entre 2017 et 2021. </w:t>
      </w:r>
      <w:r w:rsidRPr="005A3483">
        <w:rPr>
          <w:rFonts w:asciiTheme="minorHAnsi" w:hAnsiTheme="minorHAnsi" w:cstheme="minorHAnsi"/>
          <w:lang w:eastAsia="ar-SA"/>
        </w:rPr>
        <w:t xml:space="preserve">La hausse des conflits dans la région de Mopti en 2019 a </w:t>
      </w:r>
      <w:r w:rsidRPr="000E53A0">
        <w:rPr>
          <w:rFonts w:asciiTheme="minorHAnsi" w:hAnsiTheme="minorHAnsi" w:cstheme="minorHAnsi"/>
          <w:lang w:val="fr-FR" w:eastAsia="ar-SA"/>
        </w:rPr>
        <w:t xml:space="preserve">notamment </w:t>
      </w:r>
      <w:r w:rsidRPr="005A3483">
        <w:rPr>
          <w:rFonts w:asciiTheme="minorHAnsi" w:hAnsiTheme="minorHAnsi" w:cstheme="minorHAnsi"/>
          <w:lang w:eastAsia="ar-SA"/>
        </w:rPr>
        <w:t xml:space="preserve">entraîné une baisse de 25% des surfaces cultivées par rapport à l'année précédente. Les agriculteurs ont été empêchés de cultiver des champs en dehors des périmètres proches de </w:t>
      </w:r>
      <w:r w:rsidR="00AE4FA0" w:rsidRPr="000E53A0">
        <w:rPr>
          <w:rFonts w:asciiTheme="minorHAnsi" w:hAnsiTheme="minorHAnsi" w:cstheme="minorHAnsi"/>
          <w:lang w:val="fr-FR" w:eastAsia="ar-SA"/>
        </w:rPr>
        <w:t xml:space="preserve">leurs </w:t>
      </w:r>
      <w:r w:rsidRPr="005A3483">
        <w:rPr>
          <w:rFonts w:asciiTheme="minorHAnsi" w:hAnsiTheme="minorHAnsi" w:cstheme="minorHAnsi"/>
          <w:lang w:eastAsia="ar-SA"/>
        </w:rPr>
        <w:t>habitations, réduisant ainsi le potentiel de production et augmentant la vulnérabilité des ménages à l'insécurité alimentaire.</w:t>
      </w:r>
    </w:p>
    <w:p w14:paraId="1611FD51" w14:textId="77777777" w:rsidR="00601D9B" w:rsidRPr="000E53A0" w:rsidRDefault="000E53A0">
      <w:pPr>
        <w:pStyle w:val="ParagraphOED"/>
        <w:numPr>
          <w:ilvl w:val="0"/>
          <w:numId w:val="52"/>
        </w:numPr>
        <w:rPr>
          <w:rFonts w:asciiTheme="minorHAnsi" w:hAnsiTheme="minorHAnsi" w:cstheme="minorHAnsi"/>
          <w:lang w:val="fr-FR" w:eastAsia="ar-SA"/>
        </w:rPr>
      </w:pPr>
      <w:r w:rsidRPr="000E53A0">
        <w:rPr>
          <w:rFonts w:asciiTheme="minorHAnsi" w:hAnsiTheme="minorHAnsi" w:cstheme="minorHAnsi"/>
          <w:lang w:val="fr-FR" w:eastAsia="ar-SA"/>
        </w:rPr>
        <w:t xml:space="preserve">La </w:t>
      </w:r>
      <w:r w:rsidRPr="000E53A0">
        <w:rPr>
          <w:rFonts w:asciiTheme="minorHAnsi" w:hAnsiTheme="minorHAnsi" w:cstheme="minorHAnsi"/>
          <w:b/>
          <w:bCs/>
          <w:lang w:val="fr-FR" w:eastAsia="ar-SA"/>
        </w:rPr>
        <w:t xml:space="preserve">pauvreté </w:t>
      </w:r>
      <w:r w:rsidRPr="000E53A0">
        <w:rPr>
          <w:rFonts w:asciiTheme="minorHAnsi" w:hAnsiTheme="minorHAnsi" w:cstheme="minorHAnsi"/>
          <w:lang w:val="fr-FR" w:eastAsia="ar-SA"/>
        </w:rPr>
        <w:t xml:space="preserve">dans la zone du projet est aussi profondément liée à la dégradation des terres. Avant les 8 années récentes de conflit, le taux de pauvreté de Mopti, à 79%, était déjà bien plus élevé que la moyenne nationale de 43% et a augmenté de 5% en 2020. Un rapport de l'ONU en 2011 a souligné que 59,5% de la population vivait sur des terres dégradées et que seulement 29,2% avait une qualité d'eau satisfaisante. Vivre sur des terres dégradées augmente le niveau de pauvreté car les populations vulnérables dépendent principalement de l'exploitation des ressources naturelles pour vivre et rencontrent des difficultés pour accéder aux terres productives, aux intrants chimiques et aux équipements, ce qui les conduit à utiliser des terres à faible rendement agricole, tout en ayant des </w:t>
      </w:r>
      <w:r w:rsidRPr="000E53A0">
        <w:rPr>
          <w:rFonts w:asciiTheme="minorHAnsi" w:hAnsiTheme="minorHAnsi" w:cstheme="minorHAnsi"/>
          <w:lang w:val="fr-FR" w:eastAsia="ar-SA"/>
        </w:rPr>
        <w:lastRenderedPageBreak/>
        <w:t>pratiques non durables comme le braconnage, le surpâturage ou le défrichement des forêts. L'accès aux terres productives reflète les traditions sociales de la région : la propriété foncière repose principalement sur la propriété familiale, l'enquête sur les ménages indiquant que 70 % des propriétaires fonciers ont hérité de terres de leur famille</w:t>
      </w:r>
      <w:r w:rsidRPr="00FF52DB">
        <w:rPr>
          <w:rStyle w:val="Appelnotedebasdep"/>
          <w:rFonts w:asciiTheme="minorHAnsi" w:hAnsiTheme="minorHAnsi" w:cstheme="minorHAnsi"/>
          <w:sz w:val="20"/>
          <w:lang w:val="en-US" w:eastAsia="ar-SA"/>
        </w:rPr>
        <w:footnoteReference w:id="38"/>
      </w:r>
      <w:r w:rsidRPr="000E53A0">
        <w:rPr>
          <w:rFonts w:asciiTheme="minorHAnsi" w:hAnsiTheme="minorHAnsi" w:cstheme="minorHAnsi"/>
          <w:lang w:val="fr-FR" w:eastAsia="ar-SA"/>
        </w:rPr>
        <w:t xml:space="preserve">. </w:t>
      </w:r>
    </w:p>
    <w:p w14:paraId="4B2FC8D1" w14:textId="77777777" w:rsidR="00601D9B" w:rsidRPr="000E53A0" w:rsidRDefault="000E53A0">
      <w:pPr>
        <w:pStyle w:val="ParagraphOED"/>
        <w:numPr>
          <w:ilvl w:val="0"/>
          <w:numId w:val="52"/>
        </w:numPr>
        <w:rPr>
          <w:rFonts w:asciiTheme="minorHAnsi" w:hAnsiTheme="minorHAnsi" w:cstheme="minorHAnsi"/>
          <w:lang w:val="fr-FR"/>
        </w:rPr>
      </w:pPr>
      <w:r w:rsidRPr="000E53A0">
        <w:rPr>
          <w:rFonts w:asciiTheme="minorHAnsi" w:hAnsiTheme="minorHAnsi" w:cstheme="minorHAnsi"/>
          <w:b/>
          <w:bCs/>
          <w:lang w:val="fr-FR" w:eastAsia="ar-SA"/>
        </w:rPr>
        <w:t>Inégalité des sexes</w:t>
      </w:r>
      <w:r w:rsidRPr="000E53A0">
        <w:rPr>
          <w:rFonts w:asciiTheme="minorHAnsi" w:hAnsiTheme="minorHAnsi" w:cstheme="minorHAnsi"/>
          <w:lang w:val="fr-FR" w:eastAsia="ar-SA"/>
        </w:rPr>
        <w:t xml:space="preserve">. </w:t>
      </w:r>
      <w:r w:rsidRPr="000E53A0">
        <w:rPr>
          <w:rFonts w:asciiTheme="minorHAnsi" w:hAnsiTheme="minorHAnsi" w:cstheme="minorHAnsi"/>
          <w:lang w:val="fr-FR"/>
        </w:rPr>
        <w:t xml:space="preserve">Les traditions socioculturelles réglementent le rôle et le statut des femmes en ce qui concerne la propriété et la gestion des terres et la résolution des conflits. Les femmes sont principalement chargées du maraîchage et assument la responsabilité de l'ensemble du processus, de la préparation des parcelles à la récolte et à l'entretien des parcelles. Ce sont également elles qui collectent le bois de chauffage pour assurer la consommation de bois en hiver ou pendant la saison des pluies. Cependant, elles sont exclues de la gestion directe des terres et des décisions relatives au régime foncier et, dans l'ensemble, elles ont un faible accès aux services agricoles, au crédit institutionnel et à la participation aux processus de planification et d'élaboration des politiques. Elles ont également moins accès aux informations et aux ressources liées à la gestion des terres. L'intégration d'une approche LDN sensible au genre dans le projet peut contribuer à la restauration de la représentation des femmes et assurer une </w:t>
      </w:r>
      <w:r w:rsidR="00D86793" w:rsidRPr="000E53A0">
        <w:rPr>
          <w:rFonts w:asciiTheme="minorHAnsi" w:hAnsiTheme="minorHAnsi" w:cstheme="minorHAnsi"/>
          <w:lang w:val="fr-FR"/>
        </w:rPr>
        <w:t xml:space="preserve">adoption plus large de la </w:t>
      </w:r>
      <w:r w:rsidRPr="000E53A0">
        <w:rPr>
          <w:rFonts w:asciiTheme="minorHAnsi" w:hAnsiTheme="minorHAnsi" w:cstheme="minorHAnsi"/>
          <w:lang w:val="fr-FR"/>
        </w:rPr>
        <w:t xml:space="preserve">gestion améliorée des terres. </w:t>
      </w:r>
    </w:p>
    <w:p w14:paraId="0337E334" w14:textId="77777777" w:rsidR="00601D9B" w:rsidRPr="000E53A0" w:rsidRDefault="000E53A0">
      <w:pPr>
        <w:pStyle w:val="Titre2"/>
        <w:rPr>
          <w:rFonts w:asciiTheme="minorHAnsi" w:hAnsiTheme="minorHAnsi" w:cstheme="minorHAnsi"/>
          <w:lang w:val="fr-FR"/>
        </w:rPr>
      </w:pPr>
      <w:r w:rsidRPr="000E53A0">
        <w:rPr>
          <w:rFonts w:asciiTheme="minorHAnsi" w:hAnsiTheme="minorHAnsi" w:cstheme="minorHAnsi"/>
          <w:lang w:val="fr-FR"/>
        </w:rPr>
        <w:t>Moteurs de la dégradation des terres et de la vulnérabilité climatique dans le paysage</w:t>
      </w:r>
    </w:p>
    <w:p w14:paraId="1213FD3D" w14:textId="77777777" w:rsidR="00601D9B" w:rsidRDefault="000E53A0">
      <w:pPr>
        <w:pStyle w:val="Paragraphedeliste"/>
        <w:numPr>
          <w:ilvl w:val="0"/>
          <w:numId w:val="53"/>
        </w:numPr>
        <w:jc w:val="both"/>
        <w:rPr>
          <w:rFonts w:asciiTheme="minorHAnsi" w:hAnsiTheme="minorHAnsi" w:cstheme="minorHAnsi"/>
          <w:sz w:val="20"/>
          <w:szCs w:val="20"/>
          <w:lang w:eastAsia="x-none"/>
        </w:rPr>
      </w:pPr>
      <w:r w:rsidRPr="000E53A0">
        <w:rPr>
          <w:rFonts w:asciiTheme="minorHAnsi" w:hAnsiTheme="minorHAnsi" w:cstheme="minorHAnsi"/>
          <w:b/>
          <w:bCs/>
          <w:sz w:val="20"/>
          <w:szCs w:val="20"/>
          <w:lang w:val="fr-FR" w:eastAsia="x-none"/>
        </w:rPr>
        <w:t xml:space="preserve">Facteurs climatiques </w:t>
      </w:r>
      <w:r w:rsidRPr="000E53A0">
        <w:rPr>
          <w:rFonts w:asciiTheme="minorHAnsi" w:hAnsiTheme="minorHAnsi" w:cstheme="minorHAnsi"/>
          <w:sz w:val="20"/>
          <w:szCs w:val="20"/>
          <w:lang w:val="fr-FR" w:eastAsia="x-none"/>
        </w:rPr>
        <w:t xml:space="preserve">: Les </w:t>
      </w:r>
      <w:r w:rsidR="00FB2092" w:rsidRPr="000E53A0">
        <w:rPr>
          <w:rFonts w:asciiTheme="minorHAnsi" w:hAnsiTheme="minorHAnsi" w:cstheme="minorHAnsi"/>
          <w:sz w:val="20"/>
          <w:szCs w:val="20"/>
          <w:lang w:val="fr-FR"/>
        </w:rPr>
        <w:t xml:space="preserve">zones d'intervention </w:t>
      </w:r>
      <w:r w:rsidRPr="000E53A0">
        <w:rPr>
          <w:rFonts w:asciiTheme="minorHAnsi" w:hAnsiTheme="minorHAnsi" w:cstheme="minorHAnsi"/>
          <w:sz w:val="20"/>
          <w:szCs w:val="20"/>
          <w:lang w:val="fr-FR"/>
        </w:rPr>
        <w:t>sont marquées par une dégradation progressive des terres due à l'érosion hydrique, éolienne et aux événements climatiques extrêmes tels que les sécheresses et les inondations. En effet, 3 à 3</w:t>
      </w:r>
      <w:r w:rsidR="00FB2092" w:rsidRPr="000E53A0">
        <w:rPr>
          <w:rFonts w:asciiTheme="minorHAnsi" w:hAnsiTheme="minorHAnsi" w:cstheme="minorHAnsi"/>
          <w:sz w:val="20"/>
          <w:szCs w:val="20"/>
          <w:lang w:val="fr-FR"/>
        </w:rPr>
        <w:t>,</w:t>
      </w:r>
      <w:r w:rsidRPr="000E53A0">
        <w:rPr>
          <w:rFonts w:asciiTheme="minorHAnsi" w:hAnsiTheme="minorHAnsi" w:cstheme="minorHAnsi"/>
          <w:sz w:val="20"/>
          <w:szCs w:val="20"/>
          <w:lang w:val="fr-FR"/>
        </w:rPr>
        <w:t xml:space="preserve">5 millions d'ha de terres cultivées sont caractérisées par un niveau de fertilité moyen ou faible en raison de plusieurs contraintes, et les pertes estimées de terres arables dues à l'érosion des sols atteignent </w:t>
      </w:r>
      <w:r w:rsidR="00AE4FA0" w:rsidRPr="000E53A0">
        <w:rPr>
          <w:rFonts w:asciiTheme="minorHAnsi" w:hAnsiTheme="minorHAnsi" w:cstheme="minorHAnsi"/>
          <w:sz w:val="20"/>
          <w:szCs w:val="20"/>
          <w:lang w:val="fr-FR"/>
        </w:rPr>
        <w:t xml:space="preserve">en moyenne </w:t>
      </w:r>
      <w:r w:rsidRPr="000E53A0">
        <w:rPr>
          <w:rFonts w:asciiTheme="minorHAnsi" w:hAnsiTheme="minorHAnsi" w:cstheme="minorHAnsi"/>
          <w:sz w:val="20"/>
          <w:szCs w:val="20"/>
          <w:lang w:val="fr-FR"/>
        </w:rPr>
        <w:t>6</w:t>
      </w:r>
      <w:r w:rsidR="00FB2092" w:rsidRPr="000E53A0">
        <w:rPr>
          <w:rFonts w:asciiTheme="minorHAnsi" w:hAnsiTheme="minorHAnsi" w:cstheme="minorHAnsi"/>
          <w:sz w:val="20"/>
          <w:szCs w:val="20"/>
          <w:lang w:val="fr-FR"/>
        </w:rPr>
        <w:t>,</w:t>
      </w:r>
      <w:r w:rsidRPr="000E53A0">
        <w:rPr>
          <w:rFonts w:asciiTheme="minorHAnsi" w:hAnsiTheme="minorHAnsi" w:cstheme="minorHAnsi"/>
          <w:sz w:val="20"/>
          <w:szCs w:val="20"/>
          <w:lang w:val="fr-FR"/>
        </w:rPr>
        <w:t xml:space="preserve">5 tonnes/ha/an. Les facteurs climatiques devraient s'aggraver sous l'effet du changement climatique et affecter plus sévèrement les terres cultivées. </w:t>
      </w:r>
      <w:r w:rsidRPr="000E53A0">
        <w:rPr>
          <w:rFonts w:asciiTheme="minorHAnsi" w:hAnsiTheme="minorHAnsi" w:cstheme="minorHAnsi"/>
          <w:sz w:val="20"/>
          <w:szCs w:val="20"/>
          <w:lang w:val="fr-FR" w:eastAsia="x-none"/>
        </w:rPr>
        <w:t xml:space="preserve">Dans le processus de la phase PPG, l'enquête ménage menée dans la région de Mopti met en évidence que 82% des champs </w:t>
      </w:r>
      <w:r w:rsidR="00AE4FA0" w:rsidRPr="000E53A0">
        <w:rPr>
          <w:rFonts w:asciiTheme="minorHAnsi" w:hAnsiTheme="minorHAnsi" w:cstheme="minorHAnsi"/>
          <w:sz w:val="20"/>
          <w:szCs w:val="20"/>
          <w:lang w:val="fr-FR" w:eastAsia="x-none"/>
        </w:rPr>
        <w:t xml:space="preserve">ont été </w:t>
      </w:r>
      <w:r w:rsidRPr="000E53A0">
        <w:rPr>
          <w:rFonts w:asciiTheme="minorHAnsi" w:hAnsiTheme="minorHAnsi" w:cstheme="minorHAnsi"/>
          <w:sz w:val="20"/>
          <w:szCs w:val="20"/>
          <w:lang w:val="fr-FR" w:eastAsia="x-none"/>
        </w:rPr>
        <w:t xml:space="preserve">affectés par le changement climatique. </w:t>
      </w:r>
      <w:r w:rsidR="009557B4">
        <w:rPr>
          <w:rFonts w:asciiTheme="minorHAnsi" w:hAnsiTheme="minorHAnsi" w:cstheme="minorHAnsi"/>
          <w:sz w:val="20"/>
          <w:szCs w:val="20"/>
          <w:lang w:eastAsia="x-none"/>
        </w:rPr>
        <w:t xml:space="preserve">Les </w:t>
      </w:r>
      <w:r w:rsidR="00FB2092" w:rsidRPr="00FB2092">
        <w:rPr>
          <w:rFonts w:asciiTheme="minorHAnsi" w:hAnsiTheme="minorHAnsi" w:cstheme="minorHAnsi"/>
          <w:sz w:val="20"/>
          <w:szCs w:val="20"/>
          <w:lang w:eastAsia="x-none"/>
        </w:rPr>
        <w:t xml:space="preserve">impacts projetés du changement climatique </w:t>
      </w:r>
      <w:r w:rsidR="009557B4">
        <w:rPr>
          <w:rFonts w:asciiTheme="minorHAnsi" w:hAnsiTheme="minorHAnsi" w:cstheme="minorHAnsi"/>
          <w:sz w:val="20"/>
          <w:szCs w:val="20"/>
          <w:lang w:eastAsia="x-none"/>
        </w:rPr>
        <w:t xml:space="preserve">affecteront en particulier </w:t>
      </w:r>
      <w:r w:rsidR="00FB2092" w:rsidRPr="00FB2092">
        <w:rPr>
          <w:rFonts w:asciiTheme="minorHAnsi" w:hAnsiTheme="minorHAnsi" w:cstheme="minorHAnsi"/>
          <w:sz w:val="20"/>
          <w:szCs w:val="20"/>
          <w:lang w:eastAsia="x-none"/>
        </w:rPr>
        <w:t>:</w:t>
      </w:r>
    </w:p>
    <w:p w14:paraId="23E6BB3F" w14:textId="77777777" w:rsidR="00601D9B" w:rsidRPr="000E53A0" w:rsidRDefault="000E53A0">
      <w:pPr>
        <w:pStyle w:val="Paragraphedeliste"/>
        <w:numPr>
          <w:ilvl w:val="0"/>
          <w:numId w:val="50"/>
        </w:numPr>
        <w:suppressAutoHyphens/>
        <w:spacing w:before="120" w:after="180" w:line="276" w:lineRule="auto"/>
        <w:ind w:left="1080"/>
        <w:contextualSpacing/>
        <w:jc w:val="both"/>
        <w:rPr>
          <w:rFonts w:asciiTheme="minorHAnsi" w:hAnsiTheme="minorHAnsi" w:cstheme="minorHAnsi"/>
          <w:sz w:val="20"/>
          <w:szCs w:val="20"/>
          <w:lang w:val="fr-FR"/>
        </w:rPr>
      </w:pPr>
      <w:r w:rsidRPr="000E53A0">
        <w:rPr>
          <w:rFonts w:asciiTheme="minorHAnsi" w:hAnsiTheme="minorHAnsi" w:cstheme="minorHAnsi"/>
          <w:sz w:val="20"/>
          <w:szCs w:val="20"/>
          <w:lang w:val="fr-FR"/>
        </w:rPr>
        <w:t>L'</w:t>
      </w:r>
      <w:r w:rsidRPr="000E53A0">
        <w:rPr>
          <w:rFonts w:asciiTheme="minorHAnsi" w:hAnsiTheme="minorHAnsi" w:cstheme="minorHAnsi"/>
          <w:b/>
          <w:bCs/>
          <w:sz w:val="20"/>
          <w:szCs w:val="20"/>
          <w:lang w:val="fr-FR"/>
        </w:rPr>
        <w:t>agriculture</w:t>
      </w:r>
      <w:r w:rsidRPr="000E53A0">
        <w:rPr>
          <w:rFonts w:asciiTheme="minorHAnsi" w:hAnsiTheme="minorHAnsi" w:cstheme="minorHAnsi"/>
          <w:sz w:val="20"/>
          <w:szCs w:val="20"/>
          <w:lang w:val="fr-FR"/>
        </w:rPr>
        <w:t>. Les systèmes agricoles du Mali sont très vulnérables au changement climatique, en raison de la forte dépendance à l'égard de l'agriculture pluviale (90 %), de la mauvaise gestion des ressources en eau, de la fréquence des sécheresses et des catastrophes, et du faible revenu des ménages. Les rendements des cultures devraient diminuer, en particulier ceux du maïs, du coton, du millet et du sorgho, notamment dans les régions de Mopti, Tombouctou et Gao. Le ministère de l'Environnement a estimé que le déficit de production du maïs varierait entre 51 tonnes et 1 518 tonnes d'ici 2025 par rapport aux conditions de 1961-1990, et que le déficit de production du coton pourrait atteindre environ 3 500 tonnes d'ici 2025. Les répercussions sur l'industrie du coton en particulier pourraient avoir un effet négatif important sur les exportations du pays</w:t>
      </w:r>
      <w:r w:rsidRPr="008214A1">
        <w:rPr>
          <w:rStyle w:val="Appelnotedebasdep"/>
          <w:rFonts w:asciiTheme="minorHAnsi" w:hAnsiTheme="minorHAnsi" w:cstheme="minorHAnsi"/>
          <w:sz w:val="20"/>
          <w:szCs w:val="20"/>
        </w:rPr>
        <w:footnoteReference w:id="39"/>
      </w:r>
      <w:r w:rsidRPr="000E53A0">
        <w:rPr>
          <w:rFonts w:asciiTheme="minorHAnsi" w:hAnsiTheme="minorHAnsi" w:cstheme="minorHAnsi"/>
          <w:sz w:val="20"/>
          <w:szCs w:val="20"/>
          <w:lang w:val="fr-FR"/>
        </w:rPr>
        <w:t xml:space="preserve">. En outre, l'irrégularité des précipitations risque d'affecter la disponibilité de l'eau pour l'irrigation d'appoint. Le changement climatique entraîne l'apparition d'un plus grand nombre d'espèces envahissantes et de parasites qui infestent les cultures, ce qui peut nécessiter une plus grande utilisation de pesticides et une perte de qualité et de quantité de la production. Les infrastructures inégales, la pression démographique et l'instabilité politique sont des facteurs supplémentaires de stress climatique. </w:t>
      </w:r>
    </w:p>
    <w:p w14:paraId="65AA1F33" w14:textId="77777777" w:rsidR="00601D9B" w:rsidRPr="000E53A0" w:rsidRDefault="000E53A0">
      <w:pPr>
        <w:pStyle w:val="Paragraphedeliste"/>
        <w:numPr>
          <w:ilvl w:val="0"/>
          <w:numId w:val="50"/>
        </w:numPr>
        <w:suppressAutoHyphens/>
        <w:spacing w:before="120" w:after="180" w:line="276" w:lineRule="auto"/>
        <w:ind w:left="1080"/>
        <w:contextualSpacing/>
        <w:jc w:val="both"/>
        <w:rPr>
          <w:rFonts w:asciiTheme="minorHAnsi" w:hAnsiTheme="minorHAnsi" w:cstheme="minorHAnsi"/>
          <w:sz w:val="20"/>
          <w:szCs w:val="20"/>
          <w:lang w:val="fr-FR"/>
        </w:rPr>
      </w:pPr>
      <w:r w:rsidRPr="000E53A0">
        <w:rPr>
          <w:rFonts w:asciiTheme="minorHAnsi" w:hAnsiTheme="minorHAnsi" w:cstheme="minorHAnsi"/>
          <w:b/>
          <w:bCs/>
          <w:sz w:val="20"/>
          <w:szCs w:val="20"/>
          <w:lang w:val="fr-FR"/>
        </w:rPr>
        <w:t>Les sols</w:t>
      </w:r>
      <w:r w:rsidRPr="000E53A0">
        <w:rPr>
          <w:rFonts w:asciiTheme="minorHAnsi" w:hAnsiTheme="minorHAnsi" w:cstheme="minorHAnsi"/>
          <w:sz w:val="20"/>
          <w:szCs w:val="20"/>
          <w:lang w:val="fr-FR"/>
        </w:rPr>
        <w:t xml:space="preserve">. Les terres cultivées sont marquées par un niveau de fertilité moyen à faible, avec des carences en phosphore, potassium et soufre, et par une forte sensibilité à l'érosion éolienne et hydrique. La pression climatique et agricole sur les ressources a progressivement augmenté. L'incidence des événements météorologiques extrêmes, tels que les sécheresses, les inondations et les épisodes de pluie intense, entraîne une dégradation accrue des sols. Dans les régions où la pression démographique est élevée, elle se traduit également par la mise en culture de terres </w:t>
      </w:r>
      <w:r w:rsidRPr="000E53A0">
        <w:rPr>
          <w:rFonts w:asciiTheme="minorHAnsi" w:hAnsiTheme="minorHAnsi" w:cstheme="minorHAnsi"/>
          <w:sz w:val="20"/>
          <w:szCs w:val="20"/>
          <w:lang w:val="fr-FR"/>
        </w:rPr>
        <w:lastRenderedPageBreak/>
        <w:t>marginales et/ou forestières, une réduction de la durée des jachères, une diminution de la fertilité et une augmentation du phénomène d'érosion.</w:t>
      </w:r>
    </w:p>
    <w:p w14:paraId="4A7BD406" w14:textId="77777777" w:rsidR="00601D9B" w:rsidRPr="000E53A0" w:rsidRDefault="000E53A0">
      <w:pPr>
        <w:pStyle w:val="Paragraphedeliste"/>
        <w:numPr>
          <w:ilvl w:val="0"/>
          <w:numId w:val="49"/>
        </w:numPr>
        <w:suppressAutoHyphens/>
        <w:spacing w:before="120" w:after="180" w:line="276" w:lineRule="auto"/>
        <w:ind w:left="1083"/>
        <w:contextualSpacing/>
        <w:jc w:val="both"/>
        <w:rPr>
          <w:rFonts w:asciiTheme="minorHAnsi" w:hAnsiTheme="minorHAnsi" w:cstheme="minorHAnsi"/>
          <w:sz w:val="20"/>
          <w:szCs w:val="20"/>
          <w:lang w:val="fr-FR"/>
        </w:rPr>
      </w:pPr>
      <w:r w:rsidRPr="000E53A0">
        <w:rPr>
          <w:rFonts w:asciiTheme="minorHAnsi" w:hAnsiTheme="minorHAnsi" w:cstheme="minorHAnsi"/>
          <w:sz w:val="20"/>
          <w:szCs w:val="20"/>
          <w:lang w:val="fr-FR"/>
        </w:rPr>
        <w:t xml:space="preserve">Le </w:t>
      </w:r>
      <w:r w:rsidRPr="000E53A0">
        <w:rPr>
          <w:rFonts w:asciiTheme="minorHAnsi" w:hAnsiTheme="minorHAnsi" w:cstheme="minorHAnsi"/>
          <w:b/>
          <w:bCs/>
          <w:sz w:val="20"/>
          <w:szCs w:val="20"/>
          <w:lang w:val="fr-FR"/>
        </w:rPr>
        <w:t>bétail</w:t>
      </w:r>
      <w:r w:rsidRPr="000E53A0">
        <w:rPr>
          <w:rFonts w:asciiTheme="minorHAnsi" w:hAnsiTheme="minorHAnsi" w:cstheme="minorHAnsi"/>
          <w:sz w:val="20"/>
          <w:szCs w:val="20"/>
          <w:lang w:val="fr-FR"/>
        </w:rPr>
        <w:t xml:space="preserve">. La sécheresse et la désertification peuvent altérer l'accès des pasteurs aux pâturages et avoir un impact sur la mortalité du bétail due aux maladies ou à la restriction d'eau exacerbée par la chaleur. L'ensemble du mode de vie pastoral basé sur la transhumance peut être affecté : en 2012, la sécheresse extrême dans la région a contribué au déplacement de 100 000 personnes vers les pays voisins, entraînant des changements dans les systèmes de production </w:t>
      </w:r>
      <w:r w:rsidR="009557B4" w:rsidRPr="000E53A0">
        <w:rPr>
          <w:rFonts w:asciiTheme="minorHAnsi" w:hAnsiTheme="minorHAnsi" w:cstheme="minorHAnsi"/>
          <w:sz w:val="20"/>
          <w:szCs w:val="20"/>
          <w:lang w:val="fr-FR"/>
        </w:rPr>
        <w:t>et des conflits localisés</w:t>
      </w:r>
      <w:r w:rsidRPr="000E53A0">
        <w:rPr>
          <w:rFonts w:asciiTheme="minorHAnsi" w:hAnsiTheme="minorHAnsi" w:cstheme="minorHAnsi"/>
          <w:sz w:val="20"/>
          <w:szCs w:val="20"/>
          <w:lang w:val="fr-FR"/>
        </w:rPr>
        <w:t>.</w:t>
      </w:r>
    </w:p>
    <w:p w14:paraId="0B81C49F" w14:textId="77777777" w:rsidR="00601D9B" w:rsidRPr="000E53A0" w:rsidRDefault="000E53A0">
      <w:pPr>
        <w:pStyle w:val="Paragraphedeliste"/>
        <w:numPr>
          <w:ilvl w:val="0"/>
          <w:numId w:val="49"/>
        </w:numPr>
        <w:ind w:left="1145"/>
        <w:jc w:val="both"/>
        <w:rPr>
          <w:rFonts w:asciiTheme="majorHAnsi" w:hAnsiTheme="majorHAnsi" w:cstheme="minorHAnsi"/>
          <w:sz w:val="20"/>
          <w:szCs w:val="20"/>
          <w:lang w:val="fr-FR"/>
        </w:rPr>
      </w:pPr>
      <w:r w:rsidRPr="000E53A0">
        <w:rPr>
          <w:rFonts w:asciiTheme="majorHAnsi" w:hAnsiTheme="majorHAnsi" w:cstheme="minorHAnsi"/>
          <w:sz w:val="20"/>
          <w:szCs w:val="20"/>
          <w:lang w:val="fr-FR"/>
        </w:rPr>
        <w:t xml:space="preserve">La </w:t>
      </w:r>
      <w:r w:rsidRPr="000E53A0">
        <w:rPr>
          <w:rFonts w:asciiTheme="minorHAnsi" w:hAnsiTheme="minorHAnsi" w:cstheme="minorHAnsi"/>
          <w:b/>
          <w:bCs/>
          <w:sz w:val="20"/>
          <w:szCs w:val="20"/>
          <w:lang w:val="fr-FR"/>
        </w:rPr>
        <w:t>pêche</w:t>
      </w:r>
      <w:r w:rsidRPr="000E53A0">
        <w:rPr>
          <w:rFonts w:asciiTheme="minorHAnsi" w:hAnsiTheme="minorHAnsi" w:cstheme="minorHAnsi"/>
          <w:sz w:val="20"/>
          <w:szCs w:val="20"/>
          <w:lang w:val="fr-FR"/>
        </w:rPr>
        <w:t xml:space="preserve">. Les </w:t>
      </w:r>
      <w:r w:rsidRPr="000E53A0">
        <w:rPr>
          <w:rFonts w:asciiTheme="majorHAnsi" w:hAnsiTheme="majorHAnsi" w:cstheme="minorHAnsi"/>
          <w:sz w:val="20"/>
          <w:szCs w:val="20"/>
          <w:lang w:val="fr-FR"/>
        </w:rPr>
        <w:t xml:space="preserve">fleuves Sénégal et Niger </w:t>
      </w:r>
      <w:r w:rsidR="009557B4" w:rsidRPr="000E53A0">
        <w:rPr>
          <w:rFonts w:asciiTheme="majorHAnsi" w:hAnsiTheme="majorHAnsi" w:cstheme="minorHAnsi"/>
          <w:sz w:val="20"/>
          <w:szCs w:val="20"/>
          <w:lang w:val="fr-FR"/>
        </w:rPr>
        <w:t xml:space="preserve">sont utilisés pour la production de poissons, une source importante de protéines pour la </w:t>
      </w:r>
      <w:r w:rsidRPr="000E53A0">
        <w:rPr>
          <w:rFonts w:asciiTheme="majorHAnsi" w:hAnsiTheme="majorHAnsi" w:cstheme="minorHAnsi"/>
          <w:sz w:val="20"/>
          <w:szCs w:val="20"/>
          <w:lang w:val="fr-FR"/>
        </w:rPr>
        <w:t>population malienne</w:t>
      </w:r>
      <w:r w:rsidR="009557B4" w:rsidRPr="000E53A0">
        <w:rPr>
          <w:rFonts w:asciiTheme="majorHAnsi" w:hAnsiTheme="majorHAnsi" w:cstheme="minorHAnsi"/>
          <w:sz w:val="20"/>
          <w:szCs w:val="20"/>
          <w:lang w:val="fr-FR"/>
        </w:rPr>
        <w:t xml:space="preserve">. La pêche est principalement </w:t>
      </w:r>
      <w:r w:rsidRPr="000E53A0">
        <w:rPr>
          <w:rFonts w:asciiTheme="majorHAnsi" w:hAnsiTheme="majorHAnsi" w:cstheme="minorHAnsi"/>
          <w:sz w:val="20"/>
          <w:szCs w:val="20"/>
          <w:lang w:val="fr-FR"/>
        </w:rPr>
        <w:t xml:space="preserve">artisanale et à petite échelle. L'augmentation des températures et les sécheresses </w:t>
      </w:r>
      <w:r w:rsidR="009557B4" w:rsidRPr="000E53A0">
        <w:rPr>
          <w:rFonts w:asciiTheme="majorHAnsi" w:hAnsiTheme="majorHAnsi" w:cstheme="minorHAnsi"/>
          <w:sz w:val="20"/>
          <w:szCs w:val="20"/>
          <w:lang w:val="fr-FR"/>
        </w:rPr>
        <w:t xml:space="preserve">entraînent </w:t>
      </w:r>
      <w:r w:rsidRPr="000E53A0">
        <w:rPr>
          <w:rFonts w:asciiTheme="majorHAnsi" w:hAnsiTheme="majorHAnsi" w:cstheme="minorHAnsi"/>
          <w:sz w:val="20"/>
          <w:szCs w:val="20"/>
          <w:lang w:val="fr-FR"/>
        </w:rPr>
        <w:t xml:space="preserve">cependant une diminution des zones </w:t>
      </w:r>
      <w:r w:rsidR="009557B4" w:rsidRPr="000E53A0">
        <w:rPr>
          <w:rFonts w:asciiTheme="majorHAnsi" w:hAnsiTheme="majorHAnsi" w:cstheme="minorHAnsi"/>
          <w:sz w:val="20"/>
          <w:szCs w:val="20"/>
          <w:lang w:val="fr-FR"/>
        </w:rPr>
        <w:t>habituellement inondées</w:t>
      </w:r>
      <w:r w:rsidRPr="000E53A0">
        <w:rPr>
          <w:rFonts w:asciiTheme="majorHAnsi" w:hAnsiTheme="majorHAnsi" w:cstheme="minorHAnsi"/>
          <w:sz w:val="20"/>
          <w:szCs w:val="20"/>
          <w:lang w:val="fr-FR"/>
        </w:rPr>
        <w:t>, en particulier dans le delta du Niger</w:t>
      </w:r>
      <w:r w:rsidR="009557B4" w:rsidRPr="000E53A0">
        <w:rPr>
          <w:rFonts w:asciiTheme="majorHAnsi" w:hAnsiTheme="majorHAnsi" w:cstheme="minorHAnsi"/>
          <w:sz w:val="20"/>
          <w:szCs w:val="20"/>
          <w:lang w:val="fr-FR"/>
        </w:rPr>
        <w:t xml:space="preserve">, </w:t>
      </w:r>
      <w:r w:rsidRPr="000E53A0">
        <w:rPr>
          <w:rFonts w:asciiTheme="majorHAnsi" w:hAnsiTheme="majorHAnsi" w:cstheme="minorHAnsi"/>
          <w:sz w:val="20"/>
          <w:szCs w:val="20"/>
          <w:lang w:val="fr-FR"/>
        </w:rPr>
        <w:t xml:space="preserve">ce qui a affecté le potentiel de production de poissons. Comme les précipitations ne devraient pas compenser l'augmentation des températures et des taux d'évapotranspiration, le potentiel de production de poisson devrait continuer à diminuer. </w:t>
      </w:r>
      <w:r w:rsidRPr="00452EBD">
        <w:rPr>
          <w:rFonts w:asciiTheme="majorHAnsi" w:hAnsiTheme="majorHAnsi"/>
          <w:vertAlign w:val="superscript"/>
        </w:rPr>
        <w:footnoteReference w:id="40"/>
      </w:r>
    </w:p>
    <w:p w14:paraId="0C60C475" w14:textId="77777777" w:rsidR="00601D9B" w:rsidRPr="000E53A0" w:rsidRDefault="000E53A0">
      <w:pPr>
        <w:pStyle w:val="Paragraphedeliste"/>
        <w:numPr>
          <w:ilvl w:val="0"/>
          <w:numId w:val="53"/>
        </w:numPr>
        <w:jc w:val="both"/>
        <w:rPr>
          <w:rFonts w:asciiTheme="minorHAnsi" w:hAnsiTheme="minorHAnsi" w:cstheme="minorHAnsi"/>
          <w:sz w:val="20"/>
          <w:szCs w:val="20"/>
          <w:lang w:val="fr-FR"/>
        </w:rPr>
      </w:pPr>
      <w:r w:rsidRPr="000E53A0">
        <w:rPr>
          <w:rFonts w:asciiTheme="minorHAnsi" w:hAnsiTheme="minorHAnsi" w:cstheme="minorHAnsi"/>
          <w:b/>
          <w:bCs/>
          <w:sz w:val="20"/>
          <w:szCs w:val="20"/>
          <w:lang w:val="fr-FR" w:eastAsia="x-none"/>
        </w:rPr>
        <w:t xml:space="preserve">La surexploitation des formations forestières : </w:t>
      </w:r>
      <w:r w:rsidRPr="000E53A0">
        <w:rPr>
          <w:rFonts w:asciiTheme="minorHAnsi" w:hAnsiTheme="minorHAnsi" w:cstheme="minorHAnsi"/>
          <w:sz w:val="20"/>
          <w:szCs w:val="20"/>
          <w:lang w:val="fr-FR"/>
        </w:rPr>
        <w:t xml:space="preserve">La région de Mopti est couverte par 7 forêts classées dans le cercle de Youwarou et plusieurs forêts riches dans les cercles de Mopti et Tenenkou. La forte pression sur les ressources naturelles et les écosystèmes </w:t>
      </w:r>
      <w:r w:rsidR="00FB2092" w:rsidRPr="000E53A0">
        <w:rPr>
          <w:rFonts w:asciiTheme="minorHAnsi" w:hAnsiTheme="minorHAnsi" w:cstheme="minorHAnsi"/>
          <w:sz w:val="20"/>
          <w:szCs w:val="20"/>
          <w:lang w:val="fr-FR"/>
        </w:rPr>
        <w:t xml:space="preserve">représente une </w:t>
      </w:r>
      <w:r w:rsidRPr="000E53A0">
        <w:rPr>
          <w:rFonts w:asciiTheme="minorHAnsi" w:hAnsiTheme="minorHAnsi" w:cstheme="minorHAnsi"/>
          <w:sz w:val="20"/>
          <w:szCs w:val="20"/>
          <w:lang w:val="fr-FR"/>
        </w:rPr>
        <w:t>menace pour la conservation des forêts, qui font l'objet d'une exploitation intense</w:t>
      </w:r>
      <w:r w:rsidR="00FB2092" w:rsidRPr="000E53A0">
        <w:rPr>
          <w:rFonts w:asciiTheme="minorHAnsi" w:hAnsiTheme="minorHAnsi" w:cstheme="minorHAnsi"/>
          <w:sz w:val="20"/>
          <w:szCs w:val="20"/>
          <w:lang w:val="fr-FR"/>
        </w:rPr>
        <w:t xml:space="preserve">, associée entre autres à la </w:t>
      </w:r>
      <w:r w:rsidR="00E75D51" w:rsidRPr="000E53A0">
        <w:rPr>
          <w:rFonts w:asciiTheme="minorHAnsi" w:hAnsiTheme="minorHAnsi" w:cstheme="minorHAnsi"/>
          <w:sz w:val="20"/>
          <w:szCs w:val="20"/>
          <w:lang w:val="fr-FR"/>
        </w:rPr>
        <w:t xml:space="preserve">production de bois énergie (charbon de bois, bois de chauffe) </w:t>
      </w:r>
      <w:r w:rsidR="00FB2092" w:rsidRPr="000E53A0">
        <w:rPr>
          <w:rFonts w:asciiTheme="minorHAnsi" w:hAnsiTheme="minorHAnsi" w:cstheme="minorHAnsi"/>
          <w:sz w:val="20"/>
          <w:szCs w:val="20"/>
          <w:lang w:val="fr-FR"/>
        </w:rPr>
        <w:t xml:space="preserve">qui est </w:t>
      </w:r>
      <w:r w:rsidR="00E75D51" w:rsidRPr="000E53A0">
        <w:rPr>
          <w:rFonts w:asciiTheme="minorHAnsi" w:hAnsiTheme="minorHAnsi" w:cstheme="minorHAnsi"/>
          <w:sz w:val="20"/>
          <w:szCs w:val="20"/>
          <w:lang w:val="fr-FR"/>
        </w:rPr>
        <w:t xml:space="preserve">la première </w:t>
      </w:r>
      <w:r w:rsidRPr="000E53A0">
        <w:rPr>
          <w:rFonts w:asciiTheme="minorHAnsi" w:hAnsiTheme="minorHAnsi" w:cstheme="minorHAnsi"/>
          <w:sz w:val="20"/>
          <w:szCs w:val="20"/>
          <w:lang w:val="fr-FR"/>
        </w:rPr>
        <w:t>source d'</w:t>
      </w:r>
      <w:r w:rsidR="00E75D51" w:rsidRPr="000E53A0">
        <w:rPr>
          <w:rFonts w:asciiTheme="minorHAnsi" w:hAnsiTheme="minorHAnsi" w:cstheme="minorHAnsi"/>
          <w:sz w:val="20"/>
          <w:szCs w:val="20"/>
          <w:lang w:val="fr-FR"/>
        </w:rPr>
        <w:t xml:space="preserve">énergie </w:t>
      </w:r>
      <w:r w:rsidRPr="000E53A0">
        <w:rPr>
          <w:rFonts w:asciiTheme="minorHAnsi" w:hAnsiTheme="minorHAnsi" w:cstheme="minorHAnsi"/>
          <w:sz w:val="20"/>
          <w:szCs w:val="20"/>
          <w:lang w:val="fr-FR"/>
        </w:rPr>
        <w:t xml:space="preserve">du </w:t>
      </w:r>
      <w:r w:rsidR="00E75D51" w:rsidRPr="000E53A0">
        <w:rPr>
          <w:rFonts w:asciiTheme="minorHAnsi" w:hAnsiTheme="minorHAnsi" w:cstheme="minorHAnsi"/>
          <w:sz w:val="20"/>
          <w:szCs w:val="20"/>
          <w:lang w:val="fr-FR"/>
        </w:rPr>
        <w:t>pays (90%)</w:t>
      </w:r>
      <w:r w:rsidR="00FB2092" w:rsidRPr="000E53A0">
        <w:rPr>
          <w:rFonts w:asciiTheme="minorHAnsi" w:hAnsiTheme="minorHAnsi" w:cstheme="minorHAnsi"/>
          <w:sz w:val="20"/>
          <w:szCs w:val="20"/>
          <w:lang w:val="fr-FR"/>
        </w:rPr>
        <w:t xml:space="preserve">, ainsi qu'à </w:t>
      </w:r>
      <w:r w:rsidRPr="000E53A0">
        <w:rPr>
          <w:rFonts w:asciiTheme="minorHAnsi" w:hAnsiTheme="minorHAnsi" w:cstheme="minorHAnsi"/>
          <w:sz w:val="20"/>
          <w:szCs w:val="20"/>
          <w:lang w:val="fr-FR"/>
        </w:rPr>
        <w:t xml:space="preserve">un commerce de bois incontrôlé et lucratif. Par exemple, dans le massif des Kelka </w:t>
      </w:r>
      <w:r w:rsidR="00E75D51" w:rsidRPr="000E53A0">
        <w:rPr>
          <w:rFonts w:asciiTheme="minorHAnsi" w:hAnsiTheme="minorHAnsi" w:cstheme="minorHAnsi"/>
          <w:sz w:val="20"/>
          <w:szCs w:val="20"/>
          <w:lang w:val="fr-FR"/>
        </w:rPr>
        <w:t xml:space="preserve">de Douentza, qui est la principale source de bois-énergie de la région, on observe une grave </w:t>
      </w:r>
      <w:r w:rsidRPr="000E53A0">
        <w:rPr>
          <w:rFonts w:asciiTheme="minorHAnsi" w:hAnsiTheme="minorHAnsi" w:cstheme="minorHAnsi"/>
          <w:sz w:val="20"/>
          <w:szCs w:val="20"/>
          <w:lang w:val="fr-FR"/>
        </w:rPr>
        <w:t>dégradation</w:t>
      </w:r>
      <w:r w:rsidRPr="00FB2092">
        <w:rPr>
          <w:rStyle w:val="Appelnotedebasdep"/>
          <w:rFonts w:asciiTheme="minorHAnsi" w:hAnsiTheme="minorHAnsi" w:cstheme="minorHAnsi"/>
          <w:sz w:val="20"/>
          <w:szCs w:val="20"/>
        </w:rPr>
        <w:footnoteReference w:id="41"/>
      </w:r>
      <w:r w:rsidRPr="000E53A0">
        <w:rPr>
          <w:rFonts w:asciiTheme="minorHAnsi" w:hAnsiTheme="minorHAnsi" w:cstheme="minorHAnsi"/>
          <w:sz w:val="20"/>
          <w:szCs w:val="20"/>
          <w:lang w:val="fr-FR"/>
        </w:rPr>
        <w:t xml:space="preserve">.  Des espèces telles que </w:t>
      </w:r>
      <w:r w:rsidRPr="000E53A0">
        <w:rPr>
          <w:rFonts w:asciiTheme="minorHAnsi" w:hAnsiTheme="minorHAnsi" w:cstheme="minorHAnsi"/>
          <w:i/>
          <w:iCs/>
          <w:sz w:val="20"/>
          <w:szCs w:val="20"/>
          <w:lang w:val="fr-FR"/>
        </w:rPr>
        <w:t xml:space="preserve">Combretum glutinosum, Pterocarpus erinaceus, P. lucens, Acacia nilotica </w:t>
      </w:r>
      <w:r w:rsidRPr="000E53A0">
        <w:rPr>
          <w:rFonts w:asciiTheme="minorHAnsi" w:hAnsiTheme="minorHAnsi" w:cstheme="minorHAnsi"/>
          <w:sz w:val="20"/>
          <w:szCs w:val="20"/>
          <w:lang w:val="fr-FR"/>
        </w:rPr>
        <w:t xml:space="preserve">sont également menacées par cette surexploitation. La perte de végétation permet à la précieuse couche arable d'être érodée par le </w:t>
      </w:r>
      <w:r w:rsidR="00E75D51" w:rsidRPr="000E53A0">
        <w:rPr>
          <w:rFonts w:asciiTheme="minorHAnsi" w:hAnsiTheme="minorHAnsi" w:cstheme="minorHAnsi"/>
          <w:sz w:val="20"/>
          <w:szCs w:val="20"/>
          <w:lang w:val="fr-FR"/>
        </w:rPr>
        <w:t xml:space="preserve">vent </w:t>
      </w:r>
      <w:r w:rsidRPr="000E53A0">
        <w:rPr>
          <w:rFonts w:asciiTheme="minorHAnsi" w:hAnsiTheme="minorHAnsi" w:cstheme="minorHAnsi"/>
          <w:sz w:val="20"/>
          <w:szCs w:val="20"/>
          <w:lang w:val="fr-FR"/>
        </w:rPr>
        <w:t xml:space="preserve">et la pluie, ce qui entraîne un grave empiètement du sable dans le nord du Sahel et l'envasement des cours d'eau dans la zone du delta. </w:t>
      </w:r>
      <w:r w:rsidR="00232C73" w:rsidRPr="000E53A0">
        <w:rPr>
          <w:rFonts w:asciiTheme="minorHAnsi" w:hAnsiTheme="minorHAnsi" w:cstheme="minorHAnsi"/>
          <w:sz w:val="20"/>
          <w:szCs w:val="20"/>
          <w:lang w:val="fr-FR"/>
        </w:rPr>
        <w:t xml:space="preserve">Bien que les estimations varient, on estime qu'au cours des dix dernières années, la perte de couverture arborée a varié entre 100 000 </w:t>
      </w:r>
      <w:r w:rsidRPr="000E53A0">
        <w:rPr>
          <w:rFonts w:asciiTheme="minorHAnsi" w:hAnsiTheme="minorHAnsi" w:cstheme="minorHAnsi"/>
          <w:sz w:val="20"/>
          <w:szCs w:val="20"/>
          <w:lang w:val="fr-FR"/>
        </w:rPr>
        <w:t xml:space="preserve">ha </w:t>
      </w:r>
      <w:r w:rsidR="00232C73" w:rsidRPr="000E53A0">
        <w:rPr>
          <w:rFonts w:asciiTheme="minorHAnsi" w:hAnsiTheme="minorHAnsi" w:cstheme="minorHAnsi"/>
          <w:sz w:val="20"/>
          <w:szCs w:val="20"/>
          <w:lang w:val="fr-FR"/>
        </w:rPr>
        <w:t xml:space="preserve">et 400 000 ha </w:t>
      </w:r>
      <w:r w:rsidRPr="000E53A0">
        <w:rPr>
          <w:rFonts w:asciiTheme="minorHAnsi" w:hAnsiTheme="minorHAnsi" w:cstheme="minorHAnsi"/>
          <w:sz w:val="20"/>
          <w:szCs w:val="20"/>
          <w:lang w:val="fr-FR"/>
        </w:rPr>
        <w:t xml:space="preserve">par an </w:t>
      </w:r>
      <w:r w:rsidR="00232C73" w:rsidRPr="000E53A0">
        <w:rPr>
          <w:rFonts w:asciiTheme="minorHAnsi" w:hAnsiTheme="minorHAnsi" w:cstheme="minorHAnsi"/>
          <w:sz w:val="20"/>
          <w:szCs w:val="20"/>
          <w:lang w:val="fr-FR"/>
        </w:rPr>
        <w:t>dans tout le pays</w:t>
      </w:r>
      <w:r w:rsidRPr="000E53A0">
        <w:rPr>
          <w:rFonts w:asciiTheme="minorHAnsi" w:hAnsiTheme="minorHAnsi" w:cstheme="minorHAnsi"/>
          <w:sz w:val="20"/>
          <w:szCs w:val="20"/>
          <w:lang w:val="fr-FR"/>
        </w:rPr>
        <w:t xml:space="preserve">. En 1987, la superficie totale des forêts </w:t>
      </w:r>
      <w:r w:rsidR="00232C73" w:rsidRPr="000E53A0">
        <w:rPr>
          <w:rFonts w:asciiTheme="minorHAnsi" w:hAnsiTheme="minorHAnsi" w:cstheme="minorHAnsi"/>
          <w:sz w:val="20"/>
          <w:szCs w:val="20"/>
          <w:lang w:val="fr-FR"/>
        </w:rPr>
        <w:t xml:space="preserve">de la région de Mopti </w:t>
      </w:r>
      <w:r w:rsidRPr="000E53A0">
        <w:rPr>
          <w:rFonts w:asciiTheme="minorHAnsi" w:hAnsiTheme="minorHAnsi" w:cstheme="minorHAnsi"/>
          <w:sz w:val="20"/>
          <w:szCs w:val="20"/>
          <w:lang w:val="fr-FR"/>
        </w:rPr>
        <w:t xml:space="preserve">était </w:t>
      </w:r>
      <w:r w:rsidR="00232C73" w:rsidRPr="000E53A0">
        <w:rPr>
          <w:rFonts w:asciiTheme="minorHAnsi" w:hAnsiTheme="minorHAnsi" w:cstheme="minorHAnsi"/>
          <w:sz w:val="20"/>
          <w:szCs w:val="20"/>
          <w:lang w:val="fr-FR"/>
        </w:rPr>
        <w:t xml:space="preserve">estimée à </w:t>
      </w:r>
      <w:r w:rsidRPr="000E53A0">
        <w:rPr>
          <w:rFonts w:asciiTheme="minorHAnsi" w:hAnsiTheme="minorHAnsi" w:cstheme="minorHAnsi"/>
          <w:sz w:val="20"/>
          <w:szCs w:val="20"/>
          <w:lang w:val="fr-FR"/>
        </w:rPr>
        <w:t xml:space="preserve">1 450 000 </w:t>
      </w:r>
      <w:r w:rsidR="00232C73" w:rsidRPr="000E53A0">
        <w:rPr>
          <w:rFonts w:asciiTheme="minorHAnsi" w:hAnsiTheme="minorHAnsi" w:cstheme="minorHAnsi"/>
          <w:sz w:val="20"/>
          <w:szCs w:val="20"/>
          <w:lang w:val="fr-FR"/>
        </w:rPr>
        <w:t>ha, alors qu'</w:t>
      </w:r>
      <w:r w:rsidRPr="000E53A0">
        <w:rPr>
          <w:rFonts w:asciiTheme="minorHAnsi" w:hAnsiTheme="minorHAnsi" w:cstheme="minorHAnsi"/>
          <w:sz w:val="20"/>
          <w:szCs w:val="20"/>
          <w:lang w:val="fr-FR"/>
        </w:rPr>
        <w:t xml:space="preserve">en 2007 </w:t>
      </w:r>
      <w:r w:rsidR="00232C73" w:rsidRPr="000E53A0">
        <w:rPr>
          <w:rFonts w:asciiTheme="minorHAnsi" w:hAnsiTheme="minorHAnsi" w:cstheme="minorHAnsi"/>
          <w:sz w:val="20"/>
          <w:szCs w:val="20"/>
          <w:lang w:val="fr-FR"/>
        </w:rPr>
        <w:t xml:space="preserve">elle </w:t>
      </w:r>
      <w:r w:rsidRPr="000E53A0">
        <w:rPr>
          <w:rFonts w:asciiTheme="minorHAnsi" w:hAnsiTheme="minorHAnsi" w:cstheme="minorHAnsi"/>
          <w:sz w:val="20"/>
          <w:szCs w:val="20"/>
          <w:lang w:val="fr-FR"/>
        </w:rPr>
        <w:t xml:space="preserve">n'était plus que de 451 114 hectares, soit une régression de </w:t>
      </w:r>
      <w:r w:rsidR="00232C73" w:rsidRPr="000E53A0">
        <w:rPr>
          <w:rFonts w:asciiTheme="minorHAnsi" w:hAnsiTheme="minorHAnsi" w:cstheme="minorHAnsi"/>
          <w:sz w:val="20"/>
          <w:szCs w:val="20"/>
          <w:lang w:val="fr-FR"/>
        </w:rPr>
        <w:t xml:space="preserve">près de 67% </w:t>
      </w:r>
      <w:r w:rsidRPr="00FB2092">
        <w:rPr>
          <w:rStyle w:val="Appelnotedebasdep"/>
          <w:rFonts w:asciiTheme="minorHAnsi" w:hAnsiTheme="minorHAnsi" w:cstheme="minorHAnsi"/>
          <w:sz w:val="20"/>
          <w:szCs w:val="20"/>
        </w:rPr>
        <w:footnoteReference w:id="42"/>
      </w:r>
      <w:r w:rsidRPr="000E53A0">
        <w:rPr>
          <w:rFonts w:asciiTheme="minorHAnsi" w:hAnsiTheme="minorHAnsi" w:cstheme="minorHAnsi"/>
          <w:sz w:val="20"/>
          <w:szCs w:val="20"/>
          <w:lang w:val="fr-FR"/>
        </w:rPr>
        <w:t xml:space="preserve">. De plus, on estime que la superficie forestière dans la zone inondée </w:t>
      </w:r>
      <w:r w:rsidR="00232C73" w:rsidRPr="000E53A0">
        <w:rPr>
          <w:rFonts w:asciiTheme="minorHAnsi" w:hAnsiTheme="minorHAnsi" w:cstheme="minorHAnsi"/>
          <w:sz w:val="20"/>
          <w:szCs w:val="20"/>
          <w:lang w:val="fr-FR"/>
        </w:rPr>
        <w:t xml:space="preserve">de la région de Mopti </w:t>
      </w:r>
      <w:r w:rsidRPr="000E53A0">
        <w:rPr>
          <w:rFonts w:asciiTheme="minorHAnsi" w:hAnsiTheme="minorHAnsi" w:cstheme="minorHAnsi"/>
          <w:sz w:val="20"/>
          <w:szCs w:val="20"/>
          <w:lang w:val="fr-FR"/>
        </w:rPr>
        <w:t xml:space="preserve">a diminué de 93% en 21 ans. </w:t>
      </w:r>
    </w:p>
    <w:p w14:paraId="775D74EC" w14:textId="77777777" w:rsidR="00601D9B" w:rsidRPr="000E53A0" w:rsidRDefault="000E53A0">
      <w:pPr>
        <w:pStyle w:val="Paragraphedeliste"/>
        <w:numPr>
          <w:ilvl w:val="0"/>
          <w:numId w:val="53"/>
        </w:numPr>
        <w:jc w:val="both"/>
        <w:rPr>
          <w:rFonts w:asciiTheme="minorHAnsi" w:hAnsiTheme="minorHAnsi" w:cstheme="minorHAnsi"/>
          <w:sz w:val="20"/>
          <w:szCs w:val="20"/>
          <w:lang w:val="fr-FR"/>
        </w:rPr>
      </w:pPr>
      <w:r w:rsidRPr="000E53A0">
        <w:rPr>
          <w:rFonts w:asciiTheme="minorHAnsi" w:hAnsiTheme="minorHAnsi" w:cstheme="minorHAnsi"/>
          <w:b/>
          <w:bCs/>
          <w:sz w:val="20"/>
          <w:szCs w:val="20"/>
          <w:lang w:val="fr-FR"/>
        </w:rPr>
        <w:t xml:space="preserve">Mauvaises pratiques de gestion </w:t>
      </w:r>
      <w:r w:rsidR="00232C73" w:rsidRPr="000E53A0">
        <w:rPr>
          <w:rFonts w:asciiTheme="minorHAnsi" w:hAnsiTheme="minorHAnsi" w:cstheme="minorHAnsi"/>
          <w:b/>
          <w:bCs/>
          <w:sz w:val="20"/>
          <w:szCs w:val="20"/>
          <w:lang w:val="fr-FR"/>
        </w:rPr>
        <w:t xml:space="preserve">agricole </w:t>
      </w:r>
      <w:r w:rsidRPr="000E53A0">
        <w:rPr>
          <w:rFonts w:asciiTheme="minorHAnsi" w:hAnsiTheme="minorHAnsi" w:cstheme="minorHAnsi"/>
          <w:b/>
          <w:bCs/>
          <w:sz w:val="20"/>
          <w:szCs w:val="20"/>
          <w:lang w:val="fr-FR"/>
        </w:rPr>
        <w:t xml:space="preserve">:  </w:t>
      </w:r>
      <w:r w:rsidR="00BC6476" w:rsidRPr="000E53A0">
        <w:rPr>
          <w:rFonts w:asciiTheme="minorHAnsi" w:hAnsiTheme="minorHAnsi" w:cstheme="minorHAnsi"/>
          <w:sz w:val="20"/>
          <w:szCs w:val="20"/>
          <w:lang w:val="fr-FR"/>
        </w:rPr>
        <w:t xml:space="preserve">L'agriculture se caractérise par de </w:t>
      </w:r>
      <w:r w:rsidRPr="000E53A0">
        <w:rPr>
          <w:rFonts w:asciiTheme="minorHAnsi" w:hAnsiTheme="minorHAnsi" w:cstheme="minorHAnsi"/>
          <w:sz w:val="20"/>
          <w:szCs w:val="20"/>
          <w:lang w:val="fr-FR"/>
        </w:rPr>
        <w:t xml:space="preserve">faibles rendements agricoles </w:t>
      </w:r>
      <w:r w:rsidR="00BC6476" w:rsidRPr="000E53A0">
        <w:rPr>
          <w:rFonts w:asciiTheme="minorHAnsi" w:hAnsiTheme="minorHAnsi" w:cstheme="minorHAnsi"/>
          <w:sz w:val="20"/>
          <w:szCs w:val="20"/>
          <w:lang w:val="fr-FR"/>
        </w:rPr>
        <w:t xml:space="preserve">qui </w:t>
      </w:r>
      <w:r w:rsidRPr="000E53A0">
        <w:rPr>
          <w:rFonts w:asciiTheme="minorHAnsi" w:hAnsiTheme="minorHAnsi" w:cstheme="minorHAnsi"/>
          <w:sz w:val="20"/>
          <w:szCs w:val="20"/>
          <w:lang w:val="fr-FR"/>
        </w:rPr>
        <w:t xml:space="preserve">ne sont pas suffisants pour assurer la sécurité alimentaire </w:t>
      </w:r>
      <w:r w:rsidR="00BC6476" w:rsidRPr="000E53A0">
        <w:rPr>
          <w:rFonts w:asciiTheme="minorHAnsi" w:hAnsiTheme="minorHAnsi" w:cstheme="minorHAnsi"/>
          <w:sz w:val="20"/>
          <w:szCs w:val="20"/>
          <w:lang w:val="fr-FR"/>
        </w:rPr>
        <w:t xml:space="preserve">et qui peuvent être attribués </w:t>
      </w:r>
      <w:r w:rsidR="00BF149A" w:rsidRPr="000E53A0">
        <w:rPr>
          <w:rFonts w:asciiTheme="minorHAnsi" w:hAnsiTheme="minorHAnsi" w:cstheme="minorHAnsi"/>
          <w:sz w:val="20"/>
          <w:szCs w:val="20"/>
          <w:lang w:val="fr-FR"/>
        </w:rPr>
        <w:t xml:space="preserve">en partie à de mauvaises pratiques agricoles et à un manque de ressources telles que </w:t>
      </w:r>
      <w:r w:rsidR="00BC6476" w:rsidRPr="000E53A0">
        <w:rPr>
          <w:rFonts w:asciiTheme="minorHAnsi" w:hAnsiTheme="minorHAnsi" w:cstheme="minorHAnsi"/>
          <w:sz w:val="20"/>
          <w:szCs w:val="20"/>
          <w:lang w:val="fr-FR"/>
        </w:rPr>
        <w:t xml:space="preserve">: </w:t>
      </w:r>
      <w:r w:rsidRPr="000E53A0">
        <w:rPr>
          <w:rFonts w:asciiTheme="minorHAnsi" w:hAnsiTheme="minorHAnsi" w:cstheme="minorHAnsi"/>
          <w:sz w:val="20"/>
          <w:szCs w:val="20"/>
          <w:lang w:val="fr-FR"/>
        </w:rPr>
        <w:t>le sous-équipement des producteurs</w:t>
      </w:r>
      <w:r w:rsidR="00BC6476" w:rsidRPr="000E53A0">
        <w:rPr>
          <w:rFonts w:asciiTheme="minorHAnsi" w:hAnsiTheme="minorHAnsi" w:cstheme="minorHAnsi"/>
          <w:sz w:val="20"/>
          <w:szCs w:val="20"/>
          <w:lang w:val="fr-FR"/>
        </w:rPr>
        <w:t xml:space="preserve">, le </w:t>
      </w:r>
      <w:r w:rsidRPr="000E53A0">
        <w:rPr>
          <w:rFonts w:asciiTheme="minorHAnsi" w:hAnsiTheme="minorHAnsi" w:cstheme="minorHAnsi"/>
          <w:sz w:val="20"/>
          <w:szCs w:val="20"/>
          <w:lang w:val="fr-FR"/>
        </w:rPr>
        <w:t>faible taux d'adoption des nouvelles technologies</w:t>
      </w:r>
      <w:r w:rsidR="00BC6476" w:rsidRPr="000E53A0">
        <w:rPr>
          <w:rFonts w:asciiTheme="minorHAnsi" w:hAnsiTheme="minorHAnsi" w:cstheme="minorHAnsi"/>
          <w:sz w:val="20"/>
          <w:szCs w:val="20"/>
          <w:lang w:val="fr-FR"/>
        </w:rPr>
        <w:t xml:space="preserve">, </w:t>
      </w:r>
      <w:r w:rsidRPr="000E53A0">
        <w:rPr>
          <w:rFonts w:asciiTheme="minorHAnsi" w:hAnsiTheme="minorHAnsi" w:cstheme="minorHAnsi"/>
          <w:sz w:val="20"/>
          <w:szCs w:val="20"/>
          <w:lang w:val="fr-FR"/>
        </w:rPr>
        <w:t xml:space="preserve">la </w:t>
      </w:r>
      <w:r w:rsidR="00BF149A" w:rsidRPr="000E53A0">
        <w:rPr>
          <w:rFonts w:asciiTheme="minorHAnsi" w:hAnsiTheme="minorHAnsi" w:cstheme="minorHAnsi"/>
          <w:sz w:val="20"/>
          <w:szCs w:val="20"/>
          <w:lang w:val="fr-FR"/>
        </w:rPr>
        <w:t xml:space="preserve">mauvaise gestion </w:t>
      </w:r>
      <w:r w:rsidRPr="000E53A0">
        <w:rPr>
          <w:rFonts w:asciiTheme="minorHAnsi" w:hAnsiTheme="minorHAnsi" w:cstheme="minorHAnsi"/>
          <w:sz w:val="20"/>
          <w:szCs w:val="20"/>
          <w:lang w:val="fr-FR"/>
        </w:rPr>
        <w:t>de plusieurs parasites des cultures</w:t>
      </w:r>
      <w:r w:rsidR="00BF149A" w:rsidRPr="000E53A0">
        <w:rPr>
          <w:rFonts w:asciiTheme="minorHAnsi" w:hAnsiTheme="minorHAnsi" w:cstheme="minorHAnsi"/>
          <w:sz w:val="20"/>
          <w:szCs w:val="20"/>
          <w:lang w:val="fr-FR"/>
        </w:rPr>
        <w:t>, les périodes de jachère raccourcies et la faible utilisation des intrants</w:t>
      </w:r>
      <w:r w:rsidRPr="000E53A0">
        <w:rPr>
          <w:rFonts w:asciiTheme="minorHAnsi" w:hAnsiTheme="minorHAnsi" w:cstheme="minorHAnsi"/>
          <w:sz w:val="20"/>
          <w:szCs w:val="20"/>
          <w:lang w:val="fr-FR"/>
        </w:rPr>
        <w:t>.</w:t>
      </w:r>
      <w:r w:rsidR="00BF149A" w:rsidRPr="000E53A0">
        <w:rPr>
          <w:rFonts w:asciiTheme="minorHAnsi" w:hAnsiTheme="minorHAnsi" w:cstheme="minorHAnsi"/>
          <w:sz w:val="20"/>
          <w:szCs w:val="20"/>
          <w:lang w:val="fr-FR"/>
        </w:rPr>
        <w:t xml:space="preserve"> La culture itinérante, qui contribue de manière significative à la déforestation, est très répandue. </w:t>
      </w:r>
      <w:r w:rsidRPr="000E53A0">
        <w:rPr>
          <w:rFonts w:asciiTheme="minorHAnsi" w:hAnsiTheme="minorHAnsi" w:cstheme="minorHAnsi"/>
          <w:sz w:val="20"/>
          <w:szCs w:val="20"/>
          <w:lang w:val="fr-FR"/>
        </w:rPr>
        <w:t>Intensifiés par le besoin croissant de zones cultivées, les défrichements sont un facteur de dégradation des terres et de réduction de la fertilité des sols</w:t>
      </w:r>
      <w:r w:rsidR="00BF149A" w:rsidRPr="000E53A0">
        <w:rPr>
          <w:rFonts w:asciiTheme="minorHAnsi" w:hAnsiTheme="minorHAnsi" w:cstheme="minorHAnsi"/>
          <w:sz w:val="20"/>
          <w:szCs w:val="20"/>
          <w:lang w:val="fr-FR"/>
        </w:rPr>
        <w:t>.</w:t>
      </w:r>
      <w:r w:rsidRPr="000E53A0">
        <w:rPr>
          <w:rFonts w:asciiTheme="minorHAnsi" w:hAnsiTheme="minorHAnsi" w:cstheme="minorHAnsi"/>
          <w:sz w:val="20"/>
          <w:szCs w:val="20"/>
          <w:lang w:val="fr-FR"/>
        </w:rPr>
        <w:t xml:space="preserve"> En effet, les défrichements continus sont exacerbés par la croissance démographique et la demande de la population en produits alimentaires. En raison de la disparition des systèmes de jachère, les agriculteurs ont été amenés à cultiver des terres sur des sols fragiles à faible rendement agricole, ou des terres marginales ou forestières. Les feux de brousse incontrôlés, qui sont fréquents dans la région</w:t>
      </w:r>
      <w:r w:rsidR="00BF149A" w:rsidRPr="000E53A0">
        <w:rPr>
          <w:rFonts w:asciiTheme="minorHAnsi" w:hAnsiTheme="minorHAnsi" w:cstheme="minorHAnsi"/>
          <w:sz w:val="20"/>
          <w:szCs w:val="20"/>
          <w:lang w:val="fr-FR"/>
        </w:rPr>
        <w:t xml:space="preserve">, sont souvent déclenchés par les pratiques de brûlis. Le </w:t>
      </w:r>
      <w:r w:rsidRPr="000E53A0">
        <w:rPr>
          <w:rFonts w:asciiTheme="minorHAnsi" w:hAnsiTheme="minorHAnsi" w:cstheme="minorHAnsi"/>
          <w:sz w:val="20"/>
          <w:szCs w:val="20"/>
          <w:lang w:val="fr-FR"/>
        </w:rPr>
        <w:t xml:space="preserve">manque de soutien des autorités locales </w:t>
      </w:r>
      <w:r w:rsidR="00E44A31" w:rsidRPr="000E53A0">
        <w:rPr>
          <w:rFonts w:asciiTheme="minorHAnsi" w:hAnsiTheme="minorHAnsi" w:cstheme="minorHAnsi"/>
          <w:sz w:val="20"/>
          <w:szCs w:val="20"/>
          <w:lang w:val="fr-FR"/>
        </w:rPr>
        <w:t xml:space="preserve">contribue </w:t>
      </w:r>
      <w:r w:rsidRPr="000E53A0">
        <w:rPr>
          <w:rFonts w:asciiTheme="minorHAnsi" w:hAnsiTheme="minorHAnsi" w:cstheme="minorHAnsi"/>
          <w:sz w:val="20"/>
          <w:szCs w:val="20"/>
          <w:lang w:val="fr-FR"/>
        </w:rPr>
        <w:t xml:space="preserve">également à la mauvaise gestion des terres : dans la région de Mopti, seuls 37% des ménages </w:t>
      </w:r>
      <w:r w:rsidR="00E44A31" w:rsidRPr="000E53A0">
        <w:rPr>
          <w:rFonts w:asciiTheme="minorHAnsi" w:hAnsiTheme="minorHAnsi" w:cstheme="minorHAnsi"/>
          <w:sz w:val="20"/>
          <w:szCs w:val="20"/>
          <w:lang w:val="fr-FR"/>
        </w:rPr>
        <w:t xml:space="preserve">ont déclaré recevoir un </w:t>
      </w:r>
      <w:r w:rsidRPr="000E53A0">
        <w:rPr>
          <w:rFonts w:asciiTheme="minorHAnsi" w:hAnsiTheme="minorHAnsi" w:cstheme="minorHAnsi"/>
          <w:sz w:val="20"/>
          <w:szCs w:val="20"/>
          <w:lang w:val="fr-FR"/>
        </w:rPr>
        <w:t xml:space="preserve">soutien de la part d'une autorité locale. Dans l'ensemble, la mauvaise gestion des terres affecte considérablement la productivité des cultures pluviales de la région, </w:t>
      </w:r>
      <w:r w:rsidR="00E44A31" w:rsidRPr="000E53A0">
        <w:rPr>
          <w:rFonts w:asciiTheme="minorHAnsi" w:hAnsiTheme="minorHAnsi" w:cstheme="minorHAnsi"/>
          <w:sz w:val="20"/>
          <w:szCs w:val="20"/>
          <w:lang w:val="fr-FR"/>
        </w:rPr>
        <w:t xml:space="preserve">contribue à la </w:t>
      </w:r>
      <w:r w:rsidRPr="000E53A0">
        <w:rPr>
          <w:rFonts w:asciiTheme="minorHAnsi" w:hAnsiTheme="minorHAnsi" w:cstheme="minorHAnsi"/>
          <w:sz w:val="20"/>
          <w:szCs w:val="20"/>
          <w:lang w:val="fr-FR"/>
        </w:rPr>
        <w:t xml:space="preserve">dégradation généralisée des écosystèmes naturels et à </w:t>
      </w:r>
      <w:r w:rsidR="00E44A31" w:rsidRPr="000E53A0">
        <w:rPr>
          <w:rFonts w:asciiTheme="minorHAnsi" w:hAnsiTheme="minorHAnsi" w:cstheme="minorHAnsi"/>
          <w:sz w:val="20"/>
          <w:szCs w:val="20"/>
          <w:lang w:val="fr-FR"/>
        </w:rPr>
        <w:t>l'</w:t>
      </w:r>
      <w:r w:rsidRPr="000E53A0">
        <w:rPr>
          <w:rFonts w:asciiTheme="minorHAnsi" w:hAnsiTheme="minorHAnsi" w:cstheme="minorHAnsi"/>
          <w:sz w:val="20"/>
          <w:szCs w:val="20"/>
          <w:lang w:val="fr-FR"/>
        </w:rPr>
        <w:t xml:space="preserve">insécurité alimentaire. </w:t>
      </w:r>
    </w:p>
    <w:p w14:paraId="575B7952" w14:textId="77777777" w:rsidR="00601D9B" w:rsidRPr="000E53A0" w:rsidRDefault="000E53A0">
      <w:pPr>
        <w:pStyle w:val="Paragraphedeliste"/>
        <w:numPr>
          <w:ilvl w:val="0"/>
          <w:numId w:val="53"/>
        </w:numPr>
        <w:jc w:val="both"/>
        <w:rPr>
          <w:rFonts w:asciiTheme="minorHAnsi" w:hAnsiTheme="minorHAnsi" w:cstheme="minorHAnsi"/>
          <w:b/>
          <w:bCs/>
          <w:sz w:val="20"/>
          <w:szCs w:val="20"/>
          <w:lang w:val="fr-FR" w:eastAsia="x-none"/>
        </w:rPr>
      </w:pPr>
      <w:r w:rsidRPr="000E53A0">
        <w:rPr>
          <w:rFonts w:asciiTheme="minorHAnsi" w:hAnsiTheme="minorHAnsi" w:cstheme="minorHAnsi"/>
          <w:b/>
          <w:bCs/>
          <w:sz w:val="20"/>
          <w:szCs w:val="20"/>
          <w:lang w:val="fr-FR" w:eastAsia="x-none"/>
        </w:rPr>
        <w:lastRenderedPageBreak/>
        <w:t xml:space="preserve">Surpâturage par le bétail : Le </w:t>
      </w:r>
      <w:r w:rsidRPr="000E53A0">
        <w:rPr>
          <w:rFonts w:asciiTheme="minorHAnsi" w:hAnsiTheme="minorHAnsi" w:cstheme="minorHAnsi"/>
          <w:sz w:val="20"/>
          <w:szCs w:val="20"/>
          <w:lang w:val="fr-FR" w:eastAsia="x-none"/>
        </w:rPr>
        <w:t xml:space="preserve">surpâturage est l'un des moteurs de la dégradation des terres </w:t>
      </w:r>
      <w:r w:rsidRPr="000E53A0">
        <w:rPr>
          <w:rFonts w:asciiTheme="minorHAnsi" w:hAnsiTheme="minorHAnsi" w:cstheme="minorHAnsi"/>
          <w:sz w:val="20"/>
          <w:szCs w:val="20"/>
          <w:lang w:val="fr-FR"/>
        </w:rPr>
        <w:t xml:space="preserve">en provoquant une érosion importante des sols et un durcissement des couches supérieures du sol, empêchant l'infiltration des eaux de pluie, accentuant la perte de végétation et aggravant les </w:t>
      </w:r>
      <w:r w:rsidR="000568B7" w:rsidRPr="000E53A0">
        <w:rPr>
          <w:rFonts w:asciiTheme="minorHAnsi" w:hAnsiTheme="minorHAnsi" w:cstheme="minorHAnsi"/>
          <w:sz w:val="20"/>
          <w:szCs w:val="20"/>
          <w:lang w:val="fr-FR"/>
        </w:rPr>
        <w:t xml:space="preserve">impacts des inondations </w:t>
      </w:r>
      <w:r w:rsidRPr="000E53A0">
        <w:rPr>
          <w:rFonts w:asciiTheme="minorHAnsi" w:hAnsiTheme="minorHAnsi" w:cstheme="minorHAnsi"/>
          <w:sz w:val="20"/>
          <w:szCs w:val="20"/>
          <w:lang w:val="fr-FR"/>
        </w:rPr>
        <w:t xml:space="preserve">et accélérant la désertification. La </w:t>
      </w:r>
      <w:r w:rsidRPr="000E53A0">
        <w:rPr>
          <w:rFonts w:asciiTheme="minorHAnsi" w:hAnsiTheme="minorHAnsi" w:cstheme="minorHAnsi"/>
          <w:sz w:val="20"/>
          <w:szCs w:val="20"/>
          <w:lang w:val="fr-FR" w:eastAsia="x-none"/>
        </w:rPr>
        <w:t xml:space="preserve">majorité du bétail malien est transhumant et dépend actuellement fortement de pâturages à faible productivité, d'une </w:t>
      </w:r>
      <w:r w:rsidR="000568B7" w:rsidRPr="000E53A0">
        <w:rPr>
          <w:rFonts w:asciiTheme="minorHAnsi" w:hAnsiTheme="minorHAnsi" w:cstheme="minorHAnsi"/>
          <w:sz w:val="20"/>
          <w:szCs w:val="20"/>
          <w:lang w:val="fr-FR" w:eastAsia="x-none"/>
        </w:rPr>
        <w:t xml:space="preserve">disponibilité </w:t>
      </w:r>
      <w:r w:rsidRPr="000E53A0">
        <w:rPr>
          <w:rFonts w:asciiTheme="minorHAnsi" w:hAnsiTheme="minorHAnsi" w:cstheme="minorHAnsi"/>
          <w:sz w:val="20"/>
          <w:szCs w:val="20"/>
          <w:lang w:val="fr-FR" w:eastAsia="x-none"/>
        </w:rPr>
        <w:t xml:space="preserve">fluctuante </w:t>
      </w:r>
      <w:r w:rsidR="000568B7" w:rsidRPr="000E53A0">
        <w:rPr>
          <w:rFonts w:asciiTheme="minorHAnsi" w:hAnsiTheme="minorHAnsi" w:cstheme="minorHAnsi"/>
          <w:sz w:val="20"/>
          <w:szCs w:val="20"/>
          <w:lang w:val="fr-FR" w:eastAsia="x-none"/>
        </w:rPr>
        <w:t xml:space="preserve">de </w:t>
      </w:r>
      <w:r w:rsidRPr="000E53A0">
        <w:rPr>
          <w:rFonts w:asciiTheme="minorHAnsi" w:hAnsiTheme="minorHAnsi" w:cstheme="minorHAnsi"/>
          <w:sz w:val="20"/>
          <w:szCs w:val="20"/>
          <w:lang w:val="fr-FR" w:eastAsia="x-none"/>
        </w:rPr>
        <w:t xml:space="preserve">fourrage et d'une gestion inadéquate de l'eau, induisant une surexploitation de </w:t>
      </w:r>
      <w:r w:rsidR="000568B7" w:rsidRPr="000E53A0">
        <w:rPr>
          <w:rFonts w:asciiTheme="minorHAnsi" w:hAnsiTheme="minorHAnsi" w:cstheme="minorHAnsi"/>
          <w:sz w:val="20"/>
          <w:szCs w:val="20"/>
          <w:lang w:val="fr-FR" w:eastAsia="x-none"/>
        </w:rPr>
        <w:t>ces ressources</w:t>
      </w:r>
      <w:r w:rsidRPr="000E53A0">
        <w:rPr>
          <w:rFonts w:asciiTheme="minorHAnsi" w:hAnsiTheme="minorHAnsi" w:cstheme="minorHAnsi"/>
          <w:sz w:val="20"/>
          <w:szCs w:val="20"/>
          <w:lang w:val="fr-FR" w:eastAsia="x-none"/>
        </w:rPr>
        <w:t xml:space="preserve">. Les </w:t>
      </w:r>
      <w:r w:rsidR="000568B7" w:rsidRPr="000E53A0">
        <w:rPr>
          <w:rFonts w:asciiTheme="minorHAnsi" w:hAnsiTheme="minorHAnsi" w:cstheme="minorHAnsi"/>
          <w:sz w:val="20"/>
          <w:szCs w:val="20"/>
          <w:lang w:val="fr-FR"/>
        </w:rPr>
        <w:t>effectifs</w:t>
      </w:r>
      <w:r w:rsidRPr="000E53A0">
        <w:rPr>
          <w:rFonts w:asciiTheme="minorHAnsi" w:hAnsiTheme="minorHAnsi" w:cstheme="minorHAnsi"/>
          <w:sz w:val="20"/>
          <w:szCs w:val="20"/>
          <w:lang w:val="fr-FR"/>
        </w:rPr>
        <w:t xml:space="preserve"> élevés de bétail dépassent les capacités de production des </w:t>
      </w:r>
      <w:r w:rsidR="000568B7" w:rsidRPr="000E53A0">
        <w:rPr>
          <w:rFonts w:asciiTheme="minorHAnsi" w:hAnsiTheme="minorHAnsi" w:cstheme="minorHAnsi"/>
          <w:sz w:val="20"/>
          <w:szCs w:val="20"/>
          <w:lang w:val="fr-FR"/>
        </w:rPr>
        <w:t xml:space="preserve">terres, ce qui </w:t>
      </w:r>
      <w:r w:rsidRPr="000E53A0">
        <w:rPr>
          <w:rFonts w:asciiTheme="minorHAnsi" w:hAnsiTheme="minorHAnsi" w:cstheme="minorHAnsi"/>
          <w:sz w:val="20"/>
          <w:szCs w:val="20"/>
          <w:lang w:val="fr-FR"/>
        </w:rPr>
        <w:t xml:space="preserve">explique </w:t>
      </w:r>
      <w:r w:rsidRPr="000E53A0">
        <w:rPr>
          <w:rFonts w:asciiTheme="minorHAnsi" w:hAnsiTheme="minorHAnsi" w:cstheme="minorHAnsi"/>
          <w:sz w:val="20"/>
          <w:szCs w:val="20"/>
          <w:lang w:val="fr-FR" w:eastAsia="x-none"/>
        </w:rPr>
        <w:t xml:space="preserve">la concentration des troupeaux autour des points d'eau et la modification des voies réservées au passage du bétail. Ceci </w:t>
      </w:r>
      <w:r w:rsidR="000568B7" w:rsidRPr="000E53A0">
        <w:rPr>
          <w:rFonts w:asciiTheme="minorHAnsi" w:hAnsiTheme="minorHAnsi" w:cstheme="minorHAnsi"/>
          <w:sz w:val="20"/>
          <w:szCs w:val="20"/>
          <w:lang w:val="fr-FR" w:eastAsia="x-none"/>
        </w:rPr>
        <w:t xml:space="preserve">a </w:t>
      </w:r>
      <w:r w:rsidRPr="000E53A0">
        <w:rPr>
          <w:rFonts w:asciiTheme="minorHAnsi" w:hAnsiTheme="minorHAnsi" w:cstheme="minorHAnsi"/>
          <w:sz w:val="20"/>
          <w:szCs w:val="20"/>
          <w:lang w:val="fr-FR" w:eastAsia="x-none"/>
        </w:rPr>
        <w:t xml:space="preserve">entraîné le déplacement des pâturages vers la zone soudanienne et guinéenne au sud, renforçant les conflits entre agriculteurs et éleveurs. Les équipements sont souvent insuffisants ainsi que l'aménagement pastoral (forage, puits...). La gestion des pâturages pourrait être efficace pour résoudre ce problème mais elle est mal appliquée dans la zone. </w:t>
      </w:r>
    </w:p>
    <w:p w14:paraId="6B4A14BB" w14:textId="77777777" w:rsidR="00601D9B" w:rsidRPr="000E53A0" w:rsidRDefault="000E53A0">
      <w:pPr>
        <w:pStyle w:val="Paragraphedeliste"/>
        <w:numPr>
          <w:ilvl w:val="0"/>
          <w:numId w:val="53"/>
        </w:numPr>
        <w:jc w:val="both"/>
        <w:rPr>
          <w:rFonts w:asciiTheme="minorHAnsi" w:hAnsiTheme="minorHAnsi" w:cstheme="minorHAnsi"/>
          <w:sz w:val="20"/>
          <w:szCs w:val="20"/>
          <w:lang w:val="fr-FR"/>
        </w:rPr>
      </w:pPr>
      <w:bookmarkStart w:id="11" w:name="_Hlk40782630"/>
      <w:r w:rsidRPr="000E53A0">
        <w:rPr>
          <w:rFonts w:asciiTheme="minorHAnsi" w:hAnsiTheme="minorHAnsi" w:cstheme="minorHAnsi"/>
          <w:b/>
          <w:bCs/>
          <w:sz w:val="20"/>
          <w:szCs w:val="20"/>
          <w:lang w:val="fr-FR"/>
        </w:rPr>
        <w:t>Gestion des eaux souterraines :</w:t>
      </w:r>
      <w:bookmarkEnd w:id="11"/>
      <w:r w:rsidRPr="000E53A0">
        <w:rPr>
          <w:rFonts w:asciiTheme="minorHAnsi" w:hAnsiTheme="minorHAnsi" w:cstheme="minorHAnsi"/>
          <w:sz w:val="20"/>
          <w:szCs w:val="20"/>
          <w:lang w:val="fr-FR"/>
        </w:rPr>
        <w:t xml:space="preserve"> Avec une variabilité accrue des précipitations et des sécheresses localisées, les villages du nord et du centre du Mali ont besoin de stratégies d'adaptation pour maximiser la disponibilité de l'eau pour la boisson, l'assainissement, le bétail et l'irrigation des cultures. Actuellement, certaines parties de Mopti, dans et autour du delta intérieur du Niger, présentent un potentiel important d'eaux souterraines, mais ne sont pas exploitées de manière durable. Les ressources en eau sont menacées par le gaspillage ou la gestion non durable de l'eau, l'envasement des cours d'eau et des lacs, </w:t>
      </w:r>
      <w:r w:rsidR="00C37E42" w:rsidRPr="000E53A0">
        <w:rPr>
          <w:rFonts w:asciiTheme="minorHAnsi" w:hAnsiTheme="minorHAnsi" w:cstheme="minorHAnsi"/>
          <w:sz w:val="20"/>
          <w:szCs w:val="20"/>
          <w:lang w:val="fr-FR"/>
        </w:rPr>
        <w:t xml:space="preserve">et la </w:t>
      </w:r>
      <w:r w:rsidRPr="000E53A0">
        <w:rPr>
          <w:rFonts w:asciiTheme="minorHAnsi" w:hAnsiTheme="minorHAnsi" w:cstheme="minorHAnsi"/>
          <w:sz w:val="20"/>
          <w:szCs w:val="20"/>
          <w:lang w:val="fr-FR"/>
        </w:rPr>
        <w:t>pollution. Le captage des eaux de surface par de petits barrages et la collecte des eaux de pluie est également inadéquat. Ces dernières années</w:t>
      </w:r>
      <w:r w:rsidR="00C37E42" w:rsidRPr="000E53A0">
        <w:rPr>
          <w:rFonts w:asciiTheme="minorHAnsi" w:hAnsiTheme="minorHAnsi" w:cstheme="minorHAnsi"/>
          <w:sz w:val="20"/>
          <w:szCs w:val="20"/>
          <w:lang w:val="fr-FR"/>
        </w:rPr>
        <w:t xml:space="preserve">, </w:t>
      </w:r>
      <w:r w:rsidRPr="000E53A0">
        <w:rPr>
          <w:rFonts w:asciiTheme="minorHAnsi" w:hAnsiTheme="minorHAnsi" w:cstheme="minorHAnsi"/>
          <w:sz w:val="20"/>
          <w:szCs w:val="20"/>
          <w:lang w:val="fr-FR"/>
        </w:rPr>
        <w:t>avec le changement du régime des pluies, les régions du sud du Mali ont connu des inondations, notamment des crues soudaines à Bamako en 2013, causant des pertes humaines et le déplacement de 20 000 personnes. Dans le delta, le problème opposé d'inondations insuffisantes</w:t>
      </w:r>
      <w:r w:rsidR="00FF3B09" w:rsidRPr="000E53A0">
        <w:rPr>
          <w:rFonts w:asciiTheme="minorHAnsi" w:hAnsiTheme="minorHAnsi" w:cstheme="minorHAnsi"/>
          <w:sz w:val="20"/>
          <w:szCs w:val="20"/>
          <w:lang w:val="fr-FR"/>
        </w:rPr>
        <w:t xml:space="preserve">, </w:t>
      </w:r>
      <w:r w:rsidRPr="000E53A0">
        <w:rPr>
          <w:rFonts w:asciiTheme="minorHAnsi" w:hAnsiTheme="minorHAnsi" w:cstheme="minorHAnsi"/>
          <w:sz w:val="20"/>
          <w:szCs w:val="20"/>
          <w:lang w:val="fr-FR"/>
        </w:rPr>
        <w:t xml:space="preserve">attendues </w:t>
      </w:r>
      <w:r w:rsidR="00FF3B09" w:rsidRPr="000E53A0">
        <w:rPr>
          <w:rFonts w:asciiTheme="minorHAnsi" w:hAnsiTheme="minorHAnsi" w:cstheme="minorHAnsi"/>
          <w:sz w:val="20"/>
          <w:szCs w:val="20"/>
          <w:lang w:val="fr-FR"/>
        </w:rPr>
        <w:t xml:space="preserve">et </w:t>
      </w:r>
      <w:r w:rsidRPr="000E53A0">
        <w:rPr>
          <w:rFonts w:asciiTheme="minorHAnsi" w:hAnsiTheme="minorHAnsi" w:cstheme="minorHAnsi"/>
          <w:sz w:val="20"/>
          <w:szCs w:val="20"/>
          <w:lang w:val="fr-FR"/>
        </w:rPr>
        <w:t xml:space="preserve">gérables existe également. L'inondation saisonnière de la zone massive du delta est la base de la riziculture irriguée, de la pêche et du pâturage (ainsi qu'un site Ramsar et un site mondial important pour les oiseaux migrateurs), mais la zone inondée a diminué, passant de plus de 35 000 </w:t>
      </w:r>
      <w:r w:rsidRPr="000E53A0">
        <w:rPr>
          <w:rFonts w:asciiTheme="minorHAnsi" w:hAnsiTheme="minorHAnsi" w:cstheme="minorHAnsi"/>
          <w:sz w:val="20"/>
          <w:szCs w:val="20"/>
          <w:vertAlign w:val="superscript"/>
          <w:lang w:val="fr-FR"/>
        </w:rPr>
        <w:t xml:space="preserve">km2 </w:t>
      </w:r>
      <w:r w:rsidRPr="000E53A0">
        <w:rPr>
          <w:rFonts w:asciiTheme="minorHAnsi" w:hAnsiTheme="minorHAnsi" w:cstheme="minorHAnsi"/>
          <w:sz w:val="20"/>
          <w:szCs w:val="20"/>
          <w:lang w:val="fr-FR"/>
        </w:rPr>
        <w:t xml:space="preserve">chaque année à parfois seulement 10 000 </w:t>
      </w:r>
      <w:r w:rsidRPr="000E53A0">
        <w:rPr>
          <w:rFonts w:asciiTheme="minorHAnsi" w:hAnsiTheme="minorHAnsi" w:cstheme="minorHAnsi"/>
          <w:sz w:val="20"/>
          <w:szCs w:val="20"/>
          <w:vertAlign w:val="superscript"/>
          <w:lang w:val="fr-FR"/>
        </w:rPr>
        <w:t xml:space="preserve">km2 </w:t>
      </w:r>
      <w:r w:rsidRPr="000E53A0">
        <w:rPr>
          <w:rFonts w:asciiTheme="minorHAnsi" w:hAnsiTheme="minorHAnsi" w:cstheme="minorHAnsi"/>
          <w:sz w:val="20"/>
          <w:szCs w:val="20"/>
          <w:lang w:val="fr-FR"/>
        </w:rPr>
        <w:t xml:space="preserve">en cas de sécheresse. Ce phénomène s'explique par la baisse du débit moyen du Niger, qui est passé de 1 300 </w:t>
      </w:r>
      <w:r w:rsidRPr="000E53A0">
        <w:rPr>
          <w:rFonts w:asciiTheme="minorHAnsi" w:hAnsiTheme="minorHAnsi" w:cstheme="minorHAnsi"/>
          <w:sz w:val="20"/>
          <w:szCs w:val="20"/>
          <w:vertAlign w:val="superscript"/>
          <w:lang w:val="fr-FR"/>
        </w:rPr>
        <w:t xml:space="preserve">m3/seconde </w:t>
      </w:r>
      <w:r w:rsidRPr="000E53A0">
        <w:rPr>
          <w:rFonts w:asciiTheme="minorHAnsi" w:hAnsiTheme="minorHAnsi" w:cstheme="minorHAnsi"/>
          <w:sz w:val="20"/>
          <w:szCs w:val="20"/>
          <w:lang w:val="fr-FR"/>
        </w:rPr>
        <w:t xml:space="preserve">en 1978 à 895 </w:t>
      </w:r>
      <w:r w:rsidRPr="000E53A0">
        <w:rPr>
          <w:rFonts w:asciiTheme="minorHAnsi" w:hAnsiTheme="minorHAnsi" w:cstheme="minorHAnsi"/>
          <w:sz w:val="20"/>
          <w:szCs w:val="20"/>
          <w:vertAlign w:val="superscript"/>
          <w:lang w:val="fr-FR"/>
        </w:rPr>
        <w:t xml:space="preserve">m3/seconde </w:t>
      </w:r>
      <w:r w:rsidRPr="000E53A0">
        <w:rPr>
          <w:rFonts w:asciiTheme="minorHAnsi" w:hAnsiTheme="minorHAnsi" w:cstheme="minorHAnsi"/>
          <w:sz w:val="20"/>
          <w:szCs w:val="20"/>
          <w:lang w:val="fr-FR"/>
        </w:rPr>
        <w:t xml:space="preserve">en 2002.  Les terres cultivées irriguées sont sujettes à des problèmes de lessivage et d'alcalinisation des sols, et à la propagation de plantes envahissantes, ainsi qu'à une gestion inefficace pour lutter contre l'envasement. Avec la disparition de la végétation dans les bassins versants amont, l'érosion des berges provoque un envasement massif des rivières, canaux et étangs, notamment dans le Niger en aval de Bamako et dans le Delta. Cela a conduit à la modification des systèmes de production et à la diminution des pâturages, attisant les tensions entre agriculteurs et éleveurs. </w:t>
      </w:r>
    </w:p>
    <w:p w14:paraId="140A30E3" w14:textId="77777777" w:rsidR="00601D9B" w:rsidRPr="000E53A0" w:rsidRDefault="000E53A0">
      <w:pPr>
        <w:pStyle w:val="Paragraphedeliste"/>
        <w:numPr>
          <w:ilvl w:val="0"/>
          <w:numId w:val="53"/>
        </w:numPr>
        <w:jc w:val="both"/>
        <w:rPr>
          <w:rFonts w:asciiTheme="minorHAnsi" w:hAnsiTheme="minorHAnsi" w:cstheme="minorHAnsi"/>
          <w:sz w:val="20"/>
          <w:szCs w:val="20"/>
          <w:lang w:val="fr-FR"/>
        </w:rPr>
      </w:pPr>
      <w:r w:rsidRPr="000E53A0">
        <w:rPr>
          <w:rFonts w:asciiTheme="minorHAnsi" w:hAnsiTheme="minorHAnsi" w:cstheme="minorHAnsi"/>
          <w:b/>
          <w:bCs/>
          <w:sz w:val="20"/>
          <w:szCs w:val="20"/>
          <w:lang w:val="fr-FR"/>
        </w:rPr>
        <w:t xml:space="preserve">Pratiques de pêche non durables : </w:t>
      </w:r>
      <w:r w:rsidR="000242A6" w:rsidRPr="000E53A0">
        <w:rPr>
          <w:rFonts w:asciiTheme="minorHAnsi" w:hAnsiTheme="minorHAnsi" w:cstheme="minorHAnsi"/>
          <w:sz w:val="20"/>
          <w:szCs w:val="20"/>
          <w:lang w:val="fr-FR"/>
        </w:rPr>
        <w:t>La pêche est principalement pratiquée pour l'</w:t>
      </w:r>
      <w:r w:rsidRPr="000E53A0">
        <w:rPr>
          <w:rFonts w:asciiTheme="minorHAnsi" w:hAnsiTheme="minorHAnsi" w:cstheme="minorHAnsi"/>
          <w:sz w:val="20"/>
          <w:szCs w:val="20"/>
          <w:lang w:val="fr-FR"/>
        </w:rPr>
        <w:t xml:space="preserve">autoconsommation, </w:t>
      </w:r>
      <w:r w:rsidR="000242A6" w:rsidRPr="000E53A0">
        <w:rPr>
          <w:rFonts w:asciiTheme="minorHAnsi" w:hAnsiTheme="minorHAnsi" w:cstheme="minorHAnsi"/>
          <w:sz w:val="20"/>
          <w:szCs w:val="20"/>
          <w:lang w:val="fr-FR"/>
        </w:rPr>
        <w:t xml:space="preserve">bien qu'elle soit également </w:t>
      </w:r>
      <w:r w:rsidRPr="000E53A0">
        <w:rPr>
          <w:rFonts w:asciiTheme="minorHAnsi" w:hAnsiTheme="minorHAnsi" w:cstheme="minorHAnsi"/>
          <w:sz w:val="20"/>
          <w:szCs w:val="20"/>
          <w:lang w:val="fr-FR"/>
        </w:rPr>
        <w:t xml:space="preserve">une source importante de revenus pour les populations locales de Mopti, notamment pour les </w:t>
      </w:r>
      <w:r w:rsidR="000242A6" w:rsidRPr="000E53A0">
        <w:rPr>
          <w:rFonts w:asciiTheme="minorHAnsi" w:hAnsiTheme="minorHAnsi" w:cstheme="minorHAnsi"/>
          <w:sz w:val="20"/>
          <w:szCs w:val="20"/>
          <w:lang w:val="fr-FR"/>
        </w:rPr>
        <w:t xml:space="preserve">populations </w:t>
      </w:r>
      <w:r w:rsidRPr="000E53A0">
        <w:rPr>
          <w:rFonts w:asciiTheme="minorHAnsi" w:hAnsiTheme="minorHAnsi" w:cstheme="minorHAnsi"/>
          <w:sz w:val="20"/>
          <w:szCs w:val="20"/>
          <w:lang w:val="fr-FR"/>
        </w:rPr>
        <w:t>Bozos, Somono et Sorko</w:t>
      </w:r>
      <w:r w:rsidR="000242A6" w:rsidRPr="000E53A0">
        <w:rPr>
          <w:rFonts w:asciiTheme="minorHAnsi" w:hAnsiTheme="minorHAnsi" w:cstheme="minorHAnsi"/>
          <w:sz w:val="20"/>
          <w:szCs w:val="20"/>
          <w:lang w:val="fr-FR"/>
        </w:rPr>
        <w:t xml:space="preserve">, </w:t>
      </w:r>
      <w:r w:rsidRPr="000E53A0">
        <w:rPr>
          <w:rFonts w:asciiTheme="minorHAnsi" w:hAnsiTheme="minorHAnsi" w:cstheme="minorHAnsi"/>
          <w:sz w:val="20"/>
          <w:szCs w:val="20"/>
          <w:lang w:val="fr-FR"/>
        </w:rPr>
        <w:t xml:space="preserve">et </w:t>
      </w:r>
      <w:r w:rsidR="000242A6" w:rsidRPr="000E53A0">
        <w:rPr>
          <w:rFonts w:asciiTheme="minorHAnsi" w:hAnsiTheme="minorHAnsi" w:cstheme="minorHAnsi"/>
          <w:sz w:val="20"/>
          <w:szCs w:val="20"/>
          <w:lang w:val="fr-FR"/>
        </w:rPr>
        <w:t xml:space="preserve">constitue </w:t>
      </w:r>
      <w:r w:rsidRPr="000E53A0">
        <w:rPr>
          <w:rFonts w:asciiTheme="minorHAnsi" w:hAnsiTheme="minorHAnsi" w:cstheme="minorHAnsi"/>
          <w:sz w:val="20"/>
          <w:szCs w:val="20"/>
          <w:lang w:val="fr-FR"/>
        </w:rPr>
        <w:t xml:space="preserve">la troisième activité économique principale de la région de Mopti après l'agriculture et le </w:t>
      </w:r>
      <w:r w:rsidR="000242A6" w:rsidRPr="000E53A0">
        <w:rPr>
          <w:rFonts w:asciiTheme="minorHAnsi" w:hAnsiTheme="minorHAnsi" w:cstheme="minorHAnsi"/>
          <w:sz w:val="20"/>
          <w:szCs w:val="20"/>
          <w:lang w:val="fr-FR"/>
        </w:rPr>
        <w:t>pastoralisme</w:t>
      </w:r>
      <w:r w:rsidRPr="000E53A0">
        <w:rPr>
          <w:rFonts w:asciiTheme="minorHAnsi" w:hAnsiTheme="minorHAnsi" w:cstheme="minorHAnsi"/>
          <w:sz w:val="20"/>
          <w:szCs w:val="20"/>
          <w:lang w:val="fr-FR"/>
        </w:rPr>
        <w:t>. La production de poisson peut atteindre 100 000 tonnes par an</w:t>
      </w:r>
      <w:r w:rsidR="00E000A4" w:rsidRPr="000E53A0">
        <w:rPr>
          <w:rFonts w:asciiTheme="minorHAnsi" w:hAnsiTheme="minorHAnsi" w:cstheme="minorHAnsi"/>
          <w:sz w:val="20"/>
          <w:szCs w:val="20"/>
          <w:lang w:val="fr-FR"/>
        </w:rPr>
        <w:t xml:space="preserve">, </w:t>
      </w:r>
      <w:r w:rsidRPr="000E53A0">
        <w:rPr>
          <w:rFonts w:asciiTheme="minorHAnsi" w:hAnsiTheme="minorHAnsi" w:cstheme="minorHAnsi"/>
          <w:sz w:val="20"/>
          <w:szCs w:val="20"/>
          <w:lang w:val="fr-FR"/>
        </w:rPr>
        <w:t>malgré les sécheresses et les régimes pluviométriques erratiques</w:t>
      </w:r>
      <w:r w:rsidRPr="000E53A0">
        <w:rPr>
          <w:rFonts w:asciiTheme="minorHAnsi" w:hAnsiTheme="minorHAnsi" w:cstheme="minorHAnsi"/>
          <w:i/>
          <w:iCs/>
          <w:sz w:val="20"/>
          <w:szCs w:val="20"/>
          <w:lang w:val="fr-FR"/>
        </w:rPr>
        <w:t xml:space="preserve">. </w:t>
      </w:r>
      <w:r w:rsidRPr="000E53A0">
        <w:rPr>
          <w:rFonts w:asciiTheme="minorHAnsi" w:hAnsiTheme="minorHAnsi" w:cstheme="minorHAnsi"/>
          <w:sz w:val="20"/>
          <w:szCs w:val="20"/>
          <w:lang w:val="fr-FR"/>
        </w:rPr>
        <w:t xml:space="preserve">Principalement pratiquée dans le delta du Niger et le Sourou, la pêche a exacerbé la pression sur les stocks de poissons, entraînant une diminution de la production de poissons et une dégradation des habitats naturels, en </w:t>
      </w:r>
      <w:r w:rsidR="00E000A4" w:rsidRPr="000E53A0">
        <w:rPr>
          <w:rFonts w:asciiTheme="minorHAnsi" w:hAnsiTheme="minorHAnsi" w:cstheme="minorHAnsi"/>
          <w:sz w:val="20"/>
          <w:szCs w:val="20"/>
          <w:lang w:val="fr-FR"/>
        </w:rPr>
        <w:t xml:space="preserve">raison notamment de pratiques de </w:t>
      </w:r>
      <w:r w:rsidRPr="000E53A0">
        <w:rPr>
          <w:rFonts w:asciiTheme="minorHAnsi" w:hAnsiTheme="minorHAnsi" w:cstheme="minorHAnsi"/>
          <w:sz w:val="20"/>
          <w:szCs w:val="20"/>
          <w:lang w:val="fr-FR"/>
        </w:rPr>
        <w:t xml:space="preserve">pêche non durables. Les pratiques de pêche illégale impliquant l'introduction d'engins de pêche, de substances toxiques et d'explosifs ont également contribué à la dégradation de </w:t>
      </w:r>
      <w:r w:rsidR="00E000A4" w:rsidRPr="000E53A0">
        <w:rPr>
          <w:rFonts w:asciiTheme="minorHAnsi" w:hAnsiTheme="minorHAnsi" w:cstheme="minorHAnsi"/>
          <w:sz w:val="20"/>
          <w:szCs w:val="20"/>
          <w:lang w:val="fr-FR"/>
        </w:rPr>
        <w:t xml:space="preserve">l'environnement </w:t>
      </w:r>
      <w:r w:rsidRPr="000E53A0">
        <w:rPr>
          <w:rFonts w:asciiTheme="minorHAnsi" w:hAnsiTheme="minorHAnsi" w:cstheme="minorHAnsi"/>
          <w:sz w:val="20"/>
          <w:szCs w:val="20"/>
          <w:lang w:val="fr-FR"/>
        </w:rPr>
        <w:t xml:space="preserve">et à la diminution de la capacité de renouvellement des stocks de poissons. </w:t>
      </w:r>
      <w:r w:rsidR="00AD0F68" w:rsidRPr="000E53A0">
        <w:rPr>
          <w:rFonts w:asciiTheme="minorHAnsi" w:hAnsiTheme="minorHAnsi" w:cstheme="minorHAnsi"/>
          <w:sz w:val="20"/>
          <w:szCs w:val="20"/>
          <w:lang w:val="fr-FR"/>
        </w:rPr>
        <w:t xml:space="preserve">Inversement, la </w:t>
      </w:r>
      <w:r w:rsidRPr="000E53A0">
        <w:rPr>
          <w:rFonts w:asciiTheme="minorHAnsi" w:hAnsiTheme="minorHAnsi" w:cstheme="minorHAnsi"/>
          <w:sz w:val="20"/>
          <w:szCs w:val="20"/>
          <w:lang w:val="fr-FR"/>
        </w:rPr>
        <w:t xml:space="preserve">dégradation des sols peut </w:t>
      </w:r>
      <w:r w:rsidR="00AD0F68" w:rsidRPr="000E53A0">
        <w:rPr>
          <w:rFonts w:asciiTheme="minorHAnsi" w:hAnsiTheme="minorHAnsi" w:cstheme="minorHAnsi"/>
          <w:sz w:val="20"/>
          <w:szCs w:val="20"/>
          <w:lang w:val="fr-FR"/>
        </w:rPr>
        <w:t xml:space="preserve">elle-même </w:t>
      </w:r>
      <w:r w:rsidRPr="000E53A0">
        <w:rPr>
          <w:rFonts w:asciiTheme="minorHAnsi" w:hAnsiTheme="minorHAnsi" w:cstheme="minorHAnsi"/>
          <w:sz w:val="20"/>
          <w:szCs w:val="20"/>
          <w:lang w:val="fr-FR"/>
        </w:rPr>
        <w:t xml:space="preserve">avoir des </w:t>
      </w:r>
      <w:r w:rsidR="00AD0F68" w:rsidRPr="000E53A0">
        <w:rPr>
          <w:rFonts w:asciiTheme="minorHAnsi" w:hAnsiTheme="minorHAnsi" w:cstheme="minorHAnsi"/>
          <w:sz w:val="20"/>
          <w:szCs w:val="20"/>
          <w:lang w:val="fr-FR"/>
        </w:rPr>
        <w:t xml:space="preserve">impacts négatifs </w:t>
      </w:r>
      <w:r w:rsidRPr="000E53A0">
        <w:rPr>
          <w:rFonts w:asciiTheme="minorHAnsi" w:hAnsiTheme="minorHAnsi" w:cstheme="minorHAnsi"/>
          <w:sz w:val="20"/>
          <w:szCs w:val="20"/>
          <w:lang w:val="fr-FR"/>
        </w:rPr>
        <w:t>sur la production piscicole, comme la réduction de la surface des zones inondées dans le delta central en raison de l'assèchement des sols peu profonds ou de sécheresses successives.</w:t>
      </w:r>
    </w:p>
    <w:p w14:paraId="66023E1E" w14:textId="77777777" w:rsidR="001C7DE3" w:rsidRPr="000E53A0" w:rsidRDefault="001C7DE3" w:rsidP="00C43CFD">
      <w:pPr>
        <w:rPr>
          <w:lang w:val="fr-FR" w:eastAsia="x-none"/>
        </w:rPr>
      </w:pPr>
    </w:p>
    <w:p w14:paraId="7F15F3F0" w14:textId="77777777" w:rsidR="00601D9B" w:rsidRPr="000E53A0" w:rsidRDefault="000E53A0">
      <w:pPr>
        <w:pStyle w:val="Titre2"/>
        <w:rPr>
          <w:rFonts w:asciiTheme="minorHAnsi" w:hAnsiTheme="minorHAnsi" w:cstheme="minorHAnsi"/>
          <w:lang w:val="fr-FR"/>
        </w:rPr>
      </w:pPr>
      <w:bookmarkStart w:id="12" w:name="_Toc78981263"/>
      <w:bookmarkEnd w:id="10"/>
      <w:r w:rsidRPr="000E53A0">
        <w:rPr>
          <w:rFonts w:asciiTheme="minorHAnsi" w:hAnsiTheme="minorHAnsi" w:cstheme="minorHAnsi"/>
          <w:lang w:val="fr-FR"/>
        </w:rPr>
        <w:t xml:space="preserve">Barrières </w:t>
      </w:r>
      <w:bookmarkEnd w:id="12"/>
    </w:p>
    <w:p w14:paraId="083C45BD" w14:textId="77777777" w:rsidR="00601D9B" w:rsidRPr="000E53A0" w:rsidRDefault="000E53A0">
      <w:pPr>
        <w:jc w:val="both"/>
        <w:rPr>
          <w:rFonts w:asciiTheme="minorHAnsi" w:hAnsiTheme="minorHAnsi" w:cstheme="minorHAnsi"/>
          <w:sz w:val="20"/>
          <w:szCs w:val="20"/>
          <w:lang w:val="fr-FR"/>
        </w:rPr>
      </w:pPr>
      <w:r w:rsidRPr="000E53A0">
        <w:rPr>
          <w:rFonts w:asciiTheme="minorHAnsi" w:hAnsiTheme="minorHAnsi" w:cstheme="minorHAnsi"/>
          <w:sz w:val="20"/>
          <w:szCs w:val="20"/>
          <w:lang w:val="fr-FR"/>
        </w:rPr>
        <w:t>Les obstacles spécifiques à la réalisation de l'objectif du projet sont les suivants :</w:t>
      </w:r>
    </w:p>
    <w:p w14:paraId="0B4C0768" w14:textId="77777777" w:rsidR="00601D9B" w:rsidRPr="000E53A0" w:rsidRDefault="000E53A0">
      <w:pPr>
        <w:jc w:val="both"/>
        <w:rPr>
          <w:rFonts w:asciiTheme="minorHAnsi" w:hAnsiTheme="minorHAnsi" w:cstheme="minorHAnsi"/>
          <w:b/>
          <w:bCs/>
          <w:i/>
          <w:iCs/>
          <w:sz w:val="20"/>
          <w:szCs w:val="20"/>
          <w:u w:val="single"/>
          <w:lang w:val="fr-FR"/>
        </w:rPr>
      </w:pPr>
      <w:r w:rsidRPr="000E53A0">
        <w:rPr>
          <w:rFonts w:asciiTheme="minorHAnsi" w:hAnsiTheme="minorHAnsi" w:cstheme="minorHAnsi"/>
          <w:b/>
          <w:bCs/>
          <w:i/>
          <w:iCs/>
          <w:sz w:val="20"/>
          <w:szCs w:val="20"/>
          <w:u w:val="single"/>
          <w:lang w:val="fr-FR"/>
        </w:rPr>
        <w:t>Composante 1</w:t>
      </w:r>
    </w:p>
    <w:p w14:paraId="7EC4C68B" w14:textId="77777777" w:rsidR="00601D9B" w:rsidRPr="000E53A0" w:rsidRDefault="000E53A0">
      <w:pPr>
        <w:jc w:val="both"/>
        <w:rPr>
          <w:rFonts w:asciiTheme="minorHAnsi" w:hAnsiTheme="minorHAnsi" w:cstheme="minorHAnsi"/>
          <w:i/>
          <w:iCs/>
          <w:sz w:val="20"/>
          <w:szCs w:val="20"/>
          <w:lang w:val="fr-FR"/>
        </w:rPr>
      </w:pPr>
      <w:r w:rsidRPr="000E53A0">
        <w:rPr>
          <w:rFonts w:asciiTheme="minorHAnsi" w:hAnsiTheme="minorHAnsi" w:cstheme="minorHAnsi"/>
          <w:i/>
          <w:iCs/>
          <w:sz w:val="20"/>
          <w:szCs w:val="20"/>
          <w:lang w:val="fr-FR"/>
        </w:rPr>
        <w:t>Obstacle 1 : Capacité institutionnelle, mécanismes de gouvernance et outils limités pour une approche intersectorielle de la mise en œuvre du RLD et de l'adaptation.</w:t>
      </w:r>
    </w:p>
    <w:p w14:paraId="5E01B150" w14:textId="77777777" w:rsidR="00601D9B" w:rsidRPr="000E53A0" w:rsidRDefault="00B70B04">
      <w:pPr>
        <w:jc w:val="both"/>
        <w:rPr>
          <w:rFonts w:asciiTheme="minorHAnsi" w:hAnsiTheme="minorHAnsi" w:cstheme="minorHAnsi"/>
          <w:sz w:val="20"/>
          <w:szCs w:val="20"/>
          <w:lang w:val="fr-FR"/>
        </w:rPr>
      </w:pPr>
      <w:r w:rsidRPr="000E53A0">
        <w:rPr>
          <w:rFonts w:asciiTheme="minorHAnsi" w:hAnsiTheme="minorHAnsi" w:cstheme="minorHAnsi"/>
          <w:sz w:val="20"/>
          <w:szCs w:val="20"/>
          <w:lang w:val="fr-FR"/>
        </w:rPr>
        <w:t xml:space="preserve">Le </w:t>
      </w:r>
      <w:r w:rsidR="000E53A0" w:rsidRPr="000E53A0">
        <w:rPr>
          <w:rFonts w:asciiTheme="minorHAnsi" w:hAnsiTheme="minorHAnsi" w:cstheme="minorHAnsi"/>
          <w:sz w:val="20"/>
          <w:szCs w:val="20"/>
          <w:lang w:val="fr-FR"/>
        </w:rPr>
        <w:t xml:space="preserve">Mali dispose d'un </w:t>
      </w:r>
      <w:r w:rsidR="004F3CDE" w:rsidRPr="000E53A0">
        <w:rPr>
          <w:rFonts w:asciiTheme="minorHAnsi" w:hAnsiTheme="minorHAnsi" w:cstheme="minorHAnsi"/>
          <w:sz w:val="20"/>
          <w:szCs w:val="20"/>
          <w:lang w:val="fr-FR"/>
        </w:rPr>
        <w:t xml:space="preserve">ensemble complet </w:t>
      </w:r>
      <w:r w:rsidR="000E53A0" w:rsidRPr="000E53A0">
        <w:rPr>
          <w:rFonts w:asciiTheme="minorHAnsi" w:hAnsiTheme="minorHAnsi" w:cstheme="minorHAnsi"/>
          <w:sz w:val="20"/>
          <w:szCs w:val="20"/>
          <w:lang w:val="fr-FR"/>
        </w:rPr>
        <w:t xml:space="preserve">de politiques, de lois et de stratégies nationales pour réaliser ses engagements internationaux en matière d'environnement (notamment la CCNUCC, la CNULD et la CDB), bien </w:t>
      </w:r>
      <w:r w:rsidR="000E53A0" w:rsidRPr="000E53A0">
        <w:rPr>
          <w:rFonts w:asciiTheme="minorHAnsi" w:hAnsiTheme="minorHAnsi" w:cstheme="minorHAnsi"/>
          <w:sz w:val="20"/>
          <w:szCs w:val="20"/>
          <w:lang w:val="fr-FR"/>
        </w:rPr>
        <w:lastRenderedPageBreak/>
        <w:t xml:space="preserve">que certaines lacunes et incohérences existent. </w:t>
      </w:r>
      <w:r w:rsidRPr="000E53A0">
        <w:rPr>
          <w:rFonts w:asciiTheme="minorHAnsi" w:hAnsiTheme="minorHAnsi" w:cstheme="minorHAnsi"/>
          <w:sz w:val="20"/>
          <w:szCs w:val="20"/>
          <w:lang w:val="fr-FR"/>
        </w:rPr>
        <w:t xml:space="preserve">Parmi celles-ci, il </w:t>
      </w:r>
      <w:r w:rsidR="00322AD8" w:rsidRPr="000E53A0">
        <w:rPr>
          <w:rFonts w:asciiTheme="minorHAnsi" w:hAnsiTheme="minorHAnsi" w:cstheme="minorHAnsi"/>
          <w:sz w:val="20"/>
          <w:szCs w:val="20"/>
          <w:lang w:val="fr-FR"/>
        </w:rPr>
        <w:t xml:space="preserve">est nécessaire de </w:t>
      </w:r>
      <w:r w:rsidR="00DA4951" w:rsidRPr="000E53A0">
        <w:rPr>
          <w:rFonts w:asciiTheme="minorHAnsi" w:hAnsiTheme="minorHAnsi" w:cstheme="minorHAnsi"/>
          <w:sz w:val="20"/>
          <w:szCs w:val="20"/>
          <w:lang w:val="fr-FR"/>
        </w:rPr>
        <w:t xml:space="preserve">trouver des moyens innovants pour traiter les questions foncières, qui s'appuient sur un certain nombre de législations nouvelles et anciennes (par exemple, le </w:t>
      </w:r>
      <w:r w:rsidR="00322AD8" w:rsidRPr="000E53A0">
        <w:rPr>
          <w:rFonts w:asciiTheme="minorHAnsi" w:hAnsiTheme="minorHAnsi" w:cstheme="minorHAnsi"/>
          <w:sz w:val="20"/>
          <w:szCs w:val="20"/>
          <w:lang w:val="fr-FR"/>
        </w:rPr>
        <w:t xml:space="preserve">Code domanial et foncier </w:t>
      </w:r>
      <w:r w:rsidR="00DA4951" w:rsidRPr="000E53A0">
        <w:rPr>
          <w:rFonts w:asciiTheme="minorHAnsi" w:hAnsiTheme="minorHAnsi" w:cstheme="minorHAnsi"/>
          <w:sz w:val="20"/>
          <w:szCs w:val="20"/>
          <w:lang w:val="fr-FR"/>
        </w:rPr>
        <w:t xml:space="preserve">; le </w:t>
      </w:r>
      <w:r w:rsidR="001258EC" w:rsidRPr="000E53A0">
        <w:rPr>
          <w:rFonts w:asciiTheme="minorHAnsi" w:hAnsiTheme="minorHAnsi" w:cstheme="minorHAnsi"/>
          <w:sz w:val="20"/>
          <w:szCs w:val="20"/>
          <w:lang w:val="fr-FR"/>
        </w:rPr>
        <w:t xml:space="preserve">cadastre malien de 2014 </w:t>
      </w:r>
      <w:r w:rsidR="00DA4951" w:rsidRPr="000E53A0">
        <w:rPr>
          <w:rFonts w:asciiTheme="minorHAnsi" w:hAnsiTheme="minorHAnsi" w:cstheme="minorHAnsi"/>
          <w:sz w:val="20"/>
          <w:szCs w:val="20"/>
          <w:lang w:val="fr-FR"/>
        </w:rPr>
        <w:t xml:space="preserve">; la </w:t>
      </w:r>
      <w:r w:rsidR="001258EC" w:rsidRPr="000E53A0">
        <w:rPr>
          <w:rFonts w:asciiTheme="minorHAnsi" w:hAnsiTheme="minorHAnsi" w:cstheme="minorHAnsi"/>
          <w:sz w:val="20"/>
          <w:szCs w:val="20"/>
          <w:lang w:val="fr-FR"/>
        </w:rPr>
        <w:t>loi sur le régime foncier agricole de 2017</w:t>
      </w:r>
      <w:r w:rsidR="00DA4951" w:rsidRPr="000E53A0">
        <w:rPr>
          <w:rFonts w:asciiTheme="minorHAnsi" w:hAnsiTheme="minorHAnsi" w:cstheme="minorHAnsi"/>
          <w:sz w:val="20"/>
          <w:szCs w:val="20"/>
          <w:lang w:val="fr-FR"/>
        </w:rPr>
        <w:t>)</w:t>
      </w:r>
      <w:r w:rsidR="00322AD8" w:rsidRPr="000E53A0">
        <w:rPr>
          <w:rFonts w:asciiTheme="minorHAnsi" w:hAnsiTheme="minorHAnsi" w:cstheme="minorHAnsi"/>
          <w:sz w:val="20"/>
          <w:szCs w:val="20"/>
          <w:lang w:val="fr-FR"/>
        </w:rPr>
        <w:t xml:space="preserve">. </w:t>
      </w:r>
      <w:r w:rsidR="001258EC" w:rsidRPr="000E53A0">
        <w:rPr>
          <w:rFonts w:asciiTheme="minorHAnsi" w:hAnsiTheme="minorHAnsi" w:cstheme="minorHAnsi"/>
          <w:sz w:val="20"/>
          <w:szCs w:val="20"/>
          <w:lang w:val="fr-FR"/>
        </w:rPr>
        <w:t xml:space="preserve">Le gouvernement s'est penché sur les limites du domaine éminent, le statut des droits coutumiers et la pertinence du titre foncier par rapport à d'autres formes moins coûteuses et plus simples d'enregistrement des droits, comme les certificats qui attestent de l'utilisation et de l'occupation des terres </w:t>
      </w:r>
      <w:r w:rsidR="00DA4951" w:rsidRPr="00A537FD">
        <w:rPr>
          <w:rFonts w:asciiTheme="minorHAnsi" w:hAnsiTheme="minorHAnsi" w:cstheme="minorHAnsi"/>
          <w:sz w:val="20"/>
          <w:szCs w:val="20"/>
          <w:vertAlign w:val="superscript"/>
        </w:rPr>
        <w:footnoteReference w:id="43"/>
      </w:r>
      <w:r w:rsidR="00D10A7E" w:rsidRPr="000E53A0">
        <w:rPr>
          <w:rFonts w:asciiTheme="minorHAnsi" w:hAnsiTheme="minorHAnsi" w:cstheme="minorHAnsi"/>
          <w:sz w:val="20"/>
          <w:szCs w:val="20"/>
          <w:lang w:val="fr-FR"/>
        </w:rPr>
        <w:t xml:space="preserve">. </w:t>
      </w:r>
      <w:r w:rsidR="00DA4951" w:rsidRPr="000E53A0">
        <w:rPr>
          <w:rFonts w:asciiTheme="minorHAnsi" w:hAnsiTheme="minorHAnsi" w:cstheme="minorHAnsi"/>
          <w:sz w:val="20"/>
          <w:szCs w:val="20"/>
          <w:lang w:val="fr-FR"/>
        </w:rPr>
        <w:t xml:space="preserve">Les problèmes de régime foncier sont particulièrement importants </w:t>
      </w:r>
      <w:r w:rsidR="001258EC" w:rsidRPr="000E53A0">
        <w:rPr>
          <w:rFonts w:asciiTheme="minorHAnsi" w:hAnsiTheme="minorHAnsi" w:cstheme="minorHAnsi"/>
          <w:sz w:val="20"/>
          <w:szCs w:val="20"/>
          <w:lang w:val="fr-FR"/>
        </w:rPr>
        <w:t xml:space="preserve">dans les zones périurbaines, en </w:t>
      </w:r>
      <w:r w:rsidR="00DA4951" w:rsidRPr="000E53A0">
        <w:rPr>
          <w:rFonts w:asciiTheme="minorHAnsi" w:hAnsiTheme="minorHAnsi" w:cstheme="minorHAnsi"/>
          <w:sz w:val="20"/>
          <w:szCs w:val="20"/>
          <w:lang w:val="fr-FR"/>
        </w:rPr>
        <w:t>raison de l'</w:t>
      </w:r>
      <w:r w:rsidR="001258EC" w:rsidRPr="000E53A0">
        <w:rPr>
          <w:rFonts w:asciiTheme="minorHAnsi" w:hAnsiTheme="minorHAnsi" w:cstheme="minorHAnsi"/>
          <w:sz w:val="20"/>
          <w:szCs w:val="20"/>
          <w:lang w:val="fr-FR"/>
        </w:rPr>
        <w:t xml:space="preserve">expansion rapide des </w:t>
      </w:r>
      <w:r w:rsidR="00DA4951" w:rsidRPr="000E53A0">
        <w:rPr>
          <w:rFonts w:asciiTheme="minorHAnsi" w:hAnsiTheme="minorHAnsi" w:cstheme="minorHAnsi"/>
          <w:sz w:val="20"/>
          <w:szCs w:val="20"/>
          <w:lang w:val="fr-FR"/>
        </w:rPr>
        <w:t>villes et de l'exode</w:t>
      </w:r>
      <w:r w:rsidR="001258EC" w:rsidRPr="000E53A0">
        <w:rPr>
          <w:rFonts w:asciiTheme="minorHAnsi" w:hAnsiTheme="minorHAnsi" w:cstheme="minorHAnsi"/>
          <w:sz w:val="20"/>
          <w:szCs w:val="20"/>
          <w:lang w:val="fr-FR"/>
        </w:rPr>
        <w:t xml:space="preserve"> rural rapide</w:t>
      </w:r>
      <w:r w:rsidR="00DA4951" w:rsidRPr="000E53A0">
        <w:rPr>
          <w:rFonts w:asciiTheme="minorHAnsi" w:hAnsiTheme="minorHAnsi" w:cstheme="minorHAnsi"/>
          <w:sz w:val="20"/>
          <w:szCs w:val="20"/>
          <w:lang w:val="fr-FR"/>
        </w:rPr>
        <w:t>, exacerbé par les récents conflits</w:t>
      </w:r>
      <w:r w:rsidR="001258EC" w:rsidRPr="000E53A0">
        <w:rPr>
          <w:rFonts w:asciiTheme="minorHAnsi" w:hAnsiTheme="minorHAnsi" w:cstheme="minorHAnsi"/>
          <w:sz w:val="20"/>
          <w:szCs w:val="20"/>
          <w:lang w:val="fr-FR"/>
        </w:rPr>
        <w:t xml:space="preserve">. </w:t>
      </w:r>
      <w:r w:rsidRPr="000E53A0">
        <w:rPr>
          <w:rFonts w:asciiTheme="minorHAnsi" w:hAnsiTheme="minorHAnsi" w:cstheme="minorHAnsi"/>
          <w:sz w:val="20"/>
          <w:szCs w:val="20"/>
          <w:lang w:val="fr-FR"/>
        </w:rPr>
        <w:t xml:space="preserve">En termes de politiques, certaines faiblesses notables dans la dimension politique doivent être notées. Il s'agit notamment de : l'inadéquation des textes par rapport aux réalités locales ; la difficulté de maîtrise des textes du fait de leur abondance entraînant une perte d'efficacité dans l'identification des rôles et responsabilités des acteurs ; l'insuffisance de coordination/harmonisation des actions des acteurs ; la non-adoption de tous les textes applicables ; les contraintes d'application liées à l'ambiguïté des textes ; l'insuffisance des ressources humaines et le manque de décentralisation des services compétents. Il faut également noter l'incohérence dans l'allocation des ressources, avec seulement 1,13% du budget national alloué à la protection de l'environnement. Certes, le caractère transversal de l'environnement peut être souligné, mais la prise en compte effective des actions de la LDN dans les projets et programmes opérationnels sur le terrain nécessite une harmonisation des politiques en amont et une allocation des ressources à la hauteur des attentes. </w:t>
      </w:r>
      <w:r w:rsidR="00D10A7E" w:rsidRPr="000E53A0">
        <w:rPr>
          <w:rFonts w:asciiTheme="minorHAnsi" w:hAnsiTheme="minorHAnsi" w:cstheme="minorHAnsi"/>
          <w:sz w:val="20"/>
          <w:szCs w:val="20"/>
          <w:lang w:val="fr-FR"/>
        </w:rPr>
        <w:t xml:space="preserve">Par ailleurs, le rapport national du Mali sur la neutralité de la dégradation des terres à la CNULCD identifie un certain nombre de faiblesses qui limitent la mise en œuvre effective de la politique, notamment les conflits institutionnels entre les directions nationales et les agences spécialisées du MEADD et les autres ministères ; la difficulté de la coordination interministérielle autour de la NCD et du développement résilient au climat à faibles émissions, avec des chevauchements importants dans les mandats ; la faible consultation entre les points focaux des conventions de Rio (bien que les points focaux nationaux des conventions de Rio relèvent désormais du MEADD, tout comme d'autres conventions environnementales en faveur de la </w:t>
      </w:r>
      <w:r w:rsidR="004F7944" w:rsidRPr="000E53A0">
        <w:rPr>
          <w:rFonts w:asciiTheme="minorHAnsi" w:hAnsiTheme="minorHAnsi" w:cstheme="minorHAnsi"/>
          <w:sz w:val="20"/>
          <w:szCs w:val="20"/>
          <w:lang w:val="fr-FR"/>
        </w:rPr>
        <w:t>NCD</w:t>
      </w:r>
      <w:r w:rsidR="00D10A7E" w:rsidRPr="000E53A0">
        <w:rPr>
          <w:rFonts w:asciiTheme="minorHAnsi" w:hAnsiTheme="minorHAnsi" w:cstheme="minorHAnsi"/>
          <w:sz w:val="20"/>
          <w:szCs w:val="20"/>
          <w:lang w:val="fr-FR"/>
        </w:rPr>
        <w:t>, ce qui devrait faciliter le renforcement des synergies entre les trois conventions de Rio).</w:t>
      </w:r>
    </w:p>
    <w:p w14:paraId="01FC3CC8" w14:textId="77777777" w:rsidR="00601D9B" w:rsidRPr="000E53A0" w:rsidRDefault="000E53A0">
      <w:pPr>
        <w:pStyle w:val="Default"/>
        <w:jc w:val="both"/>
        <w:rPr>
          <w:rFonts w:asciiTheme="minorHAnsi" w:eastAsia="SimSun" w:hAnsiTheme="minorHAnsi" w:cstheme="minorHAnsi"/>
          <w:color w:val="auto"/>
          <w:sz w:val="20"/>
          <w:szCs w:val="20"/>
          <w:lang w:val="fr-FR" w:eastAsia="en-US"/>
        </w:rPr>
      </w:pPr>
      <w:r w:rsidRPr="000E53A0">
        <w:rPr>
          <w:rFonts w:asciiTheme="minorHAnsi" w:eastAsia="SimSun" w:hAnsiTheme="minorHAnsi" w:cstheme="minorHAnsi"/>
          <w:color w:val="auto"/>
          <w:sz w:val="20"/>
          <w:szCs w:val="20"/>
          <w:lang w:val="fr-FR" w:eastAsia="en-US"/>
        </w:rPr>
        <w:t xml:space="preserve">En ce qui concerne l'adaptation, une </w:t>
      </w:r>
      <w:r w:rsidR="008214A1" w:rsidRPr="000E53A0">
        <w:rPr>
          <w:rFonts w:asciiTheme="minorHAnsi" w:eastAsia="SimSun" w:hAnsiTheme="minorHAnsi" w:cstheme="minorHAnsi"/>
          <w:color w:val="auto"/>
          <w:sz w:val="20"/>
          <w:szCs w:val="20"/>
          <w:lang w:val="fr-FR" w:eastAsia="en-US"/>
        </w:rPr>
        <w:t xml:space="preserve">certaine coopération interministérielle a été mise en place autour de l'adaptation au changement climatique par le biais de l'AEDD, mais l'intégration des principes de résilience dans des secteurs tels que l'agriculture, l'eau et la sylviculture, comme envisagé dans le PANA 2007, n'a pas été effectivement réalisée. Cela est dû en partie à la situation sécuritaire actuelle, à la présence inégale des institutions de l'État dans le pays et aux défis de la décentralisation - qui a renforcé les capacités au </w:t>
      </w:r>
      <w:r w:rsidRPr="000E53A0">
        <w:rPr>
          <w:rFonts w:asciiTheme="minorHAnsi" w:eastAsia="SimSun" w:hAnsiTheme="minorHAnsi" w:cstheme="minorHAnsi"/>
          <w:color w:val="auto"/>
          <w:sz w:val="20"/>
          <w:szCs w:val="20"/>
          <w:lang w:val="fr-FR" w:eastAsia="en-US"/>
        </w:rPr>
        <w:t xml:space="preserve">niveau des </w:t>
      </w:r>
      <w:r w:rsidR="008214A1" w:rsidRPr="000E53A0">
        <w:rPr>
          <w:rFonts w:asciiTheme="minorHAnsi" w:eastAsia="SimSun" w:hAnsiTheme="minorHAnsi" w:cstheme="minorHAnsi"/>
          <w:color w:val="auto"/>
          <w:sz w:val="20"/>
          <w:szCs w:val="20"/>
          <w:lang w:val="fr-FR" w:eastAsia="en-US"/>
        </w:rPr>
        <w:t>régions et des cercles (districts)</w:t>
      </w:r>
      <w:r w:rsidRPr="000E53A0">
        <w:rPr>
          <w:rFonts w:asciiTheme="minorHAnsi" w:eastAsia="SimSun" w:hAnsiTheme="minorHAnsi" w:cstheme="minorHAnsi"/>
          <w:color w:val="auto"/>
          <w:sz w:val="20"/>
          <w:szCs w:val="20"/>
          <w:lang w:val="fr-FR" w:eastAsia="en-US"/>
        </w:rPr>
        <w:t xml:space="preserve">, mais qui </w:t>
      </w:r>
      <w:r w:rsidR="008214A1" w:rsidRPr="000E53A0">
        <w:rPr>
          <w:rFonts w:asciiTheme="minorHAnsi" w:eastAsia="SimSun" w:hAnsiTheme="minorHAnsi" w:cstheme="minorHAnsi"/>
          <w:color w:val="auto"/>
          <w:sz w:val="20"/>
          <w:szCs w:val="20"/>
          <w:lang w:val="fr-FR" w:eastAsia="en-US"/>
        </w:rPr>
        <w:t xml:space="preserve">a également entraîné des chevauchements déroutants entre les autorités locales et les autorités traditionnelles en matière de gestion des ressources naturelles. </w:t>
      </w:r>
    </w:p>
    <w:p w14:paraId="44B47BA7" w14:textId="77777777" w:rsidR="00EE385F" w:rsidRPr="000E53A0" w:rsidRDefault="00EE385F" w:rsidP="00A537FD">
      <w:pPr>
        <w:jc w:val="both"/>
        <w:rPr>
          <w:rFonts w:asciiTheme="minorHAnsi" w:hAnsiTheme="minorHAnsi" w:cstheme="minorHAnsi"/>
          <w:sz w:val="20"/>
          <w:szCs w:val="20"/>
          <w:lang w:val="fr-FR"/>
        </w:rPr>
      </w:pPr>
    </w:p>
    <w:p w14:paraId="5AF89BF2" w14:textId="77777777" w:rsidR="00601D9B" w:rsidRPr="000E53A0" w:rsidRDefault="000E53A0">
      <w:pPr>
        <w:jc w:val="both"/>
        <w:rPr>
          <w:rFonts w:asciiTheme="minorHAnsi" w:hAnsiTheme="minorHAnsi" w:cstheme="minorHAnsi"/>
          <w:i/>
          <w:iCs/>
          <w:sz w:val="20"/>
          <w:szCs w:val="20"/>
          <w:lang w:val="fr-FR"/>
        </w:rPr>
      </w:pPr>
      <w:r w:rsidRPr="000E53A0">
        <w:rPr>
          <w:rFonts w:asciiTheme="minorHAnsi" w:hAnsiTheme="minorHAnsi" w:cstheme="minorHAnsi"/>
          <w:i/>
          <w:iCs/>
          <w:sz w:val="20"/>
          <w:szCs w:val="20"/>
          <w:lang w:val="fr-FR"/>
        </w:rPr>
        <w:t xml:space="preserve">Obstacle </w:t>
      </w:r>
      <w:r w:rsidR="0050142C" w:rsidRPr="000E53A0">
        <w:rPr>
          <w:rFonts w:asciiTheme="minorHAnsi" w:hAnsiTheme="minorHAnsi" w:cstheme="minorHAnsi"/>
          <w:i/>
          <w:iCs/>
          <w:sz w:val="20"/>
          <w:szCs w:val="20"/>
          <w:lang w:val="fr-FR"/>
        </w:rPr>
        <w:t xml:space="preserve">2 </w:t>
      </w:r>
      <w:r w:rsidRPr="000E53A0">
        <w:rPr>
          <w:rFonts w:asciiTheme="minorHAnsi" w:hAnsiTheme="minorHAnsi" w:cstheme="minorHAnsi"/>
          <w:i/>
          <w:iCs/>
          <w:sz w:val="20"/>
          <w:szCs w:val="20"/>
          <w:lang w:val="fr-FR"/>
        </w:rPr>
        <w:t>: Absence d'approche harmonisée pour suivre, évaluer et rendre compte des progrès réalisés en matière de RLD/objectifs d'adaptation.</w:t>
      </w:r>
    </w:p>
    <w:p w14:paraId="0E838170" w14:textId="77777777" w:rsidR="00601D9B" w:rsidRPr="000E53A0" w:rsidRDefault="000E53A0">
      <w:pPr>
        <w:jc w:val="both"/>
        <w:rPr>
          <w:rFonts w:asciiTheme="minorHAnsi" w:hAnsiTheme="minorHAnsi" w:cstheme="minorHAnsi"/>
          <w:sz w:val="20"/>
          <w:szCs w:val="20"/>
          <w:lang w:val="fr-FR"/>
        </w:rPr>
      </w:pPr>
      <w:r w:rsidRPr="000E53A0">
        <w:rPr>
          <w:rFonts w:asciiTheme="minorHAnsi" w:hAnsiTheme="minorHAnsi" w:cstheme="minorHAnsi"/>
          <w:sz w:val="20"/>
          <w:szCs w:val="20"/>
          <w:lang w:val="fr-FR"/>
        </w:rPr>
        <w:t xml:space="preserve">Le rapport national du Mali sur la neutralité de la dégradation des terres présenté à la CNULCD </w:t>
      </w:r>
      <w:r w:rsidR="00D10A7E" w:rsidRPr="000E53A0">
        <w:rPr>
          <w:rFonts w:asciiTheme="minorHAnsi" w:hAnsiTheme="minorHAnsi" w:cstheme="minorHAnsi"/>
          <w:sz w:val="20"/>
          <w:szCs w:val="20"/>
          <w:lang w:val="fr-FR"/>
        </w:rPr>
        <w:t>souligne l'</w:t>
      </w:r>
      <w:r w:rsidR="008214A1" w:rsidRPr="000E53A0">
        <w:rPr>
          <w:rFonts w:asciiTheme="minorHAnsi" w:hAnsiTheme="minorHAnsi" w:cstheme="minorHAnsi"/>
          <w:sz w:val="20"/>
          <w:szCs w:val="20"/>
          <w:lang w:val="fr-FR"/>
        </w:rPr>
        <w:t xml:space="preserve">absence de mécanismes de suivi et d'évaluation. Le Mali a récemment fixé des objectifs généraux pour atteindre la NCD d'ici 2030, </w:t>
      </w:r>
      <w:r w:rsidR="00522376" w:rsidRPr="000E53A0">
        <w:rPr>
          <w:rFonts w:asciiTheme="minorHAnsi" w:hAnsiTheme="minorHAnsi" w:cstheme="minorHAnsi"/>
          <w:sz w:val="20"/>
          <w:szCs w:val="20"/>
          <w:lang w:val="fr-FR"/>
        </w:rPr>
        <w:t xml:space="preserve">et a adopté </w:t>
      </w:r>
      <w:r w:rsidR="00B70B04" w:rsidRPr="000E53A0">
        <w:rPr>
          <w:rFonts w:asciiTheme="minorHAnsi" w:hAnsiTheme="minorHAnsi" w:cstheme="minorHAnsi"/>
          <w:sz w:val="20"/>
          <w:szCs w:val="20"/>
          <w:lang w:val="fr-FR"/>
        </w:rPr>
        <w:t xml:space="preserve">les sous-indicateurs de l'indicateur SDG 15.3.1 - Proportion de terres dégradées par rapport à la superficie totale des terres </w:t>
      </w:r>
      <w:r w:rsidR="008214A1" w:rsidRPr="000E53A0">
        <w:rPr>
          <w:rFonts w:asciiTheme="minorHAnsi" w:hAnsiTheme="minorHAnsi" w:cstheme="minorHAnsi"/>
          <w:sz w:val="20"/>
          <w:szCs w:val="20"/>
          <w:lang w:val="fr-FR"/>
        </w:rPr>
        <w:t xml:space="preserve">: (i) couverture terrestre et changement de la couverture terrestre </w:t>
      </w:r>
      <w:r w:rsidR="00B70B04" w:rsidRPr="000E53A0">
        <w:rPr>
          <w:rFonts w:asciiTheme="minorHAnsi" w:hAnsiTheme="minorHAnsi" w:cstheme="minorHAnsi"/>
          <w:sz w:val="20"/>
          <w:szCs w:val="20"/>
          <w:lang w:val="fr-FR"/>
        </w:rPr>
        <w:t xml:space="preserve">; </w:t>
      </w:r>
      <w:r w:rsidR="008214A1" w:rsidRPr="000E53A0">
        <w:rPr>
          <w:rFonts w:asciiTheme="minorHAnsi" w:hAnsiTheme="minorHAnsi" w:cstheme="minorHAnsi"/>
          <w:sz w:val="20"/>
          <w:szCs w:val="20"/>
          <w:lang w:val="fr-FR"/>
        </w:rPr>
        <w:t xml:space="preserve">(ii) productivité des terres </w:t>
      </w:r>
      <w:r w:rsidR="00B70B04" w:rsidRPr="000E53A0">
        <w:rPr>
          <w:rFonts w:asciiTheme="minorHAnsi" w:hAnsiTheme="minorHAnsi" w:cstheme="minorHAnsi"/>
          <w:sz w:val="20"/>
          <w:szCs w:val="20"/>
          <w:lang w:val="fr-FR"/>
        </w:rPr>
        <w:t xml:space="preserve">; </w:t>
      </w:r>
      <w:r w:rsidR="008214A1" w:rsidRPr="000E53A0">
        <w:rPr>
          <w:rFonts w:asciiTheme="minorHAnsi" w:hAnsiTheme="minorHAnsi" w:cstheme="minorHAnsi"/>
          <w:sz w:val="20"/>
          <w:szCs w:val="20"/>
          <w:lang w:val="fr-FR"/>
        </w:rPr>
        <w:t xml:space="preserve">et (iii) carbone organique du sol </w:t>
      </w:r>
      <w:r w:rsidR="00522376" w:rsidRPr="000E53A0">
        <w:rPr>
          <w:rFonts w:asciiTheme="minorHAnsi" w:hAnsiTheme="minorHAnsi" w:cstheme="minorHAnsi"/>
          <w:sz w:val="20"/>
          <w:szCs w:val="20"/>
          <w:lang w:val="fr-FR"/>
        </w:rPr>
        <w:t>; et une base de référence a été développée. Il n'y a toujours pas d'</w:t>
      </w:r>
      <w:r w:rsidR="008214A1" w:rsidRPr="000E53A0">
        <w:rPr>
          <w:rFonts w:asciiTheme="minorHAnsi" w:hAnsiTheme="minorHAnsi" w:cstheme="minorHAnsi"/>
          <w:sz w:val="20"/>
          <w:szCs w:val="20"/>
          <w:lang w:val="fr-FR"/>
        </w:rPr>
        <w:t xml:space="preserve">accord </w:t>
      </w:r>
      <w:r w:rsidR="00D10A7E" w:rsidRPr="000E53A0">
        <w:rPr>
          <w:rFonts w:asciiTheme="minorHAnsi" w:hAnsiTheme="minorHAnsi" w:cstheme="minorHAnsi"/>
          <w:sz w:val="20"/>
          <w:szCs w:val="20"/>
          <w:lang w:val="fr-FR"/>
        </w:rPr>
        <w:t xml:space="preserve">sur la </w:t>
      </w:r>
      <w:r w:rsidR="008214A1" w:rsidRPr="000E53A0">
        <w:rPr>
          <w:rFonts w:asciiTheme="minorHAnsi" w:hAnsiTheme="minorHAnsi" w:cstheme="minorHAnsi"/>
          <w:sz w:val="20"/>
          <w:szCs w:val="20"/>
          <w:lang w:val="fr-FR"/>
        </w:rPr>
        <w:t xml:space="preserve">manière dont ces éléments seront mesurés et surveillés, ni de plan de mise en œuvre détaillé pour les actions requises. </w:t>
      </w:r>
      <w:r w:rsidR="00522376" w:rsidRPr="000E53A0">
        <w:rPr>
          <w:rFonts w:asciiTheme="minorHAnsi" w:hAnsiTheme="minorHAnsi" w:cstheme="minorHAnsi"/>
          <w:sz w:val="20"/>
          <w:szCs w:val="20"/>
          <w:lang w:val="fr-FR"/>
        </w:rPr>
        <w:t xml:space="preserve">Si le CREDD est un cadre d'harmonisation, il ne prévoit pas de mise en œuvre. Le groupe de travail </w:t>
      </w:r>
      <w:r w:rsidR="00D57FAC" w:rsidRPr="000E53A0">
        <w:rPr>
          <w:rFonts w:asciiTheme="minorHAnsi" w:hAnsiTheme="minorHAnsi" w:cstheme="minorHAnsi"/>
          <w:sz w:val="20"/>
          <w:szCs w:val="20"/>
          <w:lang w:val="fr-FR"/>
        </w:rPr>
        <w:t xml:space="preserve">national LDN </w:t>
      </w:r>
      <w:r w:rsidR="00522376" w:rsidRPr="000E53A0">
        <w:rPr>
          <w:rFonts w:asciiTheme="minorHAnsi" w:hAnsiTheme="minorHAnsi" w:cstheme="minorHAnsi"/>
          <w:sz w:val="20"/>
          <w:szCs w:val="20"/>
          <w:lang w:val="fr-FR"/>
        </w:rPr>
        <w:t xml:space="preserve">doit </w:t>
      </w:r>
      <w:r w:rsidR="00D57FAC" w:rsidRPr="000E53A0">
        <w:rPr>
          <w:rFonts w:asciiTheme="minorHAnsi" w:hAnsiTheme="minorHAnsi" w:cstheme="minorHAnsi"/>
          <w:sz w:val="20"/>
          <w:szCs w:val="20"/>
          <w:lang w:val="fr-FR"/>
        </w:rPr>
        <w:t xml:space="preserve">donc </w:t>
      </w:r>
      <w:r w:rsidR="00522376" w:rsidRPr="000E53A0">
        <w:rPr>
          <w:rFonts w:asciiTheme="minorHAnsi" w:hAnsiTheme="minorHAnsi" w:cstheme="minorHAnsi"/>
          <w:sz w:val="20"/>
          <w:szCs w:val="20"/>
          <w:lang w:val="fr-FR"/>
        </w:rPr>
        <w:t xml:space="preserve">s'assurer que des indicateurs composites sont développés pour faciliter l'intégration dans l'opérationnalisation des programmes et projets sectoriels. </w:t>
      </w:r>
    </w:p>
    <w:p w14:paraId="66095617" w14:textId="77777777" w:rsidR="00601D9B" w:rsidRPr="000E53A0" w:rsidRDefault="000E53A0">
      <w:pPr>
        <w:jc w:val="both"/>
        <w:rPr>
          <w:rFonts w:asciiTheme="minorHAnsi" w:hAnsiTheme="minorHAnsi" w:cstheme="minorHAnsi"/>
          <w:sz w:val="20"/>
          <w:szCs w:val="20"/>
          <w:lang w:val="fr-FR"/>
        </w:rPr>
      </w:pPr>
      <w:r w:rsidRPr="000E53A0">
        <w:rPr>
          <w:rFonts w:asciiTheme="minorHAnsi" w:hAnsiTheme="minorHAnsi" w:cstheme="minorHAnsi"/>
          <w:sz w:val="20"/>
          <w:szCs w:val="20"/>
          <w:lang w:val="fr-FR"/>
        </w:rPr>
        <w:t xml:space="preserve">En ce qui concerne l'adaptation au changement climatique, la </w:t>
      </w:r>
      <w:r w:rsidR="008214A1" w:rsidRPr="000E53A0">
        <w:rPr>
          <w:rFonts w:asciiTheme="minorHAnsi" w:hAnsiTheme="minorHAnsi" w:cstheme="minorHAnsi"/>
          <w:sz w:val="20"/>
          <w:szCs w:val="20"/>
          <w:lang w:val="fr-FR"/>
        </w:rPr>
        <w:t xml:space="preserve">cartographie de la vulnérabilité climatique a </w:t>
      </w:r>
      <w:r w:rsidRPr="000E53A0">
        <w:rPr>
          <w:rFonts w:asciiTheme="minorHAnsi" w:hAnsiTheme="minorHAnsi" w:cstheme="minorHAnsi"/>
          <w:sz w:val="20"/>
          <w:szCs w:val="20"/>
          <w:lang w:val="fr-FR"/>
        </w:rPr>
        <w:t xml:space="preserve">récemment </w:t>
      </w:r>
      <w:r w:rsidR="008214A1" w:rsidRPr="000E53A0">
        <w:rPr>
          <w:rFonts w:asciiTheme="minorHAnsi" w:hAnsiTheme="minorHAnsi" w:cstheme="minorHAnsi"/>
          <w:sz w:val="20"/>
          <w:szCs w:val="20"/>
          <w:lang w:val="fr-FR"/>
        </w:rPr>
        <w:t>fait l'objet de certains projets financés par des donateurs</w:t>
      </w:r>
      <w:r w:rsidRPr="000E53A0">
        <w:rPr>
          <w:rFonts w:asciiTheme="minorHAnsi" w:hAnsiTheme="minorHAnsi" w:cstheme="minorHAnsi"/>
          <w:sz w:val="20"/>
          <w:szCs w:val="20"/>
          <w:lang w:val="fr-FR"/>
        </w:rPr>
        <w:t xml:space="preserve">. Cependant, il </w:t>
      </w:r>
      <w:r w:rsidR="008214A1" w:rsidRPr="000E53A0">
        <w:rPr>
          <w:rFonts w:asciiTheme="minorHAnsi" w:hAnsiTheme="minorHAnsi" w:cstheme="minorHAnsi"/>
          <w:sz w:val="20"/>
          <w:szCs w:val="20"/>
          <w:lang w:val="fr-FR"/>
        </w:rPr>
        <w:t xml:space="preserve">n'existe pas de système à long terme </w:t>
      </w:r>
      <w:r w:rsidR="0050142C" w:rsidRPr="000E53A0">
        <w:rPr>
          <w:rFonts w:asciiTheme="minorHAnsi" w:hAnsiTheme="minorHAnsi" w:cstheme="minorHAnsi"/>
          <w:sz w:val="20"/>
          <w:szCs w:val="20"/>
          <w:lang w:val="fr-FR"/>
        </w:rPr>
        <w:t xml:space="preserve">ou normalisé </w:t>
      </w:r>
      <w:r w:rsidR="008214A1" w:rsidRPr="000E53A0">
        <w:rPr>
          <w:rFonts w:asciiTheme="minorHAnsi" w:hAnsiTheme="minorHAnsi" w:cstheme="minorHAnsi"/>
          <w:sz w:val="20"/>
          <w:szCs w:val="20"/>
          <w:lang w:val="fr-FR"/>
        </w:rPr>
        <w:t>pour une évaluation et une cartographie régulières</w:t>
      </w:r>
      <w:r w:rsidR="0050142C" w:rsidRPr="000E53A0">
        <w:rPr>
          <w:rFonts w:asciiTheme="minorHAnsi" w:hAnsiTheme="minorHAnsi" w:cstheme="minorHAnsi"/>
          <w:sz w:val="20"/>
          <w:szCs w:val="20"/>
          <w:lang w:val="fr-FR"/>
        </w:rPr>
        <w:t xml:space="preserve">, </w:t>
      </w:r>
      <w:r w:rsidR="008214A1" w:rsidRPr="000E53A0">
        <w:rPr>
          <w:rFonts w:asciiTheme="minorHAnsi" w:hAnsiTheme="minorHAnsi" w:cstheme="minorHAnsi"/>
          <w:sz w:val="20"/>
          <w:szCs w:val="20"/>
          <w:lang w:val="fr-FR"/>
        </w:rPr>
        <w:t xml:space="preserve">ou pour une analyse continue des liens entre les risques liés à la sécurité et au changement climatique. Les défis identifiés dans le cadre budgétaire 2019-2021 pour le MEADD incluent "la mise en place d'un système de suivi et de surveillance continue de l'environnement et de la dynamique des ressources forestières et fauniques".  De nombreuses </w:t>
      </w:r>
      <w:r w:rsidR="008214A1" w:rsidRPr="000E53A0">
        <w:rPr>
          <w:rFonts w:asciiTheme="minorHAnsi" w:hAnsiTheme="minorHAnsi" w:cstheme="minorHAnsi"/>
          <w:sz w:val="20"/>
          <w:szCs w:val="20"/>
          <w:lang w:val="fr-FR"/>
        </w:rPr>
        <w:lastRenderedPageBreak/>
        <w:t xml:space="preserve">capacités de données et de surveillance existent au Mali, dispersées entre différents ministères et agences gouvernementales, instituts de recherche et universités, mais il y a eu peu de coordination, et les rapports sur les progrès du Mali en matière d'AME ne sont pas faits de manière cohérente et intégrée. </w:t>
      </w:r>
    </w:p>
    <w:p w14:paraId="0F38973C" w14:textId="77777777" w:rsidR="00EF4C86" w:rsidRPr="000E53A0" w:rsidRDefault="00EF4C86" w:rsidP="00A537FD">
      <w:pPr>
        <w:jc w:val="both"/>
        <w:rPr>
          <w:rFonts w:asciiTheme="minorHAnsi" w:hAnsiTheme="minorHAnsi" w:cstheme="minorHAnsi"/>
          <w:sz w:val="20"/>
          <w:szCs w:val="20"/>
          <w:lang w:val="fr-FR"/>
        </w:rPr>
      </w:pPr>
    </w:p>
    <w:p w14:paraId="090E9B56" w14:textId="77777777" w:rsidR="00402F9D" w:rsidRPr="000E53A0" w:rsidRDefault="00402F9D" w:rsidP="00A537FD">
      <w:pPr>
        <w:jc w:val="both"/>
        <w:rPr>
          <w:rFonts w:asciiTheme="minorHAnsi" w:hAnsiTheme="minorHAnsi" w:cstheme="minorHAnsi"/>
          <w:sz w:val="20"/>
          <w:szCs w:val="20"/>
          <w:lang w:val="fr-FR"/>
        </w:rPr>
      </w:pPr>
    </w:p>
    <w:p w14:paraId="1069F11C" w14:textId="77777777" w:rsidR="00402F9D" w:rsidRPr="000E53A0" w:rsidRDefault="00402F9D" w:rsidP="00A537FD">
      <w:pPr>
        <w:jc w:val="both"/>
        <w:rPr>
          <w:rFonts w:asciiTheme="minorHAnsi" w:hAnsiTheme="minorHAnsi" w:cstheme="minorHAnsi"/>
          <w:sz w:val="20"/>
          <w:szCs w:val="20"/>
          <w:lang w:val="fr-FR"/>
        </w:rPr>
      </w:pPr>
    </w:p>
    <w:p w14:paraId="4B5381DC" w14:textId="77777777" w:rsidR="00601D9B" w:rsidRPr="000E53A0" w:rsidRDefault="000E53A0">
      <w:pPr>
        <w:jc w:val="both"/>
        <w:rPr>
          <w:rFonts w:asciiTheme="minorHAnsi" w:hAnsiTheme="minorHAnsi" w:cstheme="minorHAnsi"/>
          <w:b/>
          <w:bCs/>
          <w:i/>
          <w:iCs/>
          <w:sz w:val="20"/>
          <w:szCs w:val="20"/>
          <w:u w:val="single"/>
          <w:lang w:val="fr-FR"/>
        </w:rPr>
      </w:pPr>
      <w:r w:rsidRPr="000E53A0">
        <w:rPr>
          <w:rFonts w:asciiTheme="minorHAnsi" w:hAnsiTheme="minorHAnsi" w:cstheme="minorHAnsi"/>
          <w:b/>
          <w:bCs/>
          <w:i/>
          <w:iCs/>
          <w:sz w:val="20"/>
          <w:szCs w:val="20"/>
          <w:u w:val="single"/>
          <w:lang w:val="fr-FR"/>
        </w:rPr>
        <w:t>Composante 2</w:t>
      </w:r>
    </w:p>
    <w:p w14:paraId="5DA9A1B9" w14:textId="77777777" w:rsidR="00601D9B" w:rsidRPr="000E53A0" w:rsidRDefault="000E53A0">
      <w:pPr>
        <w:jc w:val="both"/>
        <w:rPr>
          <w:rFonts w:asciiTheme="minorHAnsi" w:hAnsiTheme="minorHAnsi" w:cstheme="minorHAnsi"/>
          <w:i/>
          <w:iCs/>
          <w:sz w:val="20"/>
          <w:szCs w:val="20"/>
          <w:lang w:val="fr-FR"/>
        </w:rPr>
      </w:pPr>
      <w:r w:rsidRPr="000E53A0">
        <w:rPr>
          <w:rFonts w:asciiTheme="minorHAnsi" w:hAnsiTheme="minorHAnsi" w:cstheme="minorHAnsi"/>
          <w:i/>
          <w:iCs/>
          <w:sz w:val="20"/>
          <w:szCs w:val="20"/>
          <w:lang w:val="fr-FR"/>
        </w:rPr>
        <w:t>Obstacle 3 : Absence de cadres efficaces pour la planification communautaire de l'utilisation des terres, la gestion des ressources naturelles et les mécanismes de résolution des conflits.</w:t>
      </w:r>
    </w:p>
    <w:p w14:paraId="4FAE1704" w14:textId="77777777" w:rsidR="00601D9B" w:rsidRPr="000E53A0" w:rsidRDefault="000E53A0">
      <w:pPr>
        <w:jc w:val="both"/>
        <w:rPr>
          <w:rFonts w:asciiTheme="minorHAnsi" w:hAnsiTheme="minorHAnsi" w:cstheme="minorHAnsi"/>
          <w:sz w:val="20"/>
          <w:szCs w:val="20"/>
          <w:lang w:val="fr-FR"/>
        </w:rPr>
      </w:pPr>
      <w:r w:rsidRPr="000E53A0">
        <w:rPr>
          <w:rFonts w:asciiTheme="minorHAnsi" w:hAnsiTheme="minorHAnsi" w:cstheme="minorHAnsi"/>
          <w:sz w:val="20"/>
          <w:szCs w:val="20"/>
          <w:lang w:val="fr-FR"/>
        </w:rPr>
        <w:t xml:space="preserve">Les systèmes fonciers coutumiers ne sont pas épargnés par la crise multidimensionnelle qui sévit dans les régions centrales du Mali. En effet, en raison de la pression anthropique sur les terres et les ressources naturelles, de l'urbanisation anarchique et de l'introduction de nouvelles valeurs en milieu rural, le régime foncier en milieu rural connaît de profondes mutations. Ainsi, des modes d'accès tels que l'achat et la location de terres, ainsi que le métayage, jusqu'alors inconnus en milieu rural, se mettent en place, notamment dans les zones périurbaines et les zones aménagées </w:t>
      </w:r>
      <w:r w:rsidRPr="00A537FD">
        <w:rPr>
          <w:rStyle w:val="Appelnotedebasdep"/>
          <w:rFonts w:asciiTheme="minorHAnsi" w:hAnsiTheme="minorHAnsi" w:cstheme="minorHAnsi"/>
          <w:sz w:val="20"/>
          <w:szCs w:val="20"/>
        </w:rPr>
        <w:footnoteReference w:id="44"/>
      </w:r>
      <w:r w:rsidRPr="000E53A0">
        <w:rPr>
          <w:rFonts w:asciiTheme="minorHAnsi" w:hAnsiTheme="minorHAnsi" w:cstheme="minorHAnsi"/>
          <w:sz w:val="20"/>
          <w:szCs w:val="20"/>
          <w:lang w:val="fr-FR"/>
        </w:rPr>
        <w:t xml:space="preserve">. Par ailleurs, les garde-fous que le système coutumier avait mis en place pour circonscrire les abus qu'il pouvait générer s'effritent et l'on assiste de plus en plus à des formes de propriété coutumière abusive dans plusieurs domaines (par </w:t>
      </w:r>
      <w:r w:rsidR="00363A58" w:rsidRPr="000E53A0">
        <w:rPr>
          <w:rFonts w:asciiTheme="minorHAnsi" w:hAnsiTheme="minorHAnsi" w:cstheme="minorHAnsi"/>
          <w:sz w:val="20"/>
          <w:szCs w:val="20"/>
          <w:lang w:val="fr-FR"/>
        </w:rPr>
        <w:t xml:space="preserve">exemple, </w:t>
      </w:r>
      <w:r w:rsidRPr="000E53A0">
        <w:rPr>
          <w:rFonts w:asciiTheme="minorHAnsi" w:hAnsiTheme="minorHAnsi" w:cstheme="minorHAnsi"/>
          <w:sz w:val="20"/>
          <w:szCs w:val="20"/>
          <w:lang w:val="fr-FR"/>
        </w:rPr>
        <w:t>le phénomène des villages ou même des communes " sans terre "</w:t>
      </w:r>
      <w:r w:rsidR="00872362" w:rsidRPr="00A537FD">
        <w:rPr>
          <w:rStyle w:val="Appelnotedebasdep"/>
          <w:rFonts w:asciiTheme="minorHAnsi" w:hAnsiTheme="minorHAnsi" w:cstheme="minorHAnsi"/>
          <w:sz w:val="20"/>
          <w:szCs w:val="20"/>
        </w:rPr>
        <w:footnoteReference w:id="45"/>
      </w:r>
      <w:r w:rsidR="00363A58" w:rsidRPr="000E53A0">
        <w:rPr>
          <w:rFonts w:asciiTheme="minorHAnsi" w:hAnsiTheme="minorHAnsi" w:cstheme="minorHAnsi"/>
          <w:sz w:val="20"/>
          <w:szCs w:val="20"/>
          <w:lang w:val="fr-FR"/>
        </w:rPr>
        <w:t xml:space="preserve"> ; </w:t>
      </w:r>
      <w:r w:rsidRPr="000E53A0">
        <w:rPr>
          <w:rFonts w:asciiTheme="minorHAnsi" w:hAnsiTheme="minorHAnsi" w:cstheme="minorHAnsi"/>
          <w:sz w:val="20"/>
          <w:szCs w:val="20"/>
          <w:lang w:val="fr-FR"/>
        </w:rPr>
        <w:t xml:space="preserve">l'expulsion des familles allochtones au moindre conflit </w:t>
      </w:r>
      <w:r w:rsidR="00363A58" w:rsidRPr="000E53A0">
        <w:rPr>
          <w:rFonts w:asciiTheme="minorHAnsi" w:hAnsiTheme="minorHAnsi" w:cstheme="minorHAnsi"/>
          <w:sz w:val="20"/>
          <w:szCs w:val="20"/>
          <w:lang w:val="fr-FR"/>
        </w:rPr>
        <w:t>; l</w:t>
      </w:r>
      <w:r w:rsidRPr="000E53A0">
        <w:rPr>
          <w:rFonts w:asciiTheme="minorHAnsi" w:hAnsiTheme="minorHAnsi" w:cstheme="minorHAnsi"/>
          <w:sz w:val="20"/>
          <w:szCs w:val="20"/>
          <w:lang w:val="fr-FR"/>
        </w:rPr>
        <w:t xml:space="preserve">'accaparement des terres communautaires par certaines élites coutumières </w:t>
      </w:r>
      <w:r w:rsidR="00363A58" w:rsidRPr="000E53A0">
        <w:rPr>
          <w:rFonts w:asciiTheme="minorHAnsi" w:hAnsiTheme="minorHAnsi" w:cstheme="minorHAnsi"/>
          <w:sz w:val="20"/>
          <w:szCs w:val="20"/>
          <w:lang w:val="fr-FR"/>
        </w:rPr>
        <w:t xml:space="preserve">; </w:t>
      </w:r>
      <w:r w:rsidRPr="000E53A0">
        <w:rPr>
          <w:rFonts w:asciiTheme="minorHAnsi" w:hAnsiTheme="minorHAnsi" w:cstheme="minorHAnsi"/>
          <w:sz w:val="20"/>
          <w:szCs w:val="20"/>
          <w:lang w:val="fr-FR"/>
        </w:rPr>
        <w:t xml:space="preserve">etc.) </w:t>
      </w:r>
      <w:r w:rsidR="00363A58" w:rsidRPr="000E53A0">
        <w:rPr>
          <w:rFonts w:asciiTheme="minorHAnsi" w:hAnsiTheme="minorHAnsi" w:cstheme="minorHAnsi"/>
          <w:sz w:val="20"/>
          <w:szCs w:val="20"/>
          <w:lang w:val="fr-FR"/>
        </w:rPr>
        <w:t xml:space="preserve">En effet, le principe d'autochtonie, fondé sur la prééminence plus ou moins apparente des premiers colons, constitue l'un des cadres de l'organisation socio-fondamentale rurale. Au nom de ce principe, la chefferie du village ainsi que la gestion des différentes organisations sociales (notamment les classes d'âge) sont confiées aux descendants de la famille fondatrice. De plus, ils ont le contrôle des terres du village. Ils assurent l'attribution des terres aux personnes venues d'ailleurs, aux étrangers et aux allochtones. </w:t>
      </w:r>
      <w:r w:rsidRPr="000E53A0">
        <w:rPr>
          <w:rFonts w:asciiTheme="minorHAnsi" w:hAnsiTheme="minorHAnsi" w:cstheme="minorHAnsi"/>
          <w:sz w:val="20"/>
          <w:szCs w:val="20"/>
          <w:lang w:val="fr-FR"/>
        </w:rPr>
        <w:t xml:space="preserve">Cette situation rend l'accès à la terre plus précaire pour les groupes marginalisés, notamment les allochtones et les femmes. </w:t>
      </w:r>
      <w:r w:rsidR="00363A58" w:rsidRPr="000E53A0">
        <w:rPr>
          <w:rFonts w:asciiTheme="minorHAnsi" w:hAnsiTheme="minorHAnsi" w:cstheme="minorHAnsi"/>
          <w:sz w:val="20"/>
          <w:szCs w:val="20"/>
          <w:lang w:val="fr-FR"/>
        </w:rPr>
        <w:t xml:space="preserve">Si le contexte socioculturel rend le changement difficile, </w:t>
      </w:r>
      <w:r w:rsidRPr="000E53A0">
        <w:rPr>
          <w:rFonts w:asciiTheme="minorHAnsi" w:hAnsiTheme="minorHAnsi" w:cstheme="minorHAnsi"/>
          <w:sz w:val="20"/>
          <w:szCs w:val="20"/>
          <w:lang w:val="fr-FR"/>
        </w:rPr>
        <w:t>ces problèmes pourraient en partie être atténués par la mise en place de mécanismes efficaces de planification communautaire participative de l'utilisation des terres.</w:t>
      </w:r>
    </w:p>
    <w:p w14:paraId="64B5C201" w14:textId="77777777" w:rsidR="00601D9B" w:rsidRPr="000E53A0" w:rsidRDefault="000E53A0">
      <w:pPr>
        <w:jc w:val="both"/>
        <w:rPr>
          <w:rFonts w:asciiTheme="minorHAnsi" w:hAnsiTheme="minorHAnsi" w:cstheme="minorHAnsi"/>
          <w:sz w:val="20"/>
          <w:szCs w:val="20"/>
          <w:lang w:val="fr-FR"/>
        </w:rPr>
      </w:pPr>
      <w:r w:rsidRPr="000E53A0">
        <w:rPr>
          <w:rFonts w:asciiTheme="minorHAnsi" w:hAnsiTheme="minorHAnsi" w:cstheme="minorHAnsi"/>
          <w:sz w:val="20"/>
          <w:szCs w:val="20"/>
          <w:lang w:val="fr-FR"/>
        </w:rPr>
        <w:t xml:space="preserve">Il est nécessaire de travailler avec les ressources qui existent sur le terrain et de renforcer la gouvernance locale des ressources naturelles de manière à améliorer la résilience climatique, à promouvoir la paix et à permettre l'inclusion sociale et l'équité. </w:t>
      </w:r>
    </w:p>
    <w:p w14:paraId="2BE07A21" w14:textId="77777777" w:rsidR="00601D9B" w:rsidRPr="000E53A0" w:rsidRDefault="000E53A0">
      <w:pPr>
        <w:jc w:val="both"/>
        <w:rPr>
          <w:rFonts w:asciiTheme="minorHAnsi" w:hAnsiTheme="minorHAnsi" w:cstheme="minorHAnsi"/>
          <w:sz w:val="20"/>
          <w:szCs w:val="20"/>
          <w:lang w:val="fr-FR"/>
        </w:rPr>
      </w:pPr>
      <w:r w:rsidRPr="000E53A0">
        <w:rPr>
          <w:rFonts w:asciiTheme="minorHAnsi" w:hAnsiTheme="minorHAnsi" w:cstheme="minorHAnsi"/>
          <w:sz w:val="20"/>
          <w:szCs w:val="20"/>
          <w:lang w:val="fr-FR"/>
        </w:rPr>
        <w:t xml:space="preserve">De plus, </w:t>
      </w:r>
      <w:r w:rsidR="0010587A" w:rsidRPr="000E53A0">
        <w:rPr>
          <w:rFonts w:asciiTheme="minorHAnsi" w:hAnsiTheme="minorHAnsi" w:cstheme="minorHAnsi"/>
          <w:sz w:val="20"/>
          <w:szCs w:val="20"/>
          <w:lang w:val="fr-FR"/>
        </w:rPr>
        <w:t>à l'heure actuelle, les rôles et responsabilités des différents groupes sont limités et ne sont pas totalement complémentaires. En effet, il n'y a souvent aucune structure en place ayant un rôle de prévention des conflits en particulier. Par exemple, au niveau de la communauté, on retrouve souvent les éléments suivants :</w:t>
      </w:r>
    </w:p>
    <w:p w14:paraId="5DBA0EB1" w14:textId="77777777" w:rsidR="00601D9B" w:rsidRPr="000E53A0" w:rsidRDefault="000E53A0">
      <w:pPr>
        <w:pStyle w:val="Paragraphedeliste"/>
        <w:numPr>
          <w:ilvl w:val="0"/>
          <w:numId w:val="54"/>
        </w:numPr>
        <w:jc w:val="both"/>
        <w:rPr>
          <w:rFonts w:asciiTheme="minorHAnsi" w:hAnsiTheme="minorHAnsi" w:cstheme="minorHAnsi"/>
          <w:sz w:val="20"/>
          <w:szCs w:val="20"/>
          <w:lang w:val="fr-FR"/>
        </w:rPr>
      </w:pPr>
      <w:r w:rsidRPr="000E53A0">
        <w:rPr>
          <w:rFonts w:asciiTheme="minorHAnsi" w:hAnsiTheme="minorHAnsi" w:cstheme="minorHAnsi"/>
          <w:sz w:val="20"/>
          <w:szCs w:val="20"/>
          <w:lang w:val="fr-FR"/>
        </w:rPr>
        <w:t>Comités communautaires de GRN dont le rôle se limite généralement à la surveillance.</w:t>
      </w:r>
    </w:p>
    <w:p w14:paraId="45D279D0" w14:textId="77777777" w:rsidR="00601D9B" w:rsidRPr="000E53A0" w:rsidRDefault="000E53A0">
      <w:pPr>
        <w:pStyle w:val="Paragraphedeliste"/>
        <w:numPr>
          <w:ilvl w:val="0"/>
          <w:numId w:val="54"/>
        </w:numPr>
        <w:jc w:val="both"/>
        <w:rPr>
          <w:rFonts w:asciiTheme="minorHAnsi" w:hAnsiTheme="minorHAnsi" w:cstheme="minorHAnsi"/>
          <w:sz w:val="20"/>
          <w:szCs w:val="20"/>
          <w:lang w:val="fr-FR"/>
        </w:rPr>
      </w:pPr>
      <w:r w:rsidRPr="000E53A0">
        <w:rPr>
          <w:rFonts w:asciiTheme="minorHAnsi" w:hAnsiTheme="minorHAnsi" w:cstheme="minorHAnsi"/>
          <w:sz w:val="20"/>
          <w:szCs w:val="20"/>
          <w:lang w:val="fr-FR"/>
        </w:rPr>
        <w:t>Comités communautaires de résolution des conflits, dont les rôles vont au-delà des conflits liés à la GRN</w:t>
      </w:r>
      <w:r w:rsidR="00E44ED9" w:rsidRPr="000E53A0">
        <w:rPr>
          <w:rFonts w:asciiTheme="minorHAnsi" w:hAnsiTheme="minorHAnsi" w:cstheme="minorHAnsi"/>
          <w:sz w:val="20"/>
          <w:szCs w:val="20"/>
          <w:lang w:val="fr-FR"/>
        </w:rPr>
        <w:t xml:space="preserve">. </w:t>
      </w:r>
    </w:p>
    <w:p w14:paraId="3697EE6A" w14:textId="77777777" w:rsidR="00601D9B" w:rsidRPr="000E53A0" w:rsidRDefault="000E53A0">
      <w:pPr>
        <w:pStyle w:val="Paragraphedeliste"/>
        <w:numPr>
          <w:ilvl w:val="0"/>
          <w:numId w:val="54"/>
        </w:numPr>
        <w:jc w:val="both"/>
        <w:rPr>
          <w:rFonts w:asciiTheme="minorHAnsi" w:hAnsiTheme="minorHAnsi" w:cstheme="minorHAnsi"/>
          <w:sz w:val="20"/>
          <w:szCs w:val="20"/>
          <w:lang w:val="fr-FR"/>
        </w:rPr>
      </w:pPr>
      <w:r w:rsidRPr="000E53A0">
        <w:rPr>
          <w:rFonts w:asciiTheme="minorHAnsi" w:hAnsiTheme="minorHAnsi" w:cstheme="minorHAnsi"/>
          <w:sz w:val="20"/>
          <w:szCs w:val="20"/>
          <w:lang w:val="fr-FR"/>
        </w:rPr>
        <w:t>Les commissions foncières (CoFo), créées par la loi d'orientation agricole de 2006 et chargées d'arbitrer les conflits fonciers agricoles et de favoriser l'accès à la terre des populations vulnérables (femmes, jeunes). Elles sont présidées par les préfets des communes, et sont composées du maire, de représentants de l'État impliqués dans le secteur agricole et de chefs traditionnels. Elles ne fonctionnent pas encore efficacement en raison d'un manque de reconnaissance au niveau des villages.</w:t>
      </w:r>
    </w:p>
    <w:p w14:paraId="7DA227C7" w14:textId="77777777" w:rsidR="00601D9B" w:rsidRPr="000E53A0" w:rsidRDefault="000E53A0">
      <w:pPr>
        <w:pStyle w:val="Paragraphedeliste"/>
        <w:numPr>
          <w:ilvl w:val="0"/>
          <w:numId w:val="54"/>
        </w:numPr>
        <w:jc w:val="both"/>
        <w:rPr>
          <w:rFonts w:asciiTheme="minorHAnsi" w:hAnsiTheme="minorHAnsi" w:cstheme="minorHAnsi"/>
          <w:sz w:val="20"/>
          <w:szCs w:val="20"/>
          <w:lang w:val="fr-FR"/>
        </w:rPr>
      </w:pPr>
      <w:r w:rsidRPr="000E53A0">
        <w:rPr>
          <w:rFonts w:asciiTheme="minorHAnsi" w:hAnsiTheme="minorHAnsi" w:cstheme="minorHAnsi"/>
          <w:sz w:val="20"/>
          <w:szCs w:val="20"/>
          <w:lang w:val="fr-FR"/>
        </w:rPr>
        <w:t xml:space="preserve">Mécanismes coutumiers locaux et accords traditionnels (par exemple, Djowro) pour la gestion des pâturages et des terres agricoles. </w:t>
      </w:r>
    </w:p>
    <w:p w14:paraId="50DD043D" w14:textId="77777777" w:rsidR="00601D9B" w:rsidRPr="000E53A0" w:rsidRDefault="000E53A0">
      <w:pPr>
        <w:pStyle w:val="Paragraphedeliste"/>
        <w:numPr>
          <w:ilvl w:val="0"/>
          <w:numId w:val="54"/>
        </w:numPr>
        <w:jc w:val="both"/>
        <w:rPr>
          <w:rFonts w:asciiTheme="minorHAnsi" w:hAnsiTheme="minorHAnsi" w:cstheme="minorHAnsi"/>
          <w:sz w:val="20"/>
          <w:szCs w:val="20"/>
          <w:lang w:val="fr-FR"/>
        </w:rPr>
      </w:pPr>
      <w:r w:rsidRPr="000E53A0">
        <w:rPr>
          <w:rFonts w:asciiTheme="minorHAnsi" w:hAnsiTheme="minorHAnsi" w:cstheme="minorHAnsi"/>
          <w:sz w:val="20"/>
          <w:szCs w:val="20"/>
          <w:lang w:val="fr-FR"/>
        </w:rPr>
        <w:t>les chefs de village, qui sont finalement appelés à arbitrer les conflits entre utilisateurs</w:t>
      </w:r>
    </w:p>
    <w:p w14:paraId="49F8773E" w14:textId="77777777" w:rsidR="00601D9B" w:rsidRPr="000E53A0" w:rsidRDefault="000E53A0">
      <w:pPr>
        <w:pStyle w:val="Paragraphedeliste"/>
        <w:numPr>
          <w:ilvl w:val="0"/>
          <w:numId w:val="54"/>
        </w:numPr>
        <w:jc w:val="both"/>
        <w:rPr>
          <w:rFonts w:asciiTheme="minorHAnsi" w:hAnsiTheme="minorHAnsi" w:cstheme="minorHAnsi"/>
          <w:sz w:val="20"/>
          <w:szCs w:val="20"/>
          <w:lang w:val="fr-FR"/>
        </w:rPr>
      </w:pPr>
      <w:r w:rsidRPr="000E53A0">
        <w:rPr>
          <w:rFonts w:asciiTheme="minorHAnsi" w:hAnsiTheme="minorHAnsi" w:cstheme="minorHAnsi"/>
          <w:sz w:val="20"/>
          <w:szCs w:val="20"/>
          <w:lang w:val="fr-FR"/>
        </w:rPr>
        <w:t xml:space="preserve">Les relais communautaires (RECO et RECOTRADE) sont des personnes qui ont un rôle à jouer dans la société. Ce sont souvent des </w:t>
      </w:r>
      <w:r w:rsidR="00A810CD" w:rsidRPr="000E53A0">
        <w:rPr>
          <w:rFonts w:asciiTheme="minorHAnsi" w:hAnsiTheme="minorHAnsi" w:cstheme="minorHAnsi"/>
          <w:i/>
          <w:iCs/>
          <w:sz w:val="20"/>
          <w:szCs w:val="20"/>
          <w:lang w:val="fr-FR"/>
        </w:rPr>
        <w:t xml:space="preserve">hommes de castes </w:t>
      </w:r>
      <w:r w:rsidR="00A810CD" w:rsidRPr="000E53A0">
        <w:rPr>
          <w:rFonts w:asciiTheme="minorHAnsi" w:hAnsiTheme="minorHAnsi" w:cstheme="minorHAnsi"/>
          <w:sz w:val="20"/>
          <w:szCs w:val="20"/>
          <w:lang w:val="fr-FR"/>
        </w:rPr>
        <w:t>très respectés</w:t>
      </w:r>
      <w:r w:rsidRPr="000E53A0">
        <w:rPr>
          <w:rFonts w:asciiTheme="minorHAnsi" w:hAnsiTheme="minorHAnsi" w:cstheme="minorHAnsi"/>
          <w:sz w:val="20"/>
          <w:szCs w:val="20"/>
          <w:lang w:val="fr-FR"/>
        </w:rPr>
        <w:t xml:space="preserve">, reflétant le principe de gérontocratie et son complément, le principe d'ancienneté, qui sont en effet à la base de tous les rapports sociaux, les plus jeunes étant toujours soumis aux plus anciens. En vertu de ce principe, la gestion des affaires du village, du lignage et de la famille est confiée aux anciens. </w:t>
      </w:r>
    </w:p>
    <w:p w14:paraId="5C03729E" w14:textId="77777777" w:rsidR="0010587A" w:rsidRPr="000E53A0" w:rsidRDefault="0010587A" w:rsidP="00A537FD">
      <w:pPr>
        <w:pStyle w:val="Paragraphedeliste"/>
        <w:jc w:val="both"/>
        <w:rPr>
          <w:rFonts w:asciiTheme="minorHAnsi" w:hAnsiTheme="minorHAnsi" w:cstheme="minorHAnsi"/>
          <w:sz w:val="20"/>
          <w:szCs w:val="20"/>
          <w:lang w:val="fr-FR"/>
        </w:rPr>
      </w:pPr>
    </w:p>
    <w:p w14:paraId="0B510339" w14:textId="77777777" w:rsidR="00601D9B" w:rsidRPr="000E53A0" w:rsidRDefault="000E53A0">
      <w:pPr>
        <w:jc w:val="both"/>
        <w:rPr>
          <w:rFonts w:asciiTheme="minorHAnsi" w:hAnsiTheme="minorHAnsi" w:cstheme="minorHAnsi"/>
          <w:sz w:val="20"/>
          <w:szCs w:val="20"/>
          <w:lang w:val="fr-FR"/>
        </w:rPr>
      </w:pPr>
      <w:r w:rsidRPr="000E53A0">
        <w:rPr>
          <w:rFonts w:asciiTheme="minorHAnsi" w:hAnsiTheme="minorHAnsi" w:cstheme="minorHAnsi"/>
          <w:sz w:val="20"/>
          <w:szCs w:val="20"/>
          <w:lang w:val="fr-FR"/>
        </w:rPr>
        <w:t xml:space="preserve">La coexistence de lois foncières modernes et de règles et pratiques traditionnelles conduit à un débat sur le cadre juridique et institutionnel de la gestion des ressources naturelles. L'application du code de l'état conduit le législateur à reconnaître les droits et pratiques coutumiers et à rechercher la compatibilité entre les traditions et coutumes et le droit foncier. Les règles et pratiques traditionnelles peuvent être utiles pour réguler et gérer les conflits liés aux ressources naturelles au niveau du village </w:t>
      </w:r>
      <w:r w:rsidRPr="00A537FD">
        <w:rPr>
          <w:rStyle w:val="Appelnotedebasdep"/>
          <w:rFonts w:asciiTheme="minorHAnsi" w:hAnsiTheme="minorHAnsi" w:cstheme="minorHAnsi"/>
          <w:sz w:val="20"/>
          <w:szCs w:val="20"/>
          <w:lang w:val="fr-FR"/>
        </w:rPr>
        <w:footnoteReference w:id="46"/>
      </w:r>
      <w:r w:rsidRPr="000E53A0">
        <w:rPr>
          <w:rFonts w:asciiTheme="minorHAnsi" w:hAnsiTheme="minorHAnsi" w:cstheme="minorHAnsi"/>
          <w:sz w:val="20"/>
          <w:szCs w:val="20"/>
          <w:lang w:val="fr-FR"/>
        </w:rPr>
        <w:t xml:space="preserve">. Un questionnaire élaboré par le SIPRI demandait aux personnes interrogées d'indiquer quel système judiciaire leur semblait le plus impartial. Les résultats indiquent que 52,1% des personnes interrogées pensent que le système de justice coutumier est le plus impartial, suivi par la justice religieuse (19,1%), le système de justice officiel de l'État ne recueillant que 10,4% des voix. </w:t>
      </w:r>
    </w:p>
    <w:p w14:paraId="3DF563CB" w14:textId="77777777" w:rsidR="00601D9B" w:rsidRPr="000E53A0" w:rsidRDefault="000E53A0">
      <w:pPr>
        <w:jc w:val="both"/>
        <w:rPr>
          <w:rFonts w:asciiTheme="minorHAnsi" w:hAnsiTheme="minorHAnsi" w:cstheme="minorHAnsi"/>
          <w:sz w:val="20"/>
          <w:szCs w:val="20"/>
          <w:lang w:val="fr-FR"/>
        </w:rPr>
      </w:pPr>
      <w:r w:rsidRPr="000E53A0">
        <w:rPr>
          <w:rFonts w:asciiTheme="minorHAnsi" w:hAnsiTheme="minorHAnsi" w:cstheme="minorHAnsi"/>
          <w:sz w:val="20"/>
          <w:szCs w:val="20"/>
          <w:lang w:val="fr-FR"/>
        </w:rPr>
        <w:t xml:space="preserve">Amener les communautés locales en première ligne de la gestion de crise serait un facteur efficace de cohésion sociale durable dans la zone du projet. Il </w:t>
      </w:r>
      <w:r w:rsidR="0010587A" w:rsidRPr="000E53A0">
        <w:rPr>
          <w:rFonts w:asciiTheme="minorHAnsi" w:hAnsiTheme="minorHAnsi" w:cstheme="minorHAnsi"/>
          <w:sz w:val="20"/>
          <w:szCs w:val="20"/>
          <w:lang w:val="fr-FR"/>
        </w:rPr>
        <w:t xml:space="preserve">est donc nécessaire de renforcer la coordination et la coopération entre les structures communautaires de GRN et les mécanismes et comités coutumiers pour négocier des accords entre les communautés d'éleveurs, d'agriculteurs et de pêcheurs sur les limites des pâturages et des terres agricoles, l'accès aux pâturages et à l'eau, le calendrier et la régulation des migrations. </w:t>
      </w:r>
      <w:r w:rsidR="00631C49" w:rsidRPr="000E53A0">
        <w:rPr>
          <w:rFonts w:asciiTheme="minorHAnsi" w:hAnsiTheme="minorHAnsi" w:cstheme="minorHAnsi"/>
          <w:sz w:val="20"/>
          <w:szCs w:val="20"/>
          <w:lang w:val="fr-FR"/>
        </w:rPr>
        <w:t xml:space="preserve">Actuellement, les </w:t>
      </w:r>
      <w:r w:rsidR="00D81973" w:rsidRPr="000E53A0">
        <w:rPr>
          <w:rFonts w:asciiTheme="minorHAnsi" w:hAnsiTheme="minorHAnsi" w:cstheme="minorHAnsi"/>
          <w:sz w:val="20"/>
          <w:szCs w:val="20"/>
          <w:lang w:val="fr-FR"/>
        </w:rPr>
        <w:t xml:space="preserve">acteurs ont des vues divergentes sur la gestion des différents types de conflits. En effet, alors que la population est frustrée de la manière dont ses conflits sont gérés, les autorités estiment que des efforts sont faits. </w:t>
      </w:r>
      <w:r w:rsidRPr="000E53A0">
        <w:rPr>
          <w:rFonts w:asciiTheme="minorHAnsi" w:hAnsiTheme="minorHAnsi" w:cstheme="minorHAnsi"/>
          <w:sz w:val="20"/>
          <w:szCs w:val="20"/>
          <w:lang w:val="fr-FR"/>
        </w:rPr>
        <w:t xml:space="preserve">Les chefs de village lors des consultations des PPG ont estimé que les conflits entre agriculteurs et éleveurs peuvent être médiatisés et résolus à l'amiable dans 78% des cas. Les </w:t>
      </w:r>
      <w:r w:rsidR="00631C49" w:rsidRPr="000E53A0">
        <w:rPr>
          <w:rFonts w:asciiTheme="minorHAnsi" w:hAnsiTheme="minorHAnsi" w:cstheme="minorHAnsi"/>
          <w:sz w:val="20"/>
          <w:szCs w:val="20"/>
          <w:lang w:val="fr-FR"/>
        </w:rPr>
        <w:t xml:space="preserve">consultations PPG ont </w:t>
      </w:r>
      <w:r w:rsidRPr="000E53A0">
        <w:rPr>
          <w:rFonts w:asciiTheme="minorHAnsi" w:hAnsiTheme="minorHAnsi" w:cstheme="minorHAnsi"/>
          <w:sz w:val="20"/>
          <w:szCs w:val="20"/>
          <w:lang w:val="fr-FR"/>
        </w:rPr>
        <w:t xml:space="preserve">également </w:t>
      </w:r>
      <w:r w:rsidR="00631C49" w:rsidRPr="000E53A0">
        <w:rPr>
          <w:rFonts w:asciiTheme="minorHAnsi" w:hAnsiTheme="minorHAnsi" w:cstheme="minorHAnsi"/>
          <w:sz w:val="20"/>
          <w:szCs w:val="20"/>
          <w:lang w:val="fr-FR"/>
        </w:rPr>
        <w:t xml:space="preserve">révélé un </w:t>
      </w:r>
      <w:r w:rsidR="00D81973" w:rsidRPr="000E53A0">
        <w:rPr>
          <w:rFonts w:asciiTheme="minorHAnsi" w:hAnsiTheme="minorHAnsi" w:cstheme="minorHAnsi"/>
          <w:sz w:val="20"/>
          <w:szCs w:val="20"/>
          <w:lang w:val="fr-FR"/>
        </w:rPr>
        <w:t xml:space="preserve">regain de frustration des </w:t>
      </w:r>
      <w:r w:rsidR="00631C49" w:rsidRPr="000E53A0">
        <w:rPr>
          <w:rFonts w:asciiTheme="minorHAnsi" w:hAnsiTheme="minorHAnsi" w:cstheme="minorHAnsi"/>
          <w:sz w:val="20"/>
          <w:szCs w:val="20"/>
          <w:lang w:val="fr-FR"/>
        </w:rPr>
        <w:t xml:space="preserve">communautés locales </w:t>
      </w:r>
      <w:r w:rsidR="00D81973" w:rsidRPr="000E53A0">
        <w:rPr>
          <w:rFonts w:asciiTheme="minorHAnsi" w:hAnsiTheme="minorHAnsi" w:cstheme="minorHAnsi"/>
          <w:sz w:val="20"/>
          <w:szCs w:val="20"/>
          <w:lang w:val="fr-FR"/>
        </w:rPr>
        <w:t>dans la gestion des affaires courantes</w:t>
      </w:r>
      <w:r w:rsidR="00631C49" w:rsidRPr="000E53A0">
        <w:rPr>
          <w:rFonts w:asciiTheme="minorHAnsi" w:hAnsiTheme="minorHAnsi" w:cstheme="minorHAnsi"/>
          <w:sz w:val="20"/>
          <w:szCs w:val="20"/>
          <w:lang w:val="fr-FR"/>
        </w:rPr>
        <w:t xml:space="preserve">, ce qui est devenu </w:t>
      </w:r>
      <w:r w:rsidR="00D81973" w:rsidRPr="000E53A0">
        <w:rPr>
          <w:rFonts w:asciiTheme="minorHAnsi" w:hAnsiTheme="minorHAnsi" w:cstheme="minorHAnsi"/>
          <w:sz w:val="20"/>
          <w:szCs w:val="20"/>
          <w:lang w:val="fr-FR"/>
        </w:rPr>
        <w:t xml:space="preserve">un handicap dans la gestion des conflits tant au niveau local que national. La nécessité de rétablir les droits et le statut des </w:t>
      </w:r>
      <w:r w:rsidR="00631C49" w:rsidRPr="000E53A0">
        <w:rPr>
          <w:rFonts w:asciiTheme="minorHAnsi" w:hAnsiTheme="minorHAnsi" w:cstheme="minorHAnsi"/>
          <w:sz w:val="20"/>
          <w:szCs w:val="20"/>
          <w:lang w:val="fr-FR"/>
        </w:rPr>
        <w:t xml:space="preserve">communautés locales </w:t>
      </w:r>
      <w:r w:rsidR="00D81973" w:rsidRPr="000E53A0">
        <w:rPr>
          <w:rFonts w:asciiTheme="minorHAnsi" w:hAnsiTheme="minorHAnsi" w:cstheme="minorHAnsi"/>
          <w:sz w:val="20"/>
          <w:szCs w:val="20"/>
          <w:lang w:val="fr-FR"/>
        </w:rPr>
        <w:t xml:space="preserve">est essentielle pour la cohésion sociale, qui est une </w:t>
      </w:r>
      <w:r w:rsidR="00D81973" w:rsidRPr="000E53A0">
        <w:rPr>
          <w:rFonts w:asciiTheme="minorHAnsi" w:hAnsiTheme="minorHAnsi" w:cstheme="minorHAnsi"/>
          <w:i/>
          <w:iCs/>
          <w:sz w:val="20"/>
          <w:szCs w:val="20"/>
          <w:lang w:val="fr-FR"/>
        </w:rPr>
        <w:t xml:space="preserve">condition sine qua non </w:t>
      </w:r>
      <w:r w:rsidR="00D81973" w:rsidRPr="000E53A0">
        <w:rPr>
          <w:rFonts w:asciiTheme="minorHAnsi" w:hAnsiTheme="minorHAnsi" w:cstheme="minorHAnsi"/>
          <w:sz w:val="20"/>
          <w:szCs w:val="20"/>
          <w:lang w:val="fr-FR"/>
        </w:rPr>
        <w:t>du développement de la zone.</w:t>
      </w:r>
      <w:r w:rsidR="00363A58" w:rsidRPr="000E53A0">
        <w:rPr>
          <w:rFonts w:asciiTheme="minorHAnsi" w:hAnsiTheme="minorHAnsi" w:cstheme="minorHAnsi"/>
          <w:sz w:val="20"/>
          <w:szCs w:val="20"/>
          <w:lang w:val="fr-FR"/>
        </w:rPr>
        <w:t xml:space="preserve"> Enfin, il est important de noter que les femmes sont rarement impliquées dans ces mécanismes de résolution des conflits, en raison de facteurs culturels. </w:t>
      </w:r>
      <w:r w:rsidR="00A810CD" w:rsidRPr="000E53A0">
        <w:rPr>
          <w:rFonts w:asciiTheme="minorHAnsi" w:hAnsiTheme="minorHAnsi" w:cstheme="minorHAnsi"/>
          <w:sz w:val="20"/>
          <w:szCs w:val="20"/>
          <w:lang w:val="fr-FR"/>
        </w:rPr>
        <w:t xml:space="preserve">Lorsqu'elles le sont, celles qui sont sollicitées sont celles qui ont un statut social important comme les </w:t>
      </w:r>
      <w:r w:rsidRPr="000E53A0">
        <w:rPr>
          <w:rFonts w:asciiTheme="minorHAnsi" w:hAnsiTheme="minorHAnsi" w:cstheme="minorHAnsi"/>
          <w:sz w:val="20"/>
          <w:szCs w:val="20"/>
          <w:lang w:val="fr-FR"/>
        </w:rPr>
        <w:t xml:space="preserve">femmes âgées </w:t>
      </w:r>
      <w:r w:rsidR="00A810CD" w:rsidRPr="000E53A0">
        <w:rPr>
          <w:rFonts w:asciiTheme="minorHAnsi" w:hAnsiTheme="minorHAnsi" w:cstheme="minorHAnsi"/>
          <w:sz w:val="20"/>
          <w:szCs w:val="20"/>
          <w:lang w:val="fr-FR"/>
        </w:rPr>
        <w:t xml:space="preserve">qui pratiquent les excisions </w:t>
      </w:r>
      <w:r w:rsidRPr="000E53A0">
        <w:rPr>
          <w:rFonts w:asciiTheme="minorHAnsi" w:hAnsiTheme="minorHAnsi" w:cstheme="minorHAnsi"/>
          <w:sz w:val="20"/>
          <w:szCs w:val="20"/>
          <w:lang w:val="fr-FR"/>
        </w:rPr>
        <w:t xml:space="preserve">et qui font </w:t>
      </w:r>
      <w:r w:rsidR="00A810CD" w:rsidRPr="000E53A0">
        <w:rPr>
          <w:rFonts w:asciiTheme="minorHAnsi" w:hAnsiTheme="minorHAnsi" w:cstheme="minorHAnsi"/>
          <w:sz w:val="20"/>
          <w:szCs w:val="20"/>
          <w:lang w:val="fr-FR"/>
        </w:rPr>
        <w:t xml:space="preserve">généralement partie de la caste des forgerons. </w:t>
      </w:r>
      <w:r w:rsidR="00363A58" w:rsidRPr="000E53A0">
        <w:rPr>
          <w:rFonts w:asciiTheme="minorHAnsi" w:hAnsiTheme="minorHAnsi" w:cstheme="minorHAnsi"/>
          <w:sz w:val="20"/>
          <w:szCs w:val="20"/>
          <w:lang w:val="fr-FR"/>
        </w:rPr>
        <w:t xml:space="preserve">Cependant, il existe peut-être des possibilités plus importantes d'impliquer activement </w:t>
      </w:r>
      <w:r w:rsidRPr="000E53A0">
        <w:rPr>
          <w:rFonts w:asciiTheme="minorHAnsi" w:hAnsiTheme="minorHAnsi" w:cstheme="minorHAnsi"/>
          <w:sz w:val="20"/>
          <w:szCs w:val="20"/>
          <w:lang w:val="fr-FR"/>
        </w:rPr>
        <w:t xml:space="preserve">un plus large éventail de femmes </w:t>
      </w:r>
      <w:r w:rsidR="00363A58" w:rsidRPr="000E53A0">
        <w:rPr>
          <w:rFonts w:asciiTheme="minorHAnsi" w:hAnsiTheme="minorHAnsi" w:cstheme="minorHAnsi"/>
          <w:sz w:val="20"/>
          <w:szCs w:val="20"/>
          <w:lang w:val="fr-FR"/>
        </w:rPr>
        <w:t>dans la prévention des conflits.</w:t>
      </w:r>
    </w:p>
    <w:p w14:paraId="0A024488" w14:textId="77777777" w:rsidR="00D81973" w:rsidRPr="000E53A0" w:rsidRDefault="00D81973" w:rsidP="00A537FD">
      <w:pPr>
        <w:jc w:val="both"/>
        <w:rPr>
          <w:rFonts w:asciiTheme="minorHAnsi" w:hAnsiTheme="minorHAnsi" w:cstheme="minorHAnsi"/>
          <w:sz w:val="20"/>
          <w:szCs w:val="20"/>
          <w:lang w:val="fr-FR"/>
        </w:rPr>
      </w:pPr>
    </w:p>
    <w:p w14:paraId="140BCA75" w14:textId="77777777" w:rsidR="00601D9B" w:rsidRPr="000E53A0" w:rsidRDefault="000E53A0">
      <w:pPr>
        <w:jc w:val="both"/>
        <w:rPr>
          <w:rFonts w:asciiTheme="minorHAnsi" w:hAnsiTheme="minorHAnsi" w:cstheme="minorHAnsi"/>
          <w:i/>
          <w:iCs/>
          <w:sz w:val="20"/>
          <w:szCs w:val="20"/>
          <w:lang w:val="fr-FR"/>
        </w:rPr>
      </w:pPr>
      <w:r w:rsidRPr="000E53A0">
        <w:rPr>
          <w:rFonts w:asciiTheme="minorHAnsi" w:hAnsiTheme="minorHAnsi" w:cstheme="minorHAnsi"/>
          <w:i/>
          <w:iCs/>
          <w:sz w:val="20"/>
          <w:szCs w:val="20"/>
          <w:lang w:val="fr-FR"/>
        </w:rPr>
        <w:t xml:space="preserve">Barrière </w:t>
      </w:r>
      <w:r w:rsidR="00D2375C" w:rsidRPr="000E53A0">
        <w:rPr>
          <w:rFonts w:asciiTheme="minorHAnsi" w:hAnsiTheme="minorHAnsi" w:cstheme="minorHAnsi"/>
          <w:i/>
          <w:iCs/>
          <w:sz w:val="20"/>
          <w:szCs w:val="20"/>
          <w:lang w:val="fr-FR"/>
        </w:rPr>
        <w:t xml:space="preserve">4 </w:t>
      </w:r>
      <w:r w:rsidRPr="000E53A0">
        <w:rPr>
          <w:rFonts w:asciiTheme="minorHAnsi" w:hAnsiTheme="minorHAnsi" w:cstheme="minorHAnsi"/>
          <w:i/>
          <w:iCs/>
          <w:sz w:val="20"/>
          <w:szCs w:val="20"/>
          <w:lang w:val="fr-FR"/>
        </w:rPr>
        <w:t xml:space="preserve">: Capacité limitée (humaine, technique, intrants) </w:t>
      </w:r>
      <w:r w:rsidR="00F15864" w:rsidRPr="000E53A0">
        <w:rPr>
          <w:rFonts w:asciiTheme="minorHAnsi" w:hAnsiTheme="minorHAnsi" w:cstheme="minorHAnsi"/>
          <w:i/>
          <w:iCs/>
          <w:sz w:val="20"/>
          <w:szCs w:val="20"/>
          <w:lang w:val="fr-FR"/>
        </w:rPr>
        <w:t xml:space="preserve">pour </w:t>
      </w:r>
      <w:r w:rsidR="00D81973" w:rsidRPr="000E53A0">
        <w:rPr>
          <w:rFonts w:asciiTheme="minorHAnsi" w:hAnsiTheme="minorHAnsi" w:cstheme="minorHAnsi"/>
          <w:i/>
          <w:iCs/>
          <w:sz w:val="20"/>
          <w:szCs w:val="20"/>
          <w:lang w:val="fr-FR"/>
        </w:rPr>
        <w:t>mettre en œuvre des pratiques résilientes par le biais d'une approche paysagère.</w:t>
      </w:r>
    </w:p>
    <w:p w14:paraId="2362B50F" w14:textId="77777777" w:rsidR="00601D9B" w:rsidRPr="000E53A0" w:rsidRDefault="00B62753">
      <w:pPr>
        <w:jc w:val="both"/>
        <w:rPr>
          <w:rFonts w:asciiTheme="minorHAnsi" w:hAnsiTheme="minorHAnsi" w:cstheme="minorHAnsi"/>
          <w:sz w:val="20"/>
          <w:szCs w:val="20"/>
          <w:lang w:val="fr-FR"/>
        </w:rPr>
      </w:pPr>
      <w:r w:rsidRPr="000E53A0">
        <w:rPr>
          <w:rFonts w:asciiTheme="minorHAnsi" w:hAnsiTheme="minorHAnsi" w:cstheme="minorHAnsi"/>
          <w:sz w:val="20"/>
          <w:szCs w:val="20"/>
          <w:lang w:val="fr-FR"/>
        </w:rPr>
        <w:t xml:space="preserve">Il </w:t>
      </w:r>
      <w:r w:rsidR="000E53A0" w:rsidRPr="000E53A0">
        <w:rPr>
          <w:rFonts w:asciiTheme="minorHAnsi" w:hAnsiTheme="minorHAnsi" w:cstheme="minorHAnsi"/>
          <w:sz w:val="20"/>
          <w:szCs w:val="20"/>
          <w:lang w:val="fr-FR"/>
        </w:rPr>
        <w:t xml:space="preserve">est nécessaire que les interventions de restauration du paysage soient pilotées, adaptées au contexte local et mises à l'échelle dans tout le pays, en utilisant les processus existants pour la planification intersectorielle de l'adaptation au changement climatique pour les secteurs économiques, dans la mesure du possible. Le Mali, et en particulier les régions de Mopti et de Ségou, possède des systèmes socio-écologiques complexes et interconnectés construits autour du pâturage, de l'agriculture et de la pêche qui sont de plus en plus vulnérables aux impacts climatiques. Un certain nombre de projets et de programmes financés par des donateurs ont relevé le défi de restaurer la productivité des systèmes de terre et d'eau, et d'aider les communautés à développer leur capacité d'adaptation aux impacts inévitables du changement climatique. Ce qui manque, cependant, c'est une approche systémique qui aligne ces interventions dans le cadre d'une stratégie globale. Les secteurs gouvernementaux, tels que l'agriculture, le développement économique, l'élevage, la pêche, l'eau et les forêts, disposent de budgets limités et sont peu présents sur le terrain dans les régions centrales, ce </w:t>
      </w:r>
      <w:r w:rsidRPr="000E53A0">
        <w:rPr>
          <w:rFonts w:asciiTheme="minorHAnsi" w:hAnsiTheme="minorHAnsi" w:cstheme="minorHAnsi"/>
          <w:sz w:val="20"/>
          <w:szCs w:val="20"/>
          <w:lang w:val="fr-FR"/>
        </w:rPr>
        <w:t>qui rend difficile la mise en place d'un soutien efficace à la vulgarisation agricole</w:t>
      </w:r>
      <w:r w:rsidR="000E53A0" w:rsidRPr="000E53A0">
        <w:rPr>
          <w:rFonts w:asciiTheme="minorHAnsi" w:hAnsiTheme="minorHAnsi" w:cstheme="minorHAnsi"/>
          <w:sz w:val="20"/>
          <w:szCs w:val="20"/>
          <w:lang w:val="fr-FR"/>
        </w:rPr>
        <w:t xml:space="preserve">. Lorsqu'ils sont engagés dans des activités de développement, celles-ci ont tendance à être sporadiques et isolées, et les interventions ne sont pas basées sur une compréhension systémique du climat et des autres risques à travers le paysage, et comment ceux-ci peuvent être gérés de manière intégrée. </w:t>
      </w:r>
      <w:r w:rsidRPr="000E53A0">
        <w:rPr>
          <w:rFonts w:asciiTheme="minorHAnsi" w:hAnsiTheme="minorHAnsi" w:cstheme="minorHAnsi"/>
          <w:sz w:val="20"/>
          <w:szCs w:val="20"/>
          <w:lang w:val="fr-FR"/>
        </w:rPr>
        <w:t xml:space="preserve">Dans ce contexte, il est nécessaire que des projets et des programmes financés par les partenaires techniques et financiers du gouvernement comblent certaines lacunes à court terme et contribuent à renforcer les capacités de vulgarisation du gouvernement à plus long terme. À l'heure actuelle, les services de vulgarisation agricole sont limités et concentrés dans les régions productrices de coton du sud, et non dans les régions centrales où la plupart des agriculteurs pratiquent une agriculture de subsistance, dont les rendements agricoles sont très vulnérables au changement climatique et qui ont peu de possibilités de diversification. En outre, les gestionnaires et les fonctionnaires des cercles et au niveau local manquent souvent des connaissances techniques nécessaires pour relever les défis environnementaux. Il est </w:t>
      </w:r>
      <w:r w:rsidR="00F15864" w:rsidRPr="000E53A0">
        <w:rPr>
          <w:rFonts w:asciiTheme="minorHAnsi" w:hAnsiTheme="minorHAnsi" w:cstheme="minorHAnsi"/>
          <w:sz w:val="20"/>
          <w:szCs w:val="20"/>
          <w:lang w:val="fr-FR"/>
        </w:rPr>
        <w:t xml:space="preserve">donc nécessaire de fournir une </w:t>
      </w:r>
      <w:r w:rsidR="000E53A0" w:rsidRPr="000E53A0">
        <w:rPr>
          <w:rFonts w:asciiTheme="minorHAnsi" w:hAnsiTheme="minorHAnsi" w:cstheme="minorHAnsi"/>
          <w:sz w:val="20"/>
          <w:szCs w:val="20"/>
          <w:lang w:val="fr-FR"/>
        </w:rPr>
        <w:lastRenderedPageBreak/>
        <w:t xml:space="preserve">formation et un soutien techniques </w:t>
      </w:r>
      <w:r w:rsidR="00F15864" w:rsidRPr="000E53A0">
        <w:rPr>
          <w:rFonts w:asciiTheme="minorHAnsi" w:hAnsiTheme="minorHAnsi" w:cstheme="minorHAnsi"/>
          <w:sz w:val="20"/>
          <w:szCs w:val="20"/>
          <w:lang w:val="fr-FR"/>
        </w:rPr>
        <w:t xml:space="preserve">aux </w:t>
      </w:r>
      <w:r w:rsidR="0099716E" w:rsidRPr="000E53A0">
        <w:rPr>
          <w:rFonts w:asciiTheme="minorHAnsi" w:hAnsiTheme="minorHAnsi" w:cstheme="minorHAnsi"/>
          <w:sz w:val="20"/>
          <w:szCs w:val="20"/>
          <w:lang w:val="fr-FR"/>
        </w:rPr>
        <w:t xml:space="preserve">services de vulgarisation et, en dernier ressort, aux </w:t>
      </w:r>
      <w:r w:rsidR="00F15864" w:rsidRPr="000E53A0">
        <w:rPr>
          <w:rFonts w:asciiTheme="minorHAnsi" w:hAnsiTheme="minorHAnsi" w:cstheme="minorHAnsi"/>
          <w:sz w:val="20"/>
          <w:szCs w:val="20"/>
          <w:lang w:val="fr-FR"/>
        </w:rPr>
        <w:t>ménages</w:t>
      </w:r>
      <w:r w:rsidR="0099716E" w:rsidRPr="000E53A0">
        <w:rPr>
          <w:rFonts w:asciiTheme="minorHAnsi" w:hAnsiTheme="minorHAnsi" w:cstheme="minorHAnsi"/>
          <w:sz w:val="20"/>
          <w:szCs w:val="20"/>
          <w:lang w:val="fr-FR"/>
        </w:rPr>
        <w:t xml:space="preserve">, et d'aider ces derniers </w:t>
      </w:r>
      <w:r w:rsidR="000E53A0" w:rsidRPr="000E53A0">
        <w:rPr>
          <w:rFonts w:asciiTheme="minorHAnsi" w:hAnsiTheme="minorHAnsi" w:cstheme="minorHAnsi"/>
          <w:sz w:val="20"/>
          <w:szCs w:val="20"/>
          <w:lang w:val="fr-FR"/>
        </w:rPr>
        <w:t>à accéder aux intrants (notamment les ménages dirigés par des femmes) afin d'adapter les pratiques agricoles au changement climatique, de restaurer la productivité des terres et d'</w:t>
      </w:r>
      <w:r w:rsidR="00F15864" w:rsidRPr="000E53A0">
        <w:rPr>
          <w:rFonts w:asciiTheme="minorHAnsi" w:hAnsiTheme="minorHAnsi" w:cstheme="minorHAnsi"/>
          <w:sz w:val="20"/>
          <w:szCs w:val="20"/>
          <w:lang w:val="fr-FR"/>
        </w:rPr>
        <w:t xml:space="preserve">accroître l'adoption de </w:t>
      </w:r>
      <w:r w:rsidR="000E53A0" w:rsidRPr="000E53A0">
        <w:rPr>
          <w:rFonts w:asciiTheme="minorHAnsi" w:hAnsiTheme="minorHAnsi" w:cstheme="minorHAnsi"/>
          <w:sz w:val="20"/>
          <w:szCs w:val="20"/>
          <w:lang w:val="fr-FR"/>
        </w:rPr>
        <w:t xml:space="preserve">techniques de gestion durable des terres et de l'eau </w:t>
      </w:r>
      <w:r w:rsidR="00F15864" w:rsidRPr="000E53A0">
        <w:rPr>
          <w:rFonts w:asciiTheme="minorHAnsi" w:hAnsiTheme="minorHAnsi" w:cstheme="minorHAnsi"/>
          <w:sz w:val="20"/>
          <w:szCs w:val="20"/>
          <w:lang w:val="fr-FR"/>
        </w:rPr>
        <w:t xml:space="preserve">en </w:t>
      </w:r>
      <w:r w:rsidR="000E53A0" w:rsidRPr="000E53A0">
        <w:rPr>
          <w:rFonts w:asciiTheme="minorHAnsi" w:hAnsiTheme="minorHAnsi" w:cstheme="minorHAnsi"/>
          <w:sz w:val="20"/>
          <w:szCs w:val="20"/>
          <w:lang w:val="fr-FR"/>
        </w:rPr>
        <w:t xml:space="preserve">s'appuyant sur les connaissances traditionnelles et les préférences locales. Bien que les projets financés par les donateurs aient conduit à des travaux de réhabilitation communale pour restaurer les ressources en terre et en eau (par exemple, désensablement des infrastructures hydrauliques, stabilisation des dunes pour empêcher l'empiètement du sable) et développer de nouvelles sources d'eau de manière durable, il est nécessaire que ces travaux soient mieux coordonnés et étendus, avec des opportunités de travail créées en particulier pour les jeunes et les personnes déplacées à l'intérieur du pays. </w:t>
      </w:r>
      <w:r w:rsidR="0099716E" w:rsidRPr="000E53A0">
        <w:rPr>
          <w:rFonts w:asciiTheme="minorHAnsi" w:hAnsiTheme="minorHAnsi" w:cstheme="minorHAnsi"/>
          <w:sz w:val="20"/>
          <w:szCs w:val="20"/>
          <w:lang w:val="fr-FR"/>
        </w:rPr>
        <w:t>Enfin, la réponse au changement climatique exige qu'un effort significatif soit fait pour sensibiliser à la variabilité et au changement climatique actuel et prévu. L'intégration du changement climatique dans l'éducation formelle ainsi que dans les programmes de sensibilisation des communautés pourrait aider à atteindre ces objectifs.</w:t>
      </w:r>
    </w:p>
    <w:p w14:paraId="1CC8D007" w14:textId="77777777" w:rsidR="0099716E" w:rsidRPr="000E53A0" w:rsidRDefault="0099716E" w:rsidP="00A537FD">
      <w:pPr>
        <w:jc w:val="both"/>
        <w:rPr>
          <w:rFonts w:asciiTheme="minorHAnsi" w:hAnsiTheme="minorHAnsi" w:cstheme="minorHAnsi"/>
          <w:sz w:val="20"/>
          <w:szCs w:val="20"/>
          <w:lang w:val="fr-FR"/>
        </w:rPr>
      </w:pPr>
    </w:p>
    <w:p w14:paraId="5EE14C45" w14:textId="77777777" w:rsidR="00601D9B" w:rsidRPr="000E53A0" w:rsidRDefault="000E53A0">
      <w:pPr>
        <w:jc w:val="both"/>
        <w:rPr>
          <w:rFonts w:asciiTheme="minorHAnsi" w:hAnsiTheme="minorHAnsi" w:cstheme="minorHAnsi"/>
          <w:b/>
          <w:bCs/>
          <w:i/>
          <w:iCs/>
          <w:sz w:val="20"/>
          <w:szCs w:val="20"/>
          <w:u w:val="single"/>
          <w:lang w:val="fr-FR"/>
        </w:rPr>
      </w:pPr>
      <w:r w:rsidRPr="000E53A0">
        <w:rPr>
          <w:rFonts w:asciiTheme="minorHAnsi" w:hAnsiTheme="minorHAnsi" w:cstheme="minorHAnsi"/>
          <w:b/>
          <w:bCs/>
          <w:i/>
          <w:iCs/>
          <w:sz w:val="20"/>
          <w:szCs w:val="20"/>
          <w:u w:val="single"/>
          <w:lang w:val="fr-FR"/>
        </w:rPr>
        <w:t>Composante 3</w:t>
      </w:r>
    </w:p>
    <w:p w14:paraId="0437E7F5" w14:textId="77777777" w:rsidR="00601D9B" w:rsidRPr="000E53A0" w:rsidRDefault="000E53A0">
      <w:pPr>
        <w:jc w:val="both"/>
        <w:rPr>
          <w:rFonts w:asciiTheme="minorHAnsi" w:hAnsiTheme="minorHAnsi" w:cstheme="minorHAnsi"/>
          <w:i/>
          <w:iCs/>
          <w:sz w:val="20"/>
          <w:szCs w:val="20"/>
          <w:highlight w:val="yellow"/>
          <w:lang w:val="fr-FR"/>
        </w:rPr>
      </w:pPr>
      <w:r w:rsidRPr="000E53A0">
        <w:rPr>
          <w:rFonts w:asciiTheme="minorHAnsi" w:hAnsiTheme="minorHAnsi" w:cstheme="minorHAnsi"/>
          <w:i/>
          <w:iCs/>
          <w:sz w:val="20"/>
          <w:szCs w:val="20"/>
          <w:lang w:val="fr-FR"/>
        </w:rPr>
        <w:t xml:space="preserve">Obstacle </w:t>
      </w:r>
      <w:r w:rsidR="00D2375C" w:rsidRPr="000E53A0">
        <w:rPr>
          <w:rFonts w:asciiTheme="minorHAnsi" w:hAnsiTheme="minorHAnsi" w:cstheme="minorHAnsi"/>
          <w:i/>
          <w:iCs/>
          <w:sz w:val="20"/>
          <w:szCs w:val="20"/>
          <w:lang w:val="fr-FR"/>
        </w:rPr>
        <w:t xml:space="preserve">5 </w:t>
      </w:r>
      <w:r w:rsidRPr="000E53A0">
        <w:rPr>
          <w:rFonts w:asciiTheme="minorHAnsi" w:hAnsiTheme="minorHAnsi" w:cstheme="minorHAnsi"/>
          <w:i/>
          <w:iCs/>
          <w:sz w:val="20"/>
          <w:szCs w:val="20"/>
          <w:lang w:val="fr-FR"/>
        </w:rPr>
        <w:t xml:space="preserve">: Soutien insuffisant aux ménages et aux communautés qui souhaitent </w:t>
      </w:r>
      <w:r w:rsidR="00D2375C" w:rsidRPr="000E53A0">
        <w:rPr>
          <w:rFonts w:asciiTheme="minorHAnsi" w:hAnsiTheme="minorHAnsi" w:cstheme="minorHAnsi"/>
          <w:i/>
          <w:iCs/>
          <w:sz w:val="20"/>
          <w:szCs w:val="20"/>
          <w:lang w:val="fr-FR"/>
        </w:rPr>
        <w:t xml:space="preserve">s'engager dans des entreprises vertes innovantes </w:t>
      </w:r>
    </w:p>
    <w:p w14:paraId="6FCA6344" w14:textId="77777777" w:rsidR="00601D9B" w:rsidRPr="000E53A0" w:rsidRDefault="000E53A0">
      <w:pPr>
        <w:jc w:val="both"/>
        <w:rPr>
          <w:rFonts w:asciiTheme="minorHAnsi" w:hAnsiTheme="minorHAnsi" w:cstheme="minorHAnsi"/>
          <w:sz w:val="20"/>
          <w:szCs w:val="20"/>
          <w:highlight w:val="yellow"/>
          <w:lang w:val="fr-FR"/>
        </w:rPr>
      </w:pPr>
      <w:r w:rsidRPr="000E53A0">
        <w:rPr>
          <w:rFonts w:asciiTheme="minorHAnsi" w:hAnsiTheme="minorHAnsi" w:cstheme="minorHAnsi"/>
          <w:sz w:val="20"/>
          <w:szCs w:val="20"/>
          <w:lang w:val="fr-FR"/>
        </w:rPr>
        <w:t xml:space="preserve">Comme le changement climatique exerce une pression croissante sur les écosystèmes naturels dont dépendent les moyens de subsistance traditionnels tels que la pêche, l'élevage et la culture de céréales, il est nécessaire (i) d'adapter ces pratiques aux conditions changeantes, (ii) de se diversifier dans d'autres activités qui dépendent moins directement de ces écosystèmes fragiles et (iii) de générer des revenus en espèces afin que les ménages puissent acheter la nourriture et les matériaux nécessaires pour renforcer leur résilience. En effet, au niveau des ménages, la stratégie d'adaptation prioritaire numéro un signalée pendant la phase des PPG était de s'engager dans des moyens de subsistance alternatifs/des activités génératrices de revenus (51,6%). </w:t>
      </w:r>
      <w:r w:rsidR="008214A1" w:rsidRPr="000E53A0">
        <w:rPr>
          <w:rFonts w:asciiTheme="minorHAnsi" w:hAnsiTheme="minorHAnsi" w:cstheme="minorHAnsi"/>
          <w:sz w:val="20"/>
          <w:szCs w:val="20"/>
          <w:lang w:val="fr-FR"/>
        </w:rPr>
        <w:t xml:space="preserve">Bien qu'il existe un potentiel pour des activités à valeur ajoutée, par exemple des produits transformés à partir de poissons cultivés dans des étangs d'aquaculture, ou du millet transformé avec une durée de conservation plus longue, les communautés manquent de formation sur les nouvelles opportunités, de micro-financements et d'accès aux marchés. Il y a également un manque d'accès à l'électricité pour la transformation des produits agricoles et pour l'entreposage frigorifique, et bien que le chauffage solaire de l'eau soit répandu, la technologie photovoltaïque est plus coûteuse et complexe, et les communautés manquent de compétences pour installer et entretenir les équipements. Bien que le gouvernement dispose d'un certain nombre de programmes pour soutenir les jeunes entrepreneurs, dans la pratique, l'accès aux opportunités a eu tendance à être limité aux jeunes des zones urbaines dont les familles ont des relations avec le gouvernement. Ces initiatives se sont généralement concentrées sur les individus impliqués dans le commerce et n'ont pas facilité une réelle croissance entrepreneuriale et la création d'emplois. Il est nécessaire de tirer les leçons des initiatives les plus réussies (par exemple TETILITSO et DoniLab) et de créer des liens avec celles-ci pour les entrepreneurs émergents dans les zones rurales, y compris les femmes, les jeunes et les personnes déplacées à l'intérieur du pays, qui peuvent tous avoir un accès direct limité aux actifs productifs, mais qui peuvent s'impliquer dans l'ajout de valeur et les nouvelles chaînes de valeur. Il est particulièrement nécessaire de soutenir les organisations de femmes veuves, qui bénéficient parfois d'un soutien des autorités locales, mais n'ont souvent pas accès à la terre ou aux actifs productifs en raison de la législation discriminatoire et des pratiques coutumières. L'accès aux prêts commerciaux ordinaires est presque impossible pour de nombreux entrepreneurs ruraux, en particulier les jeunes et les femmes mariées, mais des possibilités de microfinancement progressif existent (par exemple APPIM, PMR) et même des garanties de prêt pour des projets prometteurs (FGSPSA, Fonds FARE de l'ANPE), et doivent être rendues accessibles. </w:t>
      </w:r>
    </w:p>
    <w:p w14:paraId="424F098F" w14:textId="77777777" w:rsidR="00D81973" w:rsidRPr="000E53A0" w:rsidRDefault="00D81973" w:rsidP="00A537FD">
      <w:pPr>
        <w:jc w:val="both"/>
        <w:rPr>
          <w:rFonts w:asciiTheme="minorHAnsi" w:hAnsiTheme="minorHAnsi" w:cstheme="minorHAnsi"/>
          <w:sz w:val="20"/>
          <w:szCs w:val="20"/>
          <w:highlight w:val="yellow"/>
          <w:lang w:val="fr-FR"/>
        </w:rPr>
      </w:pPr>
    </w:p>
    <w:p w14:paraId="6D2E957A" w14:textId="77777777" w:rsidR="00601D9B" w:rsidRPr="000E53A0" w:rsidRDefault="000E53A0">
      <w:pPr>
        <w:jc w:val="both"/>
        <w:rPr>
          <w:rFonts w:asciiTheme="minorHAnsi" w:hAnsiTheme="minorHAnsi" w:cstheme="minorHAnsi"/>
          <w:b/>
          <w:bCs/>
          <w:i/>
          <w:iCs/>
          <w:sz w:val="20"/>
          <w:szCs w:val="20"/>
          <w:u w:val="single"/>
          <w:lang w:val="fr-FR"/>
        </w:rPr>
      </w:pPr>
      <w:r w:rsidRPr="000E53A0">
        <w:rPr>
          <w:rFonts w:asciiTheme="minorHAnsi" w:hAnsiTheme="minorHAnsi" w:cstheme="minorHAnsi"/>
          <w:b/>
          <w:bCs/>
          <w:i/>
          <w:iCs/>
          <w:sz w:val="20"/>
          <w:szCs w:val="20"/>
          <w:u w:val="single"/>
          <w:lang w:val="fr-FR"/>
        </w:rPr>
        <w:t>Composante 4</w:t>
      </w:r>
    </w:p>
    <w:p w14:paraId="2F29640E" w14:textId="77777777" w:rsidR="00601D9B" w:rsidRPr="000E53A0" w:rsidRDefault="000E53A0">
      <w:pPr>
        <w:jc w:val="both"/>
        <w:rPr>
          <w:rFonts w:asciiTheme="minorHAnsi" w:hAnsiTheme="minorHAnsi" w:cstheme="minorHAnsi"/>
          <w:i/>
          <w:iCs/>
          <w:sz w:val="20"/>
          <w:szCs w:val="20"/>
          <w:lang w:val="fr-FR"/>
        </w:rPr>
      </w:pPr>
      <w:r w:rsidRPr="000E53A0">
        <w:rPr>
          <w:rFonts w:asciiTheme="minorHAnsi" w:hAnsiTheme="minorHAnsi" w:cstheme="minorHAnsi"/>
          <w:i/>
          <w:iCs/>
          <w:sz w:val="20"/>
          <w:szCs w:val="20"/>
          <w:lang w:val="fr-FR"/>
        </w:rPr>
        <w:t xml:space="preserve">Barrière </w:t>
      </w:r>
      <w:r w:rsidR="00D2375C" w:rsidRPr="000E53A0">
        <w:rPr>
          <w:rFonts w:asciiTheme="minorHAnsi" w:hAnsiTheme="minorHAnsi" w:cstheme="minorHAnsi"/>
          <w:i/>
          <w:iCs/>
          <w:sz w:val="20"/>
          <w:szCs w:val="20"/>
          <w:lang w:val="fr-FR"/>
        </w:rPr>
        <w:t xml:space="preserve">6 </w:t>
      </w:r>
      <w:r w:rsidRPr="000E53A0">
        <w:rPr>
          <w:rFonts w:asciiTheme="minorHAnsi" w:hAnsiTheme="minorHAnsi" w:cstheme="minorHAnsi"/>
          <w:i/>
          <w:iCs/>
          <w:sz w:val="20"/>
          <w:szCs w:val="20"/>
          <w:lang w:val="fr-FR"/>
        </w:rPr>
        <w:t xml:space="preserve">: Manque d'échange d'informations et d'opportunités d'apprentissage entre les multiples initiatives fragmentées dans les </w:t>
      </w:r>
      <w:r w:rsidR="00D81973" w:rsidRPr="000E53A0">
        <w:rPr>
          <w:rFonts w:asciiTheme="minorHAnsi" w:hAnsiTheme="minorHAnsi" w:cstheme="minorHAnsi"/>
          <w:i/>
          <w:iCs/>
          <w:sz w:val="20"/>
          <w:szCs w:val="20"/>
          <w:lang w:val="fr-FR"/>
        </w:rPr>
        <w:t xml:space="preserve">régions centrales </w:t>
      </w:r>
      <w:r w:rsidRPr="000E53A0">
        <w:rPr>
          <w:rFonts w:asciiTheme="minorHAnsi" w:hAnsiTheme="minorHAnsi" w:cstheme="minorHAnsi"/>
          <w:i/>
          <w:iCs/>
          <w:sz w:val="20"/>
          <w:szCs w:val="20"/>
          <w:lang w:val="fr-FR"/>
        </w:rPr>
        <w:t xml:space="preserve">et le Sahel. </w:t>
      </w:r>
    </w:p>
    <w:p w14:paraId="61F034F1" w14:textId="77777777" w:rsidR="00601D9B" w:rsidRPr="000E53A0" w:rsidRDefault="000E53A0">
      <w:pPr>
        <w:jc w:val="both"/>
        <w:rPr>
          <w:rFonts w:asciiTheme="minorHAnsi" w:hAnsiTheme="minorHAnsi" w:cstheme="minorHAnsi"/>
          <w:sz w:val="20"/>
          <w:szCs w:val="20"/>
          <w:lang w:val="fr-FR"/>
        </w:rPr>
      </w:pPr>
      <w:r w:rsidRPr="000E53A0">
        <w:rPr>
          <w:rFonts w:asciiTheme="minorHAnsi" w:hAnsiTheme="minorHAnsi" w:cstheme="minorHAnsi"/>
          <w:sz w:val="20"/>
          <w:szCs w:val="20"/>
          <w:lang w:val="fr-FR"/>
        </w:rPr>
        <w:t>Bien qu'il existe un grand nombre d'initiatives récentes et actuelles</w:t>
      </w:r>
      <w:r w:rsidR="00D81973" w:rsidRPr="000E53A0">
        <w:rPr>
          <w:rFonts w:asciiTheme="minorHAnsi" w:hAnsiTheme="minorHAnsi" w:cstheme="minorHAnsi"/>
          <w:sz w:val="20"/>
          <w:szCs w:val="20"/>
          <w:lang w:val="fr-FR"/>
        </w:rPr>
        <w:t xml:space="preserve">, </w:t>
      </w:r>
      <w:r w:rsidRPr="000E53A0">
        <w:rPr>
          <w:rFonts w:asciiTheme="minorHAnsi" w:hAnsiTheme="minorHAnsi" w:cstheme="minorHAnsi"/>
          <w:sz w:val="20"/>
          <w:szCs w:val="20"/>
          <w:lang w:val="fr-FR"/>
        </w:rPr>
        <w:t>et que ces initiatives suivent leurs propres progrès, il y a peu d'efforts systématiques pour partager l'apprentissage entre les initiatives. (Il s'agit notamment d'initiatives portant sur la stabilisation et la consolidation de la paix, la planification de l'adaptation au changement climatique, les systèmes d'alerte précoce et la protection contre les inondations, la résilience des communautés rurales, la gestion intégrée des ressources en eau, la conservation de la biodiversité, la gestion durable des terres et de l'eau, ainsi que l'entrepreneuriat et le développement économique). On observe également une tendance à ce que les activités pilotes ou de démonstration menées dans une zone particulière restent limitées à cette zone</w:t>
      </w:r>
      <w:r w:rsidR="00123534" w:rsidRPr="000E53A0">
        <w:rPr>
          <w:rFonts w:asciiTheme="minorHAnsi" w:hAnsiTheme="minorHAnsi" w:cstheme="minorHAnsi"/>
          <w:sz w:val="20"/>
          <w:szCs w:val="20"/>
          <w:lang w:val="fr-FR"/>
        </w:rPr>
        <w:t xml:space="preserve">, avec des tentatives limitées d'étendre les </w:t>
      </w:r>
      <w:r w:rsidR="00123534" w:rsidRPr="000E53A0">
        <w:rPr>
          <w:rFonts w:asciiTheme="minorHAnsi" w:hAnsiTheme="minorHAnsi" w:cstheme="minorHAnsi"/>
          <w:sz w:val="20"/>
          <w:szCs w:val="20"/>
          <w:lang w:val="fr-FR"/>
        </w:rPr>
        <w:lastRenderedPageBreak/>
        <w:t>interventions réussies</w:t>
      </w:r>
      <w:r w:rsidRPr="000E53A0">
        <w:rPr>
          <w:rFonts w:asciiTheme="minorHAnsi" w:hAnsiTheme="minorHAnsi" w:cstheme="minorHAnsi"/>
          <w:sz w:val="20"/>
          <w:szCs w:val="20"/>
          <w:lang w:val="fr-FR"/>
        </w:rPr>
        <w:t>. Les plateformes régionales créées pour promouvoir l'adaptation au changement climatique dans tous les secteurs ont été efficaces pendant la durée du financement du projet, mais n'ont pas réussi à se maintenir par la suite. Il est nécessaire d'harmoniser et de rationaliser les activités de gestion des connaissances d'un ensemble d'initiatives connexes qui sont importantes pour atteindre le MLD et la sécurité climatique. En lien avec l'obstacle 1, il est nécessaire de se mettre d'accord sur les moyens de mesurer les progrès, afin que les efforts des initiatives disparates puissent tous être comparés aux objectifs nationaux. Il existe également un grand potentiel inexploité pour partager les leçons de la zone sahélienne du Mali avec celles d'autres pays - le nord du Sénégal, le sud de la Mauritanie, le nord du Burkina Faso, le sud de l'Algérie, le sud-ouest du Niger, le nord du Nigeria, le centre du Tchad, le centre du Soudan et le nord de l'Érythrée. Il existe un certain nombre d'initiatives internationales sous les auspices de l'Initiative pour la restauration des paysages forestiers africains (AFR-100) et de la Grande Muraille verte, qui permettent d'apprendre les meilleures pratiques et les moyens efficaces et rentables de lutter contre la désertification dans cette région. Ces dernières années, avec la situation sécuritaire difficile au Mali, les leçons du Mali ne sont pas partagées de manière optimale avec le reste de la région et dans les forums internationaux, et il est nécessaire de créer de telles opportunités. Il existe également des obstacles au suivi et à l'évaluation efficaces des projets financés par les donateurs au Mali - en raison des contraintes auxquelles sont soumises de nombreuses équipes de gestion de projet, l'évaluation se limite souvent à mesurer les résultats d'un projet, sans trouver de moyens créatifs d'évaluer son impact global ; ce qui a vraiment fonctionné et ce qui n'a pas fonctionné, et pourquoi ; et comment les impacts positifs peuvent être maintenus et étendus. Le suivi des projets est également rarement lié au développement à long terme de la capacité de suivi aux niveaux régional et national en vue de l'établissement des rapports du MEA.</w:t>
      </w:r>
    </w:p>
    <w:p w14:paraId="572BE2CE" w14:textId="77777777" w:rsidR="001C7DE3" w:rsidRPr="000E53A0" w:rsidRDefault="001C7DE3" w:rsidP="00A537FD">
      <w:pPr>
        <w:jc w:val="both"/>
        <w:rPr>
          <w:rFonts w:asciiTheme="minorHAnsi" w:hAnsiTheme="minorHAnsi" w:cstheme="minorHAnsi"/>
          <w:i/>
          <w:sz w:val="20"/>
          <w:szCs w:val="20"/>
          <w:lang w:val="fr-FR"/>
        </w:rPr>
      </w:pPr>
    </w:p>
    <w:p w14:paraId="49A8F032" w14:textId="77777777" w:rsidR="004E0953" w:rsidRPr="000E53A0" w:rsidRDefault="004E0953" w:rsidP="00A537FD">
      <w:pPr>
        <w:jc w:val="both"/>
        <w:rPr>
          <w:rFonts w:asciiTheme="minorHAnsi" w:hAnsiTheme="minorHAnsi" w:cstheme="minorHAnsi"/>
          <w:i/>
          <w:sz w:val="20"/>
          <w:szCs w:val="20"/>
          <w:lang w:val="fr-FR"/>
        </w:rPr>
      </w:pPr>
    </w:p>
    <w:p w14:paraId="71139590" w14:textId="77777777" w:rsidR="004E0953" w:rsidRPr="000E53A0" w:rsidRDefault="004E0953" w:rsidP="00A537FD">
      <w:pPr>
        <w:jc w:val="both"/>
        <w:rPr>
          <w:rFonts w:asciiTheme="minorHAnsi" w:hAnsiTheme="minorHAnsi" w:cstheme="minorHAnsi"/>
          <w:i/>
          <w:sz w:val="20"/>
          <w:szCs w:val="20"/>
          <w:lang w:val="fr-FR"/>
        </w:rPr>
      </w:pPr>
    </w:p>
    <w:p w14:paraId="175DA8A1" w14:textId="77777777" w:rsidR="004E0953" w:rsidRPr="000E53A0" w:rsidRDefault="004E0953" w:rsidP="00A537FD">
      <w:pPr>
        <w:jc w:val="both"/>
        <w:rPr>
          <w:rFonts w:asciiTheme="minorHAnsi" w:hAnsiTheme="minorHAnsi" w:cstheme="minorHAnsi"/>
          <w:i/>
          <w:sz w:val="20"/>
          <w:szCs w:val="20"/>
          <w:lang w:val="fr-FR"/>
        </w:rPr>
      </w:pPr>
    </w:p>
    <w:p w14:paraId="7F1AF0F1" w14:textId="77777777" w:rsidR="004E0953" w:rsidRPr="000E53A0" w:rsidRDefault="004E0953" w:rsidP="00A537FD">
      <w:pPr>
        <w:jc w:val="both"/>
        <w:rPr>
          <w:rFonts w:asciiTheme="minorHAnsi" w:hAnsiTheme="minorHAnsi" w:cstheme="minorHAnsi"/>
          <w:i/>
          <w:sz w:val="20"/>
          <w:szCs w:val="20"/>
          <w:lang w:val="fr-FR"/>
        </w:rPr>
      </w:pPr>
    </w:p>
    <w:p w14:paraId="479A4031" w14:textId="77777777" w:rsidR="004E0953" w:rsidRPr="000E53A0" w:rsidRDefault="004E0953" w:rsidP="00A537FD">
      <w:pPr>
        <w:jc w:val="both"/>
        <w:rPr>
          <w:rFonts w:asciiTheme="minorHAnsi" w:hAnsiTheme="minorHAnsi" w:cstheme="minorHAnsi"/>
          <w:i/>
          <w:sz w:val="20"/>
          <w:szCs w:val="20"/>
          <w:lang w:val="fr-FR"/>
        </w:rPr>
      </w:pPr>
    </w:p>
    <w:p w14:paraId="039D6E59" w14:textId="77777777" w:rsidR="004E0953" w:rsidRPr="000E53A0" w:rsidRDefault="004E0953" w:rsidP="00A537FD">
      <w:pPr>
        <w:jc w:val="both"/>
        <w:rPr>
          <w:rFonts w:asciiTheme="minorHAnsi" w:hAnsiTheme="minorHAnsi" w:cstheme="minorHAnsi"/>
          <w:i/>
          <w:sz w:val="20"/>
          <w:szCs w:val="20"/>
          <w:lang w:val="fr-FR"/>
        </w:rPr>
      </w:pPr>
    </w:p>
    <w:p w14:paraId="499EF7F1" w14:textId="77777777" w:rsidR="004E0953" w:rsidRPr="000E53A0" w:rsidRDefault="004E0953" w:rsidP="00A537FD">
      <w:pPr>
        <w:jc w:val="both"/>
        <w:rPr>
          <w:rFonts w:asciiTheme="minorHAnsi" w:hAnsiTheme="minorHAnsi" w:cstheme="minorHAnsi"/>
          <w:i/>
          <w:sz w:val="20"/>
          <w:szCs w:val="20"/>
          <w:lang w:val="fr-FR"/>
        </w:rPr>
      </w:pPr>
    </w:p>
    <w:p w14:paraId="729AA773" w14:textId="77777777" w:rsidR="00402F9D" w:rsidRPr="000E53A0" w:rsidRDefault="00402F9D" w:rsidP="00A537FD">
      <w:pPr>
        <w:jc w:val="both"/>
        <w:rPr>
          <w:rFonts w:asciiTheme="minorHAnsi" w:hAnsiTheme="minorHAnsi" w:cstheme="minorHAnsi"/>
          <w:i/>
          <w:sz w:val="20"/>
          <w:szCs w:val="20"/>
          <w:lang w:val="fr-FR"/>
        </w:rPr>
      </w:pPr>
    </w:p>
    <w:p w14:paraId="3216CAE2" w14:textId="77777777" w:rsidR="00402F9D" w:rsidRPr="000E53A0" w:rsidRDefault="00402F9D" w:rsidP="00A537FD">
      <w:pPr>
        <w:jc w:val="both"/>
        <w:rPr>
          <w:rFonts w:asciiTheme="minorHAnsi" w:hAnsiTheme="minorHAnsi" w:cstheme="minorHAnsi"/>
          <w:i/>
          <w:sz w:val="20"/>
          <w:szCs w:val="20"/>
          <w:lang w:val="fr-FR"/>
        </w:rPr>
      </w:pPr>
    </w:p>
    <w:p w14:paraId="2F720D5B" w14:textId="77777777" w:rsidR="004E0953" w:rsidRPr="000E53A0" w:rsidRDefault="004E0953" w:rsidP="00A537FD">
      <w:pPr>
        <w:jc w:val="both"/>
        <w:rPr>
          <w:rFonts w:asciiTheme="minorHAnsi" w:hAnsiTheme="minorHAnsi" w:cstheme="minorHAnsi"/>
          <w:i/>
          <w:sz w:val="20"/>
          <w:szCs w:val="20"/>
          <w:lang w:val="fr-FR"/>
        </w:rPr>
      </w:pPr>
    </w:p>
    <w:p w14:paraId="457719F3" w14:textId="77777777" w:rsidR="00601D9B" w:rsidRPr="000E53A0" w:rsidRDefault="000E53A0">
      <w:pPr>
        <w:pStyle w:val="Titre2"/>
        <w:rPr>
          <w:rFonts w:asciiTheme="minorHAnsi" w:hAnsiTheme="minorHAnsi" w:cstheme="minorHAnsi"/>
          <w:lang w:val="fr-FR"/>
        </w:rPr>
      </w:pPr>
      <w:r w:rsidRPr="000E53A0">
        <w:rPr>
          <w:rFonts w:asciiTheme="minorHAnsi" w:hAnsiTheme="minorHAnsi" w:cstheme="minorHAnsi"/>
          <w:lang w:val="fr-FR"/>
        </w:rPr>
        <w:t>Cohérence avec les priorités nationales</w:t>
      </w:r>
    </w:p>
    <w:p w14:paraId="052B5A78" w14:textId="77777777" w:rsidR="00601D9B" w:rsidRPr="000E53A0" w:rsidRDefault="000E53A0">
      <w:pPr>
        <w:pStyle w:val="Default"/>
        <w:jc w:val="both"/>
        <w:rPr>
          <w:rFonts w:ascii="Calibri" w:eastAsia="SimSun" w:hAnsi="Calibri" w:cs="Times New Roman"/>
          <w:color w:val="auto"/>
          <w:sz w:val="20"/>
          <w:lang w:val="fr-FR" w:eastAsia="en-US"/>
        </w:rPr>
      </w:pPr>
      <w:r w:rsidRPr="000E53A0">
        <w:rPr>
          <w:rFonts w:ascii="Calibri" w:eastAsia="SimSun" w:hAnsi="Calibri" w:cs="Times New Roman"/>
          <w:color w:val="auto"/>
          <w:sz w:val="20"/>
          <w:lang w:val="fr-FR" w:eastAsia="en-US"/>
        </w:rPr>
        <w:t>Le projet est bien aligné sur les priorités nationales, comme le montrent l'encadré et le tableau ci-dessous :</w:t>
      </w:r>
    </w:p>
    <w:p w14:paraId="6B3A633D" w14:textId="77777777" w:rsidR="00245B58" w:rsidRPr="000E53A0" w:rsidRDefault="00245B58" w:rsidP="001C7DE3">
      <w:pPr>
        <w:pStyle w:val="Default"/>
        <w:jc w:val="both"/>
        <w:rPr>
          <w:color w:val="auto"/>
          <w:sz w:val="22"/>
          <w:szCs w:val="22"/>
          <w:lang w:val="fr-FR"/>
        </w:rPr>
      </w:pPr>
    </w:p>
    <w:p w14:paraId="39FE1D76" w14:textId="77777777" w:rsidR="00601D9B" w:rsidRPr="000E53A0" w:rsidRDefault="000E53A0">
      <w:pPr>
        <w:pStyle w:val="Lgende"/>
        <w:rPr>
          <w:rFonts w:asciiTheme="minorHAnsi" w:hAnsiTheme="minorHAnsi" w:cstheme="minorHAnsi"/>
          <w:sz w:val="18"/>
          <w:szCs w:val="18"/>
          <w:lang w:val="fr-FR"/>
        </w:rPr>
      </w:pPr>
      <w:bookmarkStart w:id="13" w:name="_Ref41024057"/>
      <w:bookmarkStart w:id="14" w:name="_Toc57630075"/>
      <w:r w:rsidRPr="000E53A0">
        <w:rPr>
          <w:rFonts w:asciiTheme="minorHAnsi" w:hAnsiTheme="minorHAnsi" w:cstheme="minorHAnsi"/>
          <w:sz w:val="18"/>
          <w:szCs w:val="18"/>
          <w:lang w:val="fr-FR"/>
        </w:rPr>
        <w:t xml:space="preserve">Encadré </w:t>
      </w:r>
      <w:r w:rsidR="00A0475E" w:rsidRPr="00C83D0B">
        <w:rPr>
          <w:rFonts w:asciiTheme="minorHAnsi" w:hAnsiTheme="minorHAnsi" w:cstheme="minorHAnsi"/>
          <w:sz w:val="18"/>
          <w:szCs w:val="18"/>
        </w:rPr>
        <w:fldChar w:fldCharType="begin"/>
      </w:r>
      <w:r w:rsidR="00A0475E" w:rsidRPr="000E53A0">
        <w:rPr>
          <w:rFonts w:asciiTheme="minorHAnsi" w:hAnsiTheme="minorHAnsi" w:cstheme="minorHAnsi"/>
          <w:sz w:val="18"/>
          <w:szCs w:val="18"/>
          <w:lang w:val="fr-FR"/>
        </w:rPr>
        <w:instrText xml:space="preserve"> SEQ Box \* ARABIC </w:instrText>
      </w:r>
      <w:r w:rsidR="00A0475E" w:rsidRPr="00C83D0B">
        <w:rPr>
          <w:rFonts w:asciiTheme="minorHAnsi" w:hAnsiTheme="minorHAnsi" w:cstheme="minorHAnsi"/>
          <w:sz w:val="18"/>
          <w:szCs w:val="18"/>
        </w:rPr>
        <w:fldChar w:fldCharType="separate"/>
      </w:r>
      <w:r w:rsidR="00036D36" w:rsidRPr="000E53A0">
        <w:rPr>
          <w:rFonts w:asciiTheme="minorHAnsi" w:hAnsiTheme="minorHAnsi" w:cstheme="minorHAnsi"/>
          <w:noProof/>
          <w:sz w:val="18"/>
          <w:szCs w:val="18"/>
          <w:lang w:val="fr-FR"/>
        </w:rPr>
        <w:t>1</w:t>
      </w:r>
      <w:r w:rsidR="00A0475E" w:rsidRPr="00C83D0B">
        <w:rPr>
          <w:rFonts w:asciiTheme="minorHAnsi" w:hAnsiTheme="minorHAnsi" w:cstheme="minorHAnsi"/>
          <w:noProof/>
          <w:sz w:val="18"/>
          <w:szCs w:val="18"/>
        </w:rPr>
        <w:fldChar w:fldCharType="end"/>
      </w:r>
      <w:bookmarkEnd w:id="13"/>
      <w:r w:rsidRPr="000E53A0">
        <w:rPr>
          <w:rFonts w:asciiTheme="minorHAnsi" w:hAnsiTheme="minorHAnsi" w:cstheme="minorHAnsi"/>
          <w:sz w:val="18"/>
          <w:szCs w:val="18"/>
          <w:lang w:val="fr-FR"/>
        </w:rPr>
        <w:t xml:space="preserve">. Résumé des objectifs de la LDN au Mali </w:t>
      </w:r>
      <w:r w:rsidRPr="00C83D0B">
        <w:rPr>
          <w:rStyle w:val="Appelnotedebasdep"/>
          <w:rFonts w:asciiTheme="minorHAnsi" w:hAnsiTheme="minorHAnsi" w:cstheme="minorHAnsi"/>
          <w:szCs w:val="18"/>
        </w:rPr>
        <w:footnoteReference w:id="47"/>
      </w:r>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45B58" w:rsidRPr="000E53A0" w14:paraId="43A526B4" w14:textId="77777777" w:rsidTr="000E53A0">
        <w:tc>
          <w:tcPr>
            <w:tcW w:w="9016" w:type="dxa"/>
            <w:shd w:val="clear" w:color="auto" w:fill="F7CAAC"/>
          </w:tcPr>
          <w:p w14:paraId="64BD0CE9" w14:textId="77777777" w:rsidR="00601D9B" w:rsidRPr="000E53A0" w:rsidRDefault="000E53A0">
            <w:pPr>
              <w:keepNext/>
              <w:jc w:val="center"/>
              <w:rPr>
                <w:rFonts w:asciiTheme="minorHAnsi" w:hAnsiTheme="minorHAnsi" w:cstheme="minorHAnsi"/>
                <w:b/>
                <w:bCs/>
                <w:caps/>
                <w:color w:val="FF0000"/>
                <w:sz w:val="18"/>
                <w:szCs w:val="18"/>
                <w:lang w:val="fr-FR"/>
              </w:rPr>
            </w:pPr>
            <w:r w:rsidRPr="000E53A0">
              <w:rPr>
                <w:rFonts w:asciiTheme="minorHAnsi" w:hAnsiTheme="minorHAnsi" w:cstheme="minorHAnsi"/>
                <w:b/>
                <w:bCs/>
                <w:caps/>
                <w:color w:val="000000"/>
                <w:sz w:val="18"/>
                <w:szCs w:val="18"/>
                <w:lang w:val="fr-FR"/>
              </w:rPr>
              <w:t xml:space="preserve">Les objectifs du MALI en matière de LDN soumis en </w:t>
            </w:r>
            <w:r w:rsidR="00C83D0B" w:rsidRPr="000E53A0">
              <w:rPr>
                <w:rFonts w:asciiTheme="minorHAnsi" w:hAnsiTheme="minorHAnsi" w:cstheme="minorHAnsi"/>
                <w:b/>
                <w:bCs/>
                <w:caps/>
                <w:color w:val="000000"/>
                <w:sz w:val="18"/>
                <w:szCs w:val="18"/>
                <w:lang w:val="fr-FR"/>
              </w:rPr>
              <w:t>2020</w:t>
            </w:r>
          </w:p>
        </w:tc>
      </w:tr>
      <w:tr w:rsidR="00245B58" w:rsidRPr="000E53A0" w14:paraId="7AB196A1" w14:textId="77777777" w:rsidTr="000E53A0">
        <w:tc>
          <w:tcPr>
            <w:tcW w:w="9016" w:type="dxa"/>
            <w:shd w:val="clear" w:color="auto" w:fill="F2F2F2"/>
          </w:tcPr>
          <w:p w14:paraId="31CA9BFC" w14:textId="77777777" w:rsidR="00601D9B" w:rsidRPr="000E53A0" w:rsidRDefault="000E53A0">
            <w:pPr>
              <w:jc w:val="center"/>
              <w:rPr>
                <w:rFonts w:asciiTheme="minorHAnsi" w:hAnsiTheme="minorHAnsi" w:cstheme="minorHAnsi"/>
                <w:b/>
                <w:bCs/>
                <w:color w:val="000000"/>
                <w:sz w:val="18"/>
                <w:szCs w:val="18"/>
                <w:lang w:val="fr-FR"/>
              </w:rPr>
            </w:pPr>
            <w:r w:rsidRPr="000E53A0">
              <w:rPr>
                <w:rFonts w:asciiTheme="minorHAnsi" w:hAnsiTheme="minorHAnsi" w:cstheme="minorHAnsi"/>
                <w:b/>
                <w:bCs/>
                <w:color w:val="000000"/>
                <w:sz w:val="18"/>
                <w:szCs w:val="18"/>
                <w:lang w:val="fr-FR"/>
              </w:rPr>
              <w:t xml:space="preserve">Objectif national : </w:t>
            </w:r>
            <w:r w:rsidRPr="000E53A0">
              <w:rPr>
                <w:rFonts w:asciiTheme="minorHAnsi" w:hAnsiTheme="minorHAnsi" w:cstheme="minorHAnsi"/>
                <w:color w:val="000000"/>
                <w:sz w:val="18"/>
                <w:szCs w:val="18"/>
                <w:lang w:val="fr-FR"/>
              </w:rPr>
              <w:t>Les objectifs nationaux volontaires envisagés pour le Mali sont, en priorité, d'augmenter la surface forestière à 26% de la surface totale des terres d'ici 2030, de réduire la proportion de terres cultivées annuellement affectées par une baisse de fertilité et soumises à l'érosion (soit environ 2,5 millions d'ha), de réduire la perte annuelle de surface forestière d'au moins 25% (soit environ 125 000 ha), dans le but d'augmenter la production agricole et de préserver les écosystèmes avec une amélioration nette du couvert végétal de 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4395"/>
            </w:tblGrid>
            <w:tr w:rsidR="00245B58" w:rsidRPr="000E53A0" w14:paraId="5DDB8B8F" w14:textId="77777777" w:rsidTr="000E53A0">
              <w:tc>
                <w:tcPr>
                  <w:tcW w:w="4395" w:type="dxa"/>
                  <w:shd w:val="clear" w:color="auto" w:fill="FBE4D5"/>
                </w:tcPr>
                <w:p w14:paraId="44CEEF29" w14:textId="77777777" w:rsidR="00601D9B" w:rsidRDefault="000E53A0">
                  <w:pPr>
                    <w:rPr>
                      <w:rFonts w:asciiTheme="minorHAnsi" w:hAnsiTheme="minorHAnsi" w:cstheme="minorHAnsi"/>
                      <w:b/>
                      <w:bCs/>
                      <w:i/>
                      <w:iCs/>
                      <w:color w:val="000000"/>
                      <w:sz w:val="18"/>
                      <w:szCs w:val="18"/>
                    </w:rPr>
                  </w:pPr>
                  <w:r w:rsidRPr="004E0953">
                    <w:rPr>
                      <w:rFonts w:asciiTheme="minorHAnsi" w:hAnsiTheme="minorHAnsi" w:cstheme="minorHAnsi"/>
                      <w:b/>
                      <w:bCs/>
                      <w:i/>
                      <w:iCs/>
                      <w:color w:val="000000"/>
                      <w:sz w:val="18"/>
                      <w:szCs w:val="18"/>
                    </w:rPr>
                    <w:t>Objectifs nationaux spécifiques</w:t>
                  </w:r>
                </w:p>
              </w:tc>
              <w:tc>
                <w:tcPr>
                  <w:tcW w:w="4395" w:type="dxa"/>
                  <w:shd w:val="clear" w:color="auto" w:fill="FBE4D5"/>
                </w:tcPr>
                <w:p w14:paraId="51B9BEDA" w14:textId="77777777" w:rsidR="00601D9B" w:rsidRPr="000E53A0" w:rsidRDefault="000E53A0">
                  <w:pPr>
                    <w:rPr>
                      <w:rFonts w:asciiTheme="minorHAnsi" w:hAnsiTheme="minorHAnsi" w:cstheme="minorHAnsi"/>
                      <w:b/>
                      <w:bCs/>
                      <w:i/>
                      <w:iCs/>
                      <w:color w:val="000000"/>
                      <w:sz w:val="18"/>
                      <w:szCs w:val="18"/>
                      <w:lang w:val="fr-FR"/>
                    </w:rPr>
                  </w:pPr>
                  <w:r w:rsidRPr="000E53A0">
                    <w:rPr>
                      <w:rFonts w:asciiTheme="minorHAnsi" w:hAnsiTheme="minorHAnsi" w:cstheme="minorHAnsi"/>
                      <w:b/>
                      <w:bCs/>
                      <w:i/>
                      <w:iCs/>
                      <w:color w:val="000000"/>
                      <w:sz w:val="18"/>
                      <w:szCs w:val="18"/>
                      <w:lang w:val="fr-FR"/>
                    </w:rPr>
                    <w:t>Pertinence pour le domaine d'intervention</w:t>
                  </w:r>
                </w:p>
              </w:tc>
            </w:tr>
            <w:tr w:rsidR="00245B58" w:rsidRPr="000E53A0" w14:paraId="6548B754" w14:textId="77777777" w:rsidTr="000E53A0">
              <w:tc>
                <w:tcPr>
                  <w:tcW w:w="4395" w:type="dxa"/>
                  <w:shd w:val="clear" w:color="auto" w:fill="FFFFFF"/>
                </w:tcPr>
                <w:p w14:paraId="4A85C909" w14:textId="77777777" w:rsidR="00601D9B" w:rsidRPr="000E53A0" w:rsidRDefault="000E53A0">
                  <w:pPr>
                    <w:numPr>
                      <w:ilvl w:val="0"/>
                      <w:numId w:val="51"/>
                    </w:numPr>
                    <w:rPr>
                      <w:rFonts w:asciiTheme="minorHAnsi" w:hAnsiTheme="minorHAnsi" w:cstheme="minorHAnsi"/>
                      <w:color w:val="000000"/>
                      <w:sz w:val="18"/>
                      <w:szCs w:val="18"/>
                      <w:lang w:val="fr-FR"/>
                    </w:rPr>
                  </w:pPr>
                  <w:r w:rsidRPr="000E53A0">
                    <w:rPr>
                      <w:rFonts w:asciiTheme="minorHAnsi" w:hAnsiTheme="minorHAnsi" w:cstheme="minorHAnsi"/>
                      <w:color w:val="000000"/>
                      <w:sz w:val="18"/>
                      <w:szCs w:val="18"/>
                      <w:lang w:val="fr-FR"/>
                    </w:rPr>
                    <w:t>Réduire de 35 % à 20 % le taux de conversion entre 2000 et 2015 de la couverture terrestre dégradée en forêts, prairies et terres cultivées ;</w:t>
                  </w:r>
                </w:p>
                <w:p w14:paraId="097E412E" w14:textId="77777777" w:rsidR="00601D9B" w:rsidRPr="000E53A0" w:rsidRDefault="000E53A0">
                  <w:pPr>
                    <w:numPr>
                      <w:ilvl w:val="0"/>
                      <w:numId w:val="51"/>
                    </w:numPr>
                    <w:rPr>
                      <w:rFonts w:asciiTheme="minorHAnsi" w:hAnsiTheme="minorHAnsi" w:cstheme="minorHAnsi"/>
                      <w:color w:val="000000"/>
                      <w:sz w:val="18"/>
                      <w:szCs w:val="18"/>
                      <w:lang w:val="fr-FR"/>
                    </w:rPr>
                  </w:pPr>
                  <w:r w:rsidRPr="000E53A0">
                    <w:rPr>
                      <w:rFonts w:asciiTheme="minorHAnsi" w:hAnsiTheme="minorHAnsi" w:cstheme="minorHAnsi"/>
                      <w:color w:val="000000"/>
                      <w:sz w:val="18"/>
                      <w:szCs w:val="18"/>
                      <w:lang w:val="fr-FR"/>
                    </w:rPr>
                    <w:t>Réduire la déforestation annuelle de 25 %, soit 125 000 ha ;</w:t>
                  </w:r>
                </w:p>
                <w:p w14:paraId="4B972C32" w14:textId="77777777" w:rsidR="00601D9B" w:rsidRPr="000E53A0" w:rsidRDefault="000E53A0">
                  <w:pPr>
                    <w:numPr>
                      <w:ilvl w:val="0"/>
                      <w:numId w:val="51"/>
                    </w:numPr>
                    <w:rPr>
                      <w:rFonts w:asciiTheme="minorHAnsi" w:hAnsiTheme="minorHAnsi" w:cstheme="minorHAnsi"/>
                      <w:color w:val="000000"/>
                      <w:sz w:val="18"/>
                      <w:szCs w:val="18"/>
                      <w:lang w:val="fr-FR"/>
                    </w:rPr>
                  </w:pPr>
                  <w:r w:rsidRPr="000E53A0">
                    <w:rPr>
                      <w:rFonts w:asciiTheme="minorHAnsi" w:hAnsiTheme="minorHAnsi" w:cstheme="minorHAnsi"/>
                      <w:color w:val="000000"/>
                      <w:sz w:val="18"/>
                      <w:szCs w:val="18"/>
                      <w:lang w:val="fr-FR"/>
                    </w:rPr>
                    <w:t>Augmenter la superficie forestière de 10 % entre 2015 et 2030, soit environ 200 000 ha, grâce au reboisement.</w:t>
                  </w:r>
                </w:p>
                <w:p w14:paraId="018753A2" w14:textId="77777777" w:rsidR="00601D9B" w:rsidRPr="000E53A0" w:rsidRDefault="000E53A0">
                  <w:pPr>
                    <w:numPr>
                      <w:ilvl w:val="0"/>
                      <w:numId w:val="51"/>
                    </w:numPr>
                    <w:rPr>
                      <w:rFonts w:asciiTheme="minorHAnsi" w:hAnsiTheme="minorHAnsi" w:cstheme="minorHAnsi"/>
                      <w:color w:val="000000"/>
                      <w:sz w:val="18"/>
                      <w:szCs w:val="18"/>
                      <w:lang w:val="fr-FR"/>
                    </w:rPr>
                  </w:pPr>
                  <w:r w:rsidRPr="000E53A0">
                    <w:rPr>
                      <w:rFonts w:asciiTheme="minorHAnsi" w:hAnsiTheme="minorHAnsi" w:cstheme="minorHAnsi"/>
                      <w:color w:val="000000"/>
                      <w:sz w:val="18"/>
                      <w:szCs w:val="18"/>
                      <w:lang w:val="fr-FR"/>
                    </w:rPr>
                    <w:t xml:space="preserve">Diminuer de 50% la superficie des forêts, des terres cultivées, des pâturages, affectée par une baisse de la productivité nette des terres, soit environ </w:t>
                  </w:r>
                  <w:r w:rsidRPr="000E53A0">
                    <w:rPr>
                      <w:rFonts w:asciiTheme="minorHAnsi" w:hAnsiTheme="minorHAnsi" w:cstheme="minorHAnsi"/>
                      <w:color w:val="000000"/>
                      <w:sz w:val="18"/>
                      <w:szCs w:val="18"/>
                      <w:lang w:val="fr-FR"/>
                    </w:rPr>
                    <w:lastRenderedPageBreak/>
                    <w:t>1.000.000 ha ;</w:t>
                  </w:r>
                </w:p>
                <w:p w14:paraId="3FA01CAF" w14:textId="77777777" w:rsidR="00601D9B" w:rsidRPr="000E53A0" w:rsidRDefault="000E53A0">
                  <w:pPr>
                    <w:numPr>
                      <w:ilvl w:val="0"/>
                      <w:numId w:val="51"/>
                    </w:numPr>
                    <w:rPr>
                      <w:rFonts w:asciiTheme="minorHAnsi" w:hAnsiTheme="minorHAnsi" w:cstheme="minorHAnsi"/>
                      <w:color w:val="000000"/>
                      <w:sz w:val="18"/>
                      <w:szCs w:val="18"/>
                      <w:lang w:val="fr-FR"/>
                    </w:rPr>
                  </w:pPr>
                  <w:r w:rsidRPr="000E53A0">
                    <w:rPr>
                      <w:rFonts w:asciiTheme="minorHAnsi" w:hAnsiTheme="minorHAnsi" w:cstheme="minorHAnsi"/>
                      <w:color w:val="000000"/>
                      <w:sz w:val="18"/>
                      <w:szCs w:val="18"/>
                      <w:lang w:val="fr-FR"/>
                    </w:rPr>
                    <w:t>Préserver la superficie des zones humides</w:t>
                  </w:r>
                </w:p>
              </w:tc>
              <w:tc>
                <w:tcPr>
                  <w:tcW w:w="4395" w:type="dxa"/>
                  <w:shd w:val="clear" w:color="auto" w:fill="FFFFFF"/>
                </w:tcPr>
                <w:p w14:paraId="7C792D34" w14:textId="77777777" w:rsidR="00601D9B" w:rsidRPr="000E53A0" w:rsidRDefault="000E53A0">
                  <w:pPr>
                    <w:shd w:val="clear" w:color="auto" w:fill="FFFFFF" w:themeFill="background1"/>
                    <w:rPr>
                      <w:rFonts w:asciiTheme="minorHAnsi" w:hAnsiTheme="minorHAnsi" w:cstheme="minorHAnsi"/>
                      <w:color w:val="000000"/>
                      <w:sz w:val="18"/>
                      <w:szCs w:val="18"/>
                      <w:lang w:val="fr-FR"/>
                    </w:rPr>
                  </w:pPr>
                  <w:r w:rsidRPr="000E53A0">
                    <w:rPr>
                      <w:rFonts w:asciiTheme="minorHAnsi" w:hAnsiTheme="minorHAnsi" w:cstheme="minorHAnsi"/>
                      <w:color w:val="000000"/>
                      <w:sz w:val="18"/>
                      <w:szCs w:val="18"/>
                      <w:lang w:val="fr-FR"/>
                    </w:rPr>
                    <w:lastRenderedPageBreak/>
                    <w:t xml:space="preserve">Dans la zone d'intervention, les pratiques non durables, associées à une gestion non coordonnée des terres et aux impacts du changement climatique, dégradent de plus en plus les ressources foncières, contribuant ainsi au déclin de la productivité des terres, à la perte de biodiversité et à la vulnérabilité au changement climatique. En s'attaquant à ces défis, le projet proposé contribuera à atteindre les objectifs nationaux de la LDN. Les problèmes de dégradation des terres seront traités par la mise en œuvre et l'intégration de la GDT, ce qui se traduira par la LDN, une sécurité alimentaire accrue, la </w:t>
                  </w:r>
                  <w:r w:rsidRPr="000E53A0">
                    <w:rPr>
                      <w:rFonts w:asciiTheme="minorHAnsi" w:hAnsiTheme="minorHAnsi" w:cstheme="minorHAnsi"/>
                      <w:color w:val="000000"/>
                      <w:sz w:val="18"/>
                      <w:szCs w:val="18"/>
                      <w:lang w:val="fr-FR"/>
                    </w:rPr>
                    <w:lastRenderedPageBreak/>
                    <w:t xml:space="preserve">durabilité des moyens de subsistance, la résilience au changement climatique et le renforcement des capacités des parties prenantes gérant les ressources naturelles. </w:t>
                  </w:r>
                </w:p>
                <w:p w14:paraId="4FC82212" w14:textId="77777777" w:rsidR="00601D9B" w:rsidRPr="000E53A0" w:rsidRDefault="000E53A0">
                  <w:pPr>
                    <w:pStyle w:val="ParagraphOED"/>
                    <w:numPr>
                      <w:ilvl w:val="0"/>
                      <w:numId w:val="0"/>
                    </w:numPr>
                    <w:spacing w:after="120"/>
                    <w:rPr>
                      <w:rFonts w:asciiTheme="minorHAnsi" w:eastAsia="SimSun" w:hAnsiTheme="minorHAnsi" w:cstheme="minorHAnsi"/>
                      <w:color w:val="000000"/>
                      <w:sz w:val="18"/>
                      <w:szCs w:val="18"/>
                      <w:shd w:val="clear" w:color="auto" w:fill="auto"/>
                      <w:lang w:val="fr-FR" w:eastAsia="en-US"/>
                    </w:rPr>
                  </w:pPr>
                  <w:r w:rsidRPr="000E53A0">
                    <w:rPr>
                      <w:rFonts w:asciiTheme="minorHAnsi" w:eastAsia="SimSun" w:hAnsiTheme="minorHAnsi" w:cstheme="minorHAnsi"/>
                      <w:color w:val="000000"/>
                      <w:sz w:val="18"/>
                      <w:szCs w:val="18"/>
                      <w:shd w:val="clear" w:color="auto" w:fill="auto"/>
                      <w:lang w:val="fr-FR" w:eastAsia="en-US"/>
                    </w:rPr>
                    <w:t xml:space="preserve">Plus précisément, le projet proposé vise à apporter les contributions directes suivantes aux objectifs nationaux de LDN : </w:t>
                  </w:r>
                </w:p>
                <w:p w14:paraId="4BCFE1E2" w14:textId="77777777" w:rsidR="00601D9B" w:rsidRPr="000E53A0" w:rsidRDefault="000E53A0">
                  <w:pPr>
                    <w:pStyle w:val="ParagraphOED"/>
                    <w:numPr>
                      <w:ilvl w:val="1"/>
                      <w:numId w:val="48"/>
                    </w:numPr>
                    <w:spacing w:after="120"/>
                    <w:ind w:left="331" w:firstLine="0"/>
                    <w:rPr>
                      <w:rFonts w:asciiTheme="minorHAnsi" w:eastAsia="SimSun" w:hAnsiTheme="minorHAnsi" w:cstheme="minorHAnsi"/>
                      <w:color w:val="000000"/>
                      <w:sz w:val="18"/>
                      <w:szCs w:val="18"/>
                      <w:shd w:val="clear" w:color="auto" w:fill="auto"/>
                      <w:lang w:val="fr-FR" w:eastAsia="en-US"/>
                    </w:rPr>
                  </w:pPr>
                  <w:r w:rsidRPr="000E53A0">
                    <w:rPr>
                      <w:rFonts w:asciiTheme="minorHAnsi" w:eastAsia="SimSun" w:hAnsiTheme="minorHAnsi" w:cstheme="minorHAnsi"/>
                      <w:color w:val="000000"/>
                      <w:sz w:val="18"/>
                      <w:szCs w:val="18"/>
                      <w:shd w:val="clear" w:color="auto" w:fill="auto"/>
                      <w:lang w:val="fr-FR" w:eastAsia="en-US"/>
                    </w:rPr>
                    <w:t>Augmenter la surface forestière de 10% entre 2015 et 2030, soit environ 200 000 ha, par le biais du reboisement - Le projet contribuera à la restauration de 21 000 ha de pâturages et de zones humides.</w:t>
                  </w:r>
                </w:p>
                <w:p w14:paraId="011970AD" w14:textId="77777777" w:rsidR="00601D9B" w:rsidRPr="000E53A0" w:rsidRDefault="000E53A0">
                  <w:pPr>
                    <w:pStyle w:val="ParagraphOED"/>
                    <w:numPr>
                      <w:ilvl w:val="1"/>
                      <w:numId w:val="48"/>
                    </w:numPr>
                    <w:spacing w:after="120"/>
                    <w:ind w:left="331" w:firstLine="0"/>
                    <w:rPr>
                      <w:rFonts w:asciiTheme="minorHAnsi" w:eastAsia="SimSun" w:hAnsiTheme="minorHAnsi" w:cstheme="minorHAnsi"/>
                      <w:color w:val="000000"/>
                      <w:sz w:val="18"/>
                      <w:szCs w:val="18"/>
                      <w:shd w:val="clear" w:color="auto" w:fill="auto"/>
                      <w:lang w:val="fr-FR" w:eastAsia="en-US"/>
                    </w:rPr>
                  </w:pPr>
                  <w:r w:rsidRPr="000E53A0">
                    <w:rPr>
                      <w:rFonts w:asciiTheme="minorHAnsi" w:eastAsia="SimSun" w:hAnsiTheme="minorHAnsi" w:cstheme="minorHAnsi"/>
                      <w:color w:val="000000"/>
                      <w:sz w:val="18"/>
                      <w:szCs w:val="18"/>
                      <w:shd w:val="clear" w:color="auto" w:fill="auto"/>
                      <w:lang w:val="fr-FR" w:eastAsia="en-US"/>
                    </w:rPr>
                    <w:t xml:space="preserve">Diminuer </w:t>
                  </w:r>
                  <w:r w:rsidRPr="000E53A0">
                    <w:rPr>
                      <w:rFonts w:asciiTheme="minorHAnsi" w:hAnsiTheme="minorHAnsi" w:cstheme="minorHAnsi"/>
                      <w:color w:val="000000"/>
                      <w:sz w:val="18"/>
                      <w:szCs w:val="18"/>
                      <w:lang w:val="fr-FR"/>
                    </w:rPr>
                    <w:t>de 50% la superficie des forêts, des terres cultivées, des pâturages, affectées par une baisse de la productivité nette des terres, soit environ 1 000 000 ha</w:t>
                  </w:r>
                  <w:r w:rsidRPr="000E53A0">
                    <w:rPr>
                      <w:rFonts w:asciiTheme="minorHAnsi" w:eastAsia="SimSun" w:hAnsiTheme="minorHAnsi" w:cstheme="minorHAnsi"/>
                      <w:color w:val="000000"/>
                      <w:sz w:val="18"/>
                      <w:szCs w:val="18"/>
                      <w:shd w:val="clear" w:color="auto" w:fill="auto"/>
                      <w:lang w:val="fr-FR" w:eastAsia="en-US"/>
                    </w:rPr>
                    <w:t xml:space="preserve">. - Le projet contribuera à la mise en place de 15 000 ha de terres agricoles suivant des pratiques agroécologiques/climatiques améliorées. </w:t>
                  </w:r>
                </w:p>
                <w:p w14:paraId="48043A98" w14:textId="77777777" w:rsidR="00601D9B" w:rsidRPr="000E53A0" w:rsidRDefault="000E53A0">
                  <w:pPr>
                    <w:pStyle w:val="ParagraphOED"/>
                    <w:numPr>
                      <w:ilvl w:val="1"/>
                      <w:numId w:val="48"/>
                    </w:numPr>
                    <w:ind w:left="330" w:firstLine="0"/>
                    <w:rPr>
                      <w:rFonts w:asciiTheme="minorHAnsi" w:hAnsiTheme="minorHAnsi" w:cstheme="minorHAnsi"/>
                      <w:color w:val="000000"/>
                      <w:sz w:val="18"/>
                      <w:szCs w:val="18"/>
                      <w:lang w:val="fr-FR" w:eastAsia="en-US"/>
                    </w:rPr>
                  </w:pPr>
                  <w:r w:rsidRPr="000E53A0">
                    <w:rPr>
                      <w:rFonts w:asciiTheme="minorHAnsi" w:hAnsiTheme="minorHAnsi" w:cstheme="minorHAnsi"/>
                      <w:color w:val="000000"/>
                      <w:sz w:val="18"/>
                      <w:szCs w:val="18"/>
                      <w:lang w:val="fr-FR"/>
                    </w:rPr>
                    <w:t>Réduire le taux de conversion entre 2000 et 2015 de la couverture terrestre dégradée en forêts, prairies et terres cultivées de 35% à 20%. - Le projet contribuera à améliorer les capacités des membres du comité des ressources naturelles et à intégrer les actions d'adaptation et de sécurité climatique dans les plans de développement économique et social 9-12 des communes.</w:t>
                  </w:r>
                </w:p>
              </w:tc>
            </w:tr>
          </w:tbl>
          <w:p w14:paraId="31ADFC37" w14:textId="77777777" w:rsidR="00245B58" w:rsidRPr="000E53A0" w:rsidRDefault="00245B58" w:rsidP="000E53A0">
            <w:pPr>
              <w:rPr>
                <w:rFonts w:asciiTheme="minorHAnsi" w:hAnsiTheme="minorHAnsi" w:cstheme="minorHAnsi"/>
                <w:color w:val="FF0000"/>
                <w:sz w:val="18"/>
                <w:szCs w:val="18"/>
                <w:lang w:val="fr-FR"/>
              </w:rPr>
            </w:pPr>
          </w:p>
        </w:tc>
      </w:tr>
    </w:tbl>
    <w:p w14:paraId="09EC97BA" w14:textId="77777777" w:rsidR="00245B58" w:rsidRPr="000E53A0" w:rsidRDefault="00245B58" w:rsidP="00245B58">
      <w:pPr>
        <w:rPr>
          <w:lang w:val="fr-FR"/>
        </w:rPr>
      </w:pPr>
    </w:p>
    <w:p w14:paraId="54856A26" w14:textId="77777777" w:rsidR="004E0953" w:rsidRPr="000E53A0" w:rsidRDefault="004E0953" w:rsidP="00245B58">
      <w:pPr>
        <w:rPr>
          <w:lang w:val="fr-FR"/>
        </w:rPr>
      </w:pPr>
    </w:p>
    <w:p w14:paraId="1D461AC2" w14:textId="77777777" w:rsidR="004E0953" w:rsidRPr="000E53A0" w:rsidRDefault="004E0953" w:rsidP="00245B58">
      <w:pPr>
        <w:rPr>
          <w:lang w:val="fr-FR"/>
        </w:rPr>
      </w:pPr>
    </w:p>
    <w:p w14:paraId="257D4DFC" w14:textId="77777777" w:rsidR="004E0953" w:rsidRPr="000E53A0" w:rsidRDefault="004E0953" w:rsidP="00245B58">
      <w:pPr>
        <w:rPr>
          <w:lang w:val="fr-FR"/>
        </w:rPr>
      </w:pPr>
    </w:p>
    <w:p w14:paraId="5325774A" w14:textId="77777777" w:rsidR="004E0953" w:rsidRPr="000E53A0" w:rsidRDefault="004E0953" w:rsidP="00245B58">
      <w:pPr>
        <w:rPr>
          <w:lang w:val="fr-FR"/>
        </w:rPr>
      </w:pPr>
    </w:p>
    <w:p w14:paraId="5F5E3B4E" w14:textId="77777777" w:rsidR="004E0953" w:rsidRPr="000E53A0" w:rsidRDefault="004E0953" w:rsidP="00245B58">
      <w:pPr>
        <w:rPr>
          <w:lang w:val="fr-FR"/>
        </w:rPr>
      </w:pPr>
    </w:p>
    <w:p w14:paraId="3D160EFB" w14:textId="77777777" w:rsidR="004E0953" w:rsidRPr="000E53A0" w:rsidRDefault="004E0953" w:rsidP="00245B58">
      <w:pPr>
        <w:rPr>
          <w:lang w:val="fr-FR"/>
        </w:rPr>
      </w:pPr>
    </w:p>
    <w:p w14:paraId="12497F64" w14:textId="77777777" w:rsidR="004E0953" w:rsidRPr="000E53A0" w:rsidRDefault="004E0953" w:rsidP="00245B58">
      <w:pPr>
        <w:rPr>
          <w:lang w:val="fr-FR"/>
        </w:rPr>
      </w:pPr>
    </w:p>
    <w:p w14:paraId="28A8C864" w14:textId="77777777" w:rsidR="00601D9B" w:rsidRPr="000E53A0" w:rsidRDefault="000E53A0">
      <w:pPr>
        <w:pStyle w:val="Lgende"/>
        <w:keepNext/>
        <w:jc w:val="both"/>
        <w:rPr>
          <w:rFonts w:asciiTheme="minorHAnsi" w:hAnsiTheme="minorHAnsi" w:cstheme="minorHAnsi"/>
          <w:b w:val="0"/>
          <w:bCs w:val="0"/>
          <w:sz w:val="18"/>
          <w:szCs w:val="18"/>
          <w:lang w:val="fr-FR"/>
        </w:rPr>
      </w:pPr>
      <w:r w:rsidRPr="000E53A0">
        <w:rPr>
          <w:rFonts w:asciiTheme="minorHAnsi" w:hAnsiTheme="minorHAnsi" w:cstheme="minorHAnsi"/>
          <w:sz w:val="18"/>
          <w:szCs w:val="18"/>
          <w:lang w:val="fr-FR"/>
        </w:rPr>
        <w:t xml:space="preserve">Tableau </w:t>
      </w:r>
      <w:r w:rsidR="00CB07E2" w:rsidRPr="003D3980">
        <w:rPr>
          <w:rFonts w:asciiTheme="minorHAnsi" w:hAnsiTheme="minorHAnsi" w:cstheme="minorHAnsi"/>
          <w:sz w:val="18"/>
          <w:szCs w:val="18"/>
        </w:rPr>
        <w:fldChar w:fldCharType="begin"/>
      </w:r>
      <w:r w:rsidR="00CB07E2" w:rsidRPr="000E53A0">
        <w:rPr>
          <w:rFonts w:asciiTheme="minorHAnsi" w:hAnsiTheme="minorHAnsi" w:cstheme="minorHAnsi"/>
          <w:sz w:val="18"/>
          <w:szCs w:val="18"/>
          <w:lang w:val="fr-FR"/>
        </w:rPr>
        <w:instrText xml:space="preserve"> SEQ Table \* ARABIC </w:instrText>
      </w:r>
      <w:r w:rsidR="00CB07E2" w:rsidRPr="003D3980">
        <w:rPr>
          <w:rFonts w:asciiTheme="minorHAnsi" w:hAnsiTheme="minorHAnsi" w:cstheme="minorHAnsi"/>
          <w:sz w:val="18"/>
          <w:szCs w:val="18"/>
        </w:rPr>
        <w:fldChar w:fldCharType="separate"/>
      </w:r>
      <w:r w:rsidRPr="000E53A0">
        <w:rPr>
          <w:rFonts w:asciiTheme="minorHAnsi" w:hAnsiTheme="minorHAnsi" w:cstheme="minorHAnsi"/>
          <w:noProof/>
          <w:sz w:val="18"/>
          <w:szCs w:val="18"/>
          <w:lang w:val="fr-FR"/>
        </w:rPr>
        <w:t xml:space="preserve">1 </w:t>
      </w:r>
      <w:r w:rsidR="00CB07E2" w:rsidRPr="003D3980">
        <w:rPr>
          <w:rFonts w:asciiTheme="minorHAnsi" w:hAnsiTheme="minorHAnsi" w:cstheme="minorHAnsi"/>
          <w:noProof/>
          <w:sz w:val="18"/>
          <w:szCs w:val="18"/>
        </w:rPr>
        <w:fldChar w:fldCharType="end"/>
      </w:r>
      <w:r w:rsidR="001C7DE3" w:rsidRPr="000E53A0">
        <w:rPr>
          <w:rFonts w:asciiTheme="minorHAnsi" w:hAnsiTheme="minorHAnsi" w:cstheme="minorHAnsi"/>
          <w:sz w:val="18"/>
          <w:szCs w:val="18"/>
          <w:lang w:val="fr-FR"/>
        </w:rPr>
        <w:t>Politiques et plans</w:t>
      </w:r>
      <w:commentRangeStart w:id="15"/>
      <w:r w:rsidR="001C7DE3" w:rsidRPr="000E53A0">
        <w:rPr>
          <w:rFonts w:asciiTheme="minorHAnsi" w:hAnsiTheme="minorHAnsi" w:cstheme="minorHAnsi"/>
          <w:sz w:val="18"/>
          <w:szCs w:val="18"/>
          <w:lang w:val="fr-FR"/>
        </w:rPr>
        <w:t xml:space="preserve"> relatifs</w:t>
      </w:r>
      <w:commentRangeEnd w:id="15"/>
      <w:r w:rsidR="009E0847" w:rsidRPr="003D3980">
        <w:rPr>
          <w:rStyle w:val="Marquedecommentaire"/>
          <w:rFonts w:asciiTheme="minorHAnsi" w:hAnsiTheme="minorHAnsi" w:cstheme="minorHAnsi"/>
          <w:b w:val="0"/>
          <w:bCs w:val="0"/>
          <w:sz w:val="18"/>
          <w:szCs w:val="18"/>
        </w:rPr>
        <w:commentReference w:id="15"/>
      </w:r>
      <w:r w:rsidR="001C7DE3" w:rsidRPr="000E53A0">
        <w:rPr>
          <w:rFonts w:asciiTheme="minorHAnsi" w:hAnsiTheme="minorHAnsi" w:cstheme="minorHAnsi"/>
          <w:sz w:val="18"/>
          <w:szCs w:val="18"/>
          <w:lang w:val="fr-FR"/>
        </w:rPr>
        <w:t xml:space="preserve"> à la LDN et à l'adaptation au </w:t>
      </w:r>
      <w:r w:rsidR="00AE52C8" w:rsidRPr="000E53A0">
        <w:rPr>
          <w:rFonts w:asciiTheme="minorHAnsi" w:hAnsiTheme="minorHAnsi" w:cstheme="minorHAnsi"/>
          <w:sz w:val="18"/>
          <w:szCs w:val="18"/>
          <w:lang w:val="fr-FR"/>
        </w:rPr>
        <w:t xml:space="preserve">changement </w:t>
      </w:r>
      <w:r w:rsidR="001C7DE3" w:rsidRPr="000E53A0">
        <w:rPr>
          <w:rFonts w:asciiTheme="minorHAnsi" w:hAnsiTheme="minorHAnsi" w:cstheme="minorHAnsi"/>
          <w:sz w:val="18"/>
          <w:szCs w:val="18"/>
          <w:lang w:val="fr-FR"/>
        </w:rPr>
        <w:t>climatique</w:t>
      </w:r>
    </w:p>
    <w:p w14:paraId="6E1C6C7B" w14:textId="77777777" w:rsidR="001C7DE3" w:rsidRPr="000E53A0" w:rsidRDefault="001C7DE3" w:rsidP="001C7DE3">
      <w:pPr>
        <w:pStyle w:val="Default"/>
        <w:jc w:val="both"/>
        <w:rPr>
          <w:b/>
          <w:bCs/>
          <w:color w:val="auto"/>
          <w:sz w:val="22"/>
          <w:szCs w:val="22"/>
          <w:lang w:val="fr-FR"/>
        </w:rPr>
      </w:pPr>
    </w:p>
    <w:tbl>
      <w:tblPr>
        <w:tblStyle w:val="Grilledutableau"/>
        <w:tblW w:w="9493" w:type="dxa"/>
        <w:tblLook w:val="04A0" w:firstRow="1" w:lastRow="0" w:firstColumn="1" w:lastColumn="0" w:noHBand="0" w:noVBand="1"/>
      </w:tblPr>
      <w:tblGrid>
        <w:gridCol w:w="1975"/>
        <w:gridCol w:w="6030"/>
        <w:gridCol w:w="810"/>
        <w:gridCol w:w="678"/>
      </w:tblGrid>
      <w:tr w:rsidR="0039429F" w:rsidRPr="004E0953" w14:paraId="2EF1494D" w14:textId="77777777" w:rsidTr="0039429F">
        <w:tc>
          <w:tcPr>
            <w:tcW w:w="1975" w:type="dxa"/>
            <w:shd w:val="clear" w:color="auto" w:fill="D9D9D9" w:themeFill="background1" w:themeFillShade="D9"/>
          </w:tcPr>
          <w:p w14:paraId="537AA7D0" w14:textId="77777777" w:rsidR="00601D9B" w:rsidRPr="000E53A0" w:rsidRDefault="000E53A0">
            <w:pPr>
              <w:pStyle w:val="Default"/>
              <w:jc w:val="both"/>
              <w:rPr>
                <w:rFonts w:asciiTheme="minorHAnsi" w:hAnsiTheme="minorHAnsi" w:cstheme="minorHAnsi"/>
                <w:b/>
                <w:bCs/>
                <w:color w:val="auto"/>
                <w:sz w:val="18"/>
                <w:szCs w:val="18"/>
                <w:lang w:val="fr-FR"/>
              </w:rPr>
            </w:pPr>
            <w:r w:rsidRPr="000E53A0">
              <w:rPr>
                <w:rFonts w:asciiTheme="minorHAnsi" w:hAnsiTheme="minorHAnsi" w:cstheme="minorHAnsi"/>
                <w:b/>
                <w:bCs/>
                <w:color w:val="auto"/>
                <w:sz w:val="18"/>
                <w:szCs w:val="18"/>
                <w:lang w:val="fr-FR"/>
              </w:rPr>
              <w:t xml:space="preserve">Politiques et plans relatifs à la LDN et à l'adaptation au climat </w:t>
            </w:r>
          </w:p>
        </w:tc>
        <w:tc>
          <w:tcPr>
            <w:tcW w:w="6030" w:type="dxa"/>
            <w:shd w:val="clear" w:color="auto" w:fill="D9D9D9" w:themeFill="background1" w:themeFillShade="D9"/>
          </w:tcPr>
          <w:p w14:paraId="2384BD97" w14:textId="77777777" w:rsidR="00601D9B" w:rsidRDefault="000E53A0">
            <w:pPr>
              <w:pStyle w:val="Default"/>
              <w:jc w:val="center"/>
              <w:rPr>
                <w:rFonts w:asciiTheme="minorHAnsi" w:hAnsiTheme="minorHAnsi" w:cstheme="minorHAnsi"/>
                <w:b/>
                <w:bCs/>
                <w:color w:val="auto"/>
                <w:sz w:val="18"/>
                <w:szCs w:val="18"/>
              </w:rPr>
            </w:pPr>
            <w:r w:rsidRPr="004E0953">
              <w:rPr>
                <w:rFonts w:asciiTheme="minorHAnsi" w:hAnsiTheme="minorHAnsi" w:cstheme="minorHAnsi"/>
                <w:b/>
                <w:bCs/>
                <w:color w:val="auto"/>
                <w:sz w:val="18"/>
                <w:szCs w:val="18"/>
              </w:rPr>
              <w:t>Cohérence du projet</w:t>
            </w:r>
          </w:p>
        </w:tc>
        <w:tc>
          <w:tcPr>
            <w:tcW w:w="810" w:type="dxa"/>
            <w:shd w:val="clear" w:color="auto" w:fill="D9D9D9" w:themeFill="background1" w:themeFillShade="D9"/>
          </w:tcPr>
          <w:p w14:paraId="366A1A54" w14:textId="77777777" w:rsidR="00601D9B" w:rsidRDefault="000E53A0">
            <w:pPr>
              <w:pStyle w:val="Default"/>
              <w:jc w:val="center"/>
              <w:rPr>
                <w:rFonts w:asciiTheme="minorHAnsi" w:hAnsiTheme="minorHAnsi" w:cstheme="minorHAnsi"/>
                <w:b/>
                <w:bCs/>
                <w:color w:val="auto"/>
                <w:sz w:val="18"/>
                <w:szCs w:val="18"/>
              </w:rPr>
            </w:pPr>
            <w:r w:rsidRPr="004E0953">
              <w:rPr>
                <w:rFonts w:asciiTheme="minorHAnsi" w:hAnsiTheme="minorHAnsi" w:cstheme="minorHAnsi"/>
                <w:b/>
                <w:bCs/>
                <w:color w:val="auto"/>
                <w:sz w:val="18"/>
                <w:szCs w:val="18"/>
              </w:rPr>
              <w:t>LDN</w:t>
            </w:r>
          </w:p>
        </w:tc>
        <w:tc>
          <w:tcPr>
            <w:tcW w:w="678" w:type="dxa"/>
            <w:shd w:val="clear" w:color="auto" w:fill="D9D9D9" w:themeFill="background1" w:themeFillShade="D9"/>
          </w:tcPr>
          <w:p w14:paraId="1F80E581" w14:textId="77777777" w:rsidR="00601D9B" w:rsidRDefault="000E53A0">
            <w:pPr>
              <w:pStyle w:val="Default"/>
              <w:jc w:val="both"/>
              <w:rPr>
                <w:rFonts w:asciiTheme="minorHAnsi" w:hAnsiTheme="minorHAnsi" w:cstheme="minorHAnsi"/>
                <w:b/>
                <w:bCs/>
                <w:color w:val="auto"/>
                <w:sz w:val="18"/>
                <w:szCs w:val="18"/>
              </w:rPr>
            </w:pPr>
            <w:r w:rsidRPr="004E0953">
              <w:rPr>
                <w:rFonts w:asciiTheme="minorHAnsi" w:hAnsiTheme="minorHAnsi" w:cstheme="minorHAnsi"/>
                <w:b/>
                <w:bCs/>
                <w:color w:val="auto"/>
                <w:sz w:val="18"/>
                <w:szCs w:val="18"/>
              </w:rPr>
              <w:t>CCA</w:t>
            </w:r>
          </w:p>
        </w:tc>
      </w:tr>
      <w:tr w:rsidR="001C7DE3" w:rsidRPr="004E0953" w14:paraId="228E6D67" w14:textId="77777777" w:rsidTr="0039429F">
        <w:tc>
          <w:tcPr>
            <w:tcW w:w="1975" w:type="dxa"/>
            <w:shd w:val="clear" w:color="auto" w:fill="auto"/>
          </w:tcPr>
          <w:p w14:paraId="7995D4BA" w14:textId="77777777" w:rsidR="00601D9B" w:rsidRPr="000E53A0" w:rsidRDefault="000E53A0">
            <w:pPr>
              <w:pStyle w:val="Default"/>
              <w:jc w:val="both"/>
              <w:rPr>
                <w:rFonts w:asciiTheme="minorHAnsi" w:hAnsiTheme="minorHAnsi" w:cstheme="minorHAnsi"/>
                <w:color w:val="auto"/>
                <w:sz w:val="18"/>
                <w:szCs w:val="18"/>
                <w:lang w:val="fr-FR"/>
              </w:rPr>
            </w:pPr>
            <w:r w:rsidRPr="000E53A0">
              <w:rPr>
                <w:rFonts w:asciiTheme="minorHAnsi" w:hAnsiTheme="minorHAnsi" w:cstheme="minorHAnsi"/>
                <w:color w:val="auto"/>
                <w:sz w:val="18"/>
                <w:szCs w:val="18"/>
                <w:lang w:val="fr-FR"/>
              </w:rPr>
              <w:t xml:space="preserve">Contributions déterminées au niveau national (CDN) </w:t>
            </w:r>
            <w:r w:rsidR="00245B58" w:rsidRPr="000E53A0">
              <w:rPr>
                <w:rFonts w:asciiTheme="minorHAnsi" w:hAnsiTheme="minorHAnsi" w:cstheme="minorHAnsi"/>
                <w:color w:val="auto"/>
                <w:sz w:val="18"/>
                <w:szCs w:val="18"/>
                <w:lang w:val="fr-FR"/>
              </w:rPr>
              <w:t>- 2016</w:t>
            </w:r>
          </w:p>
        </w:tc>
        <w:tc>
          <w:tcPr>
            <w:tcW w:w="6030" w:type="dxa"/>
            <w:shd w:val="clear" w:color="auto" w:fill="auto"/>
          </w:tcPr>
          <w:p w14:paraId="040EE7E6" w14:textId="77777777" w:rsidR="00601D9B" w:rsidRPr="000E53A0" w:rsidRDefault="000E53A0">
            <w:pPr>
              <w:pStyle w:val="Default"/>
              <w:jc w:val="both"/>
              <w:rPr>
                <w:rFonts w:asciiTheme="minorHAnsi" w:hAnsiTheme="minorHAnsi" w:cstheme="minorHAnsi"/>
                <w:color w:val="auto"/>
                <w:sz w:val="18"/>
                <w:szCs w:val="18"/>
                <w:lang w:val="fr-FR"/>
              </w:rPr>
            </w:pPr>
            <w:r w:rsidRPr="000E53A0">
              <w:rPr>
                <w:rFonts w:asciiTheme="minorHAnsi" w:hAnsiTheme="minorHAnsi" w:cstheme="minorHAnsi"/>
                <w:color w:val="auto"/>
                <w:sz w:val="18"/>
                <w:szCs w:val="18"/>
                <w:lang w:val="fr-FR"/>
              </w:rPr>
              <w:t>Les priorités du Mali en matière d'adaptation pour 2020-2030, identifiées dans sa CDN, comprennent notamment : la lutte contre l'envasement des cours d'eau ; le reboisement, le pastoralisme et l'agriculture climato-intelligente pour accroître la résilience ; l'amélioration de la gestion des bassins versants ; la lutte contre l'érosion éolienne et hydrique.</w:t>
            </w:r>
          </w:p>
        </w:tc>
        <w:tc>
          <w:tcPr>
            <w:tcW w:w="810" w:type="dxa"/>
            <w:shd w:val="clear" w:color="auto" w:fill="auto"/>
          </w:tcPr>
          <w:p w14:paraId="4AE30DA3" w14:textId="77777777" w:rsidR="00601D9B" w:rsidRDefault="000E53A0">
            <w:pPr>
              <w:pStyle w:val="Default"/>
              <w:jc w:val="center"/>
              <w:rPr>
                <w:rFonts w:asciiTheme="minorHAnsi" w:hAnsiTheme="minorHAnsi" w:cstheme="minorHAnsi"/>
                <w:bCs/>
                <w:sz w:val="18"/>
                <w:szCs w:val="18"/>
              </w:rPr>
            </w:pPr>
            <w:r w:rsidRPr="004E0953">
              <w:rPr>
                <w:rFonts w:asciiTheme="minorHAnsi" w:hAnsiTheme="minorHAnsi" w:cstheme="minorHAnsi"/>
                <w:bCs/>
                <w:sz w:val="18"/>
                <w:szCs w:val="18"/>
              </w:rPr>
              <w:fldChar w:fldCharType="begin">
                <w:ffData>
                  <w:name w:val=""/>
                  <w:enabled/>
                  <w:calcOnExit w:val="0"/>
                  <w:checkBox>
                    <w:sizeAuto/>
                    <w:default w:val="1"/>
                  </w:checkBox>
                </w:ffData>
              </w:fldChar>
            </w:r>
            <w:r w:rsidRPr="004E0953">
              <w:rPr>
                <w:rFonts w:asciiTheme="minorHAnsi" w:hAnsiTheme="minorHAnsi" w:cstheme="minorHAnsi"/>
                <w:bCs/>
                <w:sz w:val="18"/>
                <w:szCs w:val="18"/>
              </w:rPr>
              <w:instrText xml:space="preserve"> FORMCHECKBOX </w:instrText>
            </w:r>
            <w:r w:rsidR="00B330C0">
              <w:rPr>
                <w:rFonts w:asciiTheme="minorHAnsi" w:hAnsiTheme="minorHAnsi" w:cstheme="minorHAnsi"/>
                <w:bCs/>
                <w:sz w:val="18"/>
                <w:szCs w:val="18"/>
              </w:rPr>
            </w:r>
            <w:r w:rsidR="00B330C0">
              <w:rPr>
                <w:rFonts w:asciiTheme="minorHAnsi" w:hAnsiTheme="minorHAnsi" w:cstheme="minorHAnsi"/>
                <w:bCs/>
                <w:sz w:val="18"/>
                <w:szCs w:val="18"/>
              </w:rPr>
              <w:fldChar w:fldCharType="separate"/>
            </w:r>
            <w:r w:rsidRPr="004E0953">
              <w:rPr>
                <w:rFonts w:asciiTheme="minorHAnsi" w:hAnsiTheme="minorHAnsi" w:cstheme="minorHAnsi"/>
                <w:bCs/>
                <w:sz w:val="18"/>
                <w:szCs w:val="18"/>
              </w:rPr>
              <w:fldChar w:fldCharType="end"/>
            </w:r>
          </w:p>
        </w:tc>
        <w:tc>
          <w:tcPr>
            <w:tcW w:w="678" w:type="dxa"/>
            <w:shd w:val="clear" w:color="auto" w:fill="auto"/>
          </w:tcPr>
          <w:p w14:paraId="038F1111" w14:textId="77777777" w:rsidR="00601D9B" w:rsidRDefault="000E53A0">
            <w:pPr>
              <w:pStyle w:val="Default"/>
              <w:jc w:val="center"/>
              <w:rPr>
                <w:rFonts w:asciiTheme="minorHAnsi" w:hAnsiTheme="minorHAnsi" w:cstheme="minorHAnsi"/>
                <w:bCs/>
                <w:sz w:val="18"/>
                <w:szCs w:val="18"/>
              </w:rPr>
            </w:pPr>
            <w:r w:rsidRPr="004E0953">
              <w:rPr>
                <w:rFonts w:asciiTheme="minorHAnsi" w:hAnsiTheme="minorHAnsi" w:cstheme="minorHAnsi"/>
                <w:bCs/>
                <w:sz w:val="18"/>
                <w:szCs w:val="18"/>
              </w:rPr>
              <w:fldChar w:fldCharType="begin">
                <w:ffData>
                  <w:name w:val=""/>
                  <w:enabled/>
                  <w:calcOnExit w:val="0"/>
                  <w:checkBox>
                    <w:sizeAuto/>
                    <w:default w:val="1"/>
                  </w:checkBox>
                </w:ffData>
              </w:fldChar>
            </w:r>
            <w:r w:rsidRPr="004E0953">
              <w:rPr>
                <w:rFonts w:asciiTheme="minorHAnsi" w:hAnsiTheme="minorHAnsi" w:cstheme="minorHAnsi"/>
                <w:bCs/>
                <w:sz w:val="18"/>
                <w:szCs w:val="18"/>
              </w:rPr>
              <w:instrText xml:space="preserve"> FORMCHECKBOX </w:instrText>
            </w:r>
            <w:r w:rsidR="00B330C0">
              <w:rPr>
                <w:rFonts w:asciiTheme="minorHAnsi" w:hAnsiTheme="minorHAnsi" w:cstheme="minorHAnsi"/>
                <w:bCs/>
                <w:sz w:val="18"/>
                <w:szCs w:val="18"/>
              </w:rPr>
            </w:r>
            <w:r w:rsidR="00B330C0">
              <w:rPr>
                <w:rFonts w:asciiTheme="minorHAnsi" w:hAnsiTheme="minorHAnsi" w:cstheme="minorHAnsi"/>
                <w:bCs/>
                <w:sz w:val="18"/>
                <w:szCs w:val="18"/>
              </w:rPr>
              <w:fldChar w:fldCharType="separate"/>
            </w:r>
            <w:r w:rsidRPr="004E0953">
              <w:rPr>
                <w:rFonts w:asciiTheme="minorHAnsi" w:hAnsiTheme="minorHAnsi" w:cstheme="minorHAnsi"/>
                <w:bCs/>
                <w:sz w:val="18"/>
                <w:szCs w:val="18"/>
              </w:rPr>
              <w:fldChar w:fldCharType="end"/>
            </w:r>
          </w:p>
        </w:tc>
      </w:tr>
      <w:tr w:rsidR="001C7DE3" w:rsidRPr="004E0953" w14:paraId="0781CCAE" w14:textId="77777777" w:rsidTr="0039429F">
        <w:tc>
          <w:tcPr>
            <w:tcW w:w="1975" w:type="dxa"/>
            <w:shd w:val="clear" w:color="auto" w:fill="auto"/>
          </w:tcPr>
          <w:p w14:paraId="4D07D30C" w14:textId="77777777" w:rsidR="00601D9B" w:rsidRPr="000E53A0" w:rsidRDefault="000E53A0">
            <w:pPr>
              <w:pStyle w:val="Default"/>
              <w:jc w:val="both"/>
              <w:rPr>
                <w:rFonts w:asciiTheme="minorHAnsi" w:hAnsiTheme="minorHAnsi" w:cstheme="minorHAnsi"/>
                <w:color w:val="auto"/>
                <w:sz w:val="18"/>
                <w:szCs w:val="18"/>
                <w:lang w:val="fr-FR"/>
              </w:rPr>
            </w:pPr>
            <w:r w:rsidRPr="000E53A0">
              <w:rPr>
                <w:rFonts w:asciiTheme="minorHAnsi" w:hAnsiTheme="minorHAnsi" w:cstheme="minorHAnsi"/>
                <w:color w:val="auto"/>
                <w:sz w:val="18"/>
                <w:szCs w:val="18"/>
                <w:lang w:val="fr-FR"/>
              </w:rPr>
              <w:t>Programme d'action national d'adaptation (PANA), 2007</w:t>
            </w:r>
          </w:p>
        </w:tc>
        <w:tc>
          <w:tcPr>
            <w:tcW w:w="6030" w:type="dxa"/>
            <w:shd w:val="clear" w:color="auto" w:fill="auto"/>
          </w:tcPr>
          <w:p w14:paraId="403849E7" w14:textId="77777777" w:rsidR="00601D9B" w:rsidRPr="000E53A0" w:rsidRDefault="0039429F">
            <w:pPr>
              <w:pStyle w:val="Default"/>
              <w:jc w:val="both"/>
              <w:rPr>
                <w:rFonts w:asciiTheme="minorHAnsi" w:hAnsiTheme="minorHAnsi" w:cstheme="minorHAnsi"/>
                <w:color w:val="auto"/>
                <w:sz w:val="18"/>
                <w:szCs w:val="18"/>
                <w:lang w:val="fr-FR"/>
              </w:rPr>
            </w:pPr>
            <w:r w:rsidRPr="000E53A0">
              <w:rPr>
                <w:rFonts w:asciiTheme="minorHAnsi" w:hAnsiTheme="minorHAnsi" w:cstheme="minorHAnsi"/>
                <w:color w:val="auto"/>
                <w:sz w:val="18"/>
                <w:szCs w:val="18"/>
                <w:lang w:val="fr-FR"/>
              </w:rPr>
              <w:t xml:space="preserve">Les priorités </w:t>
            </w:r>
            <w:r w:rsidR="000E53A0" w:rsidRPr="000E53A0">
              <w:rPr>
                <w:rFonts w:asciiTheme="minorHAnsi" w:hAnsiTheme="minorHAnsi" w:cstheme="minorHAnsi"/>
                <w:color w:val="auto"/>
                <w:sz w:val="18"/>
                <w:szCs w:val="18"/>
                <w:lang w:val="fr-FR"/>
              </w:rPr>
              <w:t xml:space="preserve">identifiées dans le PNAA </w:t>
            </w:r>
            <w:r w:rsidRPr="000E53A0">
              <w:rPr>
                <w:rFonts w:asciiTheme="minorHAnsi" w:hAnsiTheme="minorHAnsi" w:cstheme="minorHAnsi"/>
                <w:color w:val="auto"/>
                <w:sz w:val="18"/>
                <w:szCs w:val="18"/>
                <w:lang w:val="fr-FR"/>
              </w:rPr>
              <w:t>comprennent les activités génératrices de revenus, les stratégies de gestion des sols et de l'eau à l'échelle locale et le renforcement des capacités en matière d'information climatique</w:t>
            </w:r>
            <w:r w:rsidR="000E53A0" w:rsidRPr="000E53A0">
              <w:rPr>
                <w:rFonts w:asciiTheme="minorHAnsi" w:hAnsiTheme="minorHAnsi" w:cstheme="minorHAnsi"/>
                <w:color w:val="auto"/>
                <w:sz w:val="18"/>
                <w:szCs w:val="18"/>
                <w:lang w:val="fr-FR"/>
              </w:rPr>
              <w:t>.</w:t>
            </w:r>
          </w:p>
        </w:tc>
        <w:tc>
          <w:tcPr>
            <w:tcW w:w="810" w:type="dxa"/>
          </w:tcPr>
          <w:p w14:paraId="4A77F4E4" w14:textId="77777777" w:rsidR="00601D9B" w:rsidRDefault="000E53A0">
            <w:pPr>
              <w:pStyle w:val="Default"/>
              <w:jc w:val="center"/>
              <w:rPr>
                <w:rFonts w:asciiTheme="minorHAnsi" w:hAnsiTheme="minorHAnsi" w:cstheme="minorHAnsi"/>
                <w:color w:val="auto"/>
                <w:sz w:val="18"/>
                <w:szCs w:val="18"/>
              </w:rPr>
            </w:pPr>
            <w:r w:rsidRPr="004E0953">
              <w:rPr>
                <w:rFonts w:asciiTheme="minorHAnsi" w:hAnsiTheme="minorHAnsi" w:cstheme="minorHAnsi"/>
                <w:bCs/>
                <w:sz w:val="18"/>
                <w:szCs w:val="18"/>
              </w:rPr>
              <w:fldChar w:fldCharType="begin">
                <w:ffData>
                  <w:name w:val=""/>
                  <w:enabled/>
                  <w:calcOnExit w:val="0"/>
                  <w:checkBox>
                    <w:sizeAuto/>
                    <w:default w:val="0"/>
                  </w:checkBox>
                </w:ffData>
              </w:fldChar>
            </w:r>
            <w:r w:rsidRPr="004E0953">
              <w:rPr>
                <w:rFonts w:asciiTheme="minorHAnsi" w:hAnsiTheme="minorHAnsi" w:cstheme="minorHAnsi"/>
                <w:bCs/>
                <w:sz w:val="18"/>
                <w:szCs w:val="18"/>
              </w:rPr>
              <w:instrText xml:space="preserve"> FORMCHECKBOX </w:instrText>
            </w:r>
            <w:r w:rsidR="00B330C0">
              <w:rPr>
                <w:rFonts w:asciiTheme="minorHAnsi" w:hAnsiTheme="minorHAnsi" w:cstheme="minorHAnsi"/>
                <w:bCs/>
                <w:sz w:val="18"/>
                <w:szCs w:val="18"/>
              </w:rPr>
            </w:r>
            <w:r w:rsidR="00B330C0">
              <w:rPr>
                <w:rFonts w:asciiTheme="minorHAnsi" w:hAnsiTheme="minorHAnsi" w:cstheme="minorHAnsi"/>
                <w:bCs/>
                <w:sz w:val="18"/>
                <w:szCs w:val="18"/>
              </w:rPr>
              <w:fldChar w:fldCharType="separate"/>
            </w:r>
            <w:r w:rsidRPr="004E0953">
              <w:rPr>
                <w:rFonts w:asciiTheme="minorHAnsi" w:hAnsiTheme="minorHAnsi" w:cstheme="minorHAnsi"/>
                <w:bCs/>
                <w:sz w:val="18"/>
                <w:szCs w:val="18"/>
              </w:rPr>
              <w:fldChar w:fldCharType="end"/>
            </w:r>
          </w:p>
        </w:tc>
        <w:tc>
          <w:tcPr>
            <w:tcW w:w="678" w:type="dxa"/>
          </w:tcPr>
          <w:p w14:paraId="76FA9DB9" w14:textId="77777777" w:rsidR="00601D9B" w:rsidRDefault="000E53A0">
            <w:pPr>
              <w:pStyle w:val="Default"/>
              <w:jc w:val="center"/>
              <w:rPr>
                <w:rFonts w:asciiTheme="minorHAnsi" w:hAnsiTheme="minorHAnsi" w:cstheme="minorHAnsi"/>
                <w:color w:val="auto"/>
                <w:sz w:val="18"/>
                <w:szCs w:val="18"/>
              </w:rPr>
            </w:pPr>
            <w:r w:rsidRPr="004E0953">
              <w:rPr>
                <w:rFonts w:asciiTheme="minorHAnsi" w:hAnsiTheme="minorHAnsi" w:cstheme="minorHAnsi"/>
                <w:bCs/>
                <w:sz w:val="18"/>
                <w:szCs w:val="18"/>
              </w:rPr>
              <w:fldChar w:fldCharType="begin">
                <w:ffData>
                  <w:name w:val=""/>
                  <w:enabled/>
                  <w:calcOnExit w:val="0"/>
                  <w:checkBox>
                    <w:sizeAuto/>
                    <w:default w:val="1"/>
                  </w:checkBox>
                </w:ffData>
              </w:fldChar>
            </w:r>
            <w:r w:rsidRPr="004E0953">
              <w:rPr>
                <w:rFonts w:asciiTheme="minorHAnsi" w:hAnsiTheme="minorHAnsi" w:cstheme="minorHAnsi"/>
                <w:bCs/>
                <w:sz w:val="18"/>
                <w:szCs w:val="18"/>
              </w:rPr>
              <w:instrText xml:space="preserve"> FORMCHECKBOX </w:instrText>
            </w:r>
            <w:r w:rsidR="00B330C0">
              <w:rPr>
                <w:rFonts w:asciiTheme="minorHAnsi" w:hAnsiTheme="minorHAnsi" w:cstheme="minorHAnsi"/>
                <w:bCs/>
                <w:sz w:val="18"/>
                <w:szCs w:val="18"/>
              </w:rPr>
            </w:r>
            <w:r w:rsidR="00B330C0">
              <w:rPr>
                <w:rFonts w:asciiTheme="minorHAnsi" w:hAnsiTheme="minorHAnsi" w:cstheme="minorHAnsi"/>
                <w:bCs/>
                <w:sz w:val="18"/>
                <w:szCs w:val="18"/>
              </w:rPr>
              <w:fldChar w:fldCharType="separate"/>
            </w:r>
            <w:r w:rsidRPr="004E0953">
              <w:rPr>
                <w:rFonts w:asciiTheme="minorHAnsi" w:hAnsiTheme="minorHAnsi" w:cstheme="minorHAnsi"/>
                <w:bCs/>
                <w:sz w:val="18"/>
                <w:szCs w:val="18"/>
              </w:rPr>
              <w:fldChar w:fldCharType="end"/>
            </w:r>
          </w:p>
        </w:tc>
      </w:tr>
      <w:tr w:rsidR="001C7DE3" w:rsidRPr="004E0953" w14:paraId="2659DA65" w14:textId="77777777" w:rsidTr="0039429F">
        <w:tc>
          <w:tcPr>
            <w:tcW w:w="1975" w:type="dxa"/>
            <w:shd w:val="clear" w:color="auto" w:fill="auto"/>
          </w:tcPr>
          <w:p w14:paraId="1995D61A" w14:textId="77777777" w:rsidR="00601D9B" w:rsidRDefault="0039429F">
            <w:pPr>
              <w:pStyle w:val="Default"/>
              <w:jc w:val="both"/>
              <w:rPr>
                <w:rFonts w:asciiTheme="minorHAnsi" w:hAnsiTheme="minorHAnsi" w:cstheme="minorHAnsi"/>
                <w:color w:val="auto"/>
                <w:sz w:val="18"/>
                <w:szCs w:val="18"/>
              </w:rPr>
            </w:pPr>
            <w:r w:rsidRPr="004E0953">
              <w:rPr>
                <w:rFonts w:asciiTheme="minorHAnsi" w:hAnsiTheme="minorHAnsi" w:cstheme="minorHAnsi"/>
                <w:color w:val="auto"/>
                <w:sz w:val="18"/>
                <w:szCs w:val="18"/>
              </w:rPr>
              <w:t>Plan d'</w:t>
            </w:r>
            <w:r w:rsidR="000E53A0" w:rsidRPr="004E0953">
              <w:rPr>
                <w:rFonts w:asciiTheme="minorHAnsi" w:hAnsiTheme="minorHAnsi" w:cstheme="minorHAnsi"/>
                <w:color w:val="auto"/>
                <w:sz w:val="18"/>
                <w:szCs w:val="18"/>
              </w:rPr>
              <w:t>action national (PAN 2019-2023)</w:t>
            </w:r>
          </w:p>
        </w:tc>
        <w:tc>
          <w:tcPr>
            <w:tcW w:w="6030" w:type="dxa"/>
            <w:shd w:val="clear" w:color="auto" w:fill="auto"/>
          </w:tcPr>
          <w:p w14:paraId="24436157" w14:textId="77777777" w:rsidR="00601D9B" w:rsidRPr="000E53A0" w:rsidRDefault="000E53A0">
            <w:pPr>
              <w:pStyle w:val="Default"/>
              <w:jc w:val="both"/>
              <w:rPr>
                <w:rFonts w:asciiTheme="minorHAnsi" w:hAnsiTheme="minorHAnsi" w:cstheme="minorHAnsi"/>
                <w:sz w:val="18"/>
                <w:szCs w:val="18"/>
                <w:lang w:val="fr-FR"/>
              </w:rPr>
            </w:pPr>
            <w:r w:rsidRPr="000E53A0">
              <w:rPr>
                <w:rFonts w:asciiTheme="minorHAnsi" w:hAnsiTheme="minorHAnsi" w:cstheme="minorHAnsi"/>
                <w:sz w:val="18"/>
                <w:szCs w:val="18"/>
                <w:lang w:val="fr-FR"/>
              </w:rPr>
              <w:t xml:space="preserve">Le Mali a adopté son dernier plan d'action national (PAN) en 2019, après deux autres PAN en 2012 et 2015. Le troisième PAN se concentre sur la prévention des conflits et des violences basées sur le genre, la participation et la représentation des femmes dans les organes de décision, la promotion du genre et l'autonomisation des femmes. </w:t>
            </w:r>
          </w:p>
        </w:tc>
        <w:tc>
          <w:tcPr>
            <w:tcW w:w="810" w:type="dxa"/>
          </w:tcPr>
          <w:p w14:paraId="47F9FB6E" w14:textId="77777777" w:rsidR="00601D9B" w:rsidRDefault="000E53A0">
            <w:pPr>
              <w:pStyle w:val="Default"/>
              <w:jc w:val="center"/>
              <w:rPr>
                <w:rFonts w:asciiTheme="minorHAnsi" w:hAnsiTheme="minorHAnsi" w:cstheme="minorHAnsi"/>
                <w:bCs/>
                <w:sz w:val="18"/>
                <w:szCs w:val="18"/>
              </w:rPr>
            </w:pPr>
            <w:r w:rsidRPr="004E0953">
              <w:rPr>
                <w:rFonts w:asciiTheme="minorHAnsi" w:hAnsiTheme="minorHAnsi" w:cstheme="minorHAnsi"/>
                <w:bCs/>
                <w:sz w:val="18"/>
                <w:szCs w:val="18"/>
              </w:rPr>
              <w:fldChar w:fldCharType="begin">
                <w:ffData>
                  <w:name w:val=""/>
                  <w:enabled/>
                  <w:calcOnExit w:val="0"/>
                  <w:checkBox>
                    <w:sizeAuto/>
                    <w:default w:val="1"/>
                  </w:checkBox>
                </w:ffData>
              </w:fldChar>
            </w:r>
            <w:r w:rsidRPr="004E0953">
              <w:rPr>
                <w:rFonts w:asciiTheme="minorHAnsi" w:hAnsiTheme="minorHAnsi" w:cstheme="minorHAnsi"/>
                <w:bCs/>
                <w:sz w:val="18"/>
                <w:szCs w:val="18"/>
              </w:rPr>
              <w:instrText xml:space="preserve"> FORMCHECKBOX </w:instrText>
            </w:r>
            <w:r w:rsidR="00B330C0">
              <w:rPr>
                <w:rFonts w:asciiTheme="minorHAnsi" w:hAnsiTheme="minorHAnsi" w:cstheme="minorHAnsi"/>
                <w:bCs/>
                <w:sz w:val="18"/>
                <w:szCs w:val="18"/>
              </w:rPr>
            </w:r>
            <w:r w:rsidR="00B330C0">
              <w:rPr>
                <w:rFonts w:asciiTheme="minorHAnsi" w:hAnsiTheme="minorHAnsi" w:cstheme="minorHAnsi"/>
                <w:bCs/>
                <w:sz w:val="18"/>
                <w:szCs w:val="18"/>
              </w:rPr>
              <w:fldChar w:fldCharType="separate"/>
            </w:r>
            <w:r w:rsidRPr="004E0953">
              <w:rPr>
                <w:rFonts w:asciiTheme="minorHAnsi" w:hAnsiTheme="minorHAnsi" w:cstheme="minorHAnsi"/>
                <w:bCs/>
                <w:sz w:val="18"/>
                <w:szCs w:val="18"/>
              </w:rPr>
              <w:fldChar w:fldCharType="end"/>
            </w:r>
          </w:p>
        </w:tc>
        <w:tc>
          <w:tcPr>
            <w:tcW w:w="678" w:type="dxa"/>
          </w:tcPr>
          <w:p w14:paraId="5C2F86F9" w14:textId="77777777" w:rsidR="00601D9B" w:rsidRDefault="000E53A0">
            <w:pPr>
              <w:pStyle w:val="Default"/>
              <w:jc w:val="center"/>
              <w:rPr>
                <w:rFonts w:asciiTheme="minorHAnsi" w:hAnsiTheme="minorHAnsi" w:cstheme="minorHAnsi"/>
                <w:bCs/>
                <w:sz w:val="18"/>
                <w:szCs w:val="18"/>
              </w:rPr>
            </w:pPr>
            <w:r w:rsidRPr="004E0953">
              <w:rPr>
                <w:rFonts w:asciiTheme="minorHAnsi" w:hAnsiTheme="minorHAnsi" w:cstheme="minorHAnsi"/>
                <w:bCs/>
                <w:sz w:val="18"/>
                <w:szCs w:val="18"/>
              </w:rPr>
              <w:fldChar w:fldCharType="begin">
                <w:ffData>
                  <w:name w:val=""/>
                  <w:enabled/>
                  <w:calcOnExit w:val="0"/>
                  <w:checkBox>
                    <w:sizeAuto/>
                    <w:default w:val="1"/>
                  </w:checkBox>
                </w:ffData>
              </w:fldChar>
            </w:r>
            <w:r w:rsidRPr="004E0953">
              <w:rPr>
                <w:rFonts w:asciiTheme="minorHAnsi" w:hAnsiTheme="minorHAnsi" w:cstheme="minorHAnsi"/>
                <w:bCs/>
                <w:sz w:val="18"/>
                <w:szCs w:val="18"/>
              </w:rPr>
              <w:instrText xml:space="preserve"> FORMCHECKBOX </w:instrText>
            </w:r>
            <w:r w:rsidR="00B330C0">
              <w:rPr>
                <w:rFonts w:asciiTheme="minorHAnsi" w:hAnsiTheme="minorHAnsi" w:cstheme="minorHAnsi"/>
                <w:bCs/>
                <w:sz w:val="18"/>
                <w:szCs w:val="18"/>
              </w:rPr>
            </w:r>
            <w:r w:rsidR="00B330C0">
              <w:rPr>
                <w:rFonts w:asciiTheme="minorHAnsi" w:hAnsiTheme="minorHAnsi" w:cstheme="minorHAnsi"/>
                <w:bCs/>
                <w:sz w:val="18"/>
                <w:szCs w:val="18"/>
              </w:rPr>
              <w:fldChar w:fldCharType="separate"/>
            </w:r>
            <w:r w:rsidRPr="004E0953">
              <w:rPr>
                <w:rFonts w:asciiTheme="minorHAnsi" w:hAnsiTheme="minorHAnsi" w:cstheme="minorHAnsi"/>
                <w:bCs/>
                <w:sz w:val="18"/>
                <w:szCs w:val="18"/>
              </w:rPr>
              <w:fldChar w:fldCharType="end"/>
            </w:r>
          </w:p>
        </w:tc>
      </w:tr>
      <w:tr w:rsidR="001C7DE3" w:rsidRPr="004E0953" w14:paraId="501ACBDD" w14:textId="77777777" w:rsidTr="0039429F">
        <w:tc>
          <w:tcPr>
            <w:tcW w:w="1975" w:type="dxa"/>
            <w:shd w:val="clear" w:color="auto" w:fill="auto"/>
          </w:tcPr>
          <w:p w14:paraId="601C29A9" w14:textId="77777777" w:rsidR="00601D9B" w:rsidRPr="000E53A0" w:rsidRDefault="000E53A0">
            <w:pPr>
              <w:pStyle w:val="Default"/>
              <w:jc w:val="both"/>
              <w:rPr>
                <w:rFonts w:asciiTheme="minorHAnsi" w:hAnsiTheme="minorHAnsi" w:cstheme="minorHAnsi"/>
                <w:color w:val="auto"/>
                <w:sz w:val="18"/>
                <w:szCs w:val="18"/>
                <w:lang w:val="fr-FR"/>
              </w:rPr>
            </w:pPr>
            <w:r w:rsidRPr="000E53A0">
              <w:rPr>
                <w:rFonts w:asciiTheme="minorHAnsi" w:hAnsiTheme="minorHAnsi" w:cstheme="minorHAnsi"/>
                <w:color w:val="auto"/>
                <w:sz w:val="18"/>
                <w:szCs w:val="18"/>
                <w:lang w:val="fr-FR"/>
              </w:rPr>
              <w:t xml:space="preserve">Politique nationale sur le changement climatique (PNCC) et sa stratégie nationale sur le changement climatique (SNCC), </w:t>
            </w:r>
            <w:r w:rsidRPr="000E53A0">
              <w:rPr>
                <w:rFonts w:asciiTheme="minorHAnsi" w:hAnsiTheme="minorHAnsi" w:cstheme="minorHAnsi"/>
                <w:color w:val="auto"/>
                <w:sz w:val="18"/>
                <w:szCs w:val="18"/>
                <w:lang w:val="fr-FR"/>
              </w:rPr>
              <w:lastRenderedPageBreak/>
              <w:t>2011</w:t>
            </w:r>
          </w:p>
          <w:p w14:paraId="3377117C" w14:textId="77777777" w:rsidR="001C7DE3" w:rsidRPr="000E53A0" w:rsidRDefault="001C7DE3" w:rsidP="000E53A0">
            <w:pPr>
              <w:pStyle w:val="Default"/>
              <w:jc w:val="both"/>
              <w:rPr>
                <w:rFonts w:asciiTheme="minorHAnsi" w:hAnsiTheme="minorHAnsi" w:cstheme="minorHAnsi"/>
                <w:color w:val="auto"/>
                <w:sz w:val="18"/>
                <w:szCs w:val="18"/>
                <w:lang w:val="fr-FR"/>
              </w:rPr>
            </w:pPr>
          </w:p>
        </w:tc>
        <w:tc>
          <w:tcPr>
            <w:tcW w:w="6030" w:type="dxa"/>
            <w:shd w:val="clear" w:color="auto" w:fill="auto"/>
          </w:tcPr>
          <w:p w14:paraId="79E69AC2" w14:textId="77777777" w:rsidR="00601D9B" w:rsidRPr="000E53A0" w:rsidRDefault="000E53A0">
            <w:pPr>
              <w:pStyle w:val="Default"/>
              <w:jc w:val="both"/>
              <w:rPr>
                <w:rFonts w:asciiTheme="minorHAnsi" w:hAnsiTheme="minorHAnsi" w:cstheme="minorHAnsi"/>
                <w:color w:val="auto"/>
                <w:sz w:val="18"/>
                <w:szCs w:val="18"/>
                <w:lang w:val="fr-FR"/>
              </w:rPr>
            </w:pPr>
            <w:r w:rsidRPr="000E53A0">
              <w:rPr>
                <w:rFonts w:asciiTheme="minorHAnsi" w:hAnsiTheme="minorHAnsi" w:cstheme="minorHAnsi"/>
                <w:color w:val="auto"/>
                <w:sz w:val="18"/>
                <w:szCs w:val="18"/>
                <w:lang w:val="fr-FR"/>
              </w:rPr>
              <w:lastRenderedPageBreak/>
              <w:t>La SNCC intègre huit (8) axes stratégiques qui concernent les aspects suivants : le cadre institutionnel du CC, le financement du CC, les capacités nationales du CC, l'information et la sensibilisation au CC, le suivi du climat du Mali, la prise en compte du CC au niveau des politiques sectorielles territoriales et l'implication du secteur privé dans la lutte contre les effets du CC.</w:t>
            </w:r>
          </w:p>
        </w:tc>
        <w:tc>
          <w:tcPr>
            <w:tcW w:w="810" w:type="dxa"/>
          </w:tcPr>
          <w:p w14:paraId="1ECC0714" w14:textId="77777777" w:rsidR="00601D9B" w:rsidRDefault="000E53A0">
            <w:pPr>
              <w:pStyle w:val="Default"/>
              <w:jc w:val="center"/>
              <w:rPr>
                <w:rFonts w:asciiTheme="minorHAnsi" w:hAnsiTheme="minorHAnsi" w:cstheme="minorHAnsi"/>
                <w:color w:val="auto"/>
                <w:sz w:val="18"/>
                <w:szCs w:val="18"/>
              </w:rPr>
            </w:pPr>
            <w:r w:rsidRPr="004E0953">
              <w:rPr>
                <w:rFonts w:asciiTheme="minorHAnsi" w:hAnsiTheme="minorHAnsi" w:cstheme="minorHAnsi"/>
                <w:bCs/>
                <w:sz w:val="18"/>
                <w:szCs w:val="18"/>
              </w:rPr>
              <w:fldChar w:fldCharType="begin">
                <w:ffData>
                  <w:name w:val=""/>
                  <w:enabled/>
                  <w:calcOnExit w:val="0"/>
                  <w:checkBox>
                    <w:sizeAuto/>
                    <w:default w:val="0"/>
                  </w:checkBox>
                </w:ffData>
              </w:fldChar>
            </w:r>
            <w:r w:rsidRPr="004E0953">
              <w:rPr>
                <w:rFonts w:asciiTheme="minorHAnsi" w:hAnsiTheme="minorHAnsi" w:cstheme="minorHAnsi"/>
                <w:bCs/>
                <w:sz w:val="18"/>
                <w:szCs w:val="18"/>
              </w:rPr>
              <w:instrText xml:space="preserve"> FORMCHECKBOX </w:instrText>
            </w:r>
            <w:r w:rsidR="00B330C0">
              <w:rPr>
                <w:rFonts w:asciiTheme="minorHAnsi" w:hAnsiTheme="minorHAnsi" w:cstheme="minorHAnsi"/>
                <w:bCs/>
                <w:sz w:val="18"/>
                <w:szCs w:val="18"/>
              </w:rPr>
            </w:r>
            <w:r w:rsidR="00B330C0">
              <w:rPr>
                <w:rFonts w:asciiTheme="minorHAnsi" w:hAnsiTheme="minorHAnsi" w:cstheme="minorHAnsi"/>
                <w:bCs/>
                <w:sz w:val="18"/>
                <w:szCs w:val="18"/>
              </w:rPr>
              <w:fldChar w:fldCharType="separate"/>
            </w:r>
            <w:r w:rsidRPr="004E0953">
              <w:rPr>
                <w:rFonts w:asciiTheme="minorHAnsi" w:hAnsiTheme="minorHAnsi" w:cstheme="minorHAnsi"/>
                <w:bCs/>
                <w:sz w:val="18"/>
                <w:szCs w:val="18"/>
              </w:rPr>
              <w:fldChar w:fldCharType="end"/>
            </w:r>
          </w:p>
        </w:tc>
        <w:tc>
          <w:tcPr>
            <w:tcW w:w="678" w:type="dxa"/>
          </w:tcPr>
          <w:p w14:paraId="143854D3" w14:textId="77777777" w:rsidR="00601D9B" w:rsidRDefault="000E53A0">
            <w:pPr>
              <w:pStyle w:val="Default"/>
              <w:jc w:val="center"/>
              <w:rPr>
                <w:rFonts w:asciiTheme="minorHAnsi" w:hAnsiTheme="minorHAnsi" w:cstheme="minorHAnsi"/>
                <w:color w:val="auto"/>
                <w:sz w:val="18"/>
                <w:szCs w:val="18"/>
              </w:rPr>
            </w:pPr>
            <w:r w:rsidRPr="004E0953">
              <w:rPr>
                <w:rFonts w:asciiTheme="minorHAnsi" w:hAnsiTheme="minorHAnsi" w:cstheme="minorHAnsi"/>
                <w:bCs/>
                <w:sz w:val="18"/>
                <w:szCs w:val="18"/>
              </w:rPr>
              <w:fldChar w:fldCharType="begin">
                <w:ffData>
                  <w:name w:val=""/>
                  <w:enabled/>
                  <w:calcOnExit w:val="0"/>
                  <w:checkBox>
                    <w:sizeAuto/>
                    <w:default w:val="1"/>
                  </w:checkBox>
                </w:ffData>
              </w:fldChar>
            </w:r>
            <w:r w:rsidRPr="004E0953">
              <w:rPr>
                <w:rFonts w:asciiTheme="minorHAnsi" w:hAnsiTheme="minorHAnsi" w:cstheme="minorHAnsi"/>
                <w:bCs/>
                <w:sz w:val="18"/>
                <w:szCs w:val="18"/>
              </w:rPr>
              <w:instrText xml:space="preserve"> FORMCHECKBOX </w:instrText>
            </w:r>
            <w:r w:rsidR="00B330C0">
              <w:rPr>
                <w:rFonts w:asciiTheme="minorHAnsi" w:hAnsiTheme="minorHAnsi" w:cstheme="minorHAnsi"/>
                <w:bCs/>
                <w:sz w:val="18"/>
                <w:szCs w:val="18"/>
              </w:rPr>
            </w:r>
            <w:r w:rsidR="00B330C0">
              <w:rPr>
                <w:rFonts w:asciiTheme="minorHAnsi" w:hAnsiTheme="minorHAnsi" w:cstheme="minorHAnsi"/>
                <w:bCs/>
                <w:sz w:val="18"/>
                <w:szCs w:val="18"/>
              </w:rPr>
              <w:fldChar w:fldCharType="separate"/>
            </w:r>
            <w:r w:rsidRPr="004E0953">
              <w:rPr>
                <w:rFonts w:asciiTheme="minorHAnsi" w:hAnsiTheme="minorHAnsi" w:cstheme="minorHAnsi"/>
                <w:bCs/>
                <w:sz w:val="18"/>
                <w:szCs w:val="18"/>
              </w:rPr>
              <w:fldChar w:fldCharType="end"/>
            </w:r>
          </w:p>
        </w:tc>
      </w:tr>
      <w:tr w:rsidR="001C7DE3" w:rsidRPr="004E0953" w14:paraId="682B7F3E" w14:textId="77777777" w:rsidTr="0039429F">
        <w:tc>
          <w:tcPr>
            <w:tcW w:w="1975" w:type="dxa"/>
          </w:tcPr>
          <w:p w14:paraId="2F0BB361" w14:textId="77777777" w:rsidR="00601D9B" w:rsidRPr="000E53A0" w:rsidRDefault="000E53A0">
            <w:pPr>
              <w:pStyle w:val="Default"/>
              <w:jc w:val="both"/>
              <w:rPr>
                <w:rFonts w:asciiTheme="minorHAnsi" w:hAnsiTheme="minorHAnsi" w:cstheme="minorHAnsi"/>
                <w:b/>
                <w:bCs/>
                <w:color w:val="auto"/>
                <w:sz w:val="18"/>
                <w:szCs w:val="18"/>
                <w:lang w:val="fr-FR"/>
              </w:rPr>
            </w:pPr>
            <w:r w:rsidRPr="000E53A0">
              <w:rPr>
                <w:rFonts w:asciiTheme="minorHAnsi" w:hAnsiTheme="minorHAnsi" w:cstheme="minorHAnsi"/>
                <w:color w:val="auto"/>
                <w:sz w:val="18"/>
                <w:szCs w:val="18"/>
                <w:lang w:val="fr-FR"/>
              </w:rPr>
              <w:t>Politique forestière nationale et son plan d'action 2018-2022 (2017).</w:t>
            </w:r>
          </w:p>
        </w:tc>
        <w:tc>
          <w:tcPr>
            <w:tcW w:w="6030" w:type="dxa"/>
          </w:tcPr>
          <w:p w14:paraId="6EED5EC3" w14:textId="77777777" w:rsidR="00601D9B" w:rsidRPr="000E53A0" w:rsidRDefault="000E53A0">
            <w:pPr>
              <w:pStyle w:val="Default"/>
              <w:jc w:val="both"/>
              <w:rPr>
                <w:rFonts w:asciiTheme="minorHAnsi" w:hAnsiTheme="minorHAnsi" w:cstheme="minorHAnsi"/>
                <w:b/>
                <w:bCs/>
                <w:color w:val="auto"/>
                <w:sz w:val="18"/>
                <w:szCs w:val="18"/>
                <w:lang w:val="fr-FR"/>
              </w:rPr>
            </w:pPr>
            <w:r w:rsidRPr="000E53A0">
              <w:rPr>
                <w:rFonts w:asciiTheme="minorHAnsi" w:hAnsiTheme="minorHAnsi" w:cstheme="minorHAnsi"/>
                <w:color w:val="auto"/>
                <w:sz w:val="18"/>
                <w:szCs w:val="18"/>
                <w:lang w:val="fr-FR"/>
              </w:rPr>
              <w:t>Cette nouvelle politique forestière nationale vise à assurer une gestion intégrée et durable des ressources forestières et fauniques afin de contribuer à la lutte contre la pauvreté, à la gestion durable des terres et à la lutte contre le changement climatique.</w:t>
            </w:r>
          </w:p>
        </w:tc>
        <w:tc>
          <w:tcPr>
            <w:tcW w:w="810" w:type="dxa"/>
          </w:tcPr>
          <w:p w14:paraId="23594678" w14:textId="77777777" w:rsidR="00601D9B" w:rsidRDefault="000E53A0">
            <w:pPr>
              <w:pStyle w:val="Default"/>
              <w:jc w:val="center"/>
              <w:rPr>
                <w:rFonts w:asciiTheme="minorHAnsi" w:hAnsiTheme="minorHAnsi" w:cstheme="minorHAnsi"/>
                <w:color w:val="auto"/>
                <w:sz w:val="18"/>
                <w:szCs w:val="18"/>
              </w:rPr>
            </w:pPr>
            <w:r w:rsidRPr="004E0953">
              <w:rPr>
                <w:rFonts w:asciiTheme="minorHAnsi" w:hAnsiTheme="minorHAnsi" w:cstheme="minorHAnsi"/>
                <w:bCs/>
                <w:sz w:val="18"/>
                <w:szCs w:val="18"/>
              </w:rPr>
              <w:fldChar w:fldCharType="begin">
                <w:ffData>
                  <w:name w:val=""/>
                  <w:enabled/>
                  <w:calcOnExit w:val="0"/>
                  <w:checkBox>
                    <w:sizeAuto/>
                    <w:default w:val="1"/>
                  </w:checkBox>
                </w:ffData>
              </w:fldChar>
            </w:r>
            <w:r w:rsidRPr="004E0953">
              <w:rPr>
                <w:rFonts w:asciiTheme="minorHAnsi" w:hAnsiTheme="minorHAnsi" w:cstheme="minorHAnsi"/>
                <w:bCs/>
                <w:sz w:val="18"/>
                <w:szCs w:val="18"/>
              </w:rPr>
              <w:instrText xml:space="preserve"> FORMCHECKBOX </w:instrText>
            </w:r>
            <w:r w:rsidR="00B330C0">
              <w:rPr>
                <w:rFonts w:asciiTheme="minorHAnsi" w:hAnsiTheme="minorHAnsi" w:cstheme="minorHAnsi"/>
                <w:bCs/>
                <w:sz w:val="18"/>
                <w:szCs w:val="18"/>
              </w:rPr>
            </w:r>
            <w:r w:rsidR="00B330C0">
              <w:rPr>
                <w:rFonts w:asciiTheme="minorHAnsi" w:hAnsiTheme="minorHAnsi" w:cstheme="minorHAnsi"/>
                <w:bCs/>
                <w:sz w:val="18"/>
                <w:szCs w:val="18"/>
              </w:rPr>
              <w:fldChar w:fldCharType="separate"/>
            </w:r>
            <w:r w:rsidRPr="004E0953">
              <w:rPr>
                <w:rFonts w:asciiTheme="minorHAnsi" w:hAnsiTheme="minorHAnsi" w:cstheme="minorHAnsi"/>
                <w:bCs/>
                <w:sz w:val="18"/>
                <w:szCs w:val="18"/>
              </w:rPr>
              <w:fldChar w:fldCharType="end"/>
            </w:r>
          </w:p>
        </w:tc>
        <w:tc>
          <w:tcPr>
            <w:tcW w:w="678" w:type="dxa"/>
          </w:tcPr>
          <w:p w14:paraId="32F1252A" w14:textId="77777777" w:rsidR="00601D9B" w:rsidRDefault="000E53A0">
            <w:pPr>
              <w:pStyle w:val="Default"/>
              <w:jc w:val="center"/>
              <w:rPr>
                <w:rFonts w:asciiTheme="minorHAnsi" w:hAnsiTheme="minorHAnsi" w:cstheme="minorHAnsi"/>
                <w:color w:val="auto"/>
                <w:sz w:val="18"/>
                <w:szCs w:val="18"/>
              </w:rPr>
            </w:pPr>
            <w:r w:rsidRPr="004E0953">
              <w:rPr>
                <w:rFonts w:asciiTheme="minorHAnsi" w:hAnsiTheme="minorHAnsi" w:cstheme="minorHAnsi"/>
                <w:bCs/>
                <w:sz w:val="18"/>
                <w:szCs w:val="18"/>
              </w:rPr>
              <w:fldChar w:fldCharType="begin">
                <w:ffData>
                  <w:name w:val=""/>
                  <w:enabled/>
                  <w:calcOnExit w:val="0"/>
                  <w:checkBox>
                    <w:sizeAuto/>
                    <w:default w:val="1"/>
                  </w:checkBox>
                </w:ffData>
              </w:fldChar>
            </w:r>
            <w:r w:rsidRPr="004E0953">
              <w:rPr>
                <w:rFonts w:asciiTheme="minorHAnsi" w:hAnsiTheme="minorHAnsi" w:cstheme="minorHAnsi"/>
                <w:bCs/>
                <w:sz w:val="18"/>
                <w:szCs w:val="18"/>
              </w:rPr>
              <w:instrText xml:space="preserve"> FORMCHECKBOX </w:instrText>
            </w:r>
            <w:r w:rsidR="00B330C0">
              <w:rPr>
                <w:rFonts w:asciiTheme="minorHAnsi" w:hAnsiTheme="minorHAnsi" w:cstheme="minorHAnsi"/>
                <w:bCs/>
                <w:sz w:val="18"/>
                <w:szCs w:val="18"/>
              </w:rPr>
            </w:r>
            <w:r w:rsidR="00B330C0">
              <w:rPr>
                <w:rFonts w:asciiTheme="minorHAnsi" w:hAnsiTheme="minorHAnsi" w:cstheme="minorHAnsi"/>
                <w:bCs/>
                <w:sz w:val="18"/>
                <w:szCs w:val="18"/>
              </w:rPr>
              <w:fldChar w:fldCharType="separate"/>
            </w:r>
            <w:r w:rsidRPr="004E0953">
              <w:rPr>
                <w:rFonts w:asciiTheme="minorHAnsi" w:hAnsiTheme="minorHAnsi" w:cstheme="minorHAnsi"/>
                <w:bCs/>
                <w:sz w:val="18"/>
                <w:szCs w:val="18"/>
              </w:rPr>
              <w:fldChar w:fldCharType="end"/>
            </w:r>
          </w:p>
        </w:tc>
      </w:tr>
      <w:tr w:rsidR="001C7DE3" w:rsidRPr="004E0953" w14:paraId="6C188FAF" w14:textId="77777777" w:rsidTr="0039429F">
        <w:tc>
          <w:tcPr>
            <w:tcW w:w="1975" w:type="dxa"/>
          </w:tcPr>
          <w:p w14:paraId="67BD5632" w14:textId="77777777" w:rsidR="00601D9B" w:rsidRDefault="000E53A0">
            <w:pPr>
              <w:pStyle w:val="Default"/>
              <w:jc w:val="both"/>
              <w:rPr>
                <w:rFonts w:asciiTheme="minorHAnsi" w:hAnsiTheme="minorHAnsi" w:cstheme="minorHAnsi"/>
                <w:color w:val="auto"/>
                <w:sz w:val="18"/>
                <w:szCs w:val="18"/>
              </w:rPr>
            </w:pPr>
            <w:r w:rsidRPr="004E0953">
              <w:rPr>
                <w:rFonts w:asciiTheme="minorHAnsi" w:hAnsiTheme="minorHAnsi" w:cstheme="minorHAnsi"/>
                <w:color w:val="auto"/>
                <w:sz w:val="18"/>
                <w:szCs w:val="18"/>
              </w:rPr>
              <w:t xml:space="preserve">Politique </w:t>
            </w:r>
            <w:r w:rsidR="00245B58" w:rsidRPr="004E0953">
              <w:rPr>
                <w:rFonts w:asciiTheme="minorHAnsi" w:hAnsiTheme="minorHAnsi" w:cstheme="minorHAnsi"/>
                <w:color w:val="auto"/>
                <w:sz w:val="18"/>
                <w:szCs w:val="18"/>
              </w:rPr>
              <w:t>énergétique</w:t>
            </w:r>
            <w:r w:rsidRPr="004E0953">
              <w:rPr>
                <w:rFonts w:asciiTheme="minorHAnsi" w:hAnsiTheme="minorHAnsi" w:cstheme="minorHAnsi"/>
                <w:color w:val="auto"/>
                <w:sz w:val="18"/>
                <w:szCs w:val="18"/>
              </w:rPr>
              <w:t xml:space="preserve"> nationale</w:t>
            </w:r>
          </w:p>
        </w:tc>
        <w:tc>
          <w:tcPr>
            <w:tcW w:w="6030" w:type="dxa"/>
          </w:tcPr>
          <w:p w14:paraId="65A0B2D9" w14:textId="77777777" w:rsidR="00601D9B" w:rsidRPr="000E53A0" w:rsidRDefault="000E53A0">
            <w:pPr>
              <w:pStyle w:val="Default"/>
              <w:jc w:val="both"/>
              <w:rPr>
                <w:rFonts w:asciiTheme="minorHAnsi" w:hAnsiTheme="minorHAnsi" w:cstheme="minorHAnsi"/>
                <w:color w:val="auto"/>
                <w:sz w:val="18"/>
                <w:szCs w:val="18"/>
                <w:lang w:val="fr-FR"/>
              </w:rPr>
            </w:pPr>
            <w:r w:rsidRPr="000E53A0">
              <w:rPr>
                <w:rFonts w:asciiTheme="minorHAnsi" w:hAnsiTheme="minorHAnsi" w:cstheme="minorHAnsi"/>
                <w:color w:val="auto"/>
                <w:sz w:val="18"/>
                <w:szCs w:val="18"/>
                <w:lang w:val="fr-FR"/>
              </w:rPr>
              <w:t xml:space="preserve">Vise à contribuer au développement durable du pays, par la fourniture de services énergétiques accessibles au plus grand nombre de la population au </w:t>
            </w:r>
            <w:r w:rsidR="00245B58" w:rsidRPr="000E53A0">
              <w:rPr>
                <w:rFonts w:asciiTheme="minorHAnsi" w:hAnsiTheme="minorHAnsi" w:cstheme="minorHAnsi"/>
                <w:color w:val="auto"/>
                <w:sz w:val="18"/>
                <w:szCs w:val="18"/>
                <w:lang w:val="fr-FR"/>
              </w:rPr>
              <w:t xml:space="preserve">moindre </w:t>
            </w:r>
            <w:r w:rsidRPr="000E53A0">
              <w:rPr>
                <w:rFonts w:asciiTheme="minorHAnsi" w:hAnsiTheme="minorHAnsi" w:cstheme="minorHAnsi"/>
                <w:color w:val="auto"/>
                <w:sz w:val="18"/>
                <w:szCs w:val="18"/>
                <w:lang w:val="fr-FR"/>
              </w:rPr>
              <w:t xml:space="preserve">coût. </w:t>
            </w:r>
          </w:p>
        </w:tc>
        <w:tc>
          <w:tcPr>
            <w:tcW w:w="810" w:type="dxa"/>
          </w:tcPr>
          <w:p w14:paraId="60FA243E" w14:textId="77777777" w:rsidR="00601D9B" w:rsidRDefault="000E53A0">
            <w:pPr>
              <w:pStyle w:val="Default"/>
              <w:jc w:val="center"/>
              <w:rPr>
                <w:rFonts w:asciiTheme="minorHAnsi" w:hAnsiTheme="minorHAnsi" w:cstheme="minorHAnsi"/>
                <w:bCs/>
                <w:sz w:val="18"/>
                <w:szCs w:val="18"/>
              </w:rPr>
            </w:pPr>
            <w:r w:rsidRPr="004E0953">
              <w:rPr>
                <w:rFonts w:asciiTheme="minorHAnsi" w:hAnsiTheme="minorHAnsi" w:cstheme="minorHAnsi"/>
                <w:bCs/>
                <w:sz w:val="18"/>
                <w:szCs w:val="18"/>
              </w:rPr>
              <w:fldChar w:fldCharType="begin">
                <w:ffData>
                  <w:name w:val=""/>
                  <w:enabled/>
                  <w:calcOnExit w:val="0"/>
                  <w:checkBox>
                    <w:sizeAuto/>
                    <w:default w:val="1"/>
                  </w:checkBox>
                </w:ffData>
              </w:fldChar>
            </w:r>
            <w:r w:rsidRPr="004E0953">
              <w:rPr>
                <w:rFonts w:asciiTheme="minorHAnsi" w:hAnsiTheme="minorHAnsi" w:cstheme="minorHAnsi"/>
                <w:bCs/>
                <w:sz w:val="18"/>
                <w:szCs w:val="18"/>
              </w:rPr>
              <w:instrText xml:space="preserve"> FORMCHECKBOX </w:instrText>
            </w:r>
            <w:r w:rsidR="00B330C0">
              <w:rPr>
                <w:rFonts w:asciiTheme="minorHAnsi" w:hAnsiTheme="minorHAnsi" w:cstheme="minorHAnsi"/>
                <w:bCs/>
                <w:sz w:val="18"/>
                <w:szCs w:val="18"/>
              </w:rPr>
            </w:r>
            <w:r w:rsidR="00B330C0">
              <w:rPr>
                <w:rFonts w:asciiTheme="minorHAnsi" w:hAnsiTheme="minorHAnsi" w:cstheme="minorHAnsi"/>
                <w:bCs/>
                <w:sz w:val="18"/>
                <w:szCs w:val="18"/>
              </w:rPr>
              <w:fldChar w:fldCharType="separate"/>
            </w:r>
            <w:r w:rsidRPr="004E0953">
              <w:rPr>
                <w:rFonts w:asciiTheme="minorHAnsi" w:hAnsiTheme="minorHAnsi" w:cstheme="minorHAnsi"/>
                <w:bCs/>
                <w:sz w:val="18"/>
                <w:szCs w:val="18"/>
              </w:rPr>
              <w:fldChar w:fldCharType="end"/>
            </w:r>
          </w:p>
        </w:tc>
        <w:tc>
          <w:tcPr>
            <w:tcW w:w="678" w:type="dxa"/>
          </w:tcPr>
          <w:p w14:paraId="774D5090" w14:textId="77777777" w:rsidR="00601D9B" w:rsidRDefault="000E53A0">
            <w:pPr>
              <w:pStyle w:val="Default"/>
              <w:jc w:val="center"/>
              <w:rPr>
                <w:rFonts w:asciiTheme="minorHAnsi" w:hAnsiTheme="minorHAnsi" w:cstheme="minorHAnsi"/>
                <w:bCs/>
                <w:sz w:val="18"/>
                <w:szCs w:val="18"/>
              </w:rPr>
            </w:pPr>
            <w:r w:rsidRPr="004E0953">
              <w:rPr>
                <w:rFonts w:asciiTheme="minorHAnsi" w:hAnsiTheme="minorHAnsi" w:cstheme="minorHAnsi"/>
                <w:bCs/>
                <w:sz w:val="18"/>
                <w:szCs w:val="18"/>
              </w:rPr>
              <w:fldChar w:fldCharType="begin">
                <w:ffData>
                  <w:name w:val=""/>
                  <w:enabled/>
                  <w:calcOnExit w:val="0"/>
                  <w:checkBox>
                    <w:sizeAuto/>
                    <w:default w:val="1"/>
                  </w:checkBox>
                </w:ffData>
              </w:fldChar>
            </w:r>
            <w:r w:rsidRPr="004E0953">
              <w:rPr>
                <w:rFonts w:asciiTheme="minorHAnsi" w:hAnsiTheme="minorHAnsi" w:cstheme="minorHAnsi"/>
                <w:bCs/>
                <w:sz w:val="18"/>
                <w:szCs w:val="18"/>
              </w:rPr>
              <w:instrText xml:space="preserve"> FORMCHECKBOX </w:instrText>
            </w:r>
            <w:r w:rsidR="00B330C0">
              <w:rPr>
                <w:rFonts w:asciiTheme="minorHAnsi" w:hAnsiTheme="minorHAnsi" w:cstheme="minorHAnsi"/>
                <w:bCs/>
                <w:sz w:val="18"/>
                <w:szCs w:val="18"/>
              </w:rPr>
            </w:r>
            <w:r w:rsidR="00B330C0">
              <w:rPr>
                <w:rFonts w:asciiTheme="minorHAnsi" w:hAnsiTheme="minorHAnsi" w:cstheme="minorHAnsi"/>
                <w:bCs/>
                <w:sz w:val="18"/>
                <w:szCs w:val="18"/>
              </w:rPr>
              <w:fldChar w:fldCharType="separate"/>
            </w:r>
            <w:r w:rsidRPr="004E0953">
              <w:rPr>
                <w:rFonts w:asciiTheme="minorHAnsi" w:hAnsiTheme="minorHAnsi" w:cstheme="minorHAnsi"/>
                <w:bCs/>
                <w:sz w:val="18"/>
                <w:szCs w:val="18"/>
              </w:rPr>
              <w:fldChar w:fldCharType="end"/>
            </w:r>
          </w:p>
        </w:tc>
      </w:tr>
      <w:tr w:rsidR="001C7DE3" w:rsidRPr="004E0953" w14:paraId="4995B2CA" w14:textId="77777777" w:rsidTr="0039429F">
        <w:tc>
          <w:tcPr>
            <w:tcW w:w="1975" w:type="dxa"/>
          </w:tcPr>
          <w:p w14:paraId="054D11A8" w14:textId="77777777" w:rsidR="00601D9B" w:rsidRPr="000E53A0" w:rsidRDefault="000E53A0">
            <w:pPr>
              <w:pStyle w:val="Default"/>
              <w:rPr>
                <w:rFonts w:asciiTheme="minorHAnsi" w:hAnsiTheme="minorHAnsi" w:cstheme="minorHAnsi"/>
                <w:color w:val="auto"/>
                <w:sz w:val="18"/>
                <w:szCs w:val="18"/>
                <w:lang w:val="fr-FR"/>
              </w:rPr>
            </w:pPr>
            <w:r w:rsidRPr="000E53A0">
              <w:rPr>
                <w:rFonts w:asciiTheme="minorHAnsi" w:hAnsiTheme="minorHAnsi" w:cstheme="minorHAnsi"/>
                <w:color w:val="auto"/>
                <w:sz w:val="18"/>
                <w:szCs w:val="18"/>
                <w:lang w:val="fr-FR"/>
              </w:rPr>
              <w:t>Stratégie et plan d'action de mise en œuvre de la Grande Muraille Verte du Mali</w:t>
            </w:r>
          </w:p>
        </w:tc>
        <w:tc>
          <w:tcPr>
            <w:tcW w:w="6030" w:type="dxa"/>
          </w:tcPr>
          <w:p w14:paraId="78AB0EDA" w14:textId="77777777" w:rsidR="00601D9B" w:rsidRPr="000E53A0" w:rsidRDefault="000E53A0">
            <w:pPr>
              <w:pStyle w:val="Default"/>
              <w:rPr>
                <w:rFonts w:asciiTheme="minorHAnsi" w:hAnsiTheme="minorHAnsi" w:cstheme="minorHAnsi"/>
                <w:color w:val="auto"/>
                <w:sz w:val="18"/>
                <w:szCs w:val="18"/>
                <w:lang w:val="fr-FR"/>
              </w:rPr>
            </w:pPr>
            <w:r w:rsidRPr="000E53A0">
              <w:rPr>
                <w:rFonts w:asciiTheme="minorHAnsi" w:hAnsiTheme="minorHAnsi" w:cstheme="minorHAnsi"/>
                <w:color w:val="auto"/>
                <w:sz w:val="18"/>
                <w:szCs w:val="18"/>
                <w:lang w:val="fr-FR"/>
              </w:rPr>
              <w:t xml:space="preserve">Améliorer les moyens de subsistance des communautés locales de la zone sahélo-saharienne par une gestion durable de la biodiversité entre les isohyètes 100 mm au Nord et 400 mm au Sud, une valorisation des ressources naturelles existantes, et la lutte contre la désertification et la pauvreté des populations locales. </w:t>
            </w:r>
          </w:p>
        </w:tc>
        <w:tc>
          <w:tcPr>
            <w:tcW w:w="810" w:type="dxa"/>
          </w:tcPr>
          <w:p w14:paraId="5565C392" w14:textId="77777777" w:rsidR="00601D9B" w:rsidRDefault="000E53A0">
            <w:pPr>
              <w:pStyle w:val="Default"/>
              <w:jc w:val="center"/>
              <w:rPr>
                <w:rFonts w:asciiTheme="minorHAnsi" w:hAnsiTheme="minorHAnsi" w:cstheme="minorHAnsi"/>
                <w:bCs/>
                <w:sz w:val="18"/>
                <w:szCs w:val="18"/>
              </w:rPr>
            </w:pPr>
            <w:r w:rsidRPr="004E0953">
              <w:rPr>
                <w:rFonts w:asciiTheme="minorHAnsi" w:hAnsiTheme="minorHAnsi" w:cstheme="minorHAnsi"/>
                <w:bCs/>
                <w:sz w:val="18"/>
                <w:szCs w:val="18"/>
              </w:rPr>
              <w:fldChar w:fldCharType="begin">
                <w:ffData>
                  <w:name w:val=""/>
                  <w:enabled/>
                  <w:calcOnExit w:val="0"/>
                  <w:checkBox>
                    <w:sizeAuto/>
                    <w:default w:val="1"/>
                  </w:checkBox>
                </w:ffData>
              </w:fldChar>
            </w:r>
            <w:r w:rsidRPr="004E0953">
              <w:rPr>
                <w:rFonts w:asciiTheme="minorHAnsi" w:hAnsiTheme="minorHAnsi" w:cstheme="minorHAnsi"/>
                <w:bCs/>
                <w:sz w:val="18"/>
                <w:szCs w:val="18"/>
              </w:rPr>
              <w:instrText xml:space="preserve"> FORMCHECKBOX </w:instrText>
            </w:r>
            <w:r w:rsidR="00B330C0">
              <w:rPr>
                <w:rFonts w:asciiTheme="minorHAnsi" w:hAnsiTheme="minorHAnsi" w:cstheme="minorHAnsi"/>
                <w:bCs/>
                <w:sz w:val="18"/>
                <w:szCs w:val="18"/>
              </w:rPr>
            </w:r>
            <w:r w:rsidR="00B330C0">
              <w:rPr>
                <w:rFonts w:asciiTheme="minorHAnsi" w:hAnsiTheme="minorHAnsi" w:cstheme="minorHAnsi"/>
                <w:bCs/>
                <w:sz w:val="18"/>
                <w:szCs w:val="18"/>
              </w:rPr>
              <w:fldChar w:fldCharType="separate"/>
            </w:r>
            <w:r w:rsidRPr="004E0953">
              <w:rPr>
                <w:rFonts w:asciiTheme="minorHAnsi" w:hAnsiTheme="minorHAnsi" w:cstheme="minorHAnsi"/>
                <w:bCs/>
                <w:sz w:val="18"/>
                <w:szCs w:val="18"/>
              </w:rPr>
              <w:fldChar w:fldCharType="end"/>
            </w:r>
          </w:p>
        </w:tc>
        <w:tc>
          <w:tcPr>
            <w:tcW w:w="678" w:type="dxa"/>
          </w:tcPr>
          <w:p w14:paraId="3C0C93FA" w14:textId="77777777" w:rsidR="00601D9B" w:rsidRDefault="000E53A0">
            <w:pPr>
              <w:pStyle w:val="Default"/>
              <w:jc w:val="center"/>
              <w:rPr>
                <w:rFonts w:asciiTheme="minorHAnsi" w:hAnsiTheme="minorHAnsi" w:cstheme="minorHAnsi"/>
                <w:bCs/>
                <w:sz w:val="18"/>
                <w:szCs w:val="18"/>
              </w:rPr>
            </w:pPr>
            <w:r w:rsidRPr="004E0953">
              <w:rPr>
                <w:rFonts w:asciiTheme="minorHAnsi" w:hAnsiTheme="minorHAnsi" w:cstheme="minorHAnsi"/>
                <w:bCs/>
                <w:sz w:val="18"/>
                <w:szCs w:val="18"/>
              </w:rPr>
              <w:fldChar w:fldCharType="begin">
                <w:ffData>
                  <w:name w:val=""/>
                  <w:enabled/>
                  <w:calcOnExit w:val="0"/>
                  <w:checkBox>
                    <w:sizeAuto/>
                    <w:default w:val="1"/>
                  </w:checkBox>
                </w:ffData>
              </w:fldChar>
            </w:r>
            <w:r w:rsidRPr="004E0953">
              <w:rPr>
                <w:rFonts w:asciiTheme="minorHAnsi" w:hAnsiTheme="minorHAnsi" w:cstheme="minorHAnsi"/>
                <w:bCs/>
                <w:sz w:val="18"/>
                <w:szCs w:val="18"/>
              </w:rPr>
              <w:instrText xml:space="preserve"> FORMCHECKBOX </w:instrText>
            </w:r>
            <w:r w:rsidR="00B330C0">
              <w:rPr>
                <w:rFonts w:asciiTheme="minorHAnsi" w:hAnsiTheme="minorHAnsi" w:cstheme="minorHAnsi"/>
                <w:bCs/>
                <w:sz w:val="18"/>
                <w:szCs w:val="18"/>
              </w:rPr>
            </w:r>
            <w:r w:rsidR="00B330C0">
              <w:rPr>
                <w:rFonts w:asciiTheme="minorHAnsi" w:hAnsiTheme="minorHAnsi" w:cstheme="minorHAnsi"/>
                <w:bCs/>
                <w:sz w:val="18"/>
                <w:szCs w:val="18"/>
              </w:rPr>
              <w:fldChar w:fldCharType="separate"/>
            </w:r>
            <w:r w:rsidRPr="004E0953">
              <w:rPr>
                <w:rFonts w:asciiTheme="minorHAnsi" w:hAnsiTheme="minorHAnsi" w:cstheme="minorHAnsi"/>
                <w:bCs/>
                <w:sz w:val="18"/>
                <w:szCs w:val="18"/>
              </w:rPr>
              <w:fldChar w:fldCharType="end"/>
            </w:r>
          </w:p>
        </w:tc>
      </w:tr>
      <w:tr w:rsidR="001C7DE3" w:rsidRPr="004E0953" w14:paraId="4BC0FB6A" w14:textId="77777777" w:rsidTr="0039429F">
        <w:tc>
          <w:tcPr>
            <w:tcW w:w="1975" w:type="dxa"/>
          </w:tcPr>
          <w:p w14:paraId="0EF8C87A" w14:textId="77777777" w:rsidR="00601D9B" w:rsidRPr="000E53A0" w:rsidRDefault="000E53A0">
            <w:pPr>
              <w:pStyle w:val="Default"/>
              <w:jc w:val="both"/>
              <w:rPr>
                <w:rFonts w:asciiTheme="minorHAnsi" w:hAnsiTheme="minorHAnsi" w:cstheme="minorHAnsi"/>
                <w:b/>
                <w:bCs/>
                <w:color w:val="auto"/>
                <w:sz w:val="18"/>
                <w:szCs w:val="18"/>
                <w:lang w:val="fr-FR"/>
              </w:rPr>
            </w:pPr>
            <w:r w:rsidRPr="000E53A0">
              <w:rPr>
                <w:rFonts w:asciiTheme="minorHAnsi" w:hAnsiTheme="minorHAnsi" w:cstheme="minorHAnsi"/>
                <w:color w:val="auto"/>
                <w:sz w:val="18"/>
                <w:szCs w:val="18"/>
                <w:lang w:val="fr-FR"/>
              </w:rPr>
              <w:t>Politique nationale de protection de l'environnement et son plan d'action 2018-2022</w:t>
            </w:r>
          </w:p>
        </w:tc>
        <w:tc>
          <w:tcPr>
            <w:tcW w:w="6030" w:type="dxa"/>
          </w:tcPr>
          <w:p w14:paraId="792FA2AB" w14:textId="77777777" w:rsidR="00601D9B" w:rsidRPr="000E53A0" w:rsidRDefault="000E53A0">
            <w:pPr>
              <w:pStyle w:val="Default"/>
              <w:jc w:val="both"/>
              <w:rPr>
                <w:rFonts w:asciiTheme="minorHAnsi" w:hAnsiTheme="minorHAnsi" w:cstheme="minorHAnsi"/>
                <w:b/>
                <w:bCs/>
                <w:color w:val="auto"/>
                <w:sz w:val="18"/>
                <w:szCs w:val="18"/>
                <w:lang w:val="fr-FR"/>
              </w:rPr>
            </w:pPr>
            <w:r w:rsidRPr="000E53A0">
              <w:rPr>
                <w:rFonts w:asciiTheme="minorHAnsi" w:hAnsiTheme="minorHAnsi" w:cstheme="minorHAnsi"/>
                <w:color w:val="auto"/>
                <w:sz w:val="18"/>
                <w:szCs w:val="18"/>
                <w:lang w:val="fr-FR"/>
              </w:rPr>
              <w:t>Vise à intégrer la dimension environnementale dans toutes les prises de décision, la planification et la conception des politiques.</w:t>
            </w:r>
          </w:p>
        </w:tc>
        <w:tc>
          <w:tcPr>
            <w:tcW w:w="810" w:type="dxa"/>
          </w:tcPr>
          <w:p w14:paraId="33807CB9" w14:textId="77777777" w:rsidR="00601D9B" w:rsidRDefault="000E53A0">
            <w:pPr>
              <w:pStyle w:val="Default"/>
              <w:jc w:val="center"/>
              <w:rPr>
                <w:rFonts w:asciiTheme="minorHAnsi" w:hAnsiTheme="minorHAnsi" w:cstheme="minorHAnsi"/>
                <w:color w:val="auto"/>
                <w:sz w:val="18"/>
                <w:szCs w:val="18"/>
              </w:rPr>
            </w:pPr>
            <w:r w:rsidRPr="004E0953">
              <w:rPr>
                <w:rFonts w:asciiTheme="minorHAnsi" w:hAnsiTheme="minorHAnsi" w:cstheme="minorHAnsi"/>
                <w:bCs/>
                <w:sz w:val="18"/>
                <w:szCs w:val="18"/>
              </w:rPr>
              <w:fldChar w:fldCharType="begin">
                <w:ffData>
                  <w:name w:val=""/>
                  <w:enabled/>
                  <w:calcOnExit w:val="0"/>
                  <w:checkBox>
                    <w:sizeAuto/>
                    <w:default w:val="1"/>
                  </w:checkBox>
                </w:ffData>
              </w:fldChar>
            </w:r>
            <w:r w:rsidRPr="004E0953">
              <w:rPr>
                <w:rFonts w:asciiTheme="minorHAnsi" w:hAnsiTheme="minorHAnsi" w:cstheme="minorHAnsi"/>
                <w:bCs/>
                <w:sz w:val="18"/>
                <w:szCs w:val="18"/>
              </w:rPr>
              <w:instrText xml:space="preserve"> FORMCHECKBOX </w:instrText>
            </w:r>
            <w:r w:rsidR="00B330C0">
              <w:rPr>
                <w:rFonts w:asciiTheme="minorHAnsi" w:hAnsiTheme="minorHAnsi" w:cstheme="minorHAnsi"/>
                <w:bCs/>
                <w:sz w:val="18"/>
                <w:szCs w:val="18"/>
              </w:rPr>
            </w:r>
            <w:r w:rsidR="00B330C0">
              <w:rPr>
                <w:rFonts w:asciiTheme="minorHAnsi" w:hAnsiTheme="minorHAnsi" w:cstheme="minorHAnsi"/>
                <w:bCs/>
                <w:sz w:val="18"/>
                <w:szCs w:val="18"/>
              </w:rPr>
              <w:fldChar w:fldCharType="separate"/>
            </w:r>
            <w:r w:rsidRPr="004E0953">
              <w:rPr>
                <w:rFonts w:asciiTheme="minorHAnsi" w:hAnsiTheme="minorHAnsi" w:cstheme="minorHAnsi"/>
                <w:bCs/>
                <w:sz w:val="18"/>
                <w:szCs w:val="18"/>
              </w:rPr>
              <w:fldChar w:fldCharType="end"/>
            </w:r>
          </w:p>
        </w:tc>
        <w:tc>
          <w:tcPr>
            <w:tcW w:w="678" w:type="dxa"/>
          </w:tcPr>
          <w:p w14:paraId="633D8FC2" w14:textId="77777777" w:rsidR="00601D9B" w:rsidRDefault="000E53A0">
            <w:pPr>
              <w:pStyle w:val="Default"/>
              <w:jc w:val="center"/>
              <w:rPr>
                <w:rFonts w:asciiTheme="minorHAnsi" w:hAnsiTheme="minorHAnsi" w:cstheme="minorHAnsi"/>
                <w:color w:val="auto"/>
                <w:sz w:val="18"/>
                <w:szCs w:val="18"/>
              </w:rPr>
            </w:pPr>
            <w:r w:rsidRPr="004E0953">
              <w:rPr>
                <w:rFonts w:asciiTheme="minorHAnsi" w:hAnsiTheme="minorHAnsi" w:cstheme="minorHAnsi"/>
                <w:bCs/>
                <w:sz w:val="18"/>
                <w:szCs w:val="18"/>
              </w:rPr>
              <w:fldChar w:fldCharType="begin">
                <w:ffData>
                  <w:name w:val=""/>
                  <w:enabled/>
                  <w:calcOnExit w:val="0"/>
                  <w:checkBox>
                    <w:sizeAuto/>
                    <w:default w:val="0"/>
                  </w:checkBox>
                </w:ffData>
              </w:fldChar>
            </w:r>
            <w:r w:rsidRPr="004E0953">
              <w:rPr>
                <w:rFonts w:asciiTheme="minorHAnsi" w:hAnsiTheme="minorHAnsi" w:cstheme="minorHAnsi"/>
                <w:bCs/>
                <w:sz w:val="18"/>
                <w:szCs w:val="18"/>
              </w:rPr>
              <w:instrText xml:space="preserve"> FORMCHECKBOX </w:instrText>
            </w:r>
            <w:r w:rsidR="00B330C0">
              <w:rPr>
                <w:rFonts w:asciiTheme="minorHAnsi" w:hAnsiTheme="minorHAnsi" w:cstheme="minorHAnsi"/>
                <w:bCs/>
                <w:sz w:val="18"/>
                <w:szCs w:val="18"/>
              </w:rPr>
            </w:r>
            <w:r w:rsidR="00B330C0">
              <w:rPr>
                <w:rFonts w:asciiTheme="minorHAnsi" w:hAnsiTheme="minorHAnsi" w:cstheme="minorHAnsi"/>
                <w:bCs/>
                <w:sz w:val="18"/>
                <w:szCs w:val="18"/>
              </w:rPr>
              <w:fldChar w:fldCharType="separate"/>
            </w:r>
            <w:r w:rsidRPr="004E0953">
              <w:rPr>
                <w:rFonts w:asciiTheme="minorHAnsi" w:hAnsiTheme="minorHAnsi" w:cstheme="minorHAnsi"/>
                <w:bCs/>
                <w:sz w:val="18"/>
                <w:szCs w:val="18"/>
              </w:rPr>
              <w:fldChar w:fldCharType="end"/>
            </w:r>
          </w:p>
        </w:tc>
      </w:tr>
      <w:tr w:rsidR="001C7DE3" w:rsidRPr="004E0953" w14:paraId="0AC710C8" w14:textId="77777777" w:rsidTr="0039429F">
        <w:tc>
          <w:tcPr>
            <w:tcW w:w="1975" w:type="dxa"/>
          </w:tcPr>
          <w:p w14:paraId="4579E79A" w14:textId="77777777" w:rsidR="00601D9B" w:rsidRPr="000E53A0" w:rsidRDefault="000E53A0">
            <w:pPr>
              <w:pStyle w:val="Default"/>
              <w:jc w:val="both"/>
              <w:rPr>
                <w:rFonts w:asciiTheme="minorHAnsi" w:hAnsiTheme="minorHAnsi" w:cstheme="minorHAnsi"/>
                <w:color w:val="auto"/>
                <w:sz w:val="18"/>
                <w:szCs w:val="18"/>
                <w:lang w:val="fr-FR"/>
              </w:rPr>
            </w:pPr>
            <w:r w:rsidRPr="000E53A0">
              <w:rPr>
                <w:rFonts w:asciiTheme="minorHAnsi" w:hAnsiTheme="minorHAnsi" w:cstheme="minorHAnsi"/>
                <w:color w:val="auto"/>
                <w:sz w:val="18"/>
                <w:szCs w:val="18"/>
                <w:lang w:val="fr-FR"/>
              </w:rPr>
              <w:t>Plan d'action national de lutte contre la désertification (PAN/LCD)</w:t>
            </w:r>
          </w:p>
        </w:tc>
        <w:tc>
          <w:tcPr>
            <w:tcW w:w="6030" w:type="dxa"/>
          </w:tcPr>
          <w:p w14:paraId="70B6CD78" w14:textId="77777777" w:rsidR="00601D9B" w:rsidRPr="000E53A0" w:rsidRDefault="000E53A0">
            <w:pPr>
              <w:pStyle w:val="Default"/>
              <w:jc w:val="both"/>
              <w:rPr>
                <w:rFonts w:asciiTheme="minorHAnsi" w:hAnsiTheme="minorHAnsi" w:cstheme="minorHAnsi"/>
                <w:color w:val="auto"/>
                <w:sz w:val="18"/>
                <w:szCs w:val="18"/>
                <w:lang w:val="fr-FR"/>
              </w:rPr>
            </w:pPr>
            <w:r w:rsidRPr="000E53A0">
              <w:rPr>
                <w:rFonts w:asciiTheme="minorHAnsi" w:hAnsiTheme="minorHAnsi" w:cstheme="minorHAnsi"/>
                <w:color w:val="auto"/>
                <w:sz w:val="18"/>
                <w:szCs w:val="18"/>
                <w:lang w:val="fr-FR"/>
              </w:rPr>
              <w:t xml:space="preserve">Ce plan a engagé le Mali à (i) préparer un Plan National d'Action Environnementale, (ii) rédiger un rapport annuel sur les progrès dans l'exécution de l'Agenda 21, (iii) soutenir l'élaboration et la négociation d'une Convention internationale de lutte contre la désertification. </w:t>
            </w:r>
          </w:p>
        </w:tc>
        <w:tc>
          <w:tcPr>
            <w:tcW w:w="810" w:type="dxa"/>
          </w:tcPr>
          <w:p w14:paraId="2FF55C39" w14:textId="77777777" w:rsidR="00601D9B" w:rsidRDefault="000E53A0">
            <w:pPr>
              <w:pStyle w:val="Default"/>
              <w:jc w:val="center"/>
              <w:rPr>
                <w:rFonts w:asciiTheme="minorHAnsi" w:hAnsiTheme="minorHAnsi" w:cstheme="minorHAnsi"/>
                <w:color w:val="auto"/>
                <w:sz w:val="18"/>
                <w:szCs w:val="18"/>
              </w:rPr>
            </w:pPr>
            <w:r w:rsidRPr="004E0953">
              <w:rPr>
                <w:rFonts w:asciiTheme="minorHAnsi" w:hAnsiTheme="minorHAnsi" w:cstheme="minorHAnsi"/>
                <w:bCs/>
                <w:sz w:val="18"/>
                <w:szCs w:val="18"/>
              </w:rPr>
              <w:fldChar w:fldCharType="begin">
                <w:ffData>
                  <w:name w:val=""/>
                  <w:enabled/>
                  <w:calcOnExit w:val="0"/>
                  <w:checkBox>
                    <w:sizeAuto/>
                    <w:default w:val="1"/>
                  </w:checkBox>
                </w:ffData>
              </w:fldChar>
            </w:r>
            <w:r w:rsidRPr="004E0953">
              <w:rPr>
                <w:rFonts w:asciiTheme="minorHAnsi" w:hAnsiTheme="minorHAnsi" w:cstheme="minorHAnsi"/>
                <w:bCs/>
                <w:sz w:val="18"/>
                <w:szCs w:val="18"/>
              </w:rPr>
              <w:instrText xml:space="preserve"> FORMCHECKBOX </w:instrText>
            </w:r>
            <w:r w:rsidR="00B330C0">
              <w:rPr>
                <w:rFonts w:asciiTheme="minorHAnsi" w:hAnsiTheme="minorHAnsi" w:cstheme="minorHAnsi"/>
                <w:bCs/>
                <w:sz w:val="18"/>
                <w:szCs w:val="18"/>
              </w:rPr>
            </w:r>
            <w:r w:rsidR="00B330C0">
              <w:rPr>
                <w:rFonts w:asciiTheme="minorHAnsi" w:hAnsiTheme="minorHAnsi" w:cstheme="minorHAnsi"/>
                <w:bCs/>
                <w:sz w:val="18"/>
                <w:szCs w:val="18"/>
              </w:rPr>
              <w:fldChar w:fldCharType="separate"/>
            </w:r>
            <w:r w:rsidRPr="004E0953">
              <w:rPr>
                <w:rFonts w:asciiTheme="minorHAnsi" w:hAnsiTheme="minorHAnsi" w:cstheme="minorHAnsi"/>
                <w:bCs/>
                <w:sz w:val="18"/>
                <w:szCs w:val="18"/>
              </w:rPr>
              <w:fldChar w:fldCharType="end"/>
            </w:r>
          </w:p>
        </w:tc>
        <w:tc>
          <w:tcPr>
            <w:tcW w:w="678" w:type="dxa"/>
          </w:tcPr>
          <w:p w14:paraId="72DFB246" w14:textId="77777777" w:rsidR="00601D9B" w:rsidRDefault="000E53A0">
            <w:pPr>
              <w:pStyle w:val="Default"/>
              <w:jc w:val="center"/>
              <w:rPr>
                <w:rFonts w:asciiTheme="minorHAnsi" w:hAnsiTheme="minorHAnsi" w:cstheme="minorHAnsi"/>
                <w:color w:val="auto"/>
                <w:sz w:val="18"/>
                <w:szCs w:val="18"/>
              </w:rPr>
            </w:pPr>
            <w:r w:rsidRPr="004E0953">
              <w:rPr>
                <w:rFonts w:asciiTheme="minorHAnsi" w:hAnsiTheme="minorHAnsi" w:cstheme="minorHAnsi"/>
                <w:bCs/>
                <w:sz w:val="18"/>
                <w:szCs w:val="18"/>
              </w:rPr>
              <w:fldChar w:fldCharType="begin">
                <w:ffData>
                  <w:name w:val=""/>
                  <w:enabled/>
                  <w:calcOnExit w:val="0"/>
                  <w:checkBox>
                    <w:sizeAuto/>
                    <w:default w:val="0"/>
                  </w:checkBox>
                </w:ffData>
              </w:fldChar>
            </w:r>
            <w:r w:rsidRPr="004E0953">
              <w:rPr>
                <w:rFonts w:asciiTheme="minorHAnsi" w:hAnsiTheme="minorHAnsi" w:cstheme="minorHAnsi"/>
                <w:bCs/>
                <w:sz w:val="18"/>
                <w:szCs w:val="18"/>
              </w:rPr>
              <w:instrText xml:space="preserve"> FORMCHECKBOX </w:instrText>
            </w:r>
            <w:r w:rsidR="00B330C0">
              <w:rPr>
                <w:rFonts w:asciiTheme="minorHAnsi" w:hAnsiTheme="minorHAnsi" w:cstheme="minorHAnsi"/>
                <w:bCs/>
                <w:sz w:val="18"/>
                <w:szCs w:val="18"/>
              </w:rPr>
            </w:r>
            <w:r w:rsidR="00B330C0">
              <w:rPr>
                <w:rFonts w:asciiTheme="minorHAnsi" w:hAnsiTheme="minorHAnsi" w:cstheme="minorHAnsi"/>
                <w:bCs/>
                <w:sz w:val="18"/>
                <w:szCs w:val="18"/>
              </w:rPr>
              <w:fldChar w:fldCharType="separate"/>
            </w:r>
            <w:r w:rsidRPr="004E0953">
              <w:rPr>
                <w:rFonts w:asciiTheme="minorHAnsi" w:hAnsiTheme="minorHAnsi" w:cstheme="minorHAnsi"/>
                <w:bCs/>
                <w:sz w:val="18"/>
                <w:szCs w:val="18"/>
              </w:rPr>
              <w:fldChar w:fldCharType="end"/>
            </w:r>
          </w:p>
        </w:tc>
      </w:tr>
      <w:tr w:rsidR="001C7DE3" w:rsidRPr="004E0953" w14:paraId="765E9640" w14:textId="77777777" w:rsidTr="0039429F">
        <w:tc>
          <w:tcPr>
            <w:tcW w:w="1975" w:type="dxa"/>
          </w:tcPr>
          <w:p w14:paraId="11DB8B1F" w14:textId="77777777" w:rsidR="00601D9B" w:rsidRDefault="000E53A0">
            <w:pPr>
              <w:pStyle w:val="Default"/>
              <w:jc w:val="both"/>
              <w:rPr>
                <w:rFonts w:asciiTheme="minorHAnsi" w:hAnsiTheme="minorHAnsi" w:cstheme="minorHAnsi"/>
                <w:color w:val="auto"/>
                <w:sz w:val="18"/>
                <w:szCs w:val="18"/>
              </w:rPr>
            </w:pPr>
            <w:r w:rsidRPr="004E0953">
              <w:rPr>
                <w:rFonts w:asciiTheme="minorHAnsi" w:hAnsiTheme="minorHAnsi" w:cstheme="minorHAnsi"/>
                <w:color w:val="auto"/>
                <w:sz w:val="18"/>
                <w:szCs w:val="18"/>
              </w:rPr>
              <w:t>Politique de développement agricole (2013)</w:t>
            </w:r>
          </w:p>
        </w:tc>
        <w:tc>
          <w:tcPr>
            <w:tcW w:w="6030" w:type="dxa"/>
          </w:tcPr>
          <w:p w14:paraId="2E74DC29" w14:textId="77777777" w:rsidR="00601D9B" w:rsidRPr="000E53A0" w:rsidRDefault="000E53A0">
            <w:pPr>
              <w:pStyle w:val="Default"/>
              <w:jc w:val="both"/>
              <w:rPr>
                <w:rFonts w:asciiTheme="minorHAnsi" w:hAnsiTheme="minorHAnsi" w:cstheme="minorHAnsi"/>
                <w:color w:val="auto"/>
                <w:sz w:val="18"/>
                <w:szCs w:val="18"/>
                <w:lang w:val="fr-FR"/>
              </w:rPr>
            </w:pPr>
            <w:r w:rsidRPr="000E53A0">
              <w:rPr>
                <w:rFonts w:asciiTheme="minorHAnsi" w:hAnsiTheme="minorHAnsi" w:cstheme="minorHAnsi"/>
                <w:color w:val="auto"/>
                <w:sz w:val="18"/>
                <w:szCs w:val="18"/>
                <w:lang w:val="fr-FR"/>
              </w:rPr>
              <w:t xml:space="preserve">Cette politique constitue le cadre stratégique de la LOA. Ses principaux objectifs sont l'accroissement de la compétitivité par la modernisation des systèmes de production, la mobilisation des ressources pour le développement agricole. </w:t>
            </w:r>
            <w:r w:rsidRPr="000E53A0">
              <w:rPr>
                <w:rFonts w:asciiTheme="minorHAnsi" w:hAnsiTheme="minorHAnsi" w:cstheme="minorHAnsi"/>
                <w:sz w:val="18"/>
                <w:szCs w:val="18"/>
                <w:lang w:val="fr-FR"/>
              </w:rPr>
              <w:t>Le PDA définit des filières prioritaires (riz, maïs, fruits et légumes) ; la diversification des productions (sésame, oseille, pois doux) ; et des actions axées sur la mise en place d'une structuration intersectorielle et d'infrastructures de collecte, de stockage, de conditionnement et de commercialisation</w:t>
            </w:r>
            <w:r w:rsidRPr="004E0953">
              <w:rPr>
                <w:rStyle w:val="Appelnotedebasdep"/>
                <w:rFonts w:asciiTheme="minorHAnsi" w:hAnsiTheme="minorHAnsi" w:cstheme="minorHAnsi"/>
                <w:szCs w:val="18"/>
              </w:rPr>
              <w:footnoteReference w:id="48"/>
            </w:r>
            <w:r w:rsidRPr="000E53A0">
              <w:rPr>
                <w:rFonts w:asciiTheme="minorHAnsi" w:hAnsiTheme="minorHAnsi" w:cstheme="minorHAnsi"/>
                <w:sz w:val="18"/>
                <w:szCs w:val="18"/>
                <w:lang w:val="fr-FR"/>
              </w:rPr>
              <w:t xml:space="preserve">. </w:t>
            </w:r>
          </w:p>
        </w:tc>
        <w:tc>
          <w:tcPr>
            <w:tcW w:w="810" w:type="dxa"/>
          </w:tcPr>
          <w:p w14:paraId="542ED7B3" w14:textId="77777777" w:rsidR="00601D9B" w:rsidRDefault="000E53A0">
            <w:pPr>
              <w:pStyle w:val="Default"/>
              <w:jc w:val="center"/>
              <w:rPr>
                <w:rFonts w:asciiTheme="minorHAnsi" w:hAnsiTheme="minorHAnsi" w:cstheme="minorHAnsi"/>
                <w:color w:val="auto"/>
                <w:sz w:val="18"/>
                <w:szCs w:val="18"/>
              </w:rPr>
            </w:pPr>
            <w:r w:rsidRPr="004E0953">
              <w:rPr>
                <w:rFonts w:asciiTheme="minorHAnsi" w:hAnsiTheme="minorHAnsi" w:cstheme="minorHAnsi"/>
                <w:bCs/>
                <w:sz w:val="18"/>
                <w:szCs w:val="18"/>
              </w:rPr>
              <w:fldChar w:fldCharType="begin">
                <w:ffData>
                  <w:name w:val=""/>
                  <w:enabled/>
                  <w:calcOnExit w:val="0"/>
                  <w:checkBox>
                    <w:sizeAuto/>
                    <w:default w:val="1"/>
                  </w:checkBox>
                </w:ffData>
              </w:fldChar>
            </w:r>
            <w:r w:rsidRPr="004E0953">
              <w:rPr>
                <w:rFonts w:asciiTheme="minorHAnsi" w:hAnsiTheme="minorHAnsi" w:cstheme="minorHAnsi"/>
                <w:bCs/>
                <w:sz w:val="18"/>
                <w:szCs w:val="18"/>
              </w:rPr>
              <w:instrText xml:space="preserve"> FORMCHECKBOX </w:instrText>
            </w:r>
            <w:r w:rsidR="00B330C0">
              <w:rPr>
                <w:rFonts w:asciiTheme="minorHAnsi" w:hAnsiTheme="minorHAnsi" w:cstheme="minorHAnsi"/>
                <w:bCs/>
                <w:sz w:val="18"/>
                <w:szCs w:val="18"/>
              </w:rPr>
            </w:r>
            <w:r w:rsidR="00B330C0">
              <w:rPr>
                <w:rFonts w:asciiTheme="minorHAnsi" w:hAnsiTheme="minorHAnsi" w:cstheme="minorHAnsi"/>
                <w:bCs/>
                <w:sz w:val="18"/>
                <w:szCs w:val="18"/>
              </w:rPr>
              <w:fldChar w:fldCharType="separate"/>
            </w:r>
            <w:r w:rsidRPr="004E0953">
              <w:rPr>
                <w:rFonts w:asciiTheme="minorHAnsi" w:hAnsiTheme="minorHAnsi" w:cstheme="minorHAnsi"/>
                <w:bCs/>
                <w:sz w:val="18"/>
                <w:szCs w:val="18"/>
              </w:rPr>
              <w:fldChar w:fldCharType="end"/>
            </w:r>
          </w:p>
        </w:tc>
        <w:tc>
          <w:tcPr>
            <w:tcW w:w="678" w:type="dxa"/>
          </w:tcPr>
          <w:p w14:paraId="2415E0D2" w14:textId="77777777" w:rsidR="00601D9B" w:rsidRDefault="000E53A0">
            <w:pPr>
              <w:pStyle w:val="Default"/>
              <w:jc w:val="center"/>
              <w:rPr>
                <w:rFonts w:asciiTheme="minorHAnsi" w:hAnsiTheme="minorHAnsi" w:cstheme="minorHAnsi"/>
                <w:color w:val="auto"/>
                <w:sz w:val="18"/>
                <w:szCs w:val="18"/>
              </w:rPr>
            </w:pPr>
            <w:r w:rsidRPr="004E0953">
              <w:rPr>
                <w:rFonts w:asciiTheme="minorHAnsi" w:hAnsiTheme="minorHAnsi" w:cstheme="minorHAnsi"/>
                <w:bCs/>
                <w:sz w:val="18"/>
                <w:szCs w:val="18"/>
              </w:rPr>
              <w:fldChar w:fldCharType="begin">
                <w:ffData>
                  <w:name w:val=""/>
                  <w:enabled/>
                  <w:calcOnExit w:val="0"/>
                  <w:checkBox>
                    <w:sizeAuto/>
                    <w:default w:val="0"/>
                  </w:checkBox>
                </w:ffData>
              </w:fldChar>
            </w:r>
            <w:r w:rsidRPr="004E0953">
              <w:rPr>
                <w:rFonts w:asciiTheme="minorHAnsi" w:hAnsiTheme="minorHAnsi" w:cstheme="minorHAnsi"/>
                <w:bCs/>
                <w:sz w:val="18"/>
                <w:szCs w:val="18"/>
              </w:rPr>
              <w:instrText xml:space="preserve"> FORMCHECKBOX </w:instrText>
            </w:r>
            <w:r w:rsidR="00B330C0">
              <w:rPr>
                <w:rFonts w:asciiTheme="minorHAnsi" w:hAnsiTheme="minorHAnsi" w:cstheme="minorHAnsi"/>
                <w:bCs/>
                <w:sz w:val="18"/>
                <w:szCs w:val="18"/>
              </w:rPr>
            </w:r>
            <w:r w:rsidR="00B330C0">
              <w:rPr>
                <w:rFonts w:asciiTheme="minorHAnsi" w:hAnsiTheme="minorHAnsi" w:cstheme="minorHAnsi"/>
                <w:bCs/>
                <w:sz w:val="18"/>
                <w:szCs w:val="18"/>
              </w:rPr>
              <w:fldChar w:fldCharType="separate"/>
            </w:r>
            <w:r w:rsidRPr="004E0953">
              <w:rPr>
                <w:rFonts w:asciiTheme="minorHAnsi" w:hAnsiTheme="minorHAnsi" w:cstheme="minorHAnsi"/>
                <w:bCs/>
                <w:sz w:val="18"/>
                <w:szCs w:val="18"/>
              </w:rPr>
              <w:fldChar w:fldCharType="end"/>
            </w:r>
          </w:p>
        </w:tc>
      </w:tr>
      <w:tr w:rsidR="001C7DE3" w:rsidRPr="004E0953" w14:paraId="434A4082" w14:textId="77777777" w:rsidTr="0039429F">
        <w:tc>
          <w:tcPr>
            <w:tcW w:w="1975" w:type="dxa"/>
          </w:tcPr>
          <w:p w14:paraId="25B71DC5" w14:textId="77777777" w:rsidR="00601D9B" w:rsidRPr="000E53A0" w:rsidRDefault="000E53A0">
            <w:pPr>
              <w:pStyle w:val="Default"/>
              <w:jc w:val="both"/>
              <w:rPr>
                <w:rFonts w:asciiTheme="minorHAnsi" w:hAnsiTheme="minorHAnsi" w:cstheme="minorHAnsi"/>
                <w:color w:val="auto"/>
                <w:sz w:val="18"/>
                <w:szCs w:val="18"/>
                <w:lang w:val="fr-FR"/>
              </w:rPr>
            </w:pPr>
            <w:r w:rsidRPr="000E53A0">
              <w:rPr>
                <w:rFonts w:asciiTheme="minorHAnsi" w:hAnsiTheme="minorHAnsi" w:cstheme="minorHAnsi"/>
                <w:color w:val="auto"/>
                <w:sz w:val="18"/>
                <w:szCs w:val="18"/>
                <w:lang w:val="fr-FR"/>
              </w:rPr>
              <w:t>Politique foncière agricole du Mali (2014)</w:t>
            </w:r>
          </w:p>
        </w:tc>
        <w:tc>
          <w:tcPr>
            <w:tcW w:w="6030" w:type="dxa"/>
          </w:tcPr>
          <w:p w14:paraId="7CFDE69B" w14:textId="77777777" w:rsidR="00601D9B" w:rsidRPr="000E53A0" w:rsidRDefault="000E53A0">
            <w:pPr>
              <w:pStyle w:val="Default"/>
              <w:jc w:val="both"/>
              <w:rPr>
                <w:rFonts w:asciiTheme="minorHAnsi" w:hAnsiTheme="minorHAnsi" w:cstheme="minorHAnsi"/>
                <w:color w:val="auto"/>
                <w:sz w:val="18"/>
                <w:szCs w:val="18"/>
                <w:lang w:val="fr-FR"/>
              </w:rPr>
            </w:pPr>
            <w:r w:rsidRPr="000E53A0">
              <w:rPr>
                <w:rFonts w:asciiTheme="minorHAnsi" w:hAnsiTheme="minorHAnsi" w:cstheme="minorHAnsi"/>
                <w:color w:val="auto"/>
                <w:sz w:val="18"/>
                <w:szCs w:val="18"/>
                <w:lang w:val="fr-FR"/>
              </w:rPr>
              <w:t xml:space="preserve">Adoptée en 2014, elle a constitué une </w:t>
            </w:r>
            <w:r w:rsidRPr="000E53A0">
              <w:rPr>
                <w:rFonts w:asciiTheme="minorHAnsi" w:hAnsiTheme="minorHAnsi" w:cstheme="minorHAnsi"/>
                <w:sz w:val="18"/>
                <w:szCs w:val="18"/>
                <w:lang w:val="fr-FR"/>
              </w:rPr>
              <w:t>étape majeure vers un cadre national cohérent pour la gestion des terres, qui tient compte de la décentralisation et renforce les capacités des services publics, de la société civile et du secteur privé. La loi tente d'aborder la question de la faible gouvernance foncière tout en reconnaissant l'importance des droits fonciers coutumiers. Elle prend également des mesures pour améliorer l'accès des femmes aux terres agricoles.</w:t>
            </w:r>
          </w:p>
        </w:tc>
        <w:tc>
          <w:tcPr>
            <w:tcW w:w="810" w:type="dxa"/>
          </w:tcPr>
          <w:p w14:paraId="3384B28F" w14:textId="77777777" w:rsidR="00601D9B" w:rsidRDefault="000E53A0">
            <w:pPr>
              <w:pStyle w:val="Default"/>
              <w:jc w:val="center"/>
              <w:rPr>
                <w:rFonts w:asciiTheme="minorHAnsi" w:hAnsiTheme="minorHAnsi" w:cstheme="minorHAnsi"/>
                <w:color w:val="auto"/>
                <w:sz w:val="18"/>
                <w:szCs w:val="18"/>
              </w:rPr>
            </w:pPr>
            <w:r w:rsidRPr="004E0953">
              <w:rPr>
                <w:rFonts w:asciiTheme="minorHAnsi" w:hAnsiTheme="minorHAnsi" w:cstheme="minorHAnsi"/>
                <w:bCs/>
                <w:sz w:val="18"/>
                <w:szCs w:val="18"/>
              </w:rPr>
              <w:fldChar w:fldCharType="begin">
                <w:ffData>
                  <w:name w:val=""/>
                  <w:enabled/>
                  <w:calcOnExit w:val="0"/>
                  <w:checkBox>
                    <w:sizeAuto/>
                    <w:default w:val="1"/>
                  </w:checkBox>
                </w:ffData>
              </w:fldChar>
            </w:r>
            <w:r w:rsidRPr="004E0953">
              <w:rPr>
                <w:rFonts w:asciiTheme="minorHAnsi" w:hAnsiTheme="minorHAnsi" w:cstheme="minorHAnsi"/>
                <w:bCs/>
                <w:sz w:val="18"/>
                <w:szCs w:val="18"/>
              </w:rPr>
              <w:instrText xml:space="preserve"> FORMCHECKBOX </w:instrText>
            </w:r>
            <w:r w:rsidR="00B330C0">
              <w:rPr>
                <w:rFonts w:asciiTheme="minorHAnsi" w:hAnsiTheme="minorHAnsi" w:cstheme="minorHAnsi"/>
                <w:bCs/>
                <w:sz w:val="18"/>
                <w:szCs w:val="18"/>
              </w:rPr>
            </w:r>
            <w:r w:rsidR="00B330C0">
              <w:rPr>
                <w:rFonts w:asciiTheme="minorHAnsi" w:hAnsiTheme="minorHAnsi" w:cstheme="minorHAnsi"/>
                <w:bCs/>
                <w:sz w:val="18"/>
                <w:szCs w:val="18"/>
              </w:rPr>
              <w:fldChar w:fldCharType="separate"/>
            </w:r>
            <w:r w:rsidRPr="004E0953">
              <w:rPr>
                <w:rFonts w:asciiTheme="minorHAnsi" w:hAnsiTheme="minorHAnsi" w:cstheme="minorHAnsi"/>
                <w:bCs/>
                <w:sz w:val="18"/>
                <w:szCs w:val="18"/>
              </w:rPr>
              <w:fldChar w:fldCharType="end"/>
            </w:r>
          </w:p>
        </w:tc>
        <w:tc>
          <w:tcPr>
            <w:tcW w:w="678" w:type="dxa"/>
          </w:tcPr>
          <w:p w14:paraId="04C2E14F" w14:textId="77777777" w:rsidR="00601D9B" w:rsidRDefault="000E53A0">
            <w:pPr>
              <w:pStyle w:val="Default"/>
              <w:jc w:val="center"/>
              <w:rPr>
                <w:rFonts w:asciiTheme="minorHAnsi" w:hAnsiTheme="minorHAnsi" w:cstheme="minorHAnsi"/>
                <w:color w:val="auto"/>
                <w:sz w:val="18"/>
                <w:szCs w:val="18"/>
              </w:rPr>
            </w:pPr>
            <w:r w:rsidRPr="004E0953">
              <w:rPr>
                <w:rFonts w:asciiTheme="minorHAnsi" w:hAnsiTheme="minorHAnsi" w:cstheme="minorHAnsi"/>
                <w:bCs/>
                <w:sz w:val="18"/>
                <w:szCs w:val="18"/>
              </w:rPr>
              <w:fldChar w:fldCharType="begin">
                <w:ffData>
                  <w:name w:val=""/>
                  <w:enabled/>
                  <w:calcOnExit w:val="0"/>
                  <w:checkBox>
                    <w:sizeAuto/>
                    <w:default w:val="0"/>
                  </w:checkBox>
                </w:ffData>
              </w:fldChar>
            </w:r>
            <w:r w:rsidRPr="004E0953">
              <w:rPr>
                <w:rFonts w:asciiTheme="minorHAnsi" w:hAnsiTheme="minorHAnsi" w:cstheme="minorHAnsi"/>
                <w:bCs/>
                <w:sz w:val="18"/>
                <w:szCs w:val="18"/>
              </w:rPr>
              <w:instrText xml:space="preserve"> FORMCHECKBOX </w:instrText>
            </w:r>
            <w:r w:rsidR="00B330C0">
              <w:rPr>
                <w:rFonts w:asciiTheme="minorHAnsi" w:hAnsiTheme="minorHAnsi" w:cstheme="minorHAnsi"/>
                <w:bCs/>
                <w:sz w:val="18"/>
                <w:szCs w:val="18"/>
              </w:rPr>
            </w:r>
            <w:r w:rsidR="00B330C0">
              <w:rPr>
                <w:rFonts w:asciiTheme="minorHAnsi" w:hAnsiTheme="minorHAnsi" w:cstheme="minorHAnsi"/>
                <w:bCs/>
                <w:sz w:val="18"/>
                <w:szCs w:val="18"/>
              </w:rPr>
              <w:fldChar w:fldCharType="separate"/>
            </w:r>
            <w:r w:rsidRPr="004E0953">
              <w:rPr>
                <w:rFonts w:asciiTheme="minorHAnsi" w:hAnsiTheme="minorHAnsi" w:cstheme="minorHAnsi"/>
                <w:bCs/>
                <w:sz w:val="18"/>
                <w:szCs w:val="18"/>
              </w:rPr>
              <w:fldChar w:fldCharType="end"/>
            </w:r>
          </w:p>
        </w:tc>
      </w:tr>
      <w:tr w:rsidR="001C7DE3" w:rsidRPr="004E0953" w14:paraId="576DA2FE" w14:textId="77777777" w:rsidTr="0039429F">
        <w:tc>
          <w:tcPr>
            <w:tcW w:w="1975" w:type="dxa"/>
          </w:tcPr>
          <w:p w14:paraId="12998688" w14:textId="77777777" w:rsidR="00601D9B" w:rsidRPr="000E53A0" w:rsidRDefault="000E53A0">
            <w:pPr>
              <w:pStyle w:val="Default"/>
              <w:jc w:val="both"/>
              <w:rPr>
                <w:rFonts w:asciiTheme="minorHAnsi" w:hAnsiTheme="minorHAnsi" w:cstheme="minorHAnsi"/>
                <w:color w:val="auto"/>
                <w:sz w:val="18"/>
                <w:szCs w:val="18"/>
                <w:lang w:val="fr-FR"/>
              </w:rPr>
            </w:pPr>
            <w:r w:rsidRPr="000E53A0">
              <w:rPr>
                <w:rFonts w:asciiTheme="minorHAnsi" w:hAnsiTheme="minorHAnsi" w:cstheme="minorHAnsi"/>
                <w:color w:val="auto"/>
                <w:sz w:val="18"/>
                <w:szCs w:val="18"/>
                <w:lang w:val="fr-FR"/>
              </w:rPr>
              <w:t>Stratégie nationale d'adaptation du secteur forestier du Mali aux impacts du changement climatique</w:t>
            </w:r>
          </w:p>
        </w:tc>
        <w:tc>
          <w:tcPr>
            <w:tcW w:w="6030" w:type="dxa"/>
          </w:tcPr>
          <w:p w14:paraId="26CAD7F0" w14:textId="77777777" w:rsidR="00601D9B" w:rsidRPr="000E53A0" w:rsidRDefault="000E53A0">
            <w:pPr>
              <w:pStyle w:val="Default"/>
              <w:jc w:val="both"/>
              <w:rPr>
                <w:rFonts w:asciiTheme="minorHAnsi" w:hAnsiTheme="minorHAnsi" w:cstheme="minorHAnsi"/>
                <w:color w:val="auto"/>
                <w:sz w:val="18"/>
                <w:szCs w:val="18"/>
                <w:lang w:val="fr-FR"/>
              </w:rPr>
            </w:pPr>
            <w:r w:rsidRPr="000E53A0">
              <w:rPr>
                <w:rFonts w:asciiTheme="minorHAnsi" w:hAnsiTheme="minorHAnsi" w:cstheme="minorHAnsi"/>
                <w:color w:val="auto"/>
                <w:sz w:val="18"/>
                <w:szCs w:val="18"/>
                <w:lang w:val="fr-FR"/>
              </w:rPr>
              <w:t xml:space="preserve">Cette stratégie vise à anticiper les impacts potentiels du changement climatique sur la foresterie du Mali. Le projet s'inscrit pleinement dans cette stratégie en visant une utilisation plus durable des forêts. </w:t>
            </w:r>
          </w:p>
        </w:tc>
        <w:tc>
          <w:tcPr>
            <w:tcW w:w="810" w:type="dxa"/>
          </w:tcPr>
          <w:p w14:paraId="4ECAE56F" w14:textId="77777777" w:rsidR="001C7DE3" w:rsidRPr="000E53A0" w:rsidRDefault="001C7DE3" w:rsidP="000E53A0">
            <w:pPr>
              <w:pStyle w:val="Default"/>
              <w:jc w:val="center"/>
              <w:rPr>
                <w:rFonts w:asciiTheme="minorHAnsi" w:hAnsiTheme="minorHAnsi" w:cstheme="minorHAnsi"/>
                <w:bCs/>
                <w:sz w:val="18"/>
                <w:szCs w:val="18"/>
                <w:lang w:val="fr-FR"/>
              </w:rPr>
            </w:pPr>
          </w:p>
        </w:tc>
        <w:tc>
          <w:tcPr>
            <w:tcW w:w="678" w:type="dxa"/>
          </w:tcPr>
          <w:p w14:paraId="58D0A598" w14:textId="77777777" w:rsidR="00601D9B" w:rsidRDefault="000E53A0">
            <w:pPr>
              <w:pStyle w:val="Default"/>
              <w:jc w:val="center"/>
              <w:rPr>
                <w:rFonts w:asciiTheme="minorHAnsi" w:hAnsiTheme="minorHAnsi" w:cstheme="minorHAnsi"/>
                <w:bCs/>
                <w:sz w:val="18"/>
                <w:szCs w:val="18"/>
              </w:rPr>
            </w:pPr>
            <w:r w:rsidRPr="004E0953">
              <w:rPr>
                <w:rFonts w:asciiTheme="minorHAnsi" w:hAnsiTheme="minorHAnsi" w:cstheme="minorHAnsi"/>
                <w:bCs/>
                <w:sz w:val="18"/>
                <w:szCs w:val="18"/>
              </w:rPr>
              <w:fldChar w:fldCharType="begin">
                <w:ffData>
                  <w:name w:val=""/>
                  <w:enabled/>
                  <w:calcOnExit w:val="0"/>
                  <w:checkBox>
                    <w:sizeAuto/>
                    <w:default w:val="1"/>
                  </w:checkBox>
                </w:ffData>
              </w:fldChar>
            </w:r>
            <w:r w:rsidRPr="004E0953">
              <w:rPr>
                <w:rFonts w:asciiTheme="minorHAnsi" w:hAnsiTheme="minorHAnsi" w:cstheme="minorHAnsi"/>
                <w:bCs/>
                <w:sz w:val="18"/>
                <w:szCs w:val="18"/>
              </w:rPr>
              <w:instrText xml:space="preserve"> FORMCHECKBOX </w:instrText>
            </w:r>
            <w:r w:rsidR="00B330C0">
              <w:rPr>
                <w:rFonts w:asciiTheme="minorHAnsi" w:hAnsiTheme="minorHAnsi" w:cstheme="minorHAnsi"/>
                <w:bCs/>
                <w:sz w:val="18"/>
                <w:szCs w:val="18"/>
              </w:rPr>
            </w:r>
            <w:r w:rsidR="00B330C0">
              <w:rPr>
                <w:rFonts w:asciiTheme="minorHAnsi" w:hAnsiTheme="minorHAnsi" w:cstheme="minorHAnsi"/>
                <w:bCs/>
                <w:sz w:val="18"/>
                <w:szCs w:val="18"/>
              </w:rPr>
              <w:fldChar w:fldCharType="separate"/>
            </w:r>
            <w:r w:rsidRPr="004E0953">
              <w:rPr>
                <w:rFonts w:asciiTheme="minorHAnsi" w:hAnsiTheme="minorHAnsi" w:cstheme="minorHAnsi"/>
                <w:bCs/>
                <w:sz w:val="18"/>
                <w:szCs w:val="18"/>
              </w:rPr>
              <w:fldChar w:fldCharType="end"/>
            </w:r>
          </w:p>
        </w:tc>
      </w:tr>
      <w:tr w:rsidR="001C7DE3" w:rsidRPr="004E0953" w14:paraId="448E017D" w14:textId="77777777" w:rsidTr="0039429F">
        <w:tc>
          <w:tcPr>
            <w:tcW w:w="1975" w:type="dxa"/>
          </w:tcPr>
          <w:p w14:paraId="2412BDE5" w14:textId="77777777" w:rsidR="00601D9B" w:rsidRPr="000E53A0" w:rsidRDefault="000E53A0">
            <w:pPr>
              <w:pStyle w:val="Default"/>
              <w:jc w:val="both"/>
              <w:rPr>
                <w:rFonts w:asciiTheme="minorHAnsi" w:hAnsiTheme="minorHAnsi" w:cstheme="minorHAnsi"/>
                <w:color w:val="auto"/>
                <w:sz w:val="18"/>
                <w:szCs w:val="18"/>
                <w:lang w:val="fr-FR"/>
              </w:rPr>
            </w:pPr>
            <w:r w:rsidRPr="000E53A0">
              <w:rPr>
                <w:rFonts w:asciiTheme="minorHAnsi" w:hAnsiTheme="minorHAnsi" w:cstheme="minorHAnsi"/>
                <w:color w:val="auto"/>
                <w:sz w:val="18"/>
                <w:szCs w:val="18"/>
                <w:lang w:val="fr-FR"/>
              </w:rPr>
              <w:t xml:space="preserve">Politique nationale d'aménagement du territoire </w:t>
            </w:r>
          </w:p>
        </w:tc>
        <w:tc>
          <w:tcPr>
            <w:tcW w:w="6030" w:type="dxa"/>
          </w:tcPr>
          <w:p w14:paraId="7E0BC8F0" w14:textId="77777777" w:rsidR="00601D9B" w:rsidRPr="000E53A0" w:rsidRDefault="000E53A0">
            <w:pPr>
              <w:pStyle w:val="Default"/>
              <w:jc w:val="both"/>
              <w:rPr>
                <w:rFonts w:asciiTheme="minorHAnsi" w:hAnsiTheme="minorHAnsi" w:cstheme="minorHAnsi"/>
                <w:color w:val="auto"/>
                <w:sz w:val="18"/>
                <w:szCs w:val="18"/>
                <w:lang w:val="fr-FR"/>
              </w:rPr>
            </w:pPr>
            <w:r w:rsidRPr="000E53A0">
              <w:rPr>
                <w:rFonts w:asciiTheme="minorHAnsi" w:hAnsiTheme="minorHAnsi" w:cstheme="minorHAnsi"/>
                <w:color w:val="auto"/>
                <w:sz w:val="18"/>
                <w:szCs w:val="18"/>
                <w:lang w:val="fr-FR"/>
              </w:rPr>
              <w:t xml:space="preserve">Vise à renforcer la dimension territoriale de la planification du développement économique, dans le cadre de la décentralisation. </w:t>
            </w:r>
          </w:p>
        </w:tc>
        <w:tc>
          <w:tcPr>
            <w:tcW w:w="810" w:type="dxa"/>
          </w:tcPr>
          <w:p w14:paraId="25289BB8" w14:textId="77777777" w:rsidR="00601D9B" w:rsidRDefault="000E53A0">
            <w:pPr>
              <w:pStyle w:val="Default"/>
              <w:jc w:val="center"/>
              <w:rPr>
                <w:rFonts w:asciiTheme="minorHAnsi" w:hAnsiTheme="minorHAnsi" w:cstheme="minorHAnsi"/>
                <w:color w:val="auto"/>
                <w:sz w:val="18"/>
                <w:szCs w:val="18"/>
              </w:rPr>
            </w:pPr>
            <w:r w:rsidRPr="004E0953">
              <w:rPr>
                <w:rFonts w:asciiTheme="minorHAnsi" w:hAnsiTheme="minorHAnsi" w:cstheme="minorHAnsi"/>
                <w:bCs/>
                <w:sz w:val="18"/>
                <w:szCs w:val="18"/>
              </w:rPr>
              <w:fldChar w:fldCharType="begin">
                <w:ffData>
                  <w:name w:val=""/>
                  <w:enabled/>
                  <w:calcOnExit w:val="0"/>
                  <w:checkBox>
                    <w:sizeAuto/>
                    <w:default w:val="1"/>
                  </w:checkBox>
                </w:ffData>
              </w:fldChar>
            </w:r>
            <w:r w:rsidRPr="004E0953">
              <w:rPr>
                <w:rFonts w:asciiTheme="minorHAnsi" w:hAnsiTheme="minorHAnsi" w:cstheme="minorHAnsi"/>
                <w:bCs/>
                <w:sz w:val="18"/>
                <w:szCs w:val="18"/>
              </w:rPr>
              <w:instrText xml:space="preserve"> FORMCHECKBOX </w:instrText>
            </w:r>
            <w:r w:rsidR="00B330C0">
              <w:rPr>
                <w:rFonts w:asciiTheme="minorHAnsi" w:hAnsiTheme="minorHAnsi" w:cstheme="minorHAnsi"/>
                <w:bCs/>
                <w:sz w:val="18"/>
                <w:szCs w:val="18"/>
              </w:rPr>
            </w:r>
            <w:r w:rsidR="00B330C0">
              <w:rPr>
                <w:rFonts w:asciiTheme="minorHAnsi" w:hAnsiTheme="minorHAnsi" w:cstheme="minorHAnsi"/>
                <w:bCs/>
                <w:sz w:val="18"/>
                <w:szCs w:val="18"/>
              </w:rPr>
              <w:fldChar w:fldCharType="separate"/>
            </w:r>
            <w:r w:rsidRPr="004E0953">
              <w:rPr>
                <w:rFonts w:asciiTheme="minorHAnsi" w:hAnsiTheme="minorHAnsi" w:cstheme="minorHAnsi"/>
                <w:bCs/>
                <w:sz w:val="18"/>
                <w:szCs w:val="18"/>
              </w:rPr>
              <w:fldChar w:fldCharType="end"/>
            </w:r>
          </w:p>
        </w:tc>
        <w:tc>
          <w:tcPr>
            <w:tcW w:w="678" w:type="dxa"/>
          </w:tcPr>
          <w:p w14:paraId="21EAB77D" w14:textId="77777777" w:rsidR="00601D9B" w:rsidRDefault="000E53A0">
            <w:pPr>
              <w:pStyle w:val="Default"/>
              <w:jc w:val="center"/>
              <w:rPr>
                <w:rFonts w:asciiTheme="minorHAnsi" w:hAnsiTheme="minorHAnsi" w:cstheme="minorHAnsi"/>
                <w:color w:val="auto"/>
                <w:sz w:val="18"/>
                <w:szCs w:val="18"/>
              </w:rPr>
            </w:pPr>
            <w:r w:rsidRPr="004E0953">
              <w:rPr>
                <w:rFonts w:asciiTheme="minorHAnsi" w:hAnsiTheme="minorHAnsi" w:cstheme="minorHAnsi"/>
                <w:bCs/>
                <w:sz w:val="18"/>
                <w:szCs w:val="18"/>
              </w:rPr>
              <w:fldChar w:fldCharType="begin">
                <w:ffData>
                  <w:name w:val=""/>
                  <w:enabled/>
                  <w:calcOnExit w:val="0"/>
                  <w:checkBox>
                    <w:sizeAuto/>
                    <w:default w:val="0"/>
                  </w:checkBox>
                </w:ffData>
              </w:fldChar>
            </w:r>
            <w:r w:rsidRPr="004E0953">
              <w:rPr>
                <w:rFonts w:asciiTheme="minorHAnsi" w:hAnsiTheme="minorHAnsi" w:cstheme="minorHAnsi"/>
                <w:bCs/>
                <w:sz w:val="18"/>
                <w:szCs w:val="18"/>
              </w:rPr>
              <w:instrText xml:space="preserve"> FORMCHECKBOX </w:instrText>
            </w:r>
            <w:r w:rsidR="00B330C0">
              <w:rPr>
                <w:rFonts w:asciiTheme="minorHAnsi" w:hAnsiTheme="minorHAnsi" w:cstheme="minorHAnsi"/>
                <w:bCs/>
                <w:sz w:val="18"/>
                <w:szCs w:val="18"/>
              </w:rPr>
            </w:r>
            <w:r w:rsidR="00B330C0">
              <w:rPr>
                <w:rFonts w:asciiTheme="minorHAnsi" w:hAnsiTheme="minorHAnsi" w:cstheme="minorHAnsi"/>
                <w:bCs/>
                <w:sz w:val="18"/>
                <w:szCs w:val="18"/>
              </w:rPr>
              <w:fldChar w:fldCharType="separate"/>
            </w:r>
            <w:r w:rsidRPr="004E0953">
              <w:rPr>
                <w:rFonts w:asciiTheme="minorHAnsi" w:hAnsiTheme="minorHAnsi" w:cstheme="minorHAnsi"/>
                <w:bCs/>
                <w:sz w:val="18"/>
                <w:szCs w:val="18"/>
              </w:rPr>
              <w:fldChar w:fldCharType="end"/>
            </w:r>
          </w:p>
        </w:tc>
      </w:tr>
      <w:tr w:rsidR="001C7DE3" w:rsidRPr="004E0953" w14:paraId="3D9E83B0" w14:textId="77777777" w:rsidTr="0039429F">
        <w:tc>
          <w:tcPr>
            <w:tcW w:w="1975" w:type="dxa"/>
          </w:tcPr>
          <w:p w14:paraId="16DBF267" w14:textId="77777777" w:rsidR="00601D9B" w:rsidRDefault="000E53A0">
            <w:pPr>
              <w:pStyle w:val="Default"/>
              <w:jc w:val="both"/>
              <w:rPr>
                <w:rFonts w:asciiTheme="minorHAnsi" w:hAnsiTheme="minorHAnsi" w:cstheme="minorHAnsi"/>
                <w:color w:val="auto"/>
                <w:sz w:val="18"/>
                <w:szCs w:val="18"/>
              </w:rPr>
            </w:pPr>
            <w:r w:rsidRPr="004E0953">
              <w:rPr>
                <w:rFonts w:asciiTheme="minorHAnsi" w:hAnsiTheme="minorHAnsi" w:cstheme="minorHAnsi"/>
                <w:color w:val="auto"/>
                <w:sz w:val="18"/>
                <w:szCs w:val="18"/>
              </w:rPr>
              <w:t>Politique nationale de l'eau (2006)</w:t>
            </w:r>
          </w:p>
        </w:tc>
        <w:tc>
          <w:tcPr>
            <w:tcW w:w="6030" w:type="dxa"/>
          </w:tcPr>
          <w:p w14:paraId="0EEF12AB" w14:textId="77777777" w:rsidR="00601D9B" w:rsidRPr="000E53A0" w:rsidRDefault="000E53A0">
            <w:pPr>
              <w:pStyle w:val="Default"/>
              <w:jc w:val="both"/>
              <w:rPr>
                <w:rFonts w:asciiTheme="minorHAnsi" w:hAnsiTheme="minorHAnsi" w:cstheme="minorHAnsi"/>
                <w:color w:val="auto"/>
                <w:sz w:val="18"/>
                <w:szCs w:val="18"/>
                <w:lang w:val="fr-FR"/>
              </w:rPr>
            </w:pPr>
            <w:r w:rsidRPr="000E53A0">
              <w:rPr>
                <w:rFonts w:asciiTheme="minorHAnsi" w:hAnsiTheme="minorHAnsi" w:cstheme="minorHAnsi"/>
                <w:color w:val="auto"/>
                <w:sz w:val="18"/>
                <w:szCs w:val="18"/>
                <w:lang w:val="fr-FR"/>
              </w:rPr>
              <w:t xml:space="preserve">Contribue à la lutte contre la pauvreté et au développement durable en apportant des solutions appropriées aux problèmes liés à l'eau. </w:t>
            </w:r>
          </w:p>
        </w:tc>
        <w:tc>
          <w:tcPr>
            <w:tcW w:w="810" w:type="dxa"/>
          </w:tcPr>
          <w:p w14:paraId="04ABD4E9" w14:textId="77777777" w:rsidR="00601D9B" w:rsidRDefault="000E53A0">
            <w:pPr>
              <w:pStyle w:val="Default"/>
              <w:jc w:val="center"/>
              <w:rPr>
                <w:rFonts w:asciiTheme="minorHAnsi" w:hAnsiTheme="minorHAnsi" w:cstheme="minorHAnsi"/>
                <w:bCs/>
                <w:sz w:val="18"/>
                <w:szCs w:val="18"/>
              </w:rPr>
            </w:pPr>
            <w:r w:rsidRPr="004E0953">
              <w:rPr>
                <w:rFonts w:asciiTheme="minorHAnsi" w:hAnsiTheme="minorHAnsi" w:cstheme="minorHAnsi"/>
                <w:bCs/>
                <w:sz w:val="18"/>
                <w:szCs w:val="18"/>
              </w:rPr>
              <w:fldChar w:fldCharType="begin">
                <w:ffData>
                  <w:name w:val=""/>
                  <w:enabled/>
                  <w:calcOnExit w:val="0"/>
                  <w:checkBox>
                    <w:sizeAuto/>
                    <w:default w:val="1"/>
                  </w:checkBox>
                </w:ffData>
              </w:fldChar>
            </w:r>
            <w:r w:rsidRPr="004E0953">
              <w:rPr>
                <w:rFonts w:asciiTheme="minorHAnsi" w:hAnsiTheme="minorHAnsi" w:cstheme="minorHAnsi"/>
                <w:bCs/>
                <w:sz w:val="18"/>
                <w:szCs w:val="18"/>
              </w:rPr>
              <w:instrText xml:space="preserve"> FORMCHECKBOX </w:instrText>
            </w:r>
            <w:r w:rsidR="00B330C0">
              <w:rPr>
                <w:rFonts w:asciiTheme="minorHAnsi" w:hAnsiTheme="minorHAnsi" w:cstheme="minorHAnsi"/>
                <w:bCs/>
                <w:sz w:val="18"/>
                <w:szCs w:val="18"/>
              </w:rPr>
            </w:r>
            <w:r w:rsidR="00B330C0">
              <w:rPr>
                <w:rFonts w:asciiTheme="minorHAnsi" w:hAnsiTheme="minorHAnsi" w:cstheme="minorHAnsi"/>
                <w:bCs/>
                <w:sz w:val="18"/>
                <w:szCs w:val="18"/>
              </w:rPr>
              <w:fldChar w:fldCharType="separate"/>
            </w:r>
            <w:r w:rsidRPr="004E0953">
              <w:rPr>
                <w:rFonts w:asciiTheme="minorHAnsi" w:hAnsiTheme="minorHAnsi" w:cstheme="minorHAnsi"/>
                <w:bCs/>
                <w:sz w:val="18"/>
                <w:szCs w:val="18"/>
              </w:rPr>
              <w:fldChar w:fldCharType="end"/>
            </w:r>
          </w:p>
        </w:tc>
        <w:bookmarkStart w:id="16" w:name="_Hlk78980715"/>
        <w:tc>
          <w:tcPr>
            <w:tcW w:w="678" w:type="dxa"/>
          </w:tcPr>
          <w:p w14:paraId="4F139741" w14:textId="77777777" w:rsidR="00601D9B" w:rsidRDefault="000E53A0">
            <w:pPr>
              <w:pStyle w:val="Default"/>
              <w:jc w:val="center"/>
              <w:rPr>
                <w:rFonts w:asciiTheme="minorHAnsi" w:hAnsiTheme="minorHAnsi" w:cstheme="minorHAnsi"/>
                <w:bCs/>
                <w:sz w:val="18"/>
                <w:szCs w:val="18"/>
              </w:rPr>
            </w:pPr>
            <w:r w:rsidRPr="004E0953">
              <w:rPr>
                <w:rFonts w:asciiTheme="minorHAnsi" w:hAnsiTheme="minorHAnsi" w:cstheme="minorHAnsi"/>
                <w:bCs/>
                <w:sz w:val="18"/>
                <w:szCs w:val="18"/>
              </w:rPr>
              <w:fldChar w:fldCharType="begin">
                <w:ffData>
                  <w:name w:val=""/>
                  <w:enabled/>
                  <w:calcOnExit w:val="0"/>
                  <w:checkBox>
                    <w:sizeAuto/>
                    <w:default w:val="1"/>
                  </w:checkBox>
                </w:ffData>
              </w:fldChar>
            </w:r>
            <w:r w:rsidRPr="004E0953">
              <w:rPr>
                <w:rFonts w:asciiTheme="minorHAnsi" w:hAnsiTheme="minorHAnsi" w:cstheme="minorHAnsi"/>
                <w:bCs/>
                <w:sz w:val="18"/>
                <w:szCs w:val="18"/>
              </w:rPr>
              <w:instrText xml:space="preserve"> FORMCHECKBOX </w:instrText>
            </w:r>
            <w:r w:rsidR="00B330C0">
              <w:rPr>
                <w:rFonts w:asciiTheme="minorHAnsi" w:hAnsiTheme="minorHAnsi" w:cstheme="minorHAnsi"/>
                <w:bCs/>
                <w:sz w:val="18"/>
                <w:szCs w:val="18"/>
              </w:rPr>
            </w:r>
            <w:r w:rsidR="00B330C0">
              <w:rPr>
                <w:rFonts w:asciiTheme="minorHAnsi" w:hAnsiTheme="minorHAnsi" w:cstheme="minorHAnsi"/>
                <w:bCs/>
                <w:sz w:val="18"/>
                <w:szCs w:val="18"/>
              </w:rPr>
              <w:fldChar w:fldCharType="separate"/>
            </w:r>
            <w:r w:rsidRPr="004E0953">
              <w:rPr>
                <w:rFonts w:asciiTheme="minorHAnsi" w:hAnsiTheme="minorHAnsi" w:cstheme="minorHAnsi"/>
                <w:bCs/>
                <w:sz w:val="18"/>
                <w:szCs w:val="18"/>
              </w:rPr>
              <w:fldChar w:fldCharType="end"/>
            </w:r>
            <w:bookmarkEnd w:id="16"/>
          </w:p>
        </w:tc>
      </w:tr>
      <w:tr w:rsidR="001C7DE3" w:rsidRPr="004E0953" w14:paraId="0FD6F69F" w14:textId="77777777" w:rsidTr="0039429F">
        <w:tc>
          <w:tcPr>
            <w:tcW w:w="1975" w:type="dxa"/>
          </w:tcPr>
          <w:p w14:paraId="052EC012" w14:textId="77777777" w:rsidR="00601D9B" w:rsidRPr="000E53A0" w:rsidRDefault="000E53A0">
            <w:pPr>
              <w:pStyle w:val="Default"/>
              <w:jc w:val="both"/>
              <w:rPr>
                <w:rFonts w:asciiTheme="minorHAnsi" w:hAnsiTheme="minorHAnsi" w:cstheme="minorHAnsi"/>
                <w:color w:val="auto"/>
                <w:sz w:val="18"/>
                <w:szCs w:val="18"/>
                <w:lang w:val="fr-FR"/>
              </w:rPr>
            </w:pPr>
            <w:r w:rsidRPr="000E53A0">
              <w:rPr>
                <w:rStyle w:val="markedcontent"/>
                <w:rFonts w:asciiTheme="minorHAnsi" w:hAnsiTheme="minorHAnsi" w:cstheme="minorHAnsi"/>
                <w:sz w:val="18"/>
                <w:szCs w:val="18"/>
                <w:lang w:val="fr-FR"/>
              </w:rPr>
              <w:t>Plan stratégique pour le développement de la météorologie 2018-2027</w:t>
            </w:r>
          </w:p>
        </w:tc>
        <w:tc>
          <w:tcPr>
            <w:tcW w:w="6030" w:type="dxa"/>
          </w:tcPr>
          <w:p w14:paraId="6D8B30CD" w14:textId="77777777" w:rsidR="00601D9B" w:rsidRPr="000E53A0" w:rsidRDefault="000E53A0">
            <w:pPr>
              <w:pStyle w:val="Default"/>
              <w:jc w:val="both"/>
              <w:rPr>
                <w:rFonts w:asciiTheme="minorHAnsi" w:hAnsiTheme="minorHAnsi" w:cstheme="minorHAnsi"/>
                <w:color w:val="auto"/>
                <w:sz w:val="18"/>
                <w:szCs w:val="18"/>
                <w:lang w:val="fr-FR"/>
              </w:rPr>
            </w:pPr>
            <w:r w:rsidRPr="000E53A0">
              <w:rPr>
                <w:rFonts w:asciiTheme="minorHAnsi" w:hAnsiTheme="minorHAnsi" w:cstheme="minorHAnsi"/>
                <w:color w:val="auto"/>
                <w:sz w:val="18"/>
                <w:szCs w:val="18"/>
                <w:lang w:val="fr-FR"/>
              </w:rPr>
              <w:t xml:space="preserve">Ce plan vise à développer les services météorologiques et climatiques afin de répondre aux besoins de prévision, de gestion des risques de catastrophes, d'adaptation à la variabilité et aux changements climatiques, de contribuer au programme de développement économique et social par la transformation des informations météorologiques en conseils pratiques pouvant être utiles aux décideurs. </w:t>
            </w:r>
          </w:p>
        </w:tc>
        <w:tc>
          <w:tcPr>
            <w:tcW w:w="810" w:type="dxa"/>
          </w:tcPr>
          <w:p w14:paraId="0FDC2681" w14:textId="77777777" w:rsidR="00601D9B" w:rsidRDefault="000E53A0">
            <w:pPr>
              <w:pStyle w:val="Default"/>
              <w:jc w:val="center"/>
              <w:rPr>
                <w:rFonts w:asciiTheme="minorHAnsi" w:hAnsiTheme="minorHAnsi" w:cstheme="minorHAnsi"/>
                <w:bCs/>
                <w:sz w:val="18"/>
                <w:szCs w:val="18"/>
              </w:rPr>
            </w:pPr>
            <w:r w:rsidRPr="004E0953">
              <w:rPr>
                <w:rFonts w:asciiTheme="minorHAnsi" w:hAnsiTheme="minorHAnsi" w:cstheme="minorHAnsi"/>
                <w:bCs/>
                <w:sz w:val="18"/>
                <w:szCs w:val="18"/>
              </w:rPr>
              <w:fldChar w:fldCharType="begin">
                <w:ffData>
                  <w:name w:val=""/>
                  <w:enabled/>
                  <w:calcOnExit w:val="0"/>
                  <w:checkBox>
                    <w:sizeAuto/>
                    <w:default w:val="0"/>
                  </w:checkBox>
                </w:ffData>
              </w:fldChar>
            </w:r>
            <w:r w:rsidRPr="004E0953">
              <w:rPr>
                <w:rFonts w:asciiTheme="minorHAnsi" w:hAnsiTheme="minorHAnsi" w:cstheme="minorHAnsi"/>
                <w:bCs/>
                <w:sz w:val="18"/>
                <w:szCs w:val="18"/>
              </w:rPr>
              <w:instrText xml:space="preserve"> FORMCHECKBOX </w:instrText>
            </w:r>
            <w:r w:rsidR="00B330C0">
              <w:rPr>
                <w:rFonts w:asciiTheme="minorHAnsi" w:hAnsiTheme="minorHAnsi" w:cstheme="minorHAnsi"/>
                <w:bCs/>
                <w:sz w:val="18"/>
                <w:szCs w:val="18"/>
              </w:rPr>
            </w:r>
            <w:r w:rsidR="00B330C0">
              <w:rPr>
                <w:rFonts w:asciiTheme="minorHAnsi" w:hAnsiTheme="minorHAnsi" w:cstheme="minorHAnsi"/>
                <w:bCs/>
                <w:sz w:val="18"/>
                <w:szCs w:val="18"/>
              </w:rPr>
              <w:fldChar w:fldCharType="separate"/>
            </w:r>
            <w:r w:rsidRPr="004E0953">
              <w:rPr>
                <w:rFonts w:asciiTheme="minorHAnsi" w:hAnsiTheme="minorHAnsi" w:cstheme="minorHAnsi"/>
                <w:bCs/>
                <w:sz w:val="18"/>
                <w:szCs w:val="18"/>
              </w:rPr>
              <w:fldChar w:fldCharType="end"/>
            </w:r>
          </w:p>
        </w:tc>
        <w:tc>
          <w:tcPr>
            <w:tcW w:w="678" w:type="dxa"/>
          </w:tcPr>
          <w:p w14:paraId="0BBDEA6C" w14:textId="77777777" w:rsidR="00601D9B" w:rsidRDefault="000E53A0">
            <w:pPr>
              <w:pStyle w:val="Default"/>
              <w:jc w:val="center"/>
              <w:rPr>
                <w:rFonts w:asciiTheme="minorHAnsi" w:hAnsiTheme="minorHAnsi" w:cstheme="minorHAnsi"/>
                <w:bCs/>
                <w:sz w:val="18"/>
                <w:szCs w:val="18"/>
              </w:rPr>
            </w:pPr>
            <w:r w:rsidRPr="004E0953">
              <w:rPr>
                <w:rFonts w:asciiTheme="minorHAnsi" w:hAnsiTheme="minorHAnsi" w:cstheme="minorHAnsi"/>
                <w:bCs/>
                <w:sz w:val="18"/>
                <w:szCs w:val="18"/>
              </w:rPr>
              <w:fldChar w:fldCharType="begin">
                <w:ffData>
                  <w:name w:val=""/>
                  <w:enabled/>
                  <w:calcOnExit w:val="0"/>
                  <w:checkBox>
                    <w:sizeAuto/>
                    <w:default w:val="1"/>
                  </w:checkBox>
                </w:ffData>
              </w:fldChar>
            </w:r>
            <w:r w:rsidRPr="004E0953">
              <w:rPr>
                <w:rFonts w:asciiTheme="minorHAnsi" w:hAnsiTheme="minorHAnsi" w:cstheme="minorHAnsi"/>
                <w:bCs/>
                <w:sz w:val="18"/>
                <w:szCs w:val="18"/>
              </w:rPr>
              <w:instrText xml:space="preserve"> FORMCHECKBOX </w:instrText>
            </w:r>
            <w:r w:rsidR="00B330C0">
              <w:rPr>
                <w:rFonts w:asciiTheme="minorHAnsi" w:hAnsiTheme="minorHAnsi" w:cstheme="minorHAnsi"/>
                <w:bCs/>
                <w:sz w:val="18"/>
                <w:szCs w:val="18"/>
              </w:rPr>
            </w:r>
            <w:r w:rsidR="00B330C0">
              <w:rPr>
                <w:rFonts w:asciiTheme="minorHAnsi" w:hAnsiTheme="minorHAnsi" w:cstheme="minorHAnsi"/>
                <w:bCs/>
                <w:sz w:val="18"/>
                <w:szCs w:val="18"/>
              </w:rPr>
              <w:fldChar w:fldCharType="separate"/>
            </w:r>
            <w:r w:rsidRPr="004E0953">
              <w:rPr>
                <w:rFonts w:asciiTheme="minorHAnsi" w:hAnsiTheme="minorHAnsi" w:cstheme="minorHAnsi"/>
                <w:bCs/>
                <w:sz w:val="18"/>
                <w:szCs w:val="18"/>
              </w:rPr>
              <w:fldChar w:fldCharType="end"/>
            </w:r>
          </w:p>
        </w:tc>
      </w:tr>
      <w:tr w:rsidR="001C7DE3" w:rsidRPr="004E0953" w14:paraId="186FD024" w14:textId="77777777" w:rsidTr="0039429F">
        <w:tc>
          <w:tcPr>
            <w:tcW w:w="1975" w:type="dxa"/>
          </w:tcPr>
          <w:p w14:paraId="44BFECE1" w14:textId="77777777" w:rsidR="00601D9B" w:rsidRPr="000E53A0" w:rsidRDefault="000E53A0">
            <w:pPr>
              <w:pStyle w:val="Default"/>
              <w:jc w:val="both"/>
              <w:rPr>
                <w:rFonts w:asciiTheme="minorHAnsi" w:hAnsiTheme="minorHAnsi" w:cstheme="minorHAnsi"/>
                <w:color w:val="auto"/>
                <w:sz w:val="18"/>
                <w:szCs w:val="18"/>
                <w:lang w:val="fr-FR"/>
              </w:rPr>
            </w:pPr>
            <w:r w:rsidRPr="000E53A0">
              <w:rPr>
                <w:rFonts w:asciiTheme="minorHAnsi" w:hAnsiTheme="minorHAnsi" w:cstheme="minorHAnsi"/>
                <w:color w:val="auto"/>
                <w:sz w:val="18"/>
                <w:szCs w:val="18"/>
                <w:lang w:val="fr-FR"/>
              </w:rPr>
              <w:t>Cadre d'investissement stratégique pour la gestion durable des terres au Mali (CSI-GDT)</w:t>
            </w:r>
          </w:p>
        </w:tc>
        <w:tc>
          <w:tcPr>
            <w:tcW w:w="6030" w:type="dxa"/>
          </w:tcPr>
          <w:p w14:paraId="11EF59A5" w14:textId="77777777" w:rsidR="00601D9B" w:rsidRPr="000E53A0" w:rsidRDefault="000E53A0">
            <w:pPr>
              <w:pStyle w:val="Default"/>
              <w:jc w:val="both"/>
              <w:rPr>
                <w:rFonts w:asciiTheme="minorHAnsi" w:hAnsiTheme="minorHAnsi" w:cstheme="minorHAnsi"/>
                <w:color w:val="auto"/>
                <w:sz w:val="18"/>
                <w:szCs w:val="18"/>
                <w:lang w:val="fr-FR"/>
              </w:rPr>
            </w:pPr>
            <w:r w:rsidRPr="000E53A0">
              <w:rPr>
                <w:rFonts w:asciiTheme="minorHAnsi" w:hAnsiTheme="minorHAnsi" w:cstheme="minorHAnsi"/>
                <w:color w:val="auto"/>
                <w:sz w:val="18"/>
                <w:szCs w:val="18"/>
                <w:lang w:val="fr-FR"/>
              </w:rPr>
              <w:t xml:space="preserve">Le cadre intègre la GDT comme une composante stratégique du développement durable du pays et de la réduction de la pauvreté. </w:t>
            </w:r>
          </w:p>
        </w:tc>
        <w:tc>
          <w:tcPr>
            <w:tcW w:w="810" w:type="dxa"/>
          </w:tcPr>
          <w:p w14:paraId="264EC39E" w14:textId="77777777" w:rsidR="00601D9B" w:rsidRDefault="000E53A0">
            <w:pPr>
              <w:pStyle w:val="Default"/>
              <w:jc w:val="center"/>
              <w:rPr>
                <w:rFonts w:asciiTheme="minorHAnsi" w:hAnsiTheme="minorHAnsi" w:cstheme="minorHAnsi"/>
                <w:color w:val="auto"/>
                <w:sz w:val="18"/>
                <w:szCs w:val="18"/>
              </w:rPr>
            </w:pPr>
            <w:r w:rsidRPr="004E0953">
              <w:rPr>
                <w:rFonts w:asciiTheme="minorHAnsi" w:hAnsiTheme="minorHAnsi" w:cstheme="minorHAnsi"/>
                <w:bCs/>
                <w:sz w:val="18"/>
                <w:szCs w:val="18"/>
              </w:rPr>
              <w:fldChar w:fldCharType="begin">
                <w:ffData>
                  <w:name w:val=""/>
                  <w:enabled/>
                  <w:calcOnExit w:val="0"/>
                  <w:checkBox>
                    <w:sizeAuto/>
                    <w:default w:val="1"/>
                  </w:checkBox>
                </w:ffData>
              </w:fldChar>
            </w:r>
            <w:r w:rsidRPr="004E0953">
              <w:rPr>
                <w:rFonts w:asciiTheme="minorHAnsi" w:hAnsiTheme="minorHAnsi" w:cstheme="minorHAnsi"/>
                <w:bCs/>
                <w:sz w:val="18"/>
                <w:szCs w:val="18"/>
              </w:rPr>
              <w:instrText xml:space="preserve"> FORMCHECKBOX </w:instrText>
            </w:r>
            <w:r w:rsidR="00B330C0">
              <w:rPr>
                <w:rFonts w:asciiTheme="minorHAnsi" w:hAnsiTheme="minorHAnsi" w:cstheme="minorHAnsi"/>
                <w:bCs/>
                <w:sz w:val="18"/>
                <w:szCs w:val="18"/>
              </w:rPr>
            </w:r>
            <w:r w:rsidR="00B330C0">
              <w:rPr>
                <w:rFonts w:asciiTheme="minorHAnsi" w:hAnsiTheme="minorHAnsi" w:cstheme="minorHAnsi"/>
                <w:bCs/>
                <w:sz w:val="18"/>
                <w:szCs w:val="18"/>
              </w:rPr>
              <w:fldChar w:fldCharType="separate"/>
            </w:r>
            <w:r w:rsidRPr="004E0953">
              <w:rPr>
                <w:rFonts w:asciiTheme="minorHAnsi" w:hAnsiTheme="minorHAnsi" w:cstheme="minorHAnsi"/>
                <w:bCs/>
                <w:sz w:val="18"/>
                <w:szCs w:val="18"/>
              </w:rPr>
              <w:fldChar w:fldCharType="end"/>
            </w:r>
          </w:p>
        </w:tc>
        <w:tc>
          <w:tcPr>
            <w:tcW w:w="678" w:type="dxa"/>
          </w:tcPr>
          <w:p w14:paraId="36B3527A" w14:textId="77777777" w:rsidR="00601D9B" w:rsidRDefault="000E53A0">
            <w:pPr>
              <w:pStyle w:val="Default"/>
              <w:jc w:val="center"/>
              <w:rPr>
                <w:rFonts w:asciiTheme="minorHAnsi" w:hAnsiTheme="minorHAnsi" w:cstheme="minorHAnsi"/>
                <w:color w:val="auto"/>
                <w:sz w:val="18"/>
                <w:szCs w:val="18"/>
              </w:rPr>
            </w:pPr>
            <w:r w:rsidRPr="004E0953">
              <w:rPr>
                <w:rFonts w:asciiTheme="minorHAnsi" w:hAnsiTheme="minorHAnsi" w:cstheme="minorHAnsi"/>
                <w:bCs/>
                <w:sz w:val="18"/>
                <w:szCs w:val="18"/>
              </w:rPr>
              <w:fldChar w:fldCharType="begin">
                <w:ffData>
                  <w:name w:val=""/>
                  <w:enabled/>
                  <w:calcOnExit w:val="0"/>
                  <w:checkBox>
                    <w:sizeAuto/>
                    <w:default w:val="0"/>
                  </w:checkBox>
                </w:ffData>
              </w:fldChar>
            </w:r>
            <w:r w:rsidRPr="004E0953">
              <w:rPr>
                <w:rFonts w:asciiTheme="minorHAnsi" w:hAnsiTheme="minorHAnsi" w:cstheme="minorHAnsi"/>
                <w:bCs/>
                <w:sz w:val="18"/>
                <w:szCs w:val="18"/>
              </w:rPr>
              <w:instrText xml:space="preserve"> FORMCHECKBOX </w:instrText>
            </w:r>
            <w:r w:rsidR="00B330C0">
              <w:rPr>
                <w:rFonts w:asciiTheme="minorHAnsi" w:hAnsiTheme="minorHAnsi" w:cstheme="minorHAnsi"/>
                <w:bCs/>
                <w:sz w:val="18"/>
                <w:szCs w:val="18"/>
              </w:rPr>
            </w:r>
            <w:r w:rsidR="00B330C0">
              <w:rPr>
                <w:rFonts w:asciiTheme="minorHAnsi" w:hAnsiTheme="minorHAnsi" w:cstheme="minorHAnsi"/>
                <w:bCs/>
                <w:sz w:val="18"/>
                <w:szCs w:val="18"/>
              </w:rPr>
              <w:fldChar w:fldCharType="separate"/>
            </w:r>
            <w:r w:rsidRPr="004E0953">
              <w:rPr>
                <w:rFonts w:asciiTheme="minorHAnsi" w:hAnsiTheme="minorHAnsi" w:cstheme="minorHAnsi"/>
                <w:bCs/>
                <w:sz w:val="18"/>
                <w:szCs w:val="18"/>
              </w:rPr>
              <w:fldChar w:fldCharType="end"/>
            </w:r>
          </w:p>
        </w:tc>
      </w:tr>
      <w:tr w:rsidR="001C7DE3" w:rsidRPr="004E0953" w14:paraId="0B9EB9F3" w14:textId="77777777" w:rsidTr="0039429F">
        <w:tc>
          <w:tcPr>
            <w:tcW w:w="1975" w:type="dxa"/>
          </w:tcPr>
          <w:p w14:paraId="1490A2F0" w14:textId="77777777" w:rsidR="00601D9B" w:rsidRPr="000E53A0" w:rsidRDefault="000E53A0">
            <w:pPr>
              <w:pStyle w:val="Default"/>
              <w:jc w:val="both"/>
              <w:rPr>
                <w:rFonts w:asciiTheme="minorHAnsi" w:hAnsiTheme="minorHAnsi" w:cstheme="minorHAnsi"/>
                <w:color w:val="auto"/>
                <w:sz w:val="18"/>
                <w:szCs w:val="18"/>
                <w:lang w:val="fr-FR"/>
              </w:rPr>
            </w:pPr>
            <w:r w:rsidRPr="000E53A0">
              <w:rPr>
                <w:rFonts w:asciiTheme="minorHAnsi" w:hAnsiTheme="minorHAnsi" w:cstheme="minorHAnsi"/>
                <w:color w:val="auto"/>
                <w:sz w:val="18"/>
                <w:szCs w:val="18"/>
                <w:lang w:val="fr-FR"/>
              </w:rPr>
              <w:lastRenderedPageBreak/>
              <w:t xml:space="preserve">Stratégie nationale pour la biodiversité </w:t>
            </w:r>
            <w:r w:rsidR="0039429F" w:rsidRPr="000E53A0">
              <w:rPr>
                <w:rFonts w:asciiTheme="minorHAnsi" w:hAnsiTheme="minorHAnsi" w:cstheme="minorHAnsi"/>
                <w:color w:val="auto"/>
                <w:sz w:val="18"/>
                <w:szCs w:val="18"/>
                <w:lang w:val="fr-FR"/>
              </w:rPr>
              <w:t xml:space="preserve">du </w:t>
            </w:r>
            <w:r w:rsidRPr="000E53A0">
              <w:rPr>
                <w:rFonts w:asciiTheme="minorHAnsi" w:hAnsiTheme="minorHAnsi" w:cstheme="minorHAnsi"/>
                <w:color w:val="auto"/>
                <w:sz w:val="18"/>
                <w:szCs w:val="18"/>
                <w:lang w:val="fr-FR"/>
              </w:rPr>
              <w:t>Mali et son plan d'action 2011-2020</w:t>
            </w:r>
          </w:p>
          <w:p w14:paraId="0BC78AF6" w14:textId="77777777" w:rsidR="001C7DE3" w:rsidRPr="000E53A0" w:rsidRDefault="001C7DE3" w:rsidP="000E53A0">
            <w:pPr>
              <w:pStyle w:val="Default"/>
              <w:jc w:val="both"/>
              <w:rPr>
                <w:rFonts w:asciiTheme="minorHAnsi" w:hAnsiTheme="minorHAnsi" w:cstheme="minorHAnsi"/>
                <w:color w:val="auto"/>
                <w:sz w:val="18"/>
                <w:szCs w:val="18"/>
                <w:lang w:val="fr-FR"/>
              </w:rPr>
            </w:pPr>
          </w:p>
        </w:tc>
        <w:tc>
          <w:tcPr>
            <w:tcW w:w="6030" w:type="dxa"/>
          </w:tcPr>
          <w:p w14:paraId="012AB492" w14:textId="77777777" w:rsidR="00601D9B" w:rsidRPr="000E53A0" w:rsidRDefault="000E53A0">
            <w:pPr>
              <w:pStyle w:val="Default"/>
              <w:jc w:val="both"/>
              <w:rPr>
                <w:rFonts w:asciiTheme="minorHAnsi" w:hAnsiTheme="minorHAnsi" w:cstheme="minorHAnsi"/>
                <w:color w:val="auto"/>
                <w:sz w:val="18"/>
                <w:szCs w:val="18"/>
                <w:lang w:val="fr-FR"/>
              </w:rPr>
            </w:pPr>
            <w:r w:rsidRPr="000E53A0">
              <w:rPr>
                <w:rFonts w:asciiTheme="minorHAnsi" w:hAnsiTheme="minorHAnsi" w:cstheme="minorHAnsi"/>
                <w:color w:val="auto"/>
                <w:sz w:val="18"/>
                <w:szCs w:val="18"/>
                <w:lang w:val="fr-FR"/>
              </w:rPr>
              <w:t xml:space="preserve">Son objectif est de : " contribuer à réduire la perte de la diversité biologique ". Dans le domaine de la lutte contre la désertification, des progrès notables sont notés dans le cadre de la fixation des dunes, du reboisement, du développement d'un vaste programme sur la GDT. </w:t>
            </w:r>
          </w:p>
        </w:tc>
        <w:tc>
          <w:tcPr>
            <w:tcW w:w="810" w:type="dxa"/>
          </w:tcPr>
          <w:p w14:paraId="5E5DF72A" w14:textId="77777777" w:rsidR="00601D9B" w:rsidRDefault="000E53A0">
            <w:pPr>
              <w:pStyle w:val="Default"/>
              <w:jc w:val="center"/>
              <w:rPr>
                <w:rFonts w:asciiTheme="minorHAnsi" w:hAnsiTheme="minorHAnsi" w:cstheme="minorHAnsi"/>
                <w:color w:val="auto"/>
                <w:sz w:val="18"/>
                <w:szCs w:val="18"/>
              </w:rPr>
            </w:pPr>
            <w:r w:rsidRPr="004E0953">
              <w:rPr>
                <w:rFonts w:asciiTheme="minorHAnsi" w:hAnsiTheme="minorHAnsi" w:cstheme="minorHAnsi"/>
                <w:bCs/>
                <w:sz w:val="18"/>
                <w:szCs w:val="18"/>
              </w:rPr>
              <w:fldChar w:fldCharType="begin">
                <w:ffData>
                  <w:name w:val=""/>
                  <w:enabled/>
                  <w:calcOnExit w:val="0"/>
                  <w:checkBox>
                    <w:sizeAuto/>
                    <w:default w:val="1"/>
                  </w:checkBox>
                </w:ffData>
              </w:fldChar>
            </w:r>
            <w:r w:rsidRPr="004E0953">
              <w:rPr>
                <w:rFonts w:asciiTheme="minorHAnsi" w:hAnsiTheme="minorHAnsi" w:cstheme="minorHAnsi"/>
                <w:bCs/>
                <w:sz w:val="18"/>
                <w:szCs w:val="18"/>
              </w:rPr>
              <w:instrText xml:space="preserve"> FORMCHECKBOX </w:instrText>
            </w:r>
            <w:r w:rsidR="00B330C0">
              <w:rPr>
                <w:rFonts w:asciiTheme="minorHAnsi" w:hAnsiTheme="minorHAnsi" w:cstheme="minorHAnsi"/>
                <w:bCs/>
                <w:sz w:val="18"/>
                <w:szCs w:val="18"/>
              </w:rPr>
            </w:r>
            <w:r w:rsidR="00B330C0">
              <w:rPr>
                <w:rFonts w:asciiTheme="minorHAnsi" w:hAnsiTheme="minorHAnsi" w:cstheme="minorHAnsi"/>
                <w:bCs/>
                <w:sz w:val="18"/>
                <w:szCs w:val="18"/>
              </w:rPr>
              <w:fldChar w:fldCharType="separate"/>
            </w:r>
            <w:r w:rsidRPr="004E0953">
              <w:rPr>
                <w:rFonts w:asciiTheme="minorHAnsi" w:hAnsiTheme="minorHAnsi" w:cstheme="minorHAnsi"/>
                <w:bCs/>
                <w:sz w:val="18"/>
                <w:szCs w:val="18"/>
              </w:rPr>
              <w:fldChar w:fldCharType="end"/>
            </w:r>
          </w:p>
        </w:tc>
        <w:tc>
          <w:tcPr>
            <w:tcW w:w="678" w:type="dxa"/>
          </w:tcPr>
          <w:p w14:paraId="55DFF3F4" w14:textId="77777777" w:rsidR="00601D9B" w:rsidRDefault="000E53A0">
            <w:pPr>
              <w:pStyle w:val="Default"/>
              <w:jc w:val="center"/>
              <w:rPr>
                <w:rFonts w:asciiTheme="minorHAnsi" w:hAnsiTheme="minorHAnsi" w:cstheme="minorHAnsi"/>
                <w:color w:val="auto"/>
                <w:sz w:val="18"/>
                <w:szCs w:val="18"/>
              </w:rPr>
            </w:pPr>
            <w:r w:rsidRPr="004E0953">
              <w:rPr>
                <w:rFonts w:asciiTheme="minorHAnsi" w:hAnsiTheme="minorHAnsi" w:cstheme="minorHAnsi"/>
                <w:bCs/>
                <w:sz w:val="18"/>
                <w:szCs w:val="18"/>
              </w:rPr>
              <w:fldChar w:fldCharType="begin">
                <w:ffData>
                  <w:name w:val=""/>
                  <w:enabled/>
                  <w:calcOnExit w:val="0"/>
                  <w:checkBox>
                    <w:sizeAuto/>
                    <w:default w:val="1"/>
                  </w:checkBox>
                </w:ffData>
              </w:fldChar>
            </w:r>
            <w:r w:rsidRPr="004E0953">
              <w:rPr>
                <w:rFonts w:asciiTheme="minorHAnsi" w:hAnsiTheme="minorHAnsi" w:cstheme="minorHAnsi"/>
                <w:bCs/>
                <w:sz w:val="18"/>
                <w:szCs w:val="18"/>
              </w:rPr>
              <w:instrText xml:space="preserve"> FORMCHECKBOX </w:instrText>
            </w:r>
            <w:r w:rsidR="00B330C0">
              <w:rPr>
                <w:rFonts w:asciiTheme="minorHAnsi" w:hAnsiTheme="minorHAnsi" w:cstheme="minorHAnsi"/>
                <w:bCs/>
                <w:sz w:val="18"/>
                <w:szCs w:val="18"/>
              </w:rPr>
            </w:r>
            <w:r w:rsidR="00B330C0">
              <w:rPr>
                <w:rFonts w:asciiTheme="minorHAnsi" w:hAnsiTheme="minorHAnsi" w:cstheme="minorHAnsi"/>
                <w:bCs/>
                <w:sz w:val="18"/>
                <w:szCs w:val="18"/>
              </w:rPr>
              <w:fldChar w:fldCharType="separate"/>
            </w:r>
            <w:r w:rsidRPr="004E0953">
              <w:rPr>
                <w:rFonts w:asciiTheme="minorHAnsi" w:hAnsiTheme="minorHAnsi" w:cstheme="minorHAnsi"/>
                <w:bCs/>
                <w:sz w:val="18"/>
                <w:szCs w:val="18"/>
              </w:rPr>
              <w:fldChar w:fldCharType="end"/>
            </w:r>
          </w:p>
        </w:tc>
      </w:tr>
      <w:tr w:rsidR="001C7DE3" w:rsidRPr="004E0953" w14:paraId="7B5A204D" w14:textId="77777777" w:rsidTr="0039429F">
        <w:tc>
          <w:tcPr>
            <w:tcW w:w="1975" w:type="dxa"/>
          </w:tcPr>
          <w:p w14:paraId="63505EBD" w14:textId="77777777" w:rsidR="00601D9B" w:rsidRPr="000E53A0" w:rsidRDefault="000E53A0">
            <w:pPr>
              <w:pStyle w:val="Default"/>
              <w:jc w:val="both"/>
              <w:rPr>
                <w:rFonts w:asciiTheme="minorHAnsi" w:hAnsiTheme="minorHAnsi" w:cstheme="minorHAnsi"/>
                <w:color w:val="auto"/>
                <w:sz w:val="18"/>
                <w:szCs w:val="18"/>
                <w:lang w:val="fr-FR"/>
              </w:rPr>
            </w:pPr>
            <w:r w:rsidRPr="000E53A0">
              <w:rPr>
                <w:rFonts w:asciiTheme="minorHAnsi" w:hAnsiTheme="minorHAnsi" w:cstheme="minorHAnsi"/>
                <w:color w:val="auto"/>
                <w:sz w:val="18"/>
                <w:szCs w:val="18"/>
                <w:lang w:val="fr-FR"/>
              </w:rPr>
              <w:t>Cadre stratégique pour la relance économique et le développement durable du Mali (CREDD 2019-2024)</w:t>
            </w:r>
          </w:p>
        </w:tc>
        <w:tc>
          <w:tcPr>
            <w:tcW w:w="6030" w:type="dxa"/>
          </w:tcPr>
          <w:p w14:paraId="1D4F7318" w14:textId="77777777" w:rsidR="00601D9B" w:rsidRPr="000E53A0" w:rsidRDefault="000E53A0">
            <w:pPr>
              <w:pStyle w:val="Default"/>
              <w:jc w:val="both"/>
              <w:rPr>
                <w:rFonts w:asciiTheme="minorHAnsi" w:hAnsiTheme="minorHAnsi" w:cstheme="minorHAnsi"/>
                <w:color w:val="auto"/>
                <w:sz w:val="18"/>
                <w:szCs w:val="18"/>
                <w:lang w:val="fr-FR"/>
              </w:rPr>
            </w:pPr>
            <w:r w:rsidRPr="000E53A0">
              <w:rPr>
                <w:rFonts w:asciiTheme="minorHAnsi" w:hAnsiTheme="minorHAnsi" w:cstheme="minorHAnsi"/>
                <w:color w:val="auto"/>
                <w:sz w:val="18"/>
                <w:szCs w:val="18"/>
                <w:lang w:val="fr-FR"/>
              </w:rPr>
              <w:t xml:space="preserve">Son objectif principal est de promouvoir un développement inclusif et durable et de réduire les inégalités économiques, à travers cinq objectifs principaux, dont (i) la gouvernance et les réformes politiques, (ii) le développement du capital humain et l'inclusion sociale, et (iii) l'environnement, le changement climatique et le développement durable.  </w:t>
            </w:r>
          </w:p>
        </w:tc>
        <w:tc>
          <w:tcPr>
            <w:tcW w:w="810" w:type="dxa"/>
          </w:tcPr>
          <w:p w14:paraId="0BFF31EB" w14:textId="77777777" w:rsidR="00601D9B" w:rsidRDefault="000E53A0">
            <w:pPr>
              <w:pStyle w:val="Default"/>
              <w:jc w:val="center"/>
              <w:rPr>
                <w:rFonts w:asciiTheme="minorHAnsi" w:hAnsiTheme="minorHAnsi" w:cstheme="minorHAnsi"/>
                <w:color w:val="auto"/>
                <w:sz w:val="18"/>
                <w:szCs w:val="18"/>
              </w:rPr>
            </w:pPr>
            <w:r w:rsidRPr="004E0953">
              <w:rPr>
                <w:rFonts w:asciiTheme="minorHAnsi" w:hAnsiTheme="minorHAnsi" w:cstheme="minorHAnsi"/>
                <w:bCs/>
                <w:sz w:val="18"/>
                <w:szCs w:val="18"/>
              </w:rPr>
              <w:fldChar w:fldCharType="begin">
                <w:ffData>
                  <w:name w:val=""/>
                  <w:enabled/>
                  <w:calcOnExit w:val="0"/>
                  <w:checkBox>
                    <w:sizeAuto/>
                    <w:default w:val="1"/>
                  </w:checkBox>
                </w:ffData>
              </w:fldChar>
            </w:r>
            <w:r w:rsidRPr="004E0953">
              <w:rPr>
                <w:rFonts w:asciiTheme="minorHAnsi" w:hAnsiTheme="minorHAnsi" w:cstheme="minorHAnsi"/>
                <w:bCs/>
                <w:sz w:val="18"/>
                <w:szCs w:val="18"/>
              </w:rPr>
              <w:instrText xml:space="preserve"> FORMCHECKBOX </w:instrText>
            </w:r>
            <w:r w:rsidR="00B330C0">
              <w:rPr>
                <w:rFonts w:asciiTheme="minorHAnsi" w:hAnsiTheme="minorHAnsi" w:cstheme="minorHAnsi"/>
                <w:bCs/>
                <w:sz w:val="18"/>
                <w:szCs w:val="18"/>
              </w:rPr>
            </w:r>
            <w:r w:rsidR="00B330C0">
              <w:rPr>
                <w:rFonts w:asciiTheme="minorHAnsi" w:hAnsiTheme="minorHAnsi" w:cstheme="minorHAnsi"/>
                <w:bCs/>
                <w:sz w:val="18"/>
                <w:szCs w:val="18"/>
              </w:rPr>
              <w:fldChar w:fldCharType="separate"/>
            </w:r>
            <w:r w:rsidRPr="004E0953">
              <w:rPr>
                <w:rFonts w:asciiTheme="minorHAnsi" w:hAnsiTheme="minorHAnsi" w:cstheme="minorHAnsi"/>
                <w:bCs/>
                <w:sz w:val="18"/>
                <w:szCs w:val="18"/>
              </w:rPr>
              <w:fldChar w:fldCharType="end"/>
            </w:r>
          </w:p>
        </w:tc>
        <w:tc>
          <w:tcPr>
            <w:tcW w:w="678" w:type="dxa"/>
          </w:tcPr>
          <w:p w14:paraId="582AC1D0" w14:textId="77777777" w:rsidR="00601D9B" w:rsidRDefault="000E53A0">
            <w:pPr>
              <w:pStyle w:val="Default"/>
              <w:jc w:val="center"/>
              <w:rPr>
                <w:rFonts w:asciiTheme="minorHAnsi" w:hAnsiTheme="minorHAnsi" w:cstheme="minorHAnsi"/>
                <w:color w:val="auto"/>
                <w:sz w:val="18"/>
                <w:szCs w:val="18"/>
              </w:rPr>
            </w:pPr>
            <w:r w:rsidRPr="004E0953">
              <w:rPr>
                <w:rFonts w:asciiTheme="minorHAnsi" w:hAnsiTheme="minorHAnsi" w:cstheme="minorHAnsi"/>
                <w:bCs/>
                <w:sz w:val="18"/>
                <w:szCs w:val="18"/>
              </w:rPr>
              <w:fldChar w:fldCharType="begin">
                <w:ffData>
                  <w:name w:val=""/>
                  <w:enabled/>
                  <w:calcOnExit w:val="0"/>
                  <w:checkBox>
                    <w:sizeAuto/>
                    <w:default w:val="1"/>
                  </w:checkBox>
                </w:ffData>
              </w:fldChar>
            </w:r>
            <w:r w:rsidRPr="004E0953">
              <w:rPr>
                <w:rFonts w:asciiTheme="minorHAnsi" w:hAnsiTheme="minorHAnsi" w:cstheme="minorHAnsi"/>
                <w:bCs/>
                <w:sz w:val="18"/>
                <w:szCs w:val="18"/>
              </w:rPr>
              <w:instrText xml:space="preserve"> FORMCHECKBOX </w:instrText>
            </w:r>
            <w:r w:rsidR="00B330C0">
              <w:rPr>
                <w:rFonts w:asciiTheme="minorHAnsi" w:hAnsiTheme="minorHAnsi" w:cstheme="minorHAnsi"/>
                <w:bCs/>
                <w:sz w:val="18"/>
                <w:szCs w:val="18"/>
              </w:rPr>
            </w:r>
            <w:r w:rsidR="00B330C0">
              <w:rPr>
                <w:rFonts w:asciiTheme="minorHAnsi" w:hAnsiTheme="minorHAnsi" w:cstheme="minorHAnsi"/>
                <w:bCs/>
                <w:sz w:val="18"/>
                <w:szCs w:val="18"/>
              </w:rPr>
              <w:fldChar w:fldCharType="separate"/>
            </w:r>
            <w:r w:rsidRPr="004E0953">
              <w:rPr>
                <w:rFonts w:asciiTheme="minorHAnsi" w:hAnsiTheme="minorHAnsi" w:cstheme="minorHAnsi"/>
                <w:bCs/>
                <w:sz w:val="18"/>
                <w:szCs w:val="18"/>
              </w:rPr>
              <w:fldChar w:fldCharType="end"/>
            </w:r>
          </w:p>
        </w:tc>
      </w:tr>
      <w:tr w:rsidR="001C7DE3" w:rsidRPr="004E0953" w14:paraId="657CC175" w14:textId="77777777" w:rsidTr="0039429F">
        <w:tc>
          <w:tcPr>
            <w:tcW w:w="1975" w:type="dxa"/>
          </w:tcPr>
          <w:p w14:paraId="4B961EB6" w14:textId="77777777" w:rsidR="00601D9B" w:rsidRPr="000E53A0" w:rsidRDefault="000E53A0">
            <w:pPr>
              <w:pStyle w:val="Default"/>
              <w:jc w:val="both"/>
              <w:rPr>
                <w:rFonts w:asciiTheme="minorHAnsi" w:hAnsiTheme="minorHAnsi" w:cstheme="minorHAnsi"/>
                <w:color w:val="auto"/>
                <w:sz w:val="18"/>
                <w:szCs w:val="18"/>
                <w:lang w:val="fr-FR"/>
              </w:rPr>
            </w:pPr>
            <w:r w:rsidRPr="000E53A0">
              <w:rPr>
                <w:rFonts w:asciiTheme="minorHAnsi" w:hAnsiTheme="minorHAnsi" w:cstheme="minorHAnsi"/>
                <w:color w:val="auto"/>
                <w:sz w:val="18"/>
                <w:szCs w:val="18"/>
                <w:lang w:val="fr-FR"/>
              </w:rPr>
              <w:t>Cadre stratégique pour la croissance et la réduction de la pauvreté (CSCRP 2012-2017)</w:t>
            </w:r>
          </w:p>
        </w:tc>
        <w:tc>
          <w:tcPr>
            <w:tcW w:w="6030" w:type="dxa"/>
          </w:tcPr>
          <w:p w14:paraId="592505F4" w14:textId="77777777" w:rsidR="00601D9B" w:rsidRPr="000E53A0" w:rsidRDefault="000E53A0">
            <w:pPr>
              <w:pStyle w:val="Default"/>
              <w:jc w:val="both"/>
              <w:rPr>
                <w:rFonts w:asciiTheme="minorHAnsi" w:hAnsiTheme="minorHAnsi" w:cstheme="minorHAnsi"/>
                <w:color w:val="auto"/>
                <w:sz w:val="18"/>
                <w:szCs w:val="18"/>
                <w:lang w:val="fr-FR"/>
              </w:rPr>
            </w:pPr>
            <w:r w:rsidRPr="000E53A0">
              <w:rPr>
                <w:rFonts w:asciiTheme="minorHAnsi" w:hAnsiTheme="minorHAnsi" w:cstheme="minorHAnsi"/>
                <w:color w:val="auto"/>
                <w:sz w:val="18"/>
                <w:szCs w:val="18"/>
                <w:lang w:val="fr-FR"/>
              </w:rPr>
              <w:t>Pour faire face à l'insécurité alimentaire et nutritionnelle, le cadre stratégique vise à améliorer le bien-être social des populations et à réduire l'insécurité alimentaire, la faim et la malnutrition. Le cadre stratégique prévoit d'assurer la sécurité alimentaire et la fourniture d'autres produits en quantité et qualité suffisantes, par une gestion durable des ressources naturelles.</w:t>
            </w:r>
          </w:p>
        </w:tc>
        <w:tc>
          <w:tcPr>
            <w:tcW w:w="810" w:type="dxa"/>
          </w:tcPr>
          <w:p w14:paraId="7C6259AC" w14:textId="77777777" w:rsidR="00601D9B" w:rsidRDefault="000E53A0">
            <w:pPr>
              <w:pStyle w:val="Default"/>
              <w:jc w:val="center"/>
              <w:rPr>
                <w:rFonts w:asciiTheme="minorHAnsi" w:hAnsiTheme="minorHAnsi" w:cstheme="minorHAnsi"/>
                <w:color w:val="auto"/>
                <w:sz w:val="18"/>
                <w:szCs w:val="18"/>
              </w:rPr>
            </w:pPr>
            <w:r w:rsidRPr="004E0953">
              <w:rPr>
                <w:rFonts w:asciiTheme="minorHAnsi" w:hAnsiTheme="minorHAnsi" w:cstheme="minorHAnsi"/>
                <w:bCs/>
                <w:sz w:val="18"/>
                <w:szCs w:val="18"/>
              </w:rPr>
              <w:fldChar w:fldCharType="begin">
                <w:ffData>
                  <w:name w:val=""/>
                  <w:enabled/>
                  <w:calcOnExit w:val="0"/>
                  <w:checkBox>
                    <w:sizeAuto/>
                    <w:default w:val="1"/>
                  </w:checkBox>
                </w:ffData>
              </w:fldChar>
            </w:r>
            <w:r w:rsidRPr="004E0953">
              <w:rPr>
                <w:rFonts w:asciiTheme="minorHAnsi" w:hAnsiTheme="minorHAnsi" w:cstheme="minorHAnsi"/>
                <w:bCs/>
                <w:sz w:val="18"/>
                <w:szCs w:val="18"/>
              </w:rPr>
              <w:instrText xml:space="preserve"> FORMCHECKBOX </w:instrText>
            </w:r>
            <w:r w:rsidR="00B330C0">
              <w:rPr>
                <w:rFonts w:asciiTheme="minorHAnsi" w:hAnsiTheme="minorHAnsi" w:cstheme="minorHAnsi"/>
                <w:bCs/>
                <w:sz w:val="18"/>
                <w:szCs w:val="18"/>
              </w:rPr>
            </w:r>
            <w:r w:rsidR="00B330C0">
              <w:rPr>
                <w:rFonts w:asciiTheme="minorHAnsi" w:hAnsiTheme="minorHAnsi" w:cstheme="minorHAnsi"/>
                <w:bCs/>
                <w:sz w:val="18"/>
                <w:szCs w:val="18"/>
              </w:rPr>
              <w:fldChar w:fldCharType="separate"/>
            </w:r>
            <w:r w:rsidRPr="004E0953">
              <w:rPr>
                <w:rFonts w:asciiTheme="minorHAnsi" w:hAnsiTheme="minorHAnsi" w:cstheme="minorHAnsi"/>
                <w:bCs/>
                <w:sz w:val="18"/>
                <w:szCs w:val="18"/>
              </w:rPr>
              <w:fldChar w:fldCharType="end"/>
            </w:r>
          </w:p>
        </w:tc>
        <w:tc>
          <w:tcPr>
            <w:tcW w:w="678" w:type="dxa"/>
          </w:tcPr>
          <w:p w14:paraId="64171B3C" w14:textId="77777777" w:rsidR="00601D9B" w:rsidRDefault="000E53A0">
            <w:pPr>
              <w:pStyle w:val="Default"/>
              <w:jc w:val="center"/>
              <w:rPr>
                <w:rFonts w:asciiTheme="minorHAnsi" w:hAnsiTheme="minorHAnsi" w:cstheme="minorHAnsi"/>
                <w:color w:val="auto"/>
                <w:sz w:val="18"/>
                <w:szCs w:val="18"/>
              </w:rPr>
            </w:pPr>
            <w:r w:rsidRPr="004E0953">
              <w:rPr>
                <w:rFonts w:asciiTheme="minorHAnsi" w:hAnsiTheme="minorHAnsi" w:cstheme="minorHAnsi"/>
                <w:bCs/>
                <w:sz w:val="18"/>
                <w:szCs w:val="18"/>
              </w:rPr>
              <w:fldChar w:fldCharType="begin">
                <w:ffData>
                  <w:name w:val=""/>
                  <w:enabled/>
                  <w:calcOnExit w:val="0"/>
                  <w:checkBox>
                    <w:sizeAuto/>
                    <w:default w:val="1"/>
                  </w:checkBox>
                </w:ffData>
              </w:fldChar>
            </w:r>
            <w:r w:rsidRPr="004E0953">
              <w:rPr>
                <w:rFonts w:asciiTheme="minorHAnsi" w:hAnsiTheme="minorHAnsi" w:cstheme="minorHAnsi"/>
                <w:bCs/>
                <w:sz w:val="18"/>
                <w:szCs w:val="18"/>
              </w:rPr>
              <w:instrText xml:space="preserve"> FORMCHECKBOX </w:instrText>
            </w:r>
            <w:r w:rsidR="00B330C0">
              <w:rPr>
                <w:rFonts w:asciiTheme="minorHAnsi" w:hAnsiTheme="minorHAnsi" w:cstheme="minorHAnsi"/>
                <w:bCs/>
                <w:sz w:val="18"/>
                <w:szCs w:val="18"/>
              </w:rPr>
            </w:r>
            <w:r w:rsidR="00B330C0">
              <w:rPr>
                <w:rFonts w:asciiTheme="minorHAnsi" w:hAnsiTheme="minorHAnsi" w:cstheme="minorHAnsi"/>
                <w:bCs/>
                <w:sz w:val="18"/>
                <w:szCs w:val="18"/>
              </w:rPr>
              <w:fldChar w:fldCharType="separate"/>
            </w:r>
            <w:r w:rsidRPr="004E0953">
              <w:rPr>
                <w:rFonts w:asciiTheme="minorHAnsi" w:hAnsiTheme="minorHAnsi" w:cstheme="minorHAnsi"/>
                <w:bCs/>
                <w:sz w:val="18"/>
                <w:szCs w:val="18"/>
              </w:rPr>
              <w:fldChar w:fldCharType="end"/>
            </w:r>
          </w:p>
        </w:tc>
      </w:tr>
      <w:tr w:rsidR="001C7DE3" w:rsidRPr="004E0953" w14:paraId="2F33E84E" w14:textId="77777777" w:rsidTr="0039429F">
        <w:tc>
          <w:tcPr>
            <w:tcW w:w="1975" w:type="dxa"/>
          </w:tcPr>
          <w:p w14:paraId="7E169E96" w14:textId="77777777" w:rsidR="00601D9B" w:rsidRPr="000E53A0" w:rsidRDefault="000E53A0">
            <w:pPr>
              <w:pStyle w:val="Default"/>
              <w:jc w:val="both"/>
              <w:rPr>
                <w:rFonts w:asciiTheme="minorHAnsi" w:hAnsiTheme="minorHAnsi" w:cstheme="minorHAnsi"/>
                <w:color w:val="auto"/>
                <w:sz w:val="18"/>
                <w:szCs w:val="18"/>
                <w:lang w:val="fr-FR"/>
              </w:rPr>
            </w:pPr>
            <w:r w:rsidRPr="000E53A0">
              <w:rPr>
                <w:rFonts w:asciiTheme="minorHAnsi" w:hAnsiTheme="minorHAnsi" w:cstheme="minorHAnsi"/>
                <w:color w:val="auto"/>
                <w:sz w:val="18"/>
                <w:szCs w:val="18"/>
                <w:lang w:val="fr-FR"/>
              </w:rPr>
              <w:t xml:space="preserve">Plan d'action pour l'égalité des sexes (2011-2013) </w:t>
            </w:r>
          </w:p>
        </w:tc>
        <w:tc>
          <w:tcPr>
            <w:tcW w:w="6030" w:type="dxa"/>
          </w:tcPr>
          <w:p w14:paraId="44CECEB6" w14:textId="77777777" w:rsidR="00601D9B" w:rsidRPr="000E53A0" w:rsidRDefault="000E53A0">
            <w:pPr>
              <w:pStyle w:val="Default"/>
              <w:jc w:val="both"/>
              <w:rPr>
                <w:rFonts w:asciiTheme="minorHAnsi" w:hAnsiTheme="minorHAnsi" w:cstheme="minorHAnsi"/>
                <w:color w:val="auto"/>
                <w:sz w:val="18"/>
                <w:szCs w:val="18"/>
                <w:lang w:val="fr-FR"/>
              </w:rPr>
            </w:pPr>
            <w:r w:rsidRPr="000E53A0">
              <w:rPr>
                <w:rFonts w:asciiTheme="minorHAnsi" w:hAnsiTheme="minorHAnsi" w:cstheme="minorHAnsi"/>
                <w:color w:val="auto"/>
                <w:sz w:val="18"/>
                <w:szCs w:val="18"/>
                <w:lang w:val="fr-FR"/>
              </w:rPr>
              <w:t xml:space="preserve">Cette politique vise à améliorer le rôle des femmes dans le processus de prise de décision au niveau national. </w:t>
            </w:r>
          </w:p>
        </w:tc>
        <w:tc>
          <w:tcPr>
            <w:tcW w:w="810" w:type="dxa"/>
          </w:tcPr>
          <w:p w14:paraId="4CDCFD73" w14:textId="77777777" w:rsidR="00601D9B" w:rsidRDefault="000E53A0">
            <w:pPr>
              <w:pStyle w:val="Default"/>
              <w:jc w:val="center"/>
              <w:rPr>
                <w:rFonts w:asciiTheme="minorHAnsi" w:hAnsiTheme="minorHAnsi" w:cstheme="minorHAnsi"/>
                <w:bCs/>
                <w:sz w:val="18"/>
                <w:szCs w:val="18"/>
              </w:rPr>
            </w:pPr>
            <w:r w:rsidRPr="004E0953">
              <w:rPr>
                <w:rFonts w:asciiTheme="minorHAnsi" w:hAnsiTheme="minorHAnsi" w:cstheme="minorHAnsi"/>
                <w:bCs/>
                <w:sz w:val="18"/>
                <w:szCs w:val="18"/>
              </w:rPr>
              <w:fldChar w:fldCharType="begin">
                <w:ffData>
                  <w:name w:val=""/>
                  <w:enabled/>
                  <w:calcOnExit w:val="0"/>
                  <w:checkBox>
                    <w:sizeAuto/>
                    <w:default w:val="1"/>
                  </w:checkBox>
                </w:ffData>
              </w:fldChar>
            </w:r>
            <w:r w:rsidRPr="004E0953">
              <w:rPr>
                <w:rFonts w:asciiTheme="minorHAnsi" w:hAnsiTheme="minorHAnsi" w:cstheme="minorHAnsi"/>
                <w:bCs/>
                <w:sz w:val="18"/>
                <w:szCs w:val="18"/>
              </w:rPr>
              <w:instrText xml:space="preserve"> FORMCHECKBOX </w:instrText>
            </w:r>
            <w:r w:rsidR="00B330C0">
              <w:rPr>
                <w:rFonts w:asciiTheme="minorHAnsi" w:hAnsiTheme="minorHAnsi" w:cstheme="minorHAnsi"/>
                <w:bCs/>
                <w:sz w:val="18"/>
                <w:szCs w:val="18"/>
              </w:rPr>
            </w:r>
            <w:r w:rsidR="00B330C0">
              <w:rPr>
                <w:rFonts w:asciiTheme="minorHAnsi" w:hAnsiTheme="minorHAnsi" w:cstheme="minorHAnsi"/>
                <w:bCs/>
                <w:sz w:val="18"/>
                <w:szCs w:val="18"/>
              </w:rPr>
              <w:fldChar w:fldCharType="separate"/>
            </w:r>
            <w:r w:rsidRPr="004E0953">
              <w:rPr>
                <w:rFonts w:asciiTheme="minorHAnsi" w:hAnsiTheme="minorHAnsi" w:cstheme="minorHAnsi"/>
                <w:bCs/>
                <w:sz w:val="18"/>
                <w:szCs w:val="18"/>
              </w:rPr>
              <w:fldChar w:fldCharType="end"/>
            </w:r>
          </w:p>
        </w:tc>
        <w:tc>
          <w:tcPr>
            <w:tcW w:w="678" w:type="dxa"/>
          </w:tcPr>
          <w:p w14:paraId="54F3FCBE" w14:textId="77777777" w:rsidR="00601D9B" w:rsidRDefault="000E53A0">
            <w:pPr>
              <w:pStyle w:val="Default"/>
              <w:jc w:val="center"/>
              <w:rPr>
                <w:rFonts w:asciiTheme="minorHAnsi" w:hAnsiTheme="minorHAnsi" w:cstheme="minorHAnsi"/>
                <w:bCs/>
                <w:sz w:val="18"/>
                <w:szCs w:val="18"/>
              </w:rPr>
            </w:pPr>
            <w:r w:rsidRPr="004E0953">
              <w:rPr>
                <w:rFonts w:asciiTheme="minorHAnsi" w:hAnsiTheme="minorHAnsi" w:cstheme="minorHAnsi"/>
                <w:bCs/>
                <w:sz w:val="18"/>
                <w:szCs w:val="18"/>
              </w:rPr>
              <w:fldChar w:fldCharType="begin">
                <w:ffData>
                  <w:name w:val=""/>
                  <w:enabled/>
                  <w:calcOnExit w:val="0"/>
                  <w:checkBox>
                    <w:sizeAuto/>
                    <w:default w:val="1"/>
                  </w:checkBox>
                </w:ffData>
              </w:fldChar>
            </w:r>
            <w:r w:rsidRPr="004E0953">
              <w:rPr>
                <w:rFonts w:asciiTheme="minorHAnsi" w:hAnsiTheme="minorHAnsi" w:cstheme="minorHAnsi"/>
                <w:bCs/>
                <w:sz w:val="18"/>
                <w:szCs w:val="18"/>
              </w:rPr>
              <w:instrText xml:space="preserve"> FORMCHECKBOX </w:instrText>
            </w:r>
            <w:r w:rsidR="00B330C0">
              <w:rPr>
                <w:rFonts w:asciiTheme="minorHAnsi" w:hAnsiTheme="minorHAnsi" w:cstheme="minorHAnsi"/>
                <w:bCs/>
                <w:sz w:val="18"/>
                <w:szCs w:val="18"/>
              </w:rPr>
            </w:r>
            <w:r w:rsidR="00B330C0">
              <w:rPr>
                <w:rFonts w:asciiTheme="minorHAnsi" w:hAnsiTheme="minorHAnsi" w:cstheme="minorHAnsi"/>
                <w:bCs/>
                <w:sz w:val="18"/>
                <w:szCs w:val="18"/>
              </w:rPr>
              <w:fldChar w:fldCharType="separate"/>
            </w:r>
            <w:r w:rsidRPr="004E0953">
              <w:rPr>
                <w:rFonts w:asciiTheme="minorHAnsi" w:hAnsiTheme="minorHAnsi" w:cstheme="minorHAnsi"/>
                <w:bCs/>
                <w:sz w:val="18"/>
                <w:szCs w:val="18"/>
              </w:rPr>
              <w:fldChar w:fldCharType="end"/>
            </w:r>
          </w:p>
        </w:tc>
      </w:tr>
      <w:tr w:rsidR="001C7DE3" w:rsidRPr="004E0953" w14:paraId="34D76C3F" w14:textId="77777777" w:rsidTr="0039429F">
        <w:tc>
          <w:tcPr>
            <w:tcW w:w="1975" w:type="dxa"/>
          </w:tcPr>
          <w:p w14:paraId="7563C5A9" w14:textId="77777777" w:rsidR="00601D9B" w:rsidRPr="000E53A0" w:rsidRDefault="000E53A0">
            <w:pPr>
              <w:pStyle w:val="Default"/>
              <w:jc w:val="both"/>
              <w:rPr>
                <w:rFonts w:asciiTheme="minorHAnsi" w:hAnsiTheme="minorHAnsi" w:cstheme="minorHAnsi"/>
                <w:color w:val="auto"/>
                <w:sz w:val="18"/>
                <w:szCs w:val="18"/>
                <w:lang w:val="fr-FR"/>
              </w:rPr>
            </w:pPr>
            <w:r w:rsidRPr="000E53A0">
              <w:rPr>
                <w:rStyle w:val="markedcontent"/>
                <w:rFonts w:asciiTheme="minorHAnsi" w:hAnsiTheme="minorHAnsi" w:cstheme="minorHAnsi"/>
                <w:sz w:val="18"/>
                <w:szCs w:val="18"/>
                <w:lang w:val="fr-FR"/>
              </w:rPr>
              <w:t>Stratégie nationale pour la réduction des risques de catastrophes</w:t>
            </w:r>
          </w:p>
        </w:tc>
        <w:tc>
          <w:tcPr>
            <w:tcW w:w="6030" w:type="dxa"/>
          </w:tcPr>
          <w:p w14:paraId="0FA2CF9F" w14:textId="77777777" w:rsidR="00601D9B" w:rsidRPr="000E53A0" w:rsidRDefault="000E53A0">
            <w:pPr>
              <w:pStyle w:val="Default"/>
              <w:rPr>
                <w:rFonts w:asciiTheme="minorHAnsi" w:hAnsiTheme="minorHAnsi" w:cstheme="minorHAnsi"/>
                <w:sz w:val="18"/>
                <w:szCs w:val="18"/>
                <w:lang w:val="fr-FR"/>
              </w:rPr>
            </w:pPr>
            <w:r w:rsidRPr="000E53A0">
              <w:rPr>
                <w:rFonts w:asciiTheme="minorHAnsi" w:hAnsiTheme="minorHAnsi" w:cstheme="minorHAnsi"/>
                <w:sz w:val="18"/>
                <w:szCs w:val="18"/>
                <w:lang w:val="fr-FR"/>
              </w:rPr>
              <w:t xml:space="preserve">La stratégie vise à : </w:t>
            </w:r>
          </w:p>
          <w:p w14:paraId="7403B78A" w14:textId="77777777" w:rsidR="00601D9B" w:rsidRPr="000E53A0" w:rsidRDefault="000E53A0">
            <w:pPr>
              <w:pStyle w:val="Default"/>
              <w:rPr>
                <w:rFonts w:asciiTheme="minorHAnsi" w:hAnsiTheme="minorHAnsi" w:cstheme="minorHAnsi"/>
                <w:sz w:val="18"/>
                <w:szCs w:val="18"/>
                <w:lang w:val="fr-FR"/>
              </w:rPr>
            </w:pPr>
            <w:r w:rsidRPr="000E53A0">
              <w:rPr>
                <w:rFonts w:asciiTheme="minorHAnsi" w:hAnsiTheme="minorHAnsi" w:cstheme="minorHAnsi"/>
                <w:sz w:val="18"/>
                <w:szCs w:val="18"/>
                <w:lang w:val="fr-FR"/>
              </w:rPr>
              <w:t xml:space="preserve">i) clarifier les relations/responsabilités entre les différents services techniques des partenaires humanitaires ; </w:t>
            </w:r>
          </w:p>
          <w:p w14:paraId="4DA50C7D" w14:textId="77777777" w:rsidR="00601D9B" w:rsidRPr="000E53A0" w:rsidRDefault="000E53A0">
            <w:pPr>
              <w:pStyle w:val="Default"/>
              <w:rPr>
                <w:rFonts w:asciiTheme="minorHAnsi" w:hAnsiTheme="minorHAnsi" w:cstheme="minorHAnsi"/>
                <w:sz w:val="18"/>
                <w:szCs w:val="18"/>
                <w:lang w:val="fr-FR"/>
              </w:rPr>
            </w:pPr>
            <w:r w:rsidRPr="000E53A0">
              <w:rPr>
                <w:rFonts w:asciiTheme="minorHAnsi" w:hAnsiTheme="minorHAnsi" w:cstheme="minorHAnsi"/>
                <w:sz w:val="18"/>
                <w:szCs w:val="18"/>
                <w:lang w:val="fr-FR"/>
              </w:rPr>
              <w:t xml:space="preserve">ii) faciliter la coordination des actions et assurer la cohérence des plans sectoriels ; </w:t>
            </w:r>
          </w:p>
          <w:p w14:paraId="4FDCEBDB" w14:textId="77777777" w:rsidR="00601D9B" w:rsidRPr="000E53A0" w:rsidRDefault="000E53A0">
            <w:pPr>
              <w:pStyle w:val="Default"/>
              <w:rPr>
                <w:rFonts w:asciiTheme="minorHAnsi" w:hAnsiTheme="minorHAnsi" w:cstheme="minorHAnsi"/>
                <w:sz w:val="18"/>
                <w:szCs w:val="18"/>
                <w:lang w:val="fr-FR"/>
              </w:rPr>
            </w:pPr>
            <w:r w:rsidRPr="000E53A0">
              <w:rPr>
                <w:rFonts w:asciiTheme="minorHAnsi" w:hAnsiTheme="minorHAnsi" w:cstheme="minorHAnsi"/>
                <w:sz w:val="18"/>
                <w:szCs w:val="18"/>
                <w:lang w:val="fr-FR"/>
              </w:rPr>
              <w:t>iii) identifier et réduire les risques les plus probables ;</w:t>
            </w:r>
          </w:p>
          <w:p w14:paraId="6950FF3B" w14:textId="77777777" w:rsidR="00601D9B" w:rsidRPr="000E53A0" w:rsidRDefault="000E53A0">
            <w:pPr>
              <w:pStyle w:val="Default"/>
              <w:rPr>
                <w:rFonts w:asciiTheme="minorHAnsi" w:hAnsiTheme="minorHAnsi" w:cstheme="minorHAnsi"/>
                <w:sz w:val="18"/>
                <w:szCs w:val="18"/>
                <w:lang w:val="fr-FR"/>
              </w:rPr>
            </w:pPr>
            <w:r w:rsidRPr="000E53A0">
              <w:rPr>
                <w:rFonts w:asciiTheme="minorHAnsi" w:hAnsiTheme="minorHAnsi" w:cstheme="minorHAnsi"/>
                <w:sz w:val="18"/>
                <w:szCs w:val="18"/>
                <w:lang w:val="fr-FR"/>
              </w:rPr>
              <w:t xml:space="preserve">iv) fournir un cadre général pour la planification conjointe couvrant les risques d'urgence ; </w:t>
            </w:r>
          </w:p>
          <w:p w14:paraId="635C6FFF" w14:textId="77777777" w:rsidR="00601D9B" w:rsidRPr="000E53A0" w:rsidRDefault="000E53A0">
            <w:pPr>
              <w:pStyle w:val="Default"/>
              <w:rPr>
                <w:rFonts w:asciiTheme="minorHAnsi" w:hAnsiTheme="minorHAnsi" w:cstheme="minorHAnsi"/>
                <w:sz w:val="18"/>
                <w:szCs w:val="18"/>
                <w:lang w:val="fr-FR"/>
              </w:rPr>
            </w:pPr>
            <w:r w:rsidRPr="000E53A0">
              <w:rPr>
                <w:rFonts w:asciiTheme="minorHAnsi" w:hAnsiTheme="minorHAnsi" w:cstheme="minorHAnsi"/>
                <w:sz w:val="18"/>
                <w:szCs w:val="18"/>
                <w:lang w:val="fr-FR"/>
              </w:rPr>
              <w:t xml:space="preserve">v) l'intégration du processus de préparation et de réponse aux situations d'urgence dans les plans et programmes de développement nationaux ; </w:t>
            </w:r>
          </w:p>
          <w:p w14:paraId="6C416340" w14:textId="77777777" w:rsidR="00601D9B" w:rsidRPr="000E53A0" w:rsidRDefault="000E53A0">
            <w:pPr>
              <w:pStyle w:val="Default"/>
              <w:rPr>
                <w:rFonts w:asciiTheme="minorHAnsi" w:hAnsiTheme="minorHAnsi" w:cstheme="minorHAnsi"/>
                <w:sz w:val="18"/>
                <w:szCs w:val="18"/>
                <w:lang w:val="fr-FR"/>
              </w:rPr>
            </w:pPr>
            <w:r w:rsidRPr="000E53A0">
              <w:rPr>
                <w:rFonts w:asciiTheme="minorHAnsi" w:hAnsiTheme="minorHAnsi" w:cstheme="minorHAnsi"/>
                <w:sz w:val="18"/>
                <w:szCs w:val="18"/>
                <w:lang w:val="fr-FR"/>
              </w:rPr>
              <w:t xml:space="preserve">(vi) réduire les délais d'intervention et les pertes de vies humaines. </w:t>
            </w:r>
          </w:p>
        </w:tc>
        <w:tc>
          <w:tcPr>
            <w:tcW w:w="810" w:type="dxa"/>
          </w:tcPr>
          <w:p w14:paraId="23897162" w14:textId="77777777" w:rsidR="00601D9B" w:rsidRDefault="000E53A0">
            <w:pPr>
              <w:pStyle w:val="Default"/>
              <w:jc w:val="center"/>
              <w:rPr>
                <w:rFonts w:asciiTheme="minorHAnsi" w:hAnsiTheme="minorHAnsi" w:cstheme="minorHAnsi"/>
                <w:bCs/>
                <w:sz w:val="18"/>
                <w:szCs w:val="18"/>
              </w:rPr>
            </w:pPr>
            <w:r w:rsidRPr="004E0953">
              <w:rPr>
                <w:rFonts w:asciiTheme="minorHAnsi" w:hAnsiTheme="minorHAnsi" w:cstheme="minorHAnsi"/>
                <w:bCs/>
                <w:sz w:val="18"/>
                <w:szCs w:val="18"/>
              </w:rPr>
              <w:fldChar w:fldCharType="begin">
                <w:ffData>
                  <w:name w:val=""/>
                  <w:enabled/>
                  <w:calcOnExit w:val="0"/>
                  <w:checkBox>
                    <w:sizeAuto/>
                    <w:default w:val="0"/>
                  </w:checkBox>
                </w:ffData>
              </w:fldChar>
            </w:r>
            <w:r w:rsidRPr="004E0953">
              <w:rPr>
                <w:rFonts w:asciiTheme="minorHAnsi" w:hAnsiTheme="minorHAnsi" w:cstheme="minorHAnsi"/>
                <w:bCs/>
                <w:sz w:val="18"/>
                <w:szCs w:val="18"/>
              </w:rPr>
              <w:instrText xml:space="preserve"> FORMCHECKBOX </w:instrText>
            </w:r>
            <w:r w:rsidR="00B330C0">
              <w:rPr>
                <w:rFonts w:asciiTheme="minorHAnsi" w:hAnsiTheme="minorHAnsi" w:cstheme="minorHAnsi"/>
                <w:bCs/>
                <w:sz w:val="18"/>
                <w:szCs w:val="18"/>
              </w:rPr>
            </w:r>
            <w:r w:rsidR="00B330C0">
              <w:rPr>
                <w:rFonts w:asciiTheme="minorHAnsi" w:hAnsiTheme="minorHAnsi" w:cstheme="minorHAnsi"/>
                <w:bCs/>
                <w:sz w:val="18"/>
                <w:szCs w:val="18"/>
              </w:rPr>
              <w:fldChar w:fldCharType="separate"/>
            </w:r>
            <w:r w:rsidRPr="004E0953">
              <w:rPr>
                <w:rFonts w:asciiTheme="minorHAnsi" w:hAnsiTheme="minorHAnsi" w:cstheme="minorHAnsi"/>
                <w:bCs/>
                <w:sz w:val="18"/>
                <w:szCs w:val="18"/>
              </w:rPr>
              <w:fldChar w:fldCharType="end"/>
            </w:r>
          </w:p>
        </w:tc>
        <w:tc>
          <w:tcPr>
            <w:tcW w:w="678" w:type="dxa"/>
          </w:tcPr>
          <w:p w14:paraId="6ACF7C10" w14:textId="77777777" w:rsidR="00601D9B" w:rsidRDefault="000E53A0">
            <w:pPr>
              <w:pStyle w:val="Default"/>
              <w:jc w:val="center"/>
              <w:rPr>
                <w:rFonts w:asciiTheme="minorHAnsi" w:hAnsiTheme="minorHAnsi" w:cstheme="minorHAnsi"/>
                <w:bCs/>
                <w:sz w:val="18"/>
                <w:szCs w:val="18"/>
              </w:rPr>
            </w:pPr>
            <w:r w:rsidRPr="004E0953">
              <w:rPr>
                <w:rFonts w:asciiTheme="minorHAnsi" w:hAnsiTheme="minorHAnsi" w:cstheme="minorHAnsi"/>
                <w:bCs/>
                <w:sz w:val="18"/>
                <w:szCs w:val="18"/>
              </w:rPr>
              <w:fldChar w:fldCharType="begin">
                <w:ffData>
                  <w:name w:val=""/>
                  <w:enabled/>
                  <w:calcOnExit w:val="0"/>
                  <w:checkBox>
                    <w:sizeAuto/>
                    <w:default w:val="1"/>
                  </w:checkBox>
                </w:ffData>
              </w:fldChar>
            </w:r>
            <w:r w:rsidRPr="004E0953">
              <w:rPr>
                <w:rFonts w:asciiTheme="minorHAnsi" w:hAnsiTheme="minorHAnsi" w:cstheme="minorHAnsi"/>
                <w:bCs/>
                <w:sz w:val="18"/>
                <w:szCs w:val="18"/>
              </w:rPr>
              <w:instrText xml:space="preserve"> FORMCHECKBOX </w:instrText>
            </w:r>
            <w:r w:rsidR="00B330C0">
              <w:rPr>
                <w:rFonts w:asciiTheme="minorHAnsi" w:hAnsiTheme="minorHAnsi" w:cstheme="minorHAnsi"/>
                <w:bCs/>
                <w:sz w:val="18"/>
                <w:szCs w:val="18"/>
              </w:rPr>
            </w:r>
            <w:r w:rsidR="00B330C0">
              <w:rPr>
                <w:rFonts w:asciiTheme="minorHAnsi" w:hAnsiTheme="minorHAnsi" w:cstheme="minorHAnsi"/>
                <w:bCs/>
                <w:sz w:val="18"/>
                <w:szCs w:val="18"/>
              </w:rPr>
              <w:fldChar w:fldCharType="separate"/>
            </w:r>
            <w:r w:rsidRPr="004E0953">
              <w:rPr>
                <w:rFonts w:asciiTheme="minorHAnsi" w:hAnsiTheme="minorHAnsi" w:cstheme="minorHAnsi"/>
                <w:bCs/>
                <w:sz w:val="18"/>
                <w:szCs w:val="18"/>
              </w:rPr>
              <w:fldChar w:fldCharType="end"/>
            </w:r>
          </w:p>
        </w:tc>
      </w:tr>
    </w:tbl>
    <w:p w14:paraId="47607F3C" w14:textId="77777777" w:rsidR="00D44A58" w:rsidRDefault="00D44A58" w:rsidP="00327D3D">
      <w:pPr>
        <w:rPr>
          <w:i/>
          <w:szCs w:val="20"/>
          <w:highlight w:val="yellow"/>
        </w:rPr>
      </w:pPr>
      <w:r>
        <w:rPr>
          <w:i/>
          <w:szCs w:val="20"/>
          <w:highlight w:val="yellow"/>
        </w:rPr>
        <w:br w:type="page"/>
      </w:r>
    </w:p>
    <w:p w14:paraId="5BFDEC2C" w14:textId="77777777" w:rsidR="00443BAA" w:rsidRPr="00DC6170" w:rsidRDefault="00443BAA" w:rsidP="00327D3D">
      <w:pPr>
        <w:rPr>
          <w:i/>
          <w:szCs w:val="20"/>
          <w:highlight w:val="yellow"/>
        </w:rPr>
      </w:pPr>
    </w:p>
    <w:p w14:paraId="375A49D9" w14:textId="77777777" w:rsidR="00601D9B" w:rsidRDefault="000E53A0">
      <w:pPr>
        <w:pStyle w:val="Titre1"/>
        <w:spacing w:before="0" w:after="0"/>
        <w:rPr>
          <w:rFonts w:ascii="Calibri" w:hAnsi="Calibri"/>
          <w:szCs w:val="28"/>
        </w:rPr>
      </w:pPr>
      <w:bookmarkStart w:id="17" w:name="_Toc46749078"/>
      <w:bookmarkStart w:id="18" w:name="_Toc207800911"/>
      <w:r w:rsidRPr="00D218B7">
        <w:rPr>
          <w:rFonts w:ascii="Calibri" w:hAnsi="Calibri"/>
          <w:szCs w:val="28"/>
        </w:rPr>
        <w:t xml:space="preserve">Stratégie </w:t>
      </w:r>
      <w:bookmarkEnd w:id="17"/>
      <w:bookmarkEnd w:id="18"/>
    </w:p>
    <w:p w14:paraId="1DCFD8F5" w14:textId="77777777" w:rsidR="00601D9B" w:rsidRPr="000E53A0" w:rsidRDefault="000E53A0">
      <w:pPr>
        <w:pStyle w:val="GEFQuestion"/>
        <w:shd w:val="clear" w:color="auto" w:fill="FFFFFF"/>
        <w:spacing w:after="60"/>
        <w:ind w:left="0"/>
        <w:jc w:val="both"/>
        <w:rPr>
          <w:rFonts w:asciiTheme="minorHAnsi" w:hAnsiTheme="minorHAnsi" w:cstheme="minorHAnsi"/>
          <w:sz w:val="20"/>
          <w:szCs w:val="20"/>
          <w:lang w:val="fr-FR"/>
        </w:rPr>
      </w:pPr>
      <w:bookmarkStart w:id="19" w:name="_Toc71708647"/>
      <w:r w:rsidRPr="000E53A0">
        <w:rPr>
          <w:rFonts w:asciiTheme="minorHAnsi" w:hAnsiTheme="minorHAnsi" w:cstheme="minorHAnsi"/>
          <w:sz w:val="20"/>
          <w:szCs w:val="20"/>
          <w:lang w:val="fr-FR" w:eastAsia="ar-SA"/>
        </w:rPr>
        <w:t xml:space="preserve">Le projet proposé vise à assurer la durabilité à long terme des paysages productifs vulnérables dans les régions centrales du Mali de Mopti et Ségou, par le biais de solutions basées sur la nature qui, simultanément, inversent la dégradation des terres, renforcent la résilience des communautés aux impacts du changement climatique et </w:t>
      </w:r>
      <w:r w:rsidR="00036D36" w:rsidRPr="000E53A0">
        <w:rPr>
          <w:rFonts w:asciiTheme="minorHAnsi" w:hAnsiTheme="minorHAnsi" w:cstheme="minorHAnsi"/>
          <w:sz w:val="20"/>
          <w:szCs w:val="20"/>
          <w:lang w:val="fr-FR" w:eastAsia="ar-SA"/>
        </w:rPr>
        <w:t>contribuent à la consolidation de la paix</w:t>
      </w:r>
      <w:r w:rsidRPr="000E53A0">
        <w:rPr>
          <w:rFonts w:asciiTheme="minorHAnsi" w:hAnsiTheme="minorHAnsi" w:cstheme="minorHAnsi"/>
          <w:sz w:val="20"/>
          <w:szCs w:val="20"/>
          <w:lang w:val="fr-FR" w:eastAsia="ar-SA"/>
        </w:rPr>
        <w:t>. Ces solutions basées sur la nature suivront les principes de l'adaptation sensible aux conflits, ce qui est essentiel dans les zones où il y a une forte dépendance aux ressources naturelles et dans des contextes déjà fragiles (politiquement, socialement, économiquement, environnementalement)</w:t>
      </w:r>
      <w:r w:rsidRPr="002A42CE">
        <w:rPr>
          <w:rFonts w:asciiTheme="minorHAnsi" w:hAnsiTheme="minorHAnsi" w:cstheme="minorHAnsi"/>
          <w:sz w:val="20"/>
          <w:szCs w:val="20"/>
          <w:vertAlign w:val="superscript"/>
          <w:lang w:eastAsia="ar-SA"/>
        </w:rPr>
        <w:footnoteReference w:id="49"/>
      </w:r>
      <w:r w:rsidRPr="000E53A0">
        <w:rPr>
          <w:rFonts w:asciiTheme="minorHAnsi" w:hAnsiTheme="minorHAnsi" w:cstheme="minorHAnsi"/>
          <w:sz w:val="20"/>
          <w:szCs w:val="20"/>
          <w:lang w:val="fr-FR" w:eastAsia="ar-SA"/>
        </w:rPr>
        <w:t xml:space="preserve">. </w:t>
      </w:r>
      <w:r w:rsidRPr="000E53A0">
        <w:rPr>
          <w:rFonts w:asciiTheme="minorHAnsi" w:hAnsiTheme="minorHAnsi" w:cstheme="minorHAnsi"/>
          <w:sz w:val="20"/>
          <w:szCs w:val="20"/>
          <w:lang w:val="fr-FR"/>
        </w:rPr>
        <w:t xml:space="preserve">L'accent principal du projet, et la majeure partie des ressources proposées, sont concentrés sur les activités sur le terrain impliquant les communautés et leurs structures, le gouvernement local, et les acteurs du secteur privé - à travers les composantes 2 et 3. Les interventions du projet dans la composante 1 soutiennent les efforts sur le terrain des composantes 2 et 3, en créant un environnement favorable qui soutient les stratégies de restauration de la productivité des terres et l'adaptation au changement climatique, et établit une base de référence pour et suit les changements dans la vulnérabilité au changement climatique et la capacité d'adaptation des communautés. Le projet arrive à point nommé car le pays a récemment (2020) développé son programme pour définir les objectifs nationaux de neutralité de la dégradation des terres, et est prêt à renforcer la coordination pour la mise en œuvre des stratégies d'adaptation et de reverdissement, et pour le suivi des progrès vers la neutralité de la dégradation des terres et la sécurité climatique. </w:t>
      </w:r>
    </w:p>
    <w:p w14:paraId="49C301A6" w14:textId="77777777" w:rsidR="002A42CE" w:rsidRPr="000E53A0" w:rsidRDefault="002A42CE" w:rsidP="002A42CE">
      <w:pPr>
        <w:rPr>
          <w:highlight w:val="yellow"/>
          <w:lang w:val="fr-FR"/>
        </w:rPr>
      </w:pPr>
    </w:p>
    <w:p w14:paraId="5923248E" w14:textId="77777777" w:rsidR="00601D9B" w:rsidRPr="000E53A0" w:rsidRDefault="000E53A0">
      <w:pPr>
        <w:pStyle w:val="Titre2"/>
        <w:rPr>
          <w:rFonts w:asciiTheme="minorHAnsi" w:hAnsiTheme="minorHAnsi" w:cstheme="minorHAnsi"/>
          <w:noProof/>
          <w:lang w:val="fr-FR"/>
        </w:rPr>
      </w:pPr>
      <w:bookmarkStart w:id="20" w:name="_Toc71708648"/>
      <w:bookmarkEnd w:id="19"/>
      <w:r w:rsidRPr="000E53A0">
        <w:rPr>
          <w:rFonts w:asciiTheme="minorHAnsi" w:hAnsiTheme="minorHAnsi" w:cstheme="minorHAnsi"/>
          <w:noProof/>
          <w:lang w:val="fr-FR"/>
        </w:rPr>
        <w:t xml:space="preserve">Théorie du changement du projet </w:t>
      </w:r>
      <w:bookmarkEnd w:id="20"/>
    </w:p>
    <w:p w14:paraId="343E40F7" w14:textId="77777777" w:rsidR="00601D9B" w:rsidRPr="000E53A0" w:rsidRDefault="000E53A0">
      <w:pPr>
        <w:pStyle w:val="ParagraphOED"/>
        <w:numPr>
          <w:ilvl w:val="0"/>
          <w:numId w:val="0"/>
        </w:numPr>
        <w:spacing w:after="60"/>
        <w:rPr>
          <w:rFonts w:asciiTheme="minorHAnsi" w:hAnsiTheme="minorHAnsi" w:cstheme="minorHAnsi"/>
          <w:color w:val="000000"/>
          <w:lang w:val="fr-FR"/>
        </w:rPr>
      </w:pPr>
      <w:r w:rsidRPr="000E53A0">
        <w:rPr>
          <w:rFonts w:asciiTheme="minorHAnsi" w:hAnsiTheme="minorHAnsi" w:cstheme="minorHAnsi"/>
          <w:color w:val="000000"/>
          <w:lang w:val="fr-FR"/>
        </w:rPr>
        <w:t>Cette section présente la théorie du changement (TdC) du projet, qui définit la logique causale du projet et les relations entre les résultats du projet</w:t>
      </w:r>
      <w:r w:rsidR="00036D36" w:rsidRPr="000E53A0">
        <w:rPr>
          <w:rFonts w:asciiTheme="minorHAnsi" w:hAnsiTheme="minorHAnsi" w:cstheme="minorHAnsi"/>
          <w:color w:val="000000"/>
          <w:lang w:val="fr-FR"/>
        </w:rPr>
        <w:t xml:space="preserve">, </w:t>
      </w:r>
      <w:r w:rsidRPr="000E53A0">
        <w:rPr>
          <w:rFonts w:asciiTheme="minorHAnsi" w:hAnsiTheme="minorHAnsi" w:cstheme="minorHAnsi"/>
          <w:color w:val="000000"/>
          <w:lang w:val="fr-FR"/>
        </w:rPr>
        <w:t xml:space="preserve">et les résultats immédiats du projet (changements résultant de l'utilisation des résultats du projet par les principales parties prenantes), </w:t>
      </w:r>
      <w:r w:rsidR="00036D36" w:rsidRPr="000E53A0">
        <w:rPr>
          <w:rFonts w:asciiTheme="minorHAnsi" w:hAnsiTheme="minorHAnsi" w:cstheme="minorHAnsi"/>
          <w:color w:val="000000"/>
          <w:lang w:val="fr-FR"/>
        </w:rPr>
        <w:t xml:space="preserve">ainsi que les </w:t>
      </w:r>
      <w:r w:rsidRPr="000E53A0">
        <w:rPr>
          <w:rFonts w:asciiTheme="minorHAnsi" w:hAnsiTheme="minorHAnsi" w:cstheme="minorHAnsi"/>
          <w:color w:val="000000"/>
          <w:lang w:val="fr-FR"/>
        </w:rPr>
        <w:t xml:space="preserve">changements et les états à moyen et long terme, et l'impact final souhaité du projet. </w:t>
      </w:r>
    </w:p>
    <w:p w14:paraId="534F145A" w14:textId="77777777" w:rsidR="00601D9B" w:rsidRDefault="000E53A0">
      <w:pPr>
        <w:pStyle w:val="ParagraphOED"/>
        <w:numPr>
          <w:ilvl w:val="0"/>
          <w:numId w:val="0"/>
        </w:numPr>
        <w:spacing w:after="60"/>
        <w:rPr>
          <w:rFonts w:asciiTheme="minorHAnsi" w:hAnsiTheme="minorHAnsi" w:cstheme="minorHAnsi"/>
          <w:color w:val="000000"/>
        </w:rPr>
      </w:pPr>
      <w:bookmarkStart w:id="21" w:name="_Hlk51961801"/>
      <w:r w:rsidRPr="000E53A0">
        <w:rPr>
          <w:rFonts w:asciiTheme="minorHAnsi" w:hAnsiTheme="minorHAnsi" w:cstheme="minorHAnsi"/>
          <w:color w:val="000000"/>
          <w:lang w:val="fr-FR"/>
        </w:rPr>
        <w:t xml:space="preserve">Le problème que le projet cherche à résoudre est que </w:t>
      </w:r>
      <w:r w:rsidRPr="002A42CE">
        <w:rPr>
          <w:rFonts w:asciiTheme="minorHAnsi" w:hAnsiTheme="minorHAnsi" w:cstheme="minorHAnsi"/>
          <w:color w:val="000000"/>
        </w:rPr>
        <w:t xml:space="preserve">la région centrale du Mali est caractérisée par des paysages productifs vulnérables, qui souffrent d'une grave dégradation des terres et d'une baisse de leur productivité, de la désertification et de l'empiètement du Sahara, de la perte de biodiversité, de conflits intercommunautaires fréquents et d'une </w:t>
      </w:r>
      <w:r w:rsidRPr="000E53A0">
        <w:rPr>
          <w:rFonts w:asciiTheme="minorHAnsi" w:hAnsiTheme="minorHAnsi" w:cstheme="minorHAnsi"/>
          <w:color w:val="000000"/>
          <w:lang w:val="fr-FR"/>
        </w:rPr>
        <w:t xml:space="preserve">exposition </w:t>
      </w:r>
      <w:r w:rsidRPr="002A42CE">
        <w:rPr>
          <w:rFonts w:asciiTheme="minorHAnsi" w:hAnsiTheme="minorHAnsi" w:cstheme="minorHAnsi"/>
          <w:color w:val="000000"/>
        </w:rPr>
        <w:t xml:space="preserve">croissante au changement climatique. </w:t>
      </w:r>
      <w:r w:rsidRPr="000E53A0">
        <w:rPr>
          <w:rFonts w:asciiTheme="minorHAnsi" w:hAnsiTheme="minorHAnsi" w:cstheme="minorHAnsi"/>
          <w:color w:val="000000"/>
          <w:lang w:val="fr-FR"/>
        </w:rPr>
        <w:t>Tous ces facteurs entravent la capacité des écosystèmes à fournir des biens et des services essentiels aux moyens de subsistance, à la sécurité alimentaire, à la santé humaine et au développement économique général, ce qui nuit à la résilience climatique des communautés locales.</w:t>
      </w:r>
    </w:p>
    <w:p w14:paraId="1BCCAB9F" w14:textId="77777777" w:rsidR="00601D9B" w:rsidRPr="000E53A0" w:rsidRDefault="000E53A0">
      <w:pPr>
        <w:pStyle w:val="ParagraphOED"/>
        <w:numPr>
          <w:ilvl w:val="0"/>
          <w:numId w:val="0"/>
        </w:numPr>
        <w:spacing w:after="60"/>
        <w:rPr>
          <w:rFonts w:asciiTheme="minorHAnsi" w:hAnsiTheme="minorHAnsi" w:cstheme="minorHAnsi"/>
          <w:color w:val="000000"/>
          <w:lang w:val="fr-FR"/>
        </w:rPr>
      </w:pPr>
      <w:r w:rsidRPr="000E53A0">
        <w:rPr>
          <w:rFonts w:asciiTheme="minorHAnsi" w:hAnsiTheme="minorHAnsi" w:cstheme="minorHAnsi"/>
          <w:color w:val="000000"/>
          <w:lang w:val="fr-FR"/>
        </w:rPr>
        <w:t xml:space="preserve">Les causes profondes et les moteurs de cette dégradation et de cette vulnérabilité au changement climatique ont été présentés précédemment, et </w:t>
      </w:r>
      <w:r w:rsidR="00F50448" w:rsidRPr="000E53A0">
        <w:rPr>
          <w:rFonts w:asciiTheme="minorHAnsi" w:hAnsiTheme="minorHAnsi" w:cstheme="minorHAnsi"/>
          <w:color w:val="000000"/>
          <w:lang w:val="fr-FR"/>
        </w:rPr>
        <w:t xml:space="preserve">peuvent </w:t>
      </w:r>
      <w:r w:rsidRPr="000E53A0">
        <w:rPr>
          <w:rFonts w:asciiTheme="minorHAnsi" w:hAnsiTheme="minorHAnsi" w:cstheme="minorHAnsi"/>
          <w:color w:val="000000"/>
          <w:lang w:val="fr-FR"/>
        </w:rPr>
        <w:t xml:space="preserve">être résumés comme </w:t>
      </w:r>
      <w:r w:rsidR="00F50448" w:rsidRPr="000E53A0">
        <w:rPr>
          <w:rFonts w:asciiTheme="minorHAnsi" w:hAnsiTheme="minorHAnsi" w:cstheme="minorHAnsi"/>
          <w:color w:val="000000"/>
          <w:lang w:val="fr-FR"/>
        </w:rPr>
        <w:t xml:space="preserve">suit </w:t>
      </w:r>
      <w:r w:rsidRPr="000E53A0">
        <w:rPr>
          <w:rFonts w:asciiTheme="minorHAnsi" w:hAnsiTheme="minorHAnsi" w:cstheme="minorHAnsi"/>
          <w:color w:val="000000"/>
          <w:lang w:val="fr-FR"/>
        </w:rPr>
        <w:t xml:space="preserve">: La région centrale du Mali connaît de fortes pressions démographiques et une pauvreté généralisée, des inégalités de genre omniprésentes et des violences basées sur le genre, ainsi qu'un contexte très fragile avec des conflits intercommunautaires récurrents et l'extrémisme. Les facteurs climatiques dont l'augmentation des températures menaçant la santé humaine, végétale et animale, et les épisodes de précipitations et de vents intenses qui contribuent à l'érosion, tandis que la surexploitation des formations forestières et des parcours pastoraux ; les mauvaises pratiques de gestion agricole dont la faible restitution au sol des prélèvements effectués par les cultures, la disparition des systèmes de jachère, la monoculture continue des céréales, l'absence d'intensification agricole, et le manque d'application des techniques anti-érosives sont autant de facteurs de dégradation des terres et de vulnérabilité climatique. </w:t>
      </w:r>
      <w:bookmarkEnd w:id="21"/>
    </w:p>
    <w:p w14:paraId="15E0ADF5" w14:textId="77777777" w:rsidR="00601D9B" w:rsidRPr="000E53A0" w:rsidRDefault="000E53A0">
      <w:pPr>
        <w:pStyle w:val="ParagraphOED"/>
        <w:numPr>
          <w:ilvl w:val="0"/>
          <w:numId w:val="0"/>
        </w:numPr>
        <w:spacing w:after="60"/>
        <w:rPr>
          <w:rFonts w:asciiTheme="minorHAnsi" w:hAnsiTheme="minorHAnsi" w:cstheme="minorHAnsi"/>
          <w:color w:val="000000"/>
          <w:lang w:val="fr-FR"/>
        </w:rPr>
      </w:pPr>
      <w:bookmarkStart w:id="22" w:name="_Hlk51961893"/>
      <w:r w:rsidRPr="000E53A0">
        <w:rPr>
          <w:rFonts w:asciiTheme="minorHAnsi" w:hAnsiTheme="minorHAnsi" w:cstheme="minorHAnsi"/>
          <w:color w:val="000000"/>
          <w:lang w:val="fr-FR"/>
        </w:rPr>
        <w:t>Le projet vise</w:t>
      </w:r>
      <w:bookmarkEnd w:id="22"/>
      <w:r w:rsidRPr="000E53A0">
        <w:rPr>
          <w:rFonts w:asciiTheme="minorHAnsi" w:hAnsiTheme="minorHAnsi" w:cstheme="minorHAnsi"/>
          <w:color w:val="000000"/>
          <w:lang w:val="fr-FR"/>
        </w:rPr>
        <w:t xml:space="preserve"> </w:t>
      </w:r>
      <w:r w:rsidR="00F50448" w:rsidRPr="000E53A0">
        <w:rPr>
          <w:rFonts w:asciiTheme="minorHAnsi" w:hAnsiTheme="minorHAnsi" w:cstheme="minorHAnsi"/>
          <w:color w:val="000000"/>
          <w:lang w:val="fr-FR"/>
        </w:rPr>
        <w:t xml:space="preserve">à </w:t>
      </w:r>
      <w:r w:rsidRPr="000E53A0">
        <w:rPr>
          <w:rFonts w:asciiTheme="minorHAnsi" w:hAnsiTheme="minorHAnsi" w:cstheme="minorHAnsi"/>
          <w:color w:val="000000"/>
          <w:lang w:val="fr-FR"/>
        </w:rPr>
        <w:t xml:space="preserve">assurer la durabilité à long terme des paysages productifs vulnérables dans la région centrale de Mopti au Mali, grâce à des solutions fondées sur la nature qui inversent la dégradation des terres, renforcent la résilience climatique des communautés et favorisent la résolution des conflits (objectif du projet). Plus précisément, le projet vise à surmonter les </w:t>
      </w:r>
      <w:r w:rsidR="00036D36" w:rsidRPr="000E53A0">
        <w:rPr>
          <w:rFonts w:asciiTheme="minorHAnsi" w:hAnsiTheme="minorHAnsi" w:cstheme="minorHAnsi"/>
          <w:color w:val="000000"/>
          <w:lang w:val="fr-FR"/>
        </w:rPr>
        <w:t xml:space="preserve">six </w:t>
      </w:r>
      <w:r w:rsidRPr="000E53A0">
        <w:rPr>
          <w:rFonts w:asciiTheme="minorHAnsi" w:hAnsiTheme="minorHAnsi" w:cstheme="minorHAnsi"/>
          <w:color w:val="000000"/>
          <w:lang w:val="fr-FR"/>
        </w:rPr>
        <w:t xml:space="preserve">barrières suivantes agissant contre la réalisation de la RLD </w:t>
      </w:r>
      <w:r w:rsidR="00036D36" w:rsidRPr="000E53A0">
        <w:rPr>
          <w:rFonts w:asciiTheme="minorHAnsi" w:hAnsiTheme="minorHAnsi" w:cstheme="minorHAnsi"/>
          <w:color w:val="000000"/>
          <w:lang w:val="fr-FR"/>
        </w:rPr>
        <w:t xml:space="preserve">et l'adaptation au changement climatique </w:t>
      </w:r>
      <w:r w:rsidRPr="000E53A0">
        <w:rPr>
          <w:rFonts w:asciiTheme="minorHAnsi" w:hAnsiTheme="minorHAnsi" w:cstheme="minorHAnsi"/>
          <w:color w:val="000000"/>
          <w:lang w:val="fr-FR"/>
        </w:rPr>
        <w:t xml:space="preserve">dans les paysages ciblés : </w:t>
      </w:r>
    </w:p>
    <w:p w14:paraId="677E5682" w14:textId="77777777" w:rsidR="00601D9B" w:rsidRPr="000E53A0" w:rsidRDefault="000E53A0">
      <w:pPr>
        <w:pStyle w:val="ParagraphOED"/>
        <w:numPr>
          <w:ilvl w:val="0"/>
          <w:numId w:val="64"/>
        </w:numPr>
        <w:spacing w:after="60"/>
        <w:rPr>
          <w:rFonts w:asciiTheme="minorHAnsi" w:hAnsiTheme="minorHAnsi" w:cstheme="minorHAnsi"/>
          <w:color w:val="000000"/>
          <w:lang w:val="fr-FR"/>
        </w:rPr>
      </w:pPr>
      <w:r w:rsidRPr="000E53A0">
        <w:rPr>
          <w:rFonts w:asciiTheme="minorHAnsi" w:hAnsiTheme="minorHAnsi" w:cstheme="minorHAnsi"/>
          <w:color w:val="000000"/>
          <w:lang w:val="fr-FR"/>
        </w:rPr>
        <w:t>Capacité institutionnelle, mécanismes de gouvernance et outils limités pour une approche intersectorielle de la mise en œuvre du RLD et de l'adaptation.</w:t>
      </w:r>
    </w:p>
    <w:p w14:paraId="74C9B681" w14:textId="77777777" w:rsidR="00601D9B" w:rsidRPr="000E53A0" w:rsidRDefault="000E53A0">
      <w:pPr>
        <w:pStyle w:val="ParagraphOED"/>
        <w:numPr>
          <w:ilvl w:val="0"/>
          <w:numId w:val="64"/>
        </w:numPr>
        <w:spacing w:after="60"/>
        <w:rPr>
          <w:rFonts w:asciiTheme="minorHAnsi" w:hAnsiTheme="minorHAnsi" w:cstheme="minorHAnsi"/>
          <w:color w:val="000000"/>
          <w:lang w:val="fr-FR"/>
        </w:rPr>
      </w:pPr>
      <w:r w:rsidRPr="000E53A0">
        <w:rPr>
          <w:rFonts w:asciiTheme="minorHAnsi" w:hAnsiTheme="minorHAnsi" w:cstheme="minorHAnsi"/>
          <w:color w:val="000000"/>
          <w:lang w:val="fr-FR"/>
        </w:rPr>
        <w:lastRenderedPageBreak/>
        <w:t>Absence d'approche harmonisée pour suivre, évaluer et rendre compte des progrès réalisés en matière de RLD/objectifs d'adaptation.</w:t>
      </w:r>
    </w:p>
    <w:p w14:paraId="796B67AC" w14:textId="77777777" w:rsidR="00601D9B" w:rsidRPr="000E53A0" w:rsidRDefault="000E53A0">
      <w:pPr>
        <w:pStyle w:val="ParagraphOED"/>
        <w:numPr>
          <w:ilvl w:val="0"/>
          <w:numId w:val="64"/>
        </w:numPr>
        <w:spacing w:after="60"/>
        <w:rPr>
          <w:rFonts w:asciiTheme="minorHAnsi" w:hAnsiTheme="minorHAnsi" w:cstheme="minorHAnsi"/>
          <w:color w:val="000000"/>
          <w:lang w:val="fr-FR"/>
        </w:rPr>
      </w:pPr>
      <w:r w:rsidRPr="000E53A0">
        <w:rPr>
          <w:rFonts w:asciiTheme="minorHAnsi" w:hAnsiTheme="minorHAnsi" w:cstheme="minorHAnsi"/>
          <w:color w:val="000000"/>
          <w:lang w:val="fr-FR"/>
        </w:rPr>
        <w:t>Absence de cadres efficaces pour la planification communautaire de l'utilisation des terres, la gestion des ressources naturelles et les mécanismes de résolution des conflits.</w:t>
      </w:r>
    </w:p>
    <w:p w14:paraId="28753895" w14:textId="77777777" w:rsidR="00601D9B" w:rsidRPr="000E53A0" w:rsidRDefault="000E53A0">
      <w:pPr>
        <w:pStyle w:val="ParagraphOED"/>
        <w:numPr>
          <w:ilvl w:val="0"/>
          <w:numId w:val="64"/>
        </w:numPr>
        <w:spacing w:after="60"/>
        <w:rPr>
          <w:rFonts w:asciiTheme="minorHAnsi" w:hAnsiTheme="minorHAnsi" w:cstheme="minorHAnsi"/>
          <w:color w:val="000000"/>
          <w:lang w:val="fr-FR"/>
        </w:rPr>
      </w:pPr>
      <w:r w:rsidRPr="000E53A0">
        <w:rPr>
          <w:rFonts w:asciiTheme="minorHAnsi" w:hAnsiTheme="minorHAnsi" w:cstheme="minorHAnsi"/>
          <w:color w:val="000000"/>
          <w:lang w:val="fr-FR"/>
        </w:rPr>
        <w:t>Capacité limitée (humaine, technique, intrants) pour mettre en œuvre des pratiques résilientes par le biais d'une approche paysagère.</w:t>
      </w:r>
    </w:p>
    <w:p w14:paraId="340872CA" w14:textId="77777777" w:rsidR="00601D9B" w:rsidRPr="000E53A0" w:rsidRDefault="000E53A0">
      <w:pPr>
        <w:pStyle w:val="ParagraphOED"/>
        <w:numPr>
          <w:ilvl w:val="0"/>
          <w:numId w:val="64"/>
        </w:numPr>
        <w:spacing w:after="60"/>
        <w:rPr>
          <w:rFonts w:asciiTheme="minorHAnsi" w:hAnsiTheme="minorHAnsi" w:cstheme="minorHAnsi"/>
          <w:color w:val="000000"/>
          <w:lang w:val="fr-FR"/>
        </w:rPr>
      </w:pPr>
      <w:r w:rsidRPr="000E53A0">
        <w:rPr>
          <w:rFonts w:asciiTheme="minorHAnsi" w:hAnsiTheme="minorHAnsi" w:cstheme="minorHAnsi"/>
          <w:color w:val="000000"/>
          <w:lang w:val="fr-FR"/>
        </w:rPr>
        <w:t>Soutien insuffisant pour les ménages et les communautés qui souhaitent s'engager dans des entreprises vertes innovantes</w:t>
      </w:r>
    </w:p>
    <w:p w14:paraId="43286DE0" w14:textId="77777777" w:rsidR="00601D9B" w:rsidRPr="000E53A0" w:rsidRDefault="000E53A0">
      <w:pPr>
        <w:pStyle w:val="ParagraphOED"/>
        <w:numPr>
          <w:ilvl w:val="0"/>
          <w:numId w:val="64"/>
        </w:numPr>
        <w:spacing w:after="60"/>
        <w:rPr>
          <w:rFonts w:asciiTheme="minorHAnsi" w:hAnsiTheme="minorHAnsi" w:cstheme="minorHAnsi"/>
          <w:color w:val="000000"/>
          <w:lang w:val="fr-FR"/>
        </w:rPr>
      </w:pPr>
      <w:r w:rsidRPr="000E53A0">
        <w:rPr>
          <w:rFonts w:asciiTheme="minorHAnsi" w:hAnsiTheme="minorHAnsi" w:cstheme="minorHAnsi"/>
          <w:color w:val="000000"/>
          <w:lang w:val="fr-FR"/>
        </w:rPr>
        <w:t xml:space="preserve">Manque d'échange d'informations et de possibilités d'apprentissage entre les multiples initiatives fragmentées dans les régions centrales et le Sahel. </w:t>
      </w:r>
    </w:p>
    <w:p w14:paraId="010BF096" w14:textId="77777777" w:rsidR="00601D9B" w:rsidRPr="000E53A0" w:rsidRDefault="000E53A0">
      <w:pPr>
        <w:pStyle w:val="ParagraphOED"/>
        <w:numPr>
          <w:ilvl w:val="0"/>
          <w:numId w:val="0"/>
        </w:numPr>
        <w:spacing w:after="60"/>
        <w:rPr>
          <w:rFonts w:asciiTheme="minorHAnsi" w:hAnsiTheme="minorHAnsi" w:cstheme="minorHAnsi"/>
          <w:color w:val="000000"/>
          <w:lang w:val="fr-FR"/>
        </w:rPr>
      </w:pPr>
      <w:bookmarkStart w:id="23" w:name="_Hlk51961939"/>
      <w:r w:rsidRPr="000E53A0">
        <w:rPr>
          <w:rFonts w:asciiTheme="minorHAnsi" w:hAnsiTheme="minorHAnsi" w:cstheme="minorHAnsi"/>
          <w:color w:val="000000"/>
          <w:lang w:val="fr-FR"/>
        </w:rPr>
        <w:t xml:space="preserve">Pour ce faire, le projet propose de travailler sur quatre composantes complémentaires, qui seront soutenues par des activités et des résultats, afin d'atteindre un ensemble de quatre résultats immédiats au niveau du projet. </w:t>
      </w:r>
      <w:bookmarkEnd w:id="23"/>
      <w:proofErr w:type="gramStart"/>
      <w:r w:rsidR="00C75398" w:rsidRPr="000E53A0">
        <w:rPr>
          <w:rFonts w:asciiTheme="minorHAnsi" w:hAnsiTheme="minorHAnsi" w:cstheme="minorHAnsi"/>
          <w:color w:val="000000"/>
          <w:lang w:val="fr-FR"/>
        </w:rPr>
        <w:t>projet</w:t>
      </w:r>
      <w:proofErr w:type="gramEnd"/>
      <w:r w:rsidR="00C75398" w:rsidRPr="000E53A0">
        <w:rPr>
          <w:rFonts w:asciiTheme="minorHAnsi" w:hAnsiTheme="minorHAnsi" w:cstheme="minorHAnsi"/>
          <w:color w:val="000000"/>
          <w:lang w:val="fr-FR"/>
        </w:rPr>
        <w:t xml:space="preserve"> contribuera également à </w:t>
      </w:r>
      <w:r w:rsidRPr="000E53A0">
        <w:rPr>
          <w:rFonts w:asciiTheme="minorHAnsi" w:hAnsiTheme="minorHAnsi" w:cstheme="minorHAnsi"/>
          <w:color w:val="000000"/>
          <w:lang w:val="fr-FR"/>
        </w:rPr>
        <w:t xml:space="preserve">produire des </w:t>
      </w:r>
      <w:r w:rsidR="00C75398" w:rsidRPr="000E53A0">
        <w:rPr>
          <w:rFonts w:asciiTheme="minorHAnsi" w:hAnsiTheme="minorHAnsi" w:cstheme="minorHAnsi"/>
          <w:color w:val="000000"/>
          <w:lang w:val="fr-FR"/>
        </w:rPr>
        <w:t xml:space="preserve">avantages socio-économiques </w:t>
      </w:r>
      <w:r w:rsidRPr="000E53A0">
        <w:rPr>
          <w:rFonts w:asciiTheme="minorHAnsi" w:hAnsiTheme="minorHAnsi" w:cstheme="minorHAnsi"/>
          <w:color w:val="000000"/>
          <w:lang w:val="fr-FR"/>
        </w:rPr>
        <w:t xml:space="preserve">et de </w:t>
      </w:r>
      <w:r w:rsidR="00C75398" w:rsidRPr="000E53A0">
        <w:rPr>
          <w:rFonts w:asciiTheme="minorHAnsi" w:hAnsiTheme="minorHAnsi" w:cstheme="minorHAnsi"/>
          <w:color w:val="000000"/>
          <w:lang w:val="fr-FR"/>
        </w:rPr>
        <w:t>développement</w:t>
      </w:r>
      <w:r w:rsidRPr="000E53A0">
        <w:rPr>
          <w:rFonts w:asciiTheme="minorHAnsi" w:hAnsiTheme="minorHAnsi" w:cstheme="minorHAnsi"/>
          <w:color w:val="000000"/>
          <w:lang w:val="fr-FR"/>
        </w:rPr>
        <w:t xml:space="preserve">, en apportant finalement des contributions directes aux objectifs du MEA et aux </w:t>
      </w:r>
      <w:r w:rsidR="00C75398" w:rsidRPr="000E53A0">
        <w:rPr>
          <w:rFonts w:asciiTheme="minorHAnsi" w:hAnsiTheme="minorHAnsi" w:cstheme="minorHAnsi"/>
          <w:color w:val="000000"/>
          <w:lang w:val="fr-FR"/>
        </w:rPr>
        <w:t xml:space="preserve">SDG. </w:t>
      </w:r>
    </w:p>
    <w:p w14:paraId="42196589" w14:textId="77777777" w:rsidR="00601D9B" w:rsidRPr="000E53A0" w:rsidRDefault="000E53A0">
      <w:pPr>
        <w:pStyle w:val="ParagraphOED"/>
        <w:numPr>
          <w:ilvl w:val="0"/>
          <w:numId w:val="0"/>
        </w:numPr>
        <w:spacing w:after="60"/>
        <w:rPr>
          <w:rFonts w:asciiTheme="minorHAnsi" w:hAnsiTheme="minorHAnsi" w:cstheme="minorHAnsi"/>
          <w:color w:val="000000"/>
          <w:lang w:val="fr-FR"/>
        </w:rPr>
      </w:pPr>
      <w:r w:rsidRPr="000E53A0">
        <w:rPr>
          <w:rFonts w:asciiTheme="minorHAnsi" w:hAnsiTheme="minorHAnsi" w:cstheme="minorHAnsi"/>
          <w:color w:val="000000"/>
          <w:lang w:val="fr-FR"/>
        </w:rPr>
        <w:t xml:space="preserve">La composante 1 s'attaquera aux obstacles 1 </w:t>
      </w:r>
      <w:r w:rsidR="000D64E8" w:rsidRPr="000E53A0">
        <w:rPr>
          <w:rFonts w:asciiTheme="minorHAnsi" w:hAnsiTheme="minorHAnsi" w:cstheme="minorHAnsi"/>
          <w:color w:val="000000"/>
          <w:lang w:val="fr-FR"/>
        </w:rPr>
        <w:t xml:space="preserve">et 2, </w:t>
      </w:r>
      <w:r w:rsidRPr="000E53A0">
        <w:rPr>
          <w:rFonts w:asciiTheme="minorHAnsi" w:hAnsiTheme="minorHAnsi" w:cstheme="minorHAnsi"/>
          <w:color w:val="000000"/>
          <w:lang w:val="fr-FR"/>
        </w:rPr>
        <w:t xml:space="preserve">en renforçant l'environnement favorable à la </w:t>
      </w:r>
      <w:r w:rsidR="000D64E8" w:rsidRPr="000E53A0">
        <w:rPr>
          <w:rFonts w:asciiTheme="minorHAnsi" w:hAnsiTheme="minorHAnsi" w:cstheme="minorHAnsi"/>
          <w:color w:val="000000"/>
          <w:lang w:val="fr-FR"/>
        </w:rPr>
        <w:t>mise en œuvre du RLD et de l'adaptation</w:t>
      </w:r>
      <w:r w:rsidRPr="000E53A0">
        <w:rPr>
          <w:rFonts w:asciiTheme="minorHAnsi" w:hAnsiTheme="minorHAnsi" w:cstheme="minorHAnsi"/>
          <w:color w:val="000000"/>
          <w:lang w:val="fr-FR"/>
        </w:rPr>
        <w:t xml:space="preserve">. </w:t>
      </w:r>
      <w:bookmarkStart w:id="24" w:name="_Hlk51962073"/>
      <w:r w:rsidRPr="000E53A0">
        <w:rPr>
          <w:rFonts w:asciiTheme="minorHAnsi" w:hAnsiTheme="minorHAnsi" w:cstheme="minorHAnsi"/>
          <w:color w:val="000000"/>
          <w:lang w:val="fr-FR"/>
        </w:rPr>
        <w:t xml:space="preserve">Elle y parviendra en </w:t>
      </w:r>
      <w:r w:rsidR="000D64E8" w:rsidRPr="000E53A0">
        <w:rPr>
          <w:rFonts w:asciiTheme="minorHAnsi" w:hAnsiTheme="minorHAnsi" w:cstheme="minorHAnsi"/>
          <w:color w:val="000000"/>
          <w:lang w:val="fr-FR"/>
        </w:rPr>
        <w:t xml:space="preserve">reformulant le </w:t>
      </w:r>
      <w:r w:rsidRPr="000E53A0">
        <w:rPr>
          <w:rFonts w:asciiTheme="minorHAnsi" w:hAnsiTheme="minorHAnsi" w:cstheme="minorHAnsi"/>
          <w:color w:val="000000"/>
          <w:lang w:val="fr-FR"/>
        </w:rPr>
        <w:t>LDN-NWG</w:t>
      </w:r>
      <w:r w:rsidR="000D64E8" w:rsidRPr="000E53A0">
        <w:rPr>
          <w:rFonts w:asciiTheme="minorHAnsi" w:hAnsiTheme="minorHAnsi" w:cstheme="minorHAnsi"/>
          <w:color w:val="000000"/>
          <w:lang w:val="fr-FR"/>
        </w:rPr>
        <w:t xml:space="preserve">, en créant son homologue régional, en soutenant le développement d'un plan d'action LDN, et en renforçant les connaissances sur les risques climatiques et la vulnérabilité, contribuant finalement au suivi des progrès dans la réalisation du LDN et de l'adaptation </w:t>
      </w:r>
      <w:bookmarkEnd w:id="24"/>
      <w:r w:rsidRPr="000E53A0">
        <w:rPr>
          <w:rFonts w:asciiTheme="minorHAnsi" w:hAnsiTheme="minorHAnsi" w:cstheme="minorHAnsi"/>
          <w:color w:val="000000"/>
          <w:lang w:val="fr-FR"/>
        </w:rPr>
        <w:t>La composante 1 a un résultat immédiat du projet :</w:t>
      </w:r>
    </w:p>
    <w:p w14:paraId="635917B4" w14:textId="77777777" w:rsidR="00601D9B" w:rsidRPr="000E53A0" w:rsidRDefault="000E53A0">
      <w:pPr>
        <w:pStyle w:val="ParagraphOED"/>
        <w:numPr>
          <w:ilvl w:val="0"/>
          <w:numId w:val="0"/>
        </w:numPr>
        <w:spacing w:after="60"/>
        <w:rPr>
          <w:rFonts w:asciiTheme="minorHAnsi" w:hAnsiTheme="minorHAnsi" w:cstheme="minorHAnsi"/>
          <w:color w:val="000000"/>
          <w:lang w:val="fr-FR"/>
        </w:rPr>
      </w:pPr>
      <w:r w:rsidRPr="000E53A0">
        <w:rPr>
          <w:rFonts w:asciiTheme="minorHAnsi" w:hAnsiTheme="minorHAnsi" w:cstheme="minorHAnsi"/>
          <w:b/>
          <w:bCs/>
          <w:color w:val="000000"/>
          <w:lang w:val="fr-FR"/>
        </w:rPr>
        <w:t xml:space="preserve">Résultat 1 : </w:t>
      </w:r>
      <w:r w:rsidR="000D64E8" w:rsidRPr="000E53A0">
        <w:rPr>
          <w:rFonts w:asciiTheme="minorHAnsi" w:hAnsiTheme="minorHAnsi" w:cstheme="minorHAnsi"/>
          <w:color w:val="000000"/>
          <w:lang w:val="fr-FR"/>
        </w:rPr>
        <w:t>Amélioration des capacités de coordination et de suivi au niveau national, pour atteindre les objectifs de neutralité en matière de dégradation des sols et s'adapter au changement climatique.</w:t>
      </w:r>
    </w:p>
    <w:p w14:paraId="6BEF3F03" w14:textId="77777777" w:rsidR="00601D9B" w:rsidRPr="000E53A0" w:rsidRDefault="000E53A0">
      <w:pPr>
        <w:pStyle w:val="ParagraphOED"/>
        <w:numPr>
          <w:ilvl w:val="0"/>
          <w:numId w:val="0"/>
        </w:numPr>
        <w:spacing w:after="60"/>
        <w:rPr>
          <w:rFonts w:asciiTheme="minorHAnsi" w:hAnsiTheme="minorHAnsi" w:cstheme="minorHAnsi"/>
          <w:color w:val="000000"/>
          <w:lang w:val="fr-FR"/>
        </w:rPr>
      </w:pPr>
      <w:r w:rsidRPr="000E53A0">
        <w:rPr>
          <w:rFonts w:asciiTheme="minorHAnsi" w:hAnsiTheme="minorHAnsi" w:cstheme="minorHAnsi"/>
          <w:color w:val="000000"/>
          <w:lang w:val="fr-FR"/>
        </w:rPr>
        <w:t xml:space="preserve">Le volet 2 s'attaquera aux obstacles 3 </w:t>
      </w:r>
      <w:r w:rsidR="000D64E8" w:rsidRPr="000E53A0">
        <w:rPr>
          <w:rFonts w:asciiTheme="minorHAnsi" w:hAnsiTheme="minorHAnsi" w:cstheme="minorHAnsi"/>
          <w:color w:val="000000"/>
          <w:lang w:val="fr-FR"/>
        </w:rPr>
        <w:t xml:space="preserve">et </w:t>
      </w:r>
      <w:r w:rsidRPr="000E53A0">
        <w:rPr>
          <w:rFonts w:asciiTheme="minorHAnsi" w:hAnsiTheme="minorHAnsi" w:cstheme="minorHAnsi"/>
          <w:color w:val="000000"/>
          <w:lang w:val="fr-FR"/>
        </w:rPr>
        <w:t xml:space="preserve">4, </w:t>
      </w:r>
      <w:bookmarkStart w:id="25" w:name="_Hlk51962114"/>
      <w:r w:rsidRPr="000E53A0">
        <w:rPr>
          <w:rFonts w:asciiTheme="minorHAnsi" w:hAnsiTheme="minorHAnsi" w:cstheme="minorHAnsi"/>
          <w:color w:val="000000"/>
          <w:lang w:val="fr-FR"/>
        </w:rPr>
        <w:t xml:space="preserve">en </w:t>
      </w:r>
      <w:r w:rsidR="000D64E8" w:rsidRPr="000E53A0">
        <w:rPr>
          <w:rFonts w:asciiTheme="minorHAnsi" w:hAnsiTheme="minorHAnsi" w:cstheme="minorHAnsi"/>
          <w:color w:val="000000"/>
          <w:lang w:val="fr-FR"/>
        </w:rPr>
        <w:t xml:space="preserve">travaillant aux côtés des communautés et des mécanismes traditionnels de résolution des conflits pour adopter plus largement des mesures de prévention des conflits en matière de gestion des ressources naturelles. En outre, le projet soutiendra l'intégration des questions d'adaptation dans les plans de développement locaux et </w:t>
      </w:r>
      <w:r w:rsidRPr="000E53A0">
        <w:rPr>
          <w:rFonts w:asciiTheme="minorHAnsi" w:hAnsiTheme="minorHAnsi" w:cstheme="minorHAnsi"/>
          <w:color w:val="000000"/>
          <w:lang w:val="fr-FR"/>
        </w:rPr>
        <w:t>encouragera l'</w:t>
      </w:r>
      <w:r w:rsidR="00D65B88" w:rsidRPr="000E53A0">
        <w:rPr>
          <w:rFonts w:asciiTheme="minorHAnsi" w:hAnsiTheme="minorHAnsi" w:cstheme="minorHAnsi"/>
          <w:color w:val="000000"/>
          <w:lang w:val="fr-FR"/>
        </w:rPr>
        <w:t>adoption de bonnes stratégies de gestion qui soutiennent le reverdissement et la restauration du paysage</w:t>
      </w:r>
      <w:r w:rsidRPr="000E53A0">
        <w:rPr>
          <w:rFonts w:asciiTheme="minorHAnsi" w:hAnsiTheme="minorHAnsi" w:cstheme="minorHAnsi"/>
          <w:color w:val="000000"/>
          <w:lang w:val="fr-FR"/>
        </w:rPr>
        <w:t xml:space="preserve">. </w:t>
      </w:r>
      <w:bookmarkEnd w:id="25"/>
      <w:r w:rsidRPr="000E53A0">
        <w:rPr>
          <w:rFonts w:asciiTheme="minorHAnsi" w:hAnsiTheme="minorHAnsi" w:cstheme="minorHAnsi"/>
          <w:color w:val="000000"/>
          <w:lang w:val="fr-FR"/>
        </w:rPr>
        <w:t xml:space="preserve">Le volet 2 a </w:t>
      </w:r>
      <w:r w:rsidR="00D65B88" w:rsidRPr="000E53A0">
        <w:rPr>
          <w:rFonts w:asciiTheme="minorHAnsi" w:hAnsiTheme="minorHAnsi" w:cstheme="minorHAnsi"/>
          <w:color w:val="000000"/>
          <w:lang w:val="fr-FR"/>
        </w:rPr>
        <w:t xml:space="preserve">un </w:t>
      </w:r>
      <w:r w:rsidRPr="000E53A0">
        <w:rPr>
          <w:rFonts w:asciiTheme="minorHAnsi" w:hAnsiTheme="minorHAnsi" w:cstheme="minorHAnsi"/>
          <w:color w:val="000000"/>
          <w:lang w:val="fr-FR"/>
        </w:rPr>
        <w:t>résultat immédiat pour le projet :</w:t>
      </w:r>
    </w:p>
    <w:p w14:paraId="54514223" w14:textId="77777777" w:rsidR="00601D9B" w:rsidRPr="000E53A0" w:rsidRDefault="000E53A0">
      <w:pPr>
        <w:pStyle w:val="ParagraphOED"/>
        <w:numPr>
          <w:ilvl w:val="0"/>
          <w:numId w:val="0"/>
        </w:numPr>
        <w:spacing w:after="60"/>
        <w:rPr>
          <w:rFonts w:asciiTheme="minorHAnsi" w:hAnsiTheme="minorHAnsi" w:cstheme="minorHAnsi"/>
          <w:color w:val="000000"/>
          <w:lang w:val="fr-FR"/>
        </w:rPr>
      </w:pPr>
      <w:r w:rsidRPr="000E53A0">
        <w:rPr>
          <w:rFonts w:asciiTheme="minorHAnsi" w:hAnsiTheme="minorHAnsi" w:cstheme="minorHAnsi"/>
          <w:b/>
          <w:bCs/>
          <w:color w:val="000000"/>
          <w:lang w:val="fr-FR"/>
        </w:rPr>
        <w:t xml:space="preserve">Résultat 2 : </w:t>
      </w:r>
      <w:r w:rsidR="000D64E8" w:rsidRPr="000E53A0">
        <w:rPr>
          <w:rFonts w:asciiTheme="minorHAnsi" w:hAnsiTheme="minorHAnsi" w:cstheme="minorHAnsi"/>
          <w:color w:val="000000"/>
          <w:lang w:val="fr-FR"/>
        </w:rPr>
        <w:t>La productivité est restaurée et les rendements sont augmentés dans les paysages vulnérables de pâturage, d'agriculture et de pêche grâce à une gestion communautaire efficace dans les régions centrales du Mali.</w:t>
      </w:r>
    </w:p>
    <w:p w14:paraId="4C630FDB" w14:textId="77777777" w:rsidR="00601D9B" w:rsidRPr="000E53A0" w:rsidRDefault="000E53A0">
      <w:pPr>
        <w:pStyle w:val="ParagraphOED"/>
        <w:numPr>
          <w:ilvl w:val="0"/>
          <w:numId w:val="0"/>
        </w:numPr>
        <w:spacing w:after="60"/>
        <w:rPr>
          <w:rFonts w:asciiTheme="minorHAnsi" w:hAnsiTheme="minorHAnsi" w:cstheme="minorHAnsi"/>
          <w:color w:val="000000"/>
          <w:lang w:val="fr-FR"/>
        </w:rPr>
      </w:pPr>
      <w:r w:rsidRPr="000E53A0">
        <w:rPr>
          <w:rFonts w:asciiTheme="minorHAnsi" w:hAnsiTheme="minorHAnsi" w:cstheme="minorHAnsi"/>
          <w:color w:val="000000"/>
          <w:lang w:val="fr-FR"/>
        </w:rPr>
        <w:t>La composante 3 s'attaquera à l'obstacle</w:t>
      </w:r>
      <w:bookmarkStart w:id="26" w:name="_Hlk51962201"/>
      <w:r w:rsidR="004C7D25" w:rsidRPr="000E53A0">
        <w:rPr>
          <w:rFonts w:asciiTheme="minorHAnsi" w:hAnsiTheme="minorHAnsi" w:cstheme="minorHAnsi"/>
          <w:color w:val="000000"/>
          <w:lang w:val="fr-FR"/>
        </w:rPr>
        <w:t xml:space="preserve"> </w:t>
      </w:r>
      <w:r w:rsidR="002066E3" w:rsidRPr="000E53A0">
        <w:rPr>
          <w:rFonts w:asciiTheme="minorHAnsi" w:hAnsiTheme="minorHAnsi" w:cstheme="minorHAnsi"/>
          <w:color w:val="000000"/>
          <w:lang w:val="fr-FR"/>
        </w:rPr>
        <w:t xml:space="preserve">5 en </w:t>
      </w:r>
      <w:bookmarkEnd w:id="26"/>
      <w:r w:rsidR="002F726A" w:rsidRPr="000E53A0">
        <w:rPr>
          <w:rFonts w:asciiTheme="minorHAnsi" w:hAnsiTheme="minorHAnsi" w:cstheme="minorHAnsi"/>
          <w:color w:val="000000"/>
          <w:lang w:val="fr-FR"/>
        </w:rPr>
        <w:t xml:space="preserve">permettant aux entrepreneurs, en particulier les femmes et les jeunes, de s'engager dans des </w:t>
      </w:r>
      <w:r w:rsidR="004C7D25" w:rsidRPr="000E53A0">
        <w:rPr>
          <w:rFonts w:asciiTheme="minorHAnsi" w:hAnsiTheme="minorHAnsi" w:cstheme="minorHAnsi"/>
          <w:color w:val="000000"/>
          <w:lang w:val="fr-FR"/>
        </w:rPr>
        <w:t xml:space="preserve">entreprises intelligentes du point de vue climatique grâce à une approche d'incubation d'entreprises. </w:t>
      </w:r>
      <w:r w:rsidRPr="000E53A0">
        <w:rPr>
          <w:rFonts w:asciiTheme="minorHAnsi" w:hAnsiTheme="minorHAnsi" w:cstheme="minorHAnsi"/>
          <w:color w:val="000000"/>
          <w:lang w:val="fr-FR"/>
        </w:rPr>
        <w:t xml:space="preserve">La composante 3 a </w:t>
      </w:r>
      <w:r w:rsidR="000C71ED" w:rsidRPr="000E53A0">
        <w:rPr>
          <w:rFonts w:asciiTheme="minorHAnsi" w:hAnsiTheme="minorHAnsi" w:cstheme="minorHAnsi"/>
          <w:color w:val="000000"/>
          <w:lang w:val="fr-FR"/>
        </w:rPr>
        <w:t xml:space="preserve">un </w:t>
      </w:r>
      <w:r w:rsidRPr="000E53A0">
        <w:rPr>
          <w:rFonts w:asciiTheme="minorHAnsi" w:hAnsiTheme="minorHAnsi" w:cstheme="minorHAnsi"/>
          <w:color w:val="000000"/>
          <w:lang w:val="fr-FR"/>
        </w:rPr>
        <w:t>résultat immédiat pour le projet :</w:t>
      </w:r>
    </w:p>
    <w:p w14:paraId="0F6427EB" w14:textId="77777777" w:rsidR="00601D9B" w:rsidRPr="000E53A0" w:rsidRDefault="000E53A0">
      <w:pPr>
        <w:pStyle w:val="ParagraphOED"/>
        <w:numPr>
          <w:ilvl w:val="0"/>
          <w:numId w:val="0"/>
        </w:numPr>
        <w:spacing w:after="60"/>
        <w:rPr>
          <w:rFonts w:asciiTheme="minorHAnsi" w:hAnsiTheme="minorHAnsi" w:cstheme="minorHAnsi"/>
          <w:color w:val="000000"/>
          <w:lang w:val="fr-FR"/>
        </w:rPr>
      </w:pPr>
      <w:r w:rsidRPr="004E0953">
        <w:rPr>
          <w:rFonts w:asciiTheme="minorHAnsi" w:hAnsiTheme="minorHAnsi" w:cstheme="minorHAnsi"/>
          <w:b/>
          <w:bCs/>
          <w:color w:val="000000"/>
        </w:rPr>
        <w:t xml:space="preserve">Résultat 3 : les </w:t>
      </w:r>
      <w:r w:rsidR="000D64E8" w:rsidRPr="000E53A0">
        <w:rPr>
          <w:rFonts w:asciiTheme="minorHAnsi" w:hAnsiTheme="minorHAnsi" w:cstheme="minorHAnsi"/>
          <w:color w:val="000000"/>
          <w:lang w:val="fr-FR"/>
        </w:rPr>
        <w:t>ménages ruraux et les organisations communautaires renforcent leur résilience face aux conflits, au changement climatique et à la dégradation des sols en redémarrant et en diversifiant leurs activités productives.</w:t>
      </w:r>
    </w:p>
    <w:p w14:paraId="105C104E" w14:textId="77777777" w:rsidR="00601D9B" w:rsidRPr="000E53A0" w:rsidRDefault="000E53A0">
      <w:pPr>
        <w:rPr>
          <w:sz w:val="20"/>
          <w:szCs w:val="20"/>
          <w:lang w:val="fr-FR" w:eastAsia="x-none"/>
        </w:rPr>
      </w:pPr>
      <w:r w:rsidRPr="000E53A0">
        <w:rPr>
          <w:rFonts w:asciiTheme="minorHAnsi" w:hAnsiTheme="minorHAnsi" w:cstheme="minorHAnsi"/>
          <w:color w:val="000000"/>
          <w:sz w:val="20"/>
          <w:szCs w:val="20"/>
          <w:lang w:val="fr-FR"/>
        </w:rPr>
        <w:t xml:space="preserve">Enfin, la </w:t>
      </w:r>
      <w:r w:rsidR="002066E3" w:rsidRPr="000E53A0">
        <w:rPr>
          <w:rFonts w:asciiTheme="minorHAnsi" w:hAnsiTheme="minorHAnsi" w:cstheme="minorHAnsi"/>
          <w:color w:val="000000"/>
          <w:sz w:val="20"/>
          <w:szCs w:val="20"/>
          <w:lang w:val="fr-FR"/>
        </w:rPr>
        <w:t xml:space="preserve">composante 4 s'attaquera à l'obstacle 6, en soutenant une </w:t>
      </w:r>
      <w:r w:rsidRPr="000E53A0">
        <w:rPr>
          <w:rFonts w:asciiTheme="minorHAnsi" w:hAnsiTheme="minorHAnsi" w:cstheme="minorHAnsi"/>
          <w:color w:val="000000"/>
          <w:sz w:val="20"/>
          <w:szCs w:val="20"/>
          <w:lang w:val="fr-FR"/>
        </w:rPr>
        <w:t xml:space="preserve">gestion efficace des connaissances et le partage des leçons dans toute la région du Sahel, ce qui permettra d'étendre les bonnes pratiques et de soutenir les efforts de consolidation de la paix. </w:t>
      </w:r>
      <w:r w:rsidR="002066E3" w:rsidRPr="000E53A0">
        <w:rPr>
          <w:rFonts w:asciiTheme="minorHAnsi" w:hAnsiTheme="minorHAnsi" w:cstheme="minorHAnsi"/>
          <w:color w:val="000000"/>
          <w:sz w:val="20"/>
          <w:szCs w:val="20"/>
          <w:lang w:val="fr-FR"/>
        </w:rPr>
        <w:t xml:space="preserve">La composante 3 a </w:t>
      </w:r>
      <w:r w:rsidRPr="000E53A0">
        <w:rPr>
          <w:rFonts w:asciiTheme="minorHAnsi" w:hAnsiTheme="minorHAnsi" w:cstheme="minorHAnsi"/>
          <w:color w:val="000000"/>
          <w:sz w:val="20"/>
          <w:szCs w:val="20"/>
          <w:lang w:val="fr-FR"/>
        </w:rPr>
        <w:t xml:space="preserve">un </w:t>
      </w:r>
      <w:r w:rsidR="002066E3" w:rsidRPr="000E53A0">
        <w:rPr>
          <w:rFonts w:asciiTheme="minorHAnsi" w:hAnsiTheme="minorHAnsi" w:cstheme="minorHAnsi"/>
          <w:color w:val="000000"/>
          <w:sz w:val="20"/>
          <w:szCs w:val="20"/>
          <w:lang w:val="fr-FR"/>
        </w:rPr>
        <w:t>résultat immédiat pour le projet :</w:t>
      </w:r>
    </w:p>
    <w:p w14:paraId="36EA4113" w14:textId="77777777" w:rsidR="00601D9B" w:rsidRDefault="000E53A0">
      <w:pPr>
        <w:pStyle w:val="ParagraphOED"/>
        <w:numPr>
          <w:ilvl w:val="0"/>
          <w:numId w:val="0"/>
        </w:numPr>
        <w:spacing w:after="60"/>
        <w:rPr>
          <w:rFonts w:asciiTheme="minorHAnsi" w:hAnsiTheme="minorHAnsi" w:cstheme="minorHAnsi"/>
          <w:color w:val="000000"/>
        </w:rPr>
      </w:pPr>
      <w:r w:rsidRPr="004E0953">
        <w:rPr>
          <w:rFonts w:asciiTheme="minorHAnsi" w:hAnsiTheme="minorHAnsi" w:cstheme="minorHAnsi"/>
          <w:b/>
          <w:bCs/>
          <w:color w:val="000000"/>
        </w:rPr>
        <w:t xml:space="preserve">Résultat </w:t>
      </w:r>
      <w:r w:rsidRPr="000E53A0">
        <w:rPr>
          <w:rFonts w:asciiTheme="minorHAnsi" w:hAnsiTheme="minorHAnsi" w:cstheme="minorHAnsi"/>
          <w:b/>
          <w:bCs/>
          <w:color w:val="000000"/>
          <w:lang w:val="fr-FR"/>
        </w:rPr>
        <w:t xml:space="preserve">4 </w:t>
      </w:r>
      <w:r w:rsidRPr="004E0953">
        <w:rPr>
          <w:rFonts w:asciiTheme="minorHAnsi" w:hAnsiTheme="minorHAnsi" w:cstheme="minorHAnsi"/>
          <w:b/>
          <w:bCs/>
          <w:color w:val="000000"/>
        </w:rPr>
        <w:t xml:space="preserve">: </w:t>
      </w:r>
      <w:r w:rsidRPr="000E53A0">
        <w:rPr>
          <w:rFonts w:asciiTheme="minorHAnsi" w:hAnsiTheme="minorHAnsi" w:cstheme="minorHAnsi"/>
          <w:color w:val="000000"/>
          <w:lang w:val="fr-FR"/>
        </w:rPr>
        <w:t>les impacts du projet sont contrôlés et les enseignements sont partagés afin d'étendre les résultats à l'ensemble des régions du Sahel au Mali.</w:t>
      </w:r>
    </w:p>
    <w:p w14:paraId="53CF4D58" w14:textId="77777777" w:rsidR="00601D9B" w:rsidRPr="000E53A0" w:rsidRDefault="000E53A0">
      <w:pPr>
        <w:pStyle w:val="ParagraphOED"/>
        <w:numPr>
          <w:ilvl w:val="0"/>
          <w:numId w:val="0"/>
        </w:numPr>
        <w:spacing w:after="60"/>
        <w:rPr>
          <w:rFonts w:asciiTheme="minorHAnsi" w:hAnsiTheme="minorHAnsi" w:cstheme="minorHAnsi"/>
          <w:color w:val="000000"/>
          <w:lang w:val="fr-FR"/>
        </w:rPr>
      </w:pPr>
      <w:r w:rsidRPr="000E53A0">
        <w:rPr>
          <w:rFonts w:asciiTheme="minorHAnsi" w:hAnsiTheme="minorHAnsi" w:cstheme="minorHAnsi"/>
          <w:color w:val="000000"/>
          <w:lang w:val="fr-FR"/>
        </w:rPr>
        <w:t xml:space="preserve">Les facteurs externes sont nécessaires pour permettre aux changements à long terme d'avoir lieu, mais sur lesquels le projet n'aura que peu ou pas de contrôle. Ils sont décrits sous la forme d'hypothèses dans les TdC, et comprennent </w:t>
      </w:r>
      <w:r w:rsidR="00C75398" w:rsidRPr="000E53A0">
        <w:rPr>
          <w:rFonts w:asciiTheme="minorHAnsi" w:hAnsiTheme="minorHAnsi" w:cstheme="minorHAnsi"/>
          <w:color w:val="000000"/>
          <w:lang w:val="fr-FR"/>
        </w:rPr>
        <w:t>:</w:t>
      </w:r>
    </w:p>
    <w:p w14:paraId="52D701D5" w14:textId="77777777" w:rsidR="00601D9B" w:rsidRDefault="000E53A0">
      <w:pPr>
        <w:pStyle w:val="ParagraphOED"/>
        <w:numPr>
          <w:ilvl w:val="0"/>
          <w:numId w:val="0"/>
        </w:numPr>
        <w:spacing w:after="60"/>
        <w:rPr>
          <w:rFonts w:asciiTheme="minorHAnsi" w:hAnsiTheme="minorHAnsi" w:cstheme="minorHAnsi"/>
          <w:color w:val="000000"/>
        </w:rPr>
      </w:pPr>
      <w:r w:rsidRPr="004E0953">
        <w:rPr>
          <w:rFonts w:asciiTheme="minorHAnsi" w:hAnsiTheme="minorHAnsi" w:cstheme="minorHAnsi"/>
          <w:color w:val="000000"/>
        </w:rPr>
        <w:t>A1 - Le mécanisme national de coordination du LDN est en place, actif, et désireux et capable de prendre la tête de la mise en œuvre du plan d'action LDN.</w:t>
      </w:r>
    </w:p>
    <w:p w14:paraId="1D6E328E" w14:textId="77777777" w:rsidR="00601D9B" w:rsidRDefault="000E53A0">
      <w:pPr>
        <w:pStyle w:val="ParagraphOED"/>
        <w:numPr>
          <w:ilvl w:val="0"/>
          <w:numId w:val="0"/>
        </w:numPr>
        <w:spacing w:after="60"/>
        <w:rPr>
          <w:rFonts w:asciiTheme="minorHAnsi" w:hAnsiTheme="minorHAnsi" w:cstheme="minorHAnsi"/>
          <w:color w:val="000000"/>
        </w:rPr>
      </w:pPr>
      <w:r w:rsidRPr="004E0953">
        <w:rPr>
          <w:rFonts w:asciiTheme="minorHAnsi" w:hAnsiTheme="minorHAnsi" w:cstheme="minorHAnsi"/>
          <w:color w:val="000000"/>
        </w:rPr>
        <w:t>A2 - Les produits de connaissance développés par le projet sont d'une qualité suffisante et dans un format correct pour être utilisés efficacement dans les processus de prise de décision en matière de LDN et d'adaptation à travers les échelles et les secteurs.</w:t>
      </w:r>
    </w:p>
    <w:p w14:paraId="279633D3" w14:textId="77777777" w:rsidR="00601D9B" w:rsidRDefault="000E53A0">
      <w:pPr>
        <w:pStyle w:val="ParagraphOED"/>
        <w:numPr>
          <w:ilvl w:val="0"/>
          <w:numId w:val="0"/>
        </w:numPr>
        <w:spacing w:after="60"/>
        <w:rPr>
          <w:rFonts w:asciiTheme="minorHAnsi" w:hAnsiTheme="minorHAnsi" w:cstheme="minorHAnsi"/>
          <w:color w:val="000000"/>
        </w:rPr>
      </w:pPr>
      <w:r w:rsidRPr="002A42CE">
        <w:rPr>
          <w:rFonts w:asciiTheme="minorHAnsi" w:hAnsiTheme="minorHAnsi" w:cstheme="minorHAnsi"/>
          <w:color w:val="000000"/>
        </w:rPr>
        <w:t>A3 - Les conflits fonciers sont atténués grâce à l'approche participative adoptée par le projet, et les autres activités du projet peuvent se poursuivre.</w:t>
      </w:r>
    </w:p>
    <w:p w14:paraId="484EEF02" w14:textId="77777777" w:rsidR="00601D9B" w:rsidRDefault="000E53A0">
      <w:pPr>
        <w:pStyle w:val="ParagraphOED"/>
        <w:numPr>
          <w:ilvl w:val="0"/>
          <w:numId w:val="0"/>
        </w:numPr>
        <w:spacing w:after="60"/>
        <w:rPr>
          <w:rFonts w:asciiTheme="minorHAnsi" w:hAnsiTheme="minorHAnsi" w:cstheme="minorHAnsi"/>
          <w:color w:val="000000"/>
        </w:rPr>
      </w:pPr>
      <w:r w:rsidRPr="002A42CE">
        <w:rPr>
          <w:rFonts w:asciiTheme="minorHAnsi" w:hAnsiTheme="minorHAnsi" w:cstheme="minorHAnsi"/>
          <w:color w:val="000000"/>
        </w:rPr>
        <w:t>A4 - Les communautés sont désireuses et capables de prendre part aux activités du projet.</w:t>
      </w:r>
    </w:p>
    <w:p w14:paraId="1733F2E6" w14:textId="77777777" w:rsidR="00601D9B" w:rsidRDefault="000E53A0">
      <w:pPr>
        <w:pStyle w:val="ParagraphOED"/>
        <w:numPr>
          <w:ilvl w:val="0"/>
          <w:numId w:val="0"/>
        </w:numPr>
        <w:spacing w:after="60"/>
        <w:rPr>
          <w:rFonts w:asciiTheme="minorHAnsi" w:hAnsiTheme="minorHAnsi" w:cstheme="minorHAnsi"/>
          <w:color w:val="000000"/>
        </w:rPr>
      </w:pPr>
      <w:r w:rsidRPr="002A42CE">
        <w:rPr>
          <w:rFonts w:asciiTheme="minorHAnsi" w:hAnsiTheme="minorHAnsi" w:cstheme="minorHAnsi"/>
          <w:color w:val="000000"/>
        </w:rPr>
        <w:lastRenderedPageBreak/>
        <w:t>A5 - Les efforts de restauration ne sont pas menacés/sous-estimés par les conflits locaux ou les impacts du changement climatique (par exemple, les feux de forêt), et sont soutenus par une adhésion locale significative de tous les acteurs locaux grâce à l'approche communautaire.</w:t>
      </w:r>
    </w:p>
    <w:p w14:paraId="3EFA2CDC" w14:textId="77777777" w:rsidR="00601D9B" w:rsidRDefault="000E53A0">
      <w:pPr>
        <w:pStyle w:val="ParagraphOED"/>
        <w:numPr>
          <w:ilvl w:val="0"/>
          <w:numId w:val="0"/>
        </w:numPr>
        <w:spacing w:after="60"/>
        <w:rPr>
          <w:rFonts w:asciiTheme="minorHAnsi" w:hAnsiTheme="minorHAnsi" w:cstheme="minorHAnsi"/>
          <w:color w:val="000000"/>
        </w:rPr>
      </w:pPr>
      <w:r w:rsidRPr="002A42CE">
        <w:rPr>
          <w:rFonts w:asciiTheme="minorHAnsi" w:hAnsiTheme="minorHAnsi" w:cstheme="minorHAnsi"/>
          <w:color w:val="000000"/>
        </w:rPr>
        <w:t>A6 - Le renforcement des capacités au niveau local conduit à une meilleure adoption des stratégies d'adaptation</w:t>
      </w:r>
    </w:p>
    <w:p w14:paraId="1E97BC74" w14:textId="77777777" w:rsidR="00601D9B" w:rsidRDefault="000E53A0">
      <w:pPr>
        <w:pStyle w:val="ParagraphOED"/>
        <w:numPr>
          <w:ilvl w:val="0"/>
          <w:numId w:val="0"/>
        </w:numPr>
        <w:spacing w:after="60"/>
        <w:rPr>
          <w:rFonts w:asciiTheme="minorHAnsi" w:hAnsiTheme="minorHAnsi" w:cstheme="minorHAnsi"/>
          <w:color w:val="000000"/>
        </w:rPr>
      </w:pPr>
      <w:r w:rsidRPr="002A42CE">
        <w:rPr>
          <w:rFonts w:asciiTheme="minorHAnsi" w:hAnsiTheme="minorHAnsi" w:cstheme="minorHAnsi"/>
          <w:color w:val="000000"/>
        </w:rPr>
        <w:t>A7 - La pandémie mondiale de COVID-19 recule et ouvre de nouvelles perspectives aux initiatives de croissance verte</w:t>
      </w:r>
    </w:p>
    <w:p w14:paraId="3E258163" w14:textId="77777777" w:rsidR="00601D9B" w:rsidRDefault="000E53A0">
      <w:pPr>
        <w:pStyle w:val="ParagraphOED"/>
        <w:numPr>
          <w:ilvl w:val="0"/>
          <w:numId w:val="0"/>
        </w:numPr>
        <w:spacing w:after="60"/>
        <w:rPr>
          <w:rFonts w:asciiTheme="minorHAnsi" w:hAnsiTheme="minorHAnsi" w:cstheme="minorHAnsi"/>
          <w:color w:val="000000"/>
        </w:rPr>
      </w:pPr>
      <w:r w:rsidRPr="002A42CE">
        <w:rPr>
          <w:rFonts w:asciiTheme="minorHAnsi" w:hAnsiTheme="minorHAnsi" w:cstheme="minorHAnsi"/>
          <w:color w:val="000000"/>
        </w:rPr>
        <w:t>A8 - Les femmes sont capables et désireuses de prendre part à de nouvelles initiatives commerciales</w:t>
      </w:r>
    </w:p>
    <w:p w14:paraId="3FE1853D" w14:textId="77777777" w:rsidR="00601D9B" w:rsidRPr="000E53A0" w:rsidRDefault="00C75398">
      <w:pPr>
        <w:pStyle w:val="ParagraphOED"/>
        <w:numPr>
          <w:ilvl w:val="0"/>
          <w:numId w:val="0"/>
        </w:numPr>
        <w:spacing w:after="60"/>
        <w:rPr>
          <w:rFonts w:asciiTheme="minorHAnsi" w:hAnsiTheme="minorHAnsi" w:cstheme="minorHAnsi"/>
          <w:color w:val="000000"/>
          <w:lang w:val="fr-FR"/>
        </w:rPr>
      </w:pPr>
      <w:r w:rsidRPr="000E53A0">
        <w:rPr>
          <w:rFonts w:asciiTheme="minorHAnsi" w:hAnsiTheme="minorHAnsi" w:cstheme="minorHAnsi"/>
          <w:color w:val="000000"/>
          <w:lang w:val="fr-FR"/>
        </w:rPr>
        <w:t xml:space="preserve">Le fonctionnement du projet lui-même repose sur les hypothèses selon lesquelles des événements inattendus, tels que la </w:t>
      </w:r>
      <w:r w:rsidR="000E53A0" w:rsidRPr="000E53A0">
        <w:rPr>
          <w:rFonts w:asciiTheme="minorHAnsi" w:hAnsiTheme="minorHAnsi" w:cstheme="minorHAnsi"/>
          <w:color w:val="000000"/>
          <w:lang w:val="fr-FR"/>
        </w:rPr>
        <w:t xml:space="preserve">situation sécuritaire dans la région ou la </w:t>
      </w:r>
      <w:r w:rsidRPr="000E53A0">
        <w:rPr>
          <w:rFonts w:asciiTheme="minorHAnsi" w:hAnsiTheme="minorHAnsi" w:cstheme="minorHAnsi"/>
          <w:color w:val="000000"/>
          <w:lang w:val="fr-FR"/>
        </w:rPr>
        <w:t xml:space="preserve">pandémie de Covid-19, n'ont pas d'impact négatif significatif sur les dispositions institutionnelles et de gouvernance empêchant la réalisation du projet </w:t>
      </w:r>
      <w:r w:rsidR="000E53A0" w:rsidRPr="000E53A0">
        <w:rPr>
          <w:rFonts w:asciiTheme="minorHAnsi" w:hAnsiTheme="minorHAnsi" w:cstheme="minorHAnsi"/>
          <w:color w:val="000000"/>
          <w:lang w:val="fr-FR"/>
        </w:rPr>
        <w:t>(les mesures d'atténuation de ces risques sont présentées plus loin dans le document)</w:t>
      </w:r>
      <w:r w:rsidRPr="000E53A0">
        <w:rPr>
          <w:rFonts w:asciiTheme="minorHAnsi" w:hAnsiTheme="minorHAnsi" w:cstheme="minorHAnsi"/>
          <w:color w:val="000000"/>
          <w:lang w:val="fr-FR"/>
        </w:rPr>
        <w:t xml:space="preserve">. </w:t>
      </w:r>
    </w:p>
    <w:p w14:paraId="49C13992" w14:textId="77777777" w:rsidR="00601D9B" w:rsidRPr="000E53A0" w:rsidRDefault="000E53A0">
      <w:pPr>
        <w:pStyle w:val="ParagraphOED"/>
        <w:numPr>
          <w:ilvl w:val="0"/>
          <w:numId w:val="0"/>
        </w:numPr>
        <w:spacing w:after="60"/>
        <w:rPr>
          <w:rFonts w:asciiTheme="minorHAnsi" w:hAnsiTheme="minorHAnsi" w:cstheme="minorHAnsi"/>
          <w:color w:val="000000"/>
          <w:lang w:val="fr-FR"/>
        </w:rPr>
      </w:pPr>
      <w:r w:rsidRPr="000E53A0">
        <w:rPr>
          <w:rFonts w:asciiTheme="minorHAnsi" w:hAnsiTheme="minorHAnsi" w:cstheme="minorHAnsi"/>
          <w:color w:val="000000"/>
          <w:lang w:val="fr-FR"/>
        </w:rPr>
        <w:t xml:space="preserve">Si les hypothèses au niveau des résultats du projet (A1-8) se réalisent, alors la réalisation des </w:t>
      </w:r>
      <w:r w:rsidR="000F746B" w:rsidRPr="000E53A0">
        <w:rPr>
          <w:rFonts w:asciiTheme="minorHAnsi" w:hAnsiTheme="minorHAnsi" w:cstheme="minorHAnsi"/>
          <w:color w:val="000000"/>
          <w:lang w:val="fr-FR"/>
        </w:rPr>
        <w:t xml:space="preserve">quatre </w:t>
      </w:r>
      <w:r w:rsidRPr="000E53A0">
        <w:rPr>
          <w:rFonts w:asciiTheme="minorHAnsi" w:hAnsiTheme="minorHAnsi" w:cstheme="minorHAnsi"/>
          <w:color w:val="000000"/>
          <w:lang w:val="fr-FR"/>
        </w:rPr>
        <w:t xml:space="preserve">composantes du projet entraînera des gains supplémentaires sur la voie de la gestion durable </w:t>
      </w:r>
      <w:r w:rsidR="000F746B" w:rsidRPr="000E53A0">
        <w:rPr>
          <w:rFonts w:asciiTheme="minorHAnsi" w:hAnsiTheme="minorHAnsi" w:cstheme="minorHAnsi"/>
          <w:color w:val="000000"/>
          <w:lang w:val="fr-FR"/>
        </w:rPr>
        <w:t xml:space="preserve">et de la résilience climatique </w:t>
      </w:r>
      <w:r w:rsidRPr="000E53A0">
        <w:rPr>
          <w:rFonts w:asciiTheme="minorHAnsi" w:hAnsiTheme="minorHAnsi" w:cstheme="minorHAnsi"/>
          <w:color w:val="000000"/>
          <w:lang w:val="fr-FR"/>
        </w:rPr>
        <w:t xml:space="preserve">des </w:t>
      </w:r>
      <w:r w:rsidR="000F746B" w:rsidRPr="000E53A0">
        <w:rPr>
          <w:rFonts w:asciiTheme="minorHAnsi" w:hAnsiTheme="minorHAnsi" w:cstheme="minorHAnsi"/>
          <w:color w:val="000000"/>
          <w:lang w:val="fr-FR"/>
        </w:rPr>
        <w:t>paysages du centre du Mali</w:t>
      </w:r>
      <w:r w:rsidRPr="000E53A0">
        <w:rPr>
          <w:rFonts w:asciiTheme="minorHAnsi" w:hAnsiTheme="minorHAnsi" w:cstheme="minorHAnsi"/>
          <w:color w:val="000000"/>
          <w:lang w:val="fr-FR"/>
        </w:rPr>
        <w:t xml:space="preserve">, représentés par </w:t>
      </w:r>
      <w:r w:rsidR="000F746B" w:rsidRPr="000E53A0">
        <w:rPr>
          <w:rFonts w:asciiTheme="minorHAnsi" w:hAnsiTheme="minorHAnsi" w:cstheme="minorHAnsi"/>
          <w:color w:val="000000"/>
          <w:lang w:val="fr-FR"/>
        </w:rPr>
        <w:t xml:space="preserve">cinq </w:t>
      </w:r>
      <w:r w:rsidRPr="000E53A0">
        <w:rPr>
          <w:rFonts w:asciiTheme="minorHAnsi" w:hAnsiTheme="minorHAnsi" w:cstheme="minorHAnsi"/>
          <w:color w:val="000000"/>
          <w:lang w:val="fr-FR"/>
        </w:rPr>
        <w:t xml:space="preserve">résultats à moyen terme (MTO). Ceux-ci sont : (1) </w:t>
      </w:r>
      <w:r w:rsidR="000F746B" w:rsidRPr="000E53A0">
        <w:rPr>
          <w:rFonts w:asciiTheme="minorHAnsi" w:hAnsiTheme="minorHAnsi" w:cstheme="minorHAnsi"/>
          <w:color w:val="000000"/>
          <w:lang w:val="fr-FR"/>
        </w:rPr>
        <w:t xml:space="preserve">LDN est mis à l'échelle et étendu à travers le Mali par la mise en œuvre du plan d'action national </w:t>
      </w:r>
      <w:r w:rsidRPr="000E53A0">
        <w:rPr>
          <w:rFonts w:asciiTheme="minorHAnsi" w:hAnsiTheme="minorHAnsi" w:cstheme="minorHAnsi"/>
          <w:color w:val="000000"/>
          <w:lang w:val="fr-FR"/>
        </w:rPr>
        <w:t>(MTO1) ; (2) L'</w:t>
      </w:r>
      <w:r w:rsidR="000F746B" w:rsidRPr="000E53A0">
        <w:rPr>
          <w:rFonts w:asciiTheme="minorHAnsi" w:hAnsiTheme="minorHAnsi" w:cstheme="minorHAnsi"/>
          <w:color w:val="000000"/>
          <w:lang w:val="fr-FR"/>
        </w:rPr>
        <w:t xml:space="preserve">environnement favorable à la mise à l'échelle de l'adaptation au changement climatique est en place et soutient efficacement la mise en œuvre du PAN du Mali </w:t>
      </w:r>
      <w:r w:rsidRPr="000E53A0">
        <w:rPr>
          <w:rFonts w:asciiTheme="minorHAnsi" w:hAnsiTheme="minorHAnsi" w:cstheme="minorHAnsi"/>
          <w:color w:val="000000"/>
          <w:lang w:val="fr-FR"/>
        </w:rPr>
        <w:t xml:space="preserve">(MTO2) ; (3) </w:t>
      </w:r>
      <w:r w:rsidR="000F746B" w:rsidRPr="000E53A0">
        <w:rPr>
          <w:rFonts w:asciiTheme="minorHAnsi" w:hAnsiTheme="minorHAnsi" w:cstheme="minorHAnsi"/>
          <w:color w:val="000000"/>
          <w:lang w:val="fr-FR"/>
        </w:rPr>
        <w:t xml:space="preserve">Adoption accrue des pratiques de bonne gouvernance de la GRN à base communautaire et des stratégies d'adaptation comme mécanisme contribuant à la sécurité à travers le paysage ciblé, y compris la sécurité alimentaire </w:t>
      </w:r>
      <w:r w:rsidRPr="000E53A0">
        <w:rPr>
          <w:rFonts w:asciiTheme="minorHAnsi" w:hAnsiTheme="minorHAnsi" w:cstheme="minorHAnsi"/>
          <w:color w:val="000000"/>
          <w:lang w:val="fr-FR"/>
        </w:rPr>
        <w:t xml:space="preserve">(MTO3) ; </w:t>
      </w:r>
      <w:r w:rsidR="000F746B" w:rsidRPr="000E53A0">
        <w:rPr>
          <w:rFonts w:asciiTheme="minorHAnsi" w:hAnsiTheme="minorHAnsi" w:cstheme="minorHAnsi"/>
          <w:color w:val="000000"/>
          <w:lang w:val="fr-FR"/>
        </w:rPr>
        <w:t xml:space="preserve">(4) Une implication accrue du secteur privé dans les actions d'adaptation et de restauration des terres (MTO4) ; </w:t>
      </w:r>
      <w:r w:rsidRPr="000E53A0">
        <w:rPr>
          <w:rFonts w:asciiTheme="minorHAnsi" w:hAnsiTheme="minorHAnsi" w:cstheme="minorHAnsi"/>
          <w:color w:val="000000"/>
          <w:lang w:val="fr-FR"/>
        </w:rPr>
        <w:t xml:space="preserve">et (4) Une </w:t>
      </w:r>
      <w:r w:rsidR="000F746B" w:rsidRPr="000E53A0">
        <w:rPr>
          <w:rFonts w:asciiTheme="minorHAnsi" w:hAnsiTheme="minorHAnsi" w:cstheme="minorHAnsi"/>
          <w:color w:val="000000"/>
          <w:lang w:val="fr-FR"/>
        </w:rPr>
        <w:t xml:space="preserve">coordination et une exploitation accrues des synergies entre les initiatives à travers le Sahel, en abordant la LDN, l'adaptation et la sécurité de manière holistique dans une perspective systémique </w:t>
      </w:r>
      <w:r w:rsidRPr="000E53A0">
        <w:rPr>
          <w:rFonts w:asciiTheme="minorHAnsi" w:hAnsiTheme="minorHAnsi" w:cstheme="minorHAnsi"/>
          <w:color w:val="000000"/>
          <w:lang w:val="fr-FR"/>
        </w:rPr>
        <w:t>(MTO5).</w:t>
      </w:r>
    </w:p>
    <w:p w14:paraId="14CA69A9" w14:textId="77777777" w:rsidR="00601D9B" w:rsidRPr="000E53A0" w:rsidRDefault="000E53A0">
      <w:pPr>
        <w:pStyle w:val="ParagraphOED"/>
        <w:numPr>
          <w:ilvl w:val="0"/>
          <w:numId w:val="0"/>
        </w:numPr>
        <w:spacing w:after="60"/>
        <w:rPr>
          <w:rFonts w:asciiTheme="minorHAnsi" w:hAnsiTheme="minorHAnsi" w:cstheme="minorHAnsi"/>
          <w:color w:val="000000"/>
          <w:lang w:val="fr-FR"/>
        </w:rPr>
      </w:pPr>
      <w:r w:rsidRPr="000E53A0">
        <w:rPr>
          <w:rFonts w:asciiTheme="minorHAnsi" w:hAnsiTheme="minorHAnsi" w:cstheme="minorHAnsi"/>
          <w:color w:val="000000"/>
          <w:lang w:val="fr-FR"/>
        </w:rPr>
        <w:t xml:space="preserve">La réalisation de ces résultats à plus long terme, qui se situent au-delà de l'influence et de la responsabilité immédiates du projet (indiquées en pointillés dans </w:t>
      </w:r>
      <w:r w:rsidR="000F746B" w:rsidRPr="000E53A0">
        <w:rPr>
          <w:rFonts w:asciiTheme="minorHAnsi" w:hAnsiTheme="minorHAnsi" w:cstheme="minorHAnsi"/>
          <w:color w:val="000000"/>
          <w:lang w:val="fr-FR"/>
        </w:rPr>
        <w:t>les TdC)</w:t>
      </w:r>
      <w:r w:rsidRPr="000E53A0">
        <w:rPr>
          <w:rFonts w:asciiTheme="minorHAnsi" w:hAnsiTheme="minorHAnsi" w:cstheme="minorHAnsi"/>
          <w:color w:val="000000"/>
          <w:lang w:val="fr-FR"/>
        </w:rPr>
        <w:t>, est soumise aux facteurs d'impact (D1-4), à savoir :</w:t>
      </w:r>
    </w:p>
    <w:p w14:paraId="34444725" w14:textId="77777777" w:rsidR="00601D9B" w:rsidRDefault="000E53A0">
      <w:pPr>
        <w:pStyle w:val="ParagraphOED"/>
        <w:numPr>
          <w:ilvl w:val="0"/>
          <w:numId w:val="0"/>
        </w:numPr>
        <w:spacing w:after="60"/>
        <w:rPr>
          <w:rFonts w:asciiTheme="minorHAnsi" w:hAnsiTheme="minorHAnsi" w:cstheme="minorHAnsi"/>
          <w:color w:val="000000"/>
        </w:rPr>
      </w:pPr>
      <w:r w:rsidRPr="002A42CE">
        <w:rPr>
          <w:rFonts w:asciiTheme="minorHAnsi" w:hAnsiTheme="minorHAnsi" w:cstheme="minorHAnsi"/>
          <w:color w:val="000000"/>
        </w:rPr>
        <w:t>D1 - Processus participatifs/communautaires de développement/planification de l'utilisation des terres</w:t>
      </w:r>
    </w:p>
    <w:p w14:paraId="3A6A2C9C" w14:textId="77777777" w:rsidR="00601D9B" w:rsidRDefault="000E53A0">
      <w:pPr>
        <w:pStyle w:val="ParagraphOED"/>
        <w:numPr>
          <w:ilvl w:val="0"/>
          <w:numId w:val="0"/>
        </w:numPr>
        <w:spacing w:after="60"/>
        <w:rPr>
          <w:rFonts w:asciiTheme="minorHAnsi" w:hAnsiTheme="minorHAnsi" w:cstheme="minorHAnsi"/>
          <w:color w:val="000000"/>
        </w:rPr>
      </w:pPr>
      <w:r w:rsidRPr="002A42CE">
        <w:rPr>
          <w:rFonts w:asciiTheme="minorHAnsi" w:hAnsiTheme="minorHAnsi" w:cstheme="minorHAnsi"/>
          <w:color w:val="000000"/>
        </w:rPr>
        <w:t>D2 - Application par la communauté des lois et des règlements relatifs au LDN/NRM.</w:t>
      </w:r>
    </w:p>
    <w:p w14:paraId="163E322B" w14:textId="77777777" w:rsidR="00601D9B" w:rsidRDefault="000E53A0">
      <w:pPr>
        <w:pStyle w:val="ParagraphOED"/>
        <w:numPr>
          <w:ilvl w:val="0"/>
          <w:numId w:val="0"/>
        </w:numPr>
        <w:spacing w:after="60"/>
        <w:rPr>
          <w:rFonts w:asciiTheme="minorHAnsi" w:hAnsiTheme="minorHAnsi" w:cstheme="minorHAnsi"/>
          <w:color w:val="000000"/>
        </w:rPr>
      </w:pPr>
      <w:r w:rsidRPr="002A42CE">
        <w:rPr>
          <w:rFonts w:asciiTheme="minorHAnsi" w:hAnsiTheme="minorHAnsi" w:cstheme="minorHAnsi"/>
          <w:color w:val="000000"/>
        </w:rPr>
        <w:t>D3 - Obligations juridiques internationales, y compris les ODD (15.3), la CCD, la CCNUCC, la CDB, le défi AFR100/Bonn</w:t>
      </w:r>
    </w:p>
    <w:p w14:paraId="6B1758C3" w14:textId="77777777" w:rsidR="00601D9B" w:rsidRDefault="000E53A0">
      <w:pPr>
        <w:pStyle w:val="ParagraphOED"/>
        <w:numPr>
          <w:ilvl w:val="0"/>
          <w:numId w:val="0"/>
        </w:numPr>
        <w:spacing w:after="60"/>
        <w:rPr>
          <w:rFonts w:asciiTheme="minorHAnsi" w:hAnsiTheme="minorHAnsi" w:cstheme="minorHAnsi"/>
          <w:color w:val="000000"/>
        </w:rPr>
      </w:pPr>
      <w:r w:rsidRPr="002A42CE">
        <w:rPr>
          <w:rFonts w:asciiTheme="minorHAnsi" w:hAnsiTheme="minorHAnsi" w:cstheme="minorHAnsi"/>
          <w:color w:val="000000"/>
        </w:rPr>
        <w:t>D4 - Environnement favorable aux nouvelles initiatives commerciales (par exemple, demande du marché, stratégies, politiques)</w:t>
      </w:r>
    </w:p>
    <w:p w14:paraId="79B51311" w14:textId="77777777" w:rsidR="00601D9B" w:rsidRPr="000E53A0" w:rsidRDefault="000E53A0">
      <w:pPr>
        <w:pStyle w:val="ParagraphOED"/>
        <w:numPr>
          <w:ilvl w:val="0"/>
          <w:numId w:val="0"/>
        </w:numPr>
        <w:spacing w:after="60"/>
        <w:rPr>
          <w:rFonts w:asciiTheme="minorHAnsi" w:hAnsiTheme="minorHAnsi" w:cstheme="minorHAnsi"/>
          <w:lang w:val="fr-FR"/>
        </w:rPr>
      </w:pPr>
      <w:r w:rsidRPr="000E53A0">
        <w:rPr>
          <w:rFonts w:asciiTheme="minorHAnsi" w:hAnsiTheme="minorHAnsi" w:cstheme="minorHAnsi"/>
          <w:color w:val="000000"/>
          <w:lang w:val="fr-FR"/>
        </w:rPr>
        <w:t xml:space="preserve">Ce projet, combiné aux contributions des projets de base (cofinancement et autres), devrait </w:t>
      </w:r>
      <w:r w:rsidR="00C75398" w:rsidRPr="000E53A0">
        <w:rPr>
          <w:rFonts w:asciiTheme="minorHAnsi" w:hAnsiTheme="minorHAnsi" w:cstheme="minorHAnsi"/>
          <w:color w:val="000000"/>
          <w:lang w:val="fr-FR"/>
        </w:rPr>
        <w:t xml:space="preserve">conduire à un </w:t>
      </w:r>
      <w:r w:rsidRPr="000E53A0">
        <w:rPr>
          <w:rFonts w:asciiTheme="minorHAnsi" w:hAnsiTheme="minorHAnsi" w:cstheme="minorHAnsi"/>
          <w:color w:val="000000"/>
          <w:lang w:val="fr-FR"/>
        </w:rPr>
        <w:t xml:space="preserve">état </w:t>
      </w:r>
      <w:r w:rsidR="00C75398" w:rsidRPr="000E53A0">
        <w:rPr>
          <w:rFonts w:asciiTheme="minorHAnsi" w:hAnsiTheme="minorHAnsi" w:cstheme="minorHAnsi"/>
          <w:color w:val="000000"/>
          <w:lang w:val="fr-FR"/>
        </w:rPr>
        <w:t xml:space="preserve">à long terme </w:t>
      </w:r>
      <w:r w:rsidRPr="000E53A0">
        <w:rPr>
          <w:rFonts w:asciiTheme="minorHAnsi" w:hAnsiTheme="minorHAnsi" w:cstheme="minorHAnsi"/>
          <w:color w:val="000000"/>
          <w:lang w:val="fr-FR"/>
        </w:rPr>
        <w:t xml:space="preserve">dans lequel la dégradation des terres est évitée et/ou inversée dans les prairies/arbustes, les zones humides et les terres cultivées ; et il y a une résilience accrue des écosystèmes et des moyens de subsistance au changement climatique dans les régions centrales du Mali. La </w:t>
      </w:r>
      <w:r w:rsidR="00C75398" w:rsidRPr="000E53A0">
        <w:rPr>
          <w:rFonts w:asciiTheme="minorHAnsi" w:hAnsiTheme="minorHAnsi" w:cstheme="minorHAnsi"/>
          <w:lang w:val="fr-FR"/>
        </w:rPr>
        <w:t xml:space="preserve">logique causale du projet (exposée dans ses TdC comme indiqué ci-dessous), est bien alignée avec le </w:t>
      </w:r>
      <w:r w:rsidR="00C75398" w:rsidRPr="000E53A0">
        <w:rPr>
          <w:rFonts w:asciiTheme="minorHAnsi" w:hAnsiTheme="minorHAnsi" w:cstheme="minorHAnsi"/>
          <w:highlight w:val="yellow"/>
          <w:lang w:val="fr-FR"/>
        </w:rPr>
        <w:t>programme de sécurité climatique du PNUD</w:t>
      </w:r>
      <w:r w:rsidR="00C75398" w:rsidRPr="000E53A0">
        <w:rPr>
          <w:rFonts w:asciiTheme="minorHAnsi" w:hAnsiTheme="minorHAnsi" w:cstheme="minorHAnsi"/>
          <w:lang w:val="fr-FR"/>
        </w:rPr>
        <w:t xml:space="preserve">. </w:t>
      </w:r>
    </w:p>
    <w:p w14:paraId="32A97879" w14:textId="77777777" w:rsidR="00C75398" w:rsidRPr="000E53A0" w:rsidRDefault="00C75398" w:rsidP="00C75398">
      <w:pPr>
        <w:pStyle w:val="ParagraphOED"/>
        <w:numPr>
          <w:ilvl w:val="0"/>
          <w:numId w:val="0"/>
        </w:numPr>
        <w:ind w:left="426" w:hanging="426"/>
        <w:rPr>
          <w:highlight w:val="magenta"/>
          <w:lang w:val="fr-FR"/>
        </w:rPr>
        <w:sectPr w:rsidR="00C75398" w:rsidRPr="000E53A0" w:rsidSect="000E53A0">
          <w:pgSz w:w="11906" w:h="16838" w:code="9"/>
          <w:pgMar w:top="1440" w:right="1440" w:bottom="1440" w:left="1440" w:header="720" w:footer="720" w:gutter="0"/>
          <w:cols w:space="720"/>
          <w:docGrid w:linePitch="360"/>
        </w:sectPr>
      </w:pPr>
    </w:p>
    <w:p w14:paraId="2A7F9931" w14:textId="77777777" w:rsidR="00601D9B" w:rsidRPr="000E53A0" w:rsidRDefault="000E53A0">
      <w:pPr>
        <w:pStyle w:val="Lgende"/>
        <w:rPr>
          <w:rFonts w:asciiTheme="minorHAnsi" w:hAnsiTheme="minorHAnsi" w:cstheme="minorHAnsi"/>
          <w:sz w:val="18"/>
          <w:szCs w:val="18"/>
          <w:lang w:val="fr-FR"/>
        </w:rPr>
      </w:pPr>
      <w:bookmarkStart w:id="27" w:name="_Toc57630070"/>
      <w:bookmarkStart w:id="28" w:name="_Toc82582810"/>
      <w:r w:rsidRPr="000E53A0">
        <w:rPr>
          <w:rFonts w:asciiTheme="minorHAnsi" w:hAnsiTheme="minorHAnsi" w:cstheme="minorHAnsi"/>
          <w:sz w:val="18"/>
          <w:szCs w:val="18"/>
          <w:lang w:val="fr-FR"/>
        </w:rPr>
        <w:lastRenderedPageBreak/>
        <w:t xml:space="preserve">Figure </w:t>
      </w:r>
      <w:r w:rsidRPr="000C1CE7">
        <w:rPr>
          <w:rFonts w:asciiTheme="minorHAnsi" w:hAnsiTheme="minorHAnsi" w:cstheme="minorHAnsi"/>
          <w:sz w:val="18"/>
          <w:szCs w:val="18"/>
        </w:rPr>
        <w:fldChar w:fldCharType="begin"/>
      </w:r>
      <w:r w:rsidRPr="000E53A0">
        <w:rPr>
          <w:rFonts w:asciiTheme="minorHAnsi" w:hAnsiTheme="minorHAnsi" w:cstheme="minorHAnsi"/>
          <w:sz w:val="18"/>
          <w:szCs w:val="18"/>
          <w:lang w:val="fr-FR"/>
        </w:rPr>
        <w:instrText>SEQ Figure \* ARABIC</w:instrText>
      </w:r>
      <w:r w:rsidRPr="000C1CE7">
        <w:rPr>
          <w:rFonts w:asciiTheme="minorHAnsi" w:hAnsiTheme="minorHAnsi" w:cstheme="minorHAnsi"/>
          <w:sz w:val="18"/>
          <w:szCs w:val="18"/>
        </w:rPr>
        <w:fldChar w:fldCharType="separate"/>
      </w:r>
      <w:r w:rsidR="00265922" w:rsidRPr="000E53A0">
        <w:rPr>
          <w:rFonts w:asciiTheme="minorHAnsi" w:hAnsiTheme="minorHAnsi" w:cstheme="minorHAnsi"/>
          <w:noProof/>
          <w:sz w:val="18"/>
          <w:szCs w:val="18"/>
          <w:lang w:val="fr-FR"/>
        </w:rPr>
        <w:t>1</w:t>
      </w:r>
      <w:r w:rsidRPr="000C1CE7">
        <w:rPr>
          <w:rFonts w:asciiTheme="minorHAnsi" w:hAnsiTheme="minorHAnsi" w:cstheme="minorHAnsi"/>
          <w:sz w:val="18"/>
          <w:szCs w:val="18"/>
        </w:rPr>
        <w:fldChar w:fldCharType="end"/>
      </w:r>
      <w:r w:rsidRPr="000E53A0">
        <w:rPr>
          <w:rFonts w:asciiTheme="minorHAnsi" w:hAnsiTheme="minorHAnsi" w:cstheme="minorHAnsi"/>
          <w:sz w:val="18"/>
          <w:szCs w:val="18"/>
          <w:lang w:val="fr-FR"/>
        </w:rPr>
        <w:t xml:space="preserve">. La théorie du changement du projet (TOC) </w:t>
      </w:r>
      <w:bookmarkEnd w:id="27"/>
      <w:bookmarkEnd w:id="28"/>
    </w:p>
    <w:p w14:paraId="7C24C177" w14:textId="77777777" w:rsidR="00C75398" w:rsidRPr="00605CFB" w:rsidRDefault="006C4FD9" w:rsidP="00C75398">
      <w:pPr>
        <w:rPr>
          <w:lang w:eastAsia="x-none"/>
        </w:rPr>
      </w:pPr>
      <w:r w:rsidRPr="006C4FD9">
        <w:rPr>
          <w:noProof/>
          <w:lang w:val="fr-FR" w:eastAsia="fr-FR"/>
        </w:rPr>
        <w:drawing>
          <wp:inline distT="0" distB="0" distL="0" distR="0" wp14:anchorId="5DEC85DC" wp14:editId="55D83066">
            <wp:extent cx="9086850" cy="5112755"/>
            <wp:effectExtent l="0" t="0" r="0" b="0"/>
            <wp:docPr id="20" name="Picture 20" descr="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Calendar&#10;&#10;Description automatically generated"/>
                    <pic:cNvPicPr/>
                  </pic:nvPicPr>
                  <pic:blipFill>
                    <a:blip r:embed="rId18"/>
                    <a:stretch>
                      <a:fillRect/>
                    </a:stretch>
                  </pic:blipFill>
                  <pic:spPr>
                    <a:xfrm>
                      <a:off x="0" y="0"/>
                      <a:ext cx="9102198" cy="5121391"/>
                    </a:xfrm>
                    <a:prstGeom prst="rect">
                      <a:avLst/>
                    </a:prstGeom>
                  </pic:spPr>
                </pic:pic>
              </a:graphicData>
            </a:graphic>
          </wp:inline>
        </w:drawing>
      </w:r>
    </w:p>
    <w:p w14:paraId="291EFC2D" w14:textId="77777777" w:rsidR="00C75398" w:rsidRPr="00605CFB" w:rsidRDefault="00C75398" w:rsidP="00C75398"/>
    <w:p w14:paraId="24BD0D43" w14:textId="77777777" w:rsidR="00036D36" w:rsidRDefault="00036D36" w:rsidP="00327D3D">
      <w:pPr>
        <w:rPr>
          <w:b/>
          <w:i/>
          <w:szCs w:val="20"/>
        </w:rPr>
        <w:sectPr w:rsidR="00036D36" w:rsidSect="00036D36">
          <w:headerReference w:type="default" r:id="rId19"/>
          <w:footerReference w:type="default" r:id="rId20"/>
          <w:footerReference w:type="first" r:id="rId21"/>
          <w:pgSz w:w="15840" w:h="12240" w:orient="landscape" w:code="1"/>
          <w:pgMar w:top="1440" w:right="1440" w:bottom="1440" w:left="1440" w:header="720" w:footer="432" w:gutter="0"/>
          <w:cols w:space="708"/>
          <w:titlePg/>
          <w:docGrid w:linePitch="360"/>
        </w:sectPr>
      </w:pPr>
    </w:p>
    <w:p w14:paraId="03B27EB0" w14:textId="77777777" w:rsidR="00601D9B" w:rsidRPr="000E53A0" w:rsidRDefault="000E53A0">
      <w:pPr>
        <w:pStyle w:val="Titre2"/>
        <w:rPr>
          <w:rFonts w:asciiTheme="minorHAnsi" w:hAnsiTheme="minorHAnsi" w:cstheme="minorHAnsi"/>
          <w:lang w:val="fr-FR"/>
        </w:rPr>
      </w:pPr>
      <w:r w:rsidRPr="000E53A0">
        <w:rPr>
          <w:rFonts w:asciiTheme="minorHAnsi" w:hAnsiTheme="minorHAnsi" w:cstheme="minorHAnsi"/>
          <w:lang w:val="fr-FR"/>
        </w:rPr>
        <w:lastRenderedPageBreak/>
        <w:t>Description des changements dans l'alignement de la conception du projet avec le FIP original</w:t>
      </w:r>
    </w:p>
    <w:p w14:paraId="71B2D404" w14:textId="77777777" w:rsidR="00601D9B" w:rsidRPr="000E53A0" w:rsidRDefault="000E53A0">
      <w:pPr>
        <w:rPr>
          <w:rFonts w:asciiTheme="minorHAnsi" w:hAnsiTheme="minorHAnsi" w:cstheme="minorHAnsi"/>
          <w:sz w:val="20"/>
          <w:szCs w:val="20"/>
          <w:lang w:val="fr-FR"/>
        </w:rPr>
      </w:pPr>
      <w:r w:rsidRPr="000E53A0">
        <w:rPr>
          <w:rFonts w:asciiTheme="minorHAnsi" w:hAnsiTheme="minorHAnsi" w:cstheme="minorHAnsi"/>
          <w:sz w:val="20"/>
          <w:szCs w:val="20"/>
          <w:u w:val="single"/>
          <w:lang w:val="fr-FR"/>
        </w:rPr>
        <w:t xml:space="preserve">2) au scénario de base et à tout projet de base associé : </w:t>
      </w:r>
    </w:p>
    <w:p w14:paraId="747C927D" w14:textId="77777777" w:rsidR="00601D9B" w:rsidRPr="000E53A0" w:rsidRDefault="000E53A0">
      <w:pPr>
        <w:pStyle w:val="ParagraphOED"/>
        <w:numPr>
          <w:ilvl w:val="0"/>
          <w:numId w:val="0"/>
        </w:numPr>
        <w:spacing w:after="60"/>
        <w:rPr>
          <w:rFonts w:asciiTheme="minorHAnsi" w:hAnsiTheme="minorHAnsi" w:cstheme="minorHAnsi"/>
          <w:color w:val="000000"/>
          <w:lang w:val="fr-FR"/>
        </w:rPr>
      </w:pPr>
      <w:r w:rsidRPr="000E53A0">
        <w:rPr>
          <w:rFonts w:asciiTheme="minorHAnsi" w:hAnsiTheme="minorHAnsi" w:cstheme="minorHAnsi"/>
          <w:color w:val="000000"/>
          <w:lang w:val="fr-FR"/>
        </w:rPr>
        <w:t xml:space="preserve">Dans le scénario de base, la tendance du Mali à perdre la productivité des terres plus rapidement qu'il n'est possible de la restaurer, se poursuivra sans contrôle, avec des communautés vulnérables dans les régions centrales subissant une concurrence croissante sur une base d'actifs productifs qui se réduit - à la fois en termes absolus (en raison du changement climatique et de la dégradation induite par l'homme) et en termes par habitant (en raison de la croissance rapide de la population). Sans le projet proposé, le Mali reste engagé en principe en faveur de la neutralité de la dégradation des terres et des objectifs d'adaptation définis dans la contribution déterminée au niveau national, mais il n'est pas en mesure, dans la pratique, d'assurer une approche systémique pour atteindre ces objectifs, ni même de suivre les progrès et d'en rendre compte. En l'absence du projet financé par le GEFTF/LDCF, les dépenses publiques de base limitées se poursuivront dans les secteurs concernés, mais sans coordination interministérielle pour </w:t>
      </w:r>
      <w:r w:rsidR="00E55834" w:rsidRPr="000E53A0">
        <w:rPr>
          <w:rFonts w:asciiTheme="minorHAnsi" w:hAnsiTheme="minorHAnsi" w:cstheme="minorHAnsi"/>
          <w:color w:val="000000"/>
          <w:lang w:val="fr-FR"/>
        </w:rPr>
        <w:t xml:space="preserve">instiller </w:t>
      </w:r>
      <w:r w:rsidRPr="000E53A0">
        <w:rPr>
          <w:rFonts w:asciiTheme="minorHAnsi" w:hAnsiTheme="minorHAnsi" w:cstheme="minorHAnsi"/>
          <w:color w:val="000000"/>
          <w:lang w:val="fr-FR"/>
        </w:rPr>
        <w:t>une approche paysagère dans tous les secteurs dans leur planification des investissements. Dans ce scénario, il ne sera pas possible d'assurer l'intégrité du paysage pour la réduction des risques liés aux aléas climatiques, la productivité et la résilience à long terme, ni de suivre les progrès vers la neutralité de la dégradation des terres et une adaptation efficace au changement climatique. Dans ce scénario, il n'y a pas non plus de tentative de "reconstruire en mieux" après la pandémie de COVID-19.</w:t>
      </w:r>
    </w:p>
    <w:p w14:paraId="6A0CBB1F" w14:textId="77777777" w:rsidR="00601D9B" w:rsidRDefault="000E53A0">
      <w:pPr>
        <w:pStyle w:val="ParagraphOED"/>
        <w:numPr>
          <w:ilvl w:val="0"/>
          <w:numId w:val="0"/>
        </w:numPr>
        <w:spacing w:after="60"/>
        <w:rPr>
          <w:rFonts w:asciiTheme="minorHAnsi" w:hAnsiTheme="minorHAnsi" w:cstheme="minorHAnsi"/>
        </w:rPr>
      </w:pPr>
      <w:r w:rsidRPr="000E53A0">
        <w:rPr>
          <w:rFonts w:asciiTheme="minorHAnsi" w:hAnsiTheme="minorHAnsi" w:cstheme="minorHAnsi"/>
          <w:color w:val="000000"/>
          <w:lang w:val="fr-FR"/>
        </w:rPr>
        <w:t xml:space="preserve">Un certain nombre d'initiatives importantes sont en cours, ou prévues pendant la période de mise en œuvre du projet proposé (2022-2027), en partenariat avec des donateurs bilatéraux et multilatéraux. Selon le scénario de base sans le projet proposé, la majeure partie des investissements des donateurs dans le reverdissement des terres agricoles dégradées, la commercialisation agricole et l'agroalimentaire, l'agriculture irriguée et le développement des petites entreprises auront lieu dans les régions plus fertiles au sud de Mopti. Quelques initiatives, énumérées ci-dessous, s'attaqueront aux défis complexes des régions centrales du Mali, en particulier la fragile et vulnérable région de Mopti, mais elles seront d'une ampleur insuffisante pour relever ces défis. </w:t>
      </w:r>
    </w:p>
    <w:p w14:paraId="05737BE4" w14:textId="77777777" w:rsidR="00601D9B" w:rsidRPr="000E53A0" w:rsidRDefault="000E53A0">
      <w:pPr>
        <w:pStyle w:val="GEFQuestion"/>
        <w:shd w:val="clear" w:color="auto" w:fill="FFFFFF"/>
        <w:ind w:left="0"/>
        <w:jc w:val="both"/>
        <w:rPr>
          <w:rFonts w:asciiTheme="minorHAnsi" w:hAnsiTheme="minorHAnsi" w:cstheme="minorHAnsi"/>
          <w:sz w:val="20"/>
          <w:szCs w:val="20"/>
          <w:lang w:val="fr-FR"/>
        </w:rPr>
      </w:pPr>
      <w:r w:rsidRPr="000E53A0">
        <w:rPr>
          <w:rFonts w:asciiTheme="minorHAnsi" w:hAnsiTheme="minorHAnsi" w:cstheme="minorHAnsi"/>
          <w:sz w:val="20"/>
          <w:szCs w:val="20"/>
          <w:lang w:val="fr-FR"/>
        </w:rPr>
        <w:t xml:space="preserve">La liste ci-dessous </w:t>
      </w:r>
      <w:r w:rsidR="00E55834" w:rsidRPr="000E53A0">
        <w:rPr>
          <w:rFonts w:asciiTheme="minorHAnsi" w:hAnsiTheme="minorHAnsi" w:cstheme="minorHAnsi"/>
          <w:sz w:val="20"/>
          <w:szCs w:val="20"/>
          <w:lang w:val="fr-FR"/>
        </w:rPr>
        <w:t xml:space="preserve">présente </w:t>
      </w:r>
      <w:r w:rsidRPr="000E53A0">
        <w:rPr>
          <w:rFonts w:asciiTheme="minorHAnsi" w:hAnsiTheme="minorHAnsi" w:cstheme="minorHAnsi"/>
          <w:sz w:val="20"/>
          <w:szCs w:val="20"/>
          <w:lang w:val="fr-FR"/>
        </w:rPr>
        <w:t xml:space="preserve">les projets de base auxquels l'investissement du GEFTF/LDCF s'ajoute, et fournit également un cofinancement indicatif du projet </w:t>
      </w:r>
      <w:r w:rsidR="00E55834" w:rsidRPr="000E53A0">
        <w:rPr>
          <w:rFonts w:asciiTheme="minorHAnsi" w:hAnsiTheme="minorHAnsi" w:cstheme="minorHAnsi"/>
          <w:sz w:val="20"/>
          <w:szCs w:val="20"/>
          <w:lang w:val="fr-FR"/>
        </w:rPr>
        <w:t>:</w:t>
      </w:r>
    </w:p>
    <w:p w14:paraId="3A649552" w14:textId="77777777" w:rsidR="00BE082B" w:rsidRPr="000E53A0" w:rsidRDefault="00BE082B" w:rsidP="004E0953">
      <w:pPr>
        <w:jc w:val="both"/>
        <w:rPr>
          <w:rFonts w:asciiTheme="minorHAnsi" w:hAnsiTheme="minorHAnsi" w:cstheme="minorHAnsi"/>
          <w:sz w:val="20"/>
          <w:szCs w:val="20"/>
          <w:lang w:val="fr-FR"/>
        </w:rPr>
      </w:pPr>
    </w:p>
    <w:p w14:paraId="3FC14D2C" w14:textId="77777777" w:rsidR="00601D9B" w:rsidRPr="000E53A0" w:rsidRDefault="000E53A0">
      <w:pPr>
        <w:pStyle w:val="Paragraphedeliste"/>
        <w:numPr>
          <w:ilvl w:val="0"/>
          <w:numId w:val="67"/>
        </w:numPr>
        <w:spacing w:before="20" w:after="20"/>
        <w:ind w:left="0"/>
        <w:contextualSpacing/>
        <w:jc w:val="both"/>
        <w:rPr>
          <w:rFonts w:asciiTheme="minorHAnsi" w:hAnsiTheme="minorHAnsi" w:cstheme="minorHAnsi"/>
          <w:b/>
          <w:bCs/>
          <w:color w:val="000000" w:themeColor="text1"/>
          <w:sz w:val="20"/>
          <w:szCs w:val="20"/>
          <w:lang w:val="fr-FR"/>
        </w:rPr>
      </w:pPr>
      <w:r w:rsidRPr="000E53A0">
        <w:rPr>
          <w:rFonts w:asciiTheme="minorHAnsi" w:hAnsiTheme="minorHAnsi" w:cstheme="minorHAnsi"/>
          <w:b/>
          <w:bCs/>
          <w:color w:val="000000" w:themeColor="text1"/>
          <w:sz w:val="20"/>
          <w:szCs w:val="20"/>
          <w:lang w:val="fr-FR"/>
        </w:rPr>
        <w:t xml:space="preserve">Projet de consolidation de la paix, de stabilisation et de réconciliation (PS&amp;R) </w:t>
      </w:r>
      <w:r w:rsidRPr="004E0953">
        <w:rPr>
          <w:rStyle w:val="Appelnotedebasdep"/>
          <w:rFonts w:asciiTheme="minorHAnsi" w:hAnsiTheme="minorHAnsi" w:cstheme="minorHAnsi"/>
          <w:b/>
          <w:bCs/>
          <w:color w:val="000000" w:themeColor="text1"/>
          <w:sz w:val="20"/>
          <w:szCs w:val="20"/>
        </w:rPr>
        <w:footnoteReference w:id="50"/>
      </w:r>
    </w:p>
    <w:p w14:paraId="75BA576A" w14:textId="77777777" w:rsidR="00601D9B" w:rsidRPr="000E53A0" w:rsidRDefault="000E53A0">
      <w:pPr>
        <w:spacing w:before="20" w:after="20"/>
        <w:jc w:val="both"/>
        <w:rPr>
          <w:rFonts w:asciiTheme="minorHAnsi" w:hAnsiTheme="minorHAnsi" w:cstheme="minorHAnsi"/>
          <w:color w:val="000000" w:themeColor="text1"/>
          <w:sz w:val="20"/>
          <w:szCs w:val="20"/>
          <w:lang w:val="fr-FR"/>
        </w:rPr>
      </w:pPr>
      <w:r w:rsidRPr="000E53A0">
        <w:rPr>
          <w:rFonts w:asciiTheme="minorHAnsi" w:hAnsiTheme="minorHAnsi" w:cstheme="minorHAnsi"/>
          <w:color w:val="000000" w:themeColor="text1"/>
          <w:sz w:val="20"/>
          <w:szCs w:val="20"/>
          <w:lang w:val="fr-FR"/>
        </w:rPr>
        <w:t xml:space="preserve">(Agence des États-Unis pour le développement international (USAID)/ 2018-2023, 19 118 547 $) </w:t>
      </w:r>
    </w:p>
    <w:p w14:paraId="08B873D3" w14:textId="77777777" w:rsidR="00601D9B" w:rsidRPr="000E53A0" w:rsidRDefault="000E53A0">
      <w:pPr>
        <w:spacing w:before="20" w:after="20"/>
        <w:jc w:val="both"/>
        <w:rPr>
          <w:rFonts w:asciiTheme="minorHAnsi" w:hAnsiTheme="minorHAnsi" w:cstheme="minorHAnsi"/>
          <w:color w:val="000000" w:themeColor="text1"/>
          <w:sz w:val="20"/>
          <w:szCs w:val="20"/>
          <w:lang w:val="fr-FR"/>
        </w:rPr>
      </w:pPr>
      <w:r w:rsidRPr="000E53A0">
        <w:rPr>
          <w:rFonts w:asciiTheme="minorHAnsi" w:hAnsiTheme="minorHAnsi" w:cstheme="minorHAnsi"/>
          <w:color w:val="000000" w:themeColor="text1"/>
          <w:sz w:val="20"/>
          <w:szCs w:val="20"/>
          <w:lang w:val="fr-FR"/>
        </w:rPr>
        <w:t xml:space="preserve">Le projet de consolidation de la paix, de stabilisation et de réconciliation, financé par US Aid et mis en œuvre par Creatives Associates International, vise à </w:t>
      </w:r>
      <w:r w:rsidRPr="000E53A0">
        <w:rPr>
          <w:rFonts w:asciiTheme="minorHAnsi" w:hAnsiTheme="minorHAnsi" w:cstheme="minorHAnsi"/>
          <w:sz w:val="20"/>
          <w:szCs w:val="20"/>
          <w:lang w:val="fr-FR"/>
        </w:rPr>
        <w:t xml:space="preserve">renforcer la confiance et la communication entre les communautés et le gouvernement, à aider les communautés à détecter et à répondre aux signes avant-coureurs de conflit et à rassembler les citoyens et les dirigeants locaux pour construire la paix. </w:t>
      </w:r>
      <w:r w:rsidRPr="000E53A0">
        <w:rPr>
          <w:rFonts w:asciiTheme="minorHAnsi" w:hAnsiTheme="minorHAnsi" w:cstheme="minorHAnsi"/>
          <w:color w:val="000000" w:themeColor="text1"/>
          <w:sz w:val="20"/>
          <w:szCs w:val="20"/>
          <w:shd w:val="clear" w:color="auto" w:fill="FFFFFF"/>
          <w:lang w:val="fr-FR"/>
        </w:rPr>
        <w:t>Ce projet vise à améliorer les perspectives de paix, de sécurité et de réconciliation à long terme en instaurant la confiance entre les communautés touchées par les conflits et leur gouvernement, en renforçant la capacité des communautés à atténuer et à gérer les conflits, à hiérarchiser et à mettre en œuvre les besoins de développement les plus urgents de leurs communautés, et en donnant aux jeunes marginalisés les moyens d'être des agents du changement. Les résultats escomptés sont les suivants : i) établir des systèmes de réponse d'alerte précoce pour surveiller et signaler les incidents de conflit, ii) soutenir les mécanismes locaux de résolution des conflits, iii) renforcer la gouvernance inclusive et l'engagement civique, iv) soutenir les processus de réintégration et les victimes de la violence, v) engager et responsabiliser les jeunes et leurs familles contre les extrémismes violents par le biais d'une approche de développement communautaire holistique.</w:t>
      </w:r>
      <w:r w:rsidRPr="000E53A0">
        <w:rPr>
          <w:rFonts w:asciiTheme="minorHAnsi" w:hAnsiTheme="minorHAnsi" w:cstheme="minorHAnsi"/>
          <w:color w:val="000000" w:themeColor="text1"/>
          <w:sz w:val="20"/>
          <w:szCs w:val="20"/>
          <w:lang w:val="fr-FR"/>
        </w:rPr>
        <w:t xml:space="preserve"> Ce projet est un projet de base car il n'aborde pas l'adaptation au changement climatique. En fournissant un cofinancement au projet GEFTF/LDCF pour les mécanismes locaux de résolution des conflits, le projet sera influencé pour prendre en compte le CC et les ressources naturelles. Le projet PS&amp;R contribuera à un cofinancement estimé à 1 million de dollars par le biais de la résolution des conflits, plus de 3 millions de dollars de fonds du projet devant être dépensés à Mopti. </w:t>
      </w:r>
    </w:p>
    <w:p w14:paraId="274011F0" w14:textId="77777777" w:rsidR="00601D9B" w:rsidRPr="000E53A0" w:rsidRDefault="000E53A0">
      <w:pPr>
        <w:pStyle w:val="Paragraphedeliste"/>
        <w:numPr>
          <w:ilvl w:val="0"/>
          <w:numId w:val="67"/>
        </w:numPr>
        <w:spacing w:before="20" w:after="20"/>
        <w:ind w:left="0"/>
        <w:contextualSpacing/>
        <w:jc w:val="both"/>
        <w:rPr>
          <w:rFonts w:asciiTheme="minorHAnsi" w:hAnsiTheme="minorHAnsi" w:cstheme="minorHAnsi"/>
          <w:b/>
          <w:bCs/>
          <w:color w:val="000000" w:themeColor="text1"/>
          <w:sz w:val="20"/>
          <w:szCs w:val="20"/>
          <w:shd w:val="clear" w:color="auto" w:fill="FFFFFF"/>
          <w:lang w:val="fr-FR"/>
        </w:rPr>
      </w:pPr>
      <w:r w:rsidRPr="000E53A0">
        <w:rPr>
          <w:rFonts w:asciiTheme="minorHAnsi" w:hAnsiTheme="minorHAnsi" w:cstheme="minorHAnsi"/>
          <w:b/>
          <w:bCs/>
          <w:color w:val="000000" w:themeColor="text1"/>
          <w:sz w:val="20"/>
          <w:szCs w:val="20"/>
          <w:lang w:val="fr-FR"/>
        </w:rPr>
        <w:lastRenderedPageBreak/>
        <w:t xml:space="preserve">Phase II : Chaînes de valeur agricoles pour le programme de renforcement de la sécurité alimentaire (PRCA-SA) " Jege ni Jaba ". </w:t>
      </w:r>
      <w:r w:rsidRPr="004E0953">
        <w:rPr>
          <w:rStyle w:val="Appelnotedebasdep"/>
          <w:rFonts w:asciiTheme="minorHAnsi" w:hAnsiTheme="minorHAnsi" w:cstheme="minorHAnsi"/>
          <w:b/>
          <w:bCs/>
          <w:color w:val="000000" w:themeColor="text1"/>
          <w:sz w:val="20"/>
          <w:szCs w:val="20"/>
        </w:rPr>
        <w:footnoteReference w:id="51"/>
      </w:r>
    </w:p>
    <w:p w14:paraId="5FFCE513" w14:textId="77777777" w:rsidR="00601D9B" w:rsidRPr="000E53A0" w:rsidRDefault="000E53A0">
      <w:pPr>
        <w:spacing w:before="20" w:after="20"/>
        <w:jc w:val="both"/>
        <w:rPr>
          <w:rFonts w:asciiTheme="minorHAnsi" w:hAnsiTheme="minorHAnsi" w:cstheme="minorHAnsi"/>
          <w:color w:val="000000" w:themeColor="text1"/>
          <w:sz w:val="20"/>
          <w:szCs w:val="20"/>
          <w:lang w:val="fr-FR"/>
        </w:rPr>
      </w:pPr>
      <w:r w:rsidRPr="000E53A0">
        <w:rPr>
          <w:rFonts w:asciiTheme="minorHAnsi" w:hAnsiTheme="minorHAnsi" w:cstheme="minorHAnsi"/>
          <w:color w:val="000000" w:themeColor="text1"/>
          <w:sz w:val="20"/>
          <w:szCs w:val="20"/>
          <w:lang w:val="fr-FR"/>
        </w:rPr>
        <w:t>(Gouvernement des Pays-Bas/ 2020-2024, 12,9 millions de dollars)</w:t>
      </w:r>
    </w:p>
    <w:p w14:paraId="03ECEF49" w14:textId="77777777" w:rsidR="00601D9B" w:rsidRPr="000E53A0" w:rsidRDefault="000E53A0">
      <w:pPr>
        <w:spacing w:before="20" w:after="20"/>
        <w:jc w:val="both"/>
        <w:rPr>
          <w:rFonts w:asciiTheme="minorHAnsi" w:hAnsiTheme="minorHAnsi" w:cstheme="minorHAnsi"/>
          <w:color w:val="000000" w:themeColor="text1"/>
          <w:sz w:val="20"/>
          <w:szCs w:val="20"/>
          <w:shd w:val="clear" w:color="auto" w:fill="FFFFFF"/>
          <w:lang w:val="fr-FR"/>
        </w:rPr>
      </w:pPr>
      <w:r w:rsidRPr="000E53A0">
        <w:rPr>
          <w:rFonts w:asciiTheme="minorHAnsi" w:hAnsiTheme="minorHAnsi" w:cstheme="minorHAnsi"/>
          <w:color w:val="000000" w:themeColor="text1"/>
          <w:sz w:val="20"/>
          <w:szCs w:val="20"/>
          <w:shd w:val="clear" w:color="auto" w:fill="FFFFFF"/>
          <w:lang w:val="fr-FR"/>
        </w:rPr>
        <w:t xml:space="preserve">Ce projet, mis en œuvre par ICCO Coopération dans les régions de Bamako, Koulikoro, Mopti, Ségou et Tombouctou, vise à améliorer la sécurité alimentaire au Mali, sans augmenter la pression sur l'environnement, notamment les ressources en eau, tout en contribuant à la promotion des secteurs sensibles - les femmes et les jeunes. </w:t>
      </w:r>
      <w:r w:rsidRPr="000E53A0">
        <w:rPr>
          <w:rFonts w:asciiTheme="minorHAnsi" w:hAnsiTheme="minorHAnsi" w:cstheme="minorHAnsi"/>
          <w:sz w:val="20"/>
          <w:szCs w:val="20"/>
          <w:lang w:val="fr-FR"/>
        </w:rPr>
        <w:t xml:space="preserve">Grâce à la phase I du PRCA-SA, plus de 51 000 ménages ont déjà amélioré leur capacité de production en améliorant l'irrigation et en construisant des digues, des étangs piscicoles et des centres de collecte du lait. Ainsi, les ménages ont amélioré leurs revenus et sont devenus plus résistants au changement climatique et aux chocs de la saison des récoltes. </w:t>
      </w:r>
      <w:r w:rsidRPr="000E53A0">
        <w:rPr>
          <w:rFonts w:asciiTheme="minorHAnsi" w:hAnsiTheme="minorHAnsi" w:cstheme="minorHAnsi"/>
          <w:color w:val="000000" w:themeColor="text1"/>
          <w:sz w:val="20"/>
          <w:szCs w:val="20"/>
          <w:shd w:val="clear" w:color="auto" w:fill="FFFFFF"/>
          <w:lang w:val="fr-FR"/>
        </w:rPr>
        <w:t xml:space="preserve">La phase II </w:t>
      </w:r>
      <w:r w:rsidRPr="000E53A0">
        <w:rPr>
          <w:rFonts w:asciiTheme="minorHAnsi" w:hAnsiTheme="minorHAnsi" w:cstheme="minorHAnsi"/>
          <w:color w:val="000000" w:themeColor="text1"/>
          <w:sz w:val="20"/>
          <w:szCs w:val="20"/>
          <w:lang w:val="fr-FR"/>
        </w:rPr>
        <w:t>renforcera les chaînes de valeur agricoles des oignons, du poisson et des pommes de terre, en aidant les petites entreprises et les exploitations familiales à améliorer l'efficacité de l'utilisation de l'eau, l'</w:t>
      </w:r>
      <w:r w:rsidRPr="000E53A0">
        <w:rPr>
          <w:rFonts w:asciiTheme="minorHAnsi" w:hAnsiTheme="minorHAnsi" w:cstheme="minorHAnsi"/>
          <w:color w:val="000000" w:themeColor="text1"/>
          <w:sz w:val="20"/>
          <w:szCs w:val="20"/>
          <w:shd w:val="clear" w:color="auto" w:fill="FEFEFE"/>
          <w:lang w:val="fr-FR"/>
        </w:rPr>
        <w:t>accès aux intrants (semences, engrais, alevins, aliments pour poissons), l</w:t>
      </w:r>
      <w:r w:rsidRPr="000E53A0">
        <w:rPr>
          <w:rFonts w:asciiTheme="minorHAnsi" w:hAnsiTheme="minorHAnsi" w:cstheme="minorHAnsi"/>
          <w:color w:val="000000" w:themeColor="text1"/>
          <w:sz w:val="20"/>
          <w:szCs w:val="20"/>
          <w:lang w:val="fr-FR"/>
        </w:rPr>
        <w:t>'amélioration du stockage, la transformation des aliments et l'accès au financement. Par conséquent, le projet chevauche le projet GEFTF/LDCF proposé qui vise à augmenter les rendements dans les paysages vulnérables de pâturage, d'agriculture et de pêche grâce à des formations et au développement des capacités sur la gestion durable des terres et de l'eau et la résilience climatique pour les agriculteurs, les éleveurs et les pêcheurs. La phase II du PRCA SA contribuera à hauteur de 6 millions de dollars en cofinancement, pour les composantes 2 et 3 du projet du FPMA.</w:t>
      </w:r>
    </w:p>
    <w:p w14:paraId="33A46DC8" w14:textId="77777777" w:rsidR="00601D9B" w:rsidRPr="000E53A0" w:rsidRDefault="000E53A0">
      <w:pPr>
        <w:pStyle w:val="NormalWeb"/>
        <w:numPr>
          <w:ilvl w:val="0"/>
          <w:numId w:val="67"/>
        </w:numPr>
        <w:spacing w:before="20" w:beforeAutospacing="0" w:after="20" w:afterAutospacing="0"/>
        <w:ind w:left="0"/>
        <w:jc w:val="both"/>
        <w:rPr>
          <w:rFonts w:asciiTheme="minorHAnsi" w:hAnsiTheme="minorHAnsi" w:cstheme="minorHAnsi"/>
          <w:b/>
          <w:bCs/>
          <w:color w:val="000000" w:themeColor="text1"/>
          <w:sz w:val="20"/>
          <w:szCs w:val="20"/>
          <w:lang w:val="fr-FR"/>
        </w:rPr>
      </w:pPr>
      <w:r w:rsidRPr="000E53A0">
        <w:rPr>
          <w:rFonts w:asciiTheme="minorHAnsi" w:hAnsiTheme="minorHAnsi" w:cstheme="minorHAnsi"/>
          <w:b/>
          <w:bCs/>
          <w:color w:val="000000" w:themeColor="text1"/>
          <w:sz w:val="20"/>
          <w:szCs w:val="20"/>
          <w:lang w:val="fr-FR"/>
        </w:rPr>
        <w:t xml:space="preserve">FP092 : Programme de développement intégré et d'adaptation au changement climatique dans le bassin du Niger (PIDACC/NB) </w:t>
      </w:r>
      <w:r w:rsidRPr="004E0953">
        <w:rPr>
          <w:rStyle w:val="Appelnotedebasdep"/>
          <w:rFonts w:asciiTheme="minorHAnsi" w:hAnsiTheme="minorHAnsi" w:cstheme="minorHAnsi"/>
          <w:b/>
          <w:bCs/>
          <w:color w:val="000000" w:themeColor="text1"/>
          <w:sz w:val="20"/>
          <w:szCs w:val="20"/>
        </w:rPr>
        <w:footnoteReference w:id="52"/>
      </w:r>
    </w:p>
    <w:p w14:paraId="46145637" w14:textId="77777777" w:rsidR="00601D9B" w:rsidRPr="000E53A0" w:rsidRDefault="000E53A0">
      <w:pPr>
        <w:pStyle w:val="NormalWeb"/>
        <w:spacing w:before="20" w:beforeAutospacing="0" w:after="20" w:afterAutospacing="0"/>
        <w:jc w:val="both"/>
        <w:rPr>
          <w:rFonts w:asciiTheme="minorHAnsi" w:hAnsiTheme="minorHAnsi" w:cstheme="minorHAnsi"/>
          <w:color w:val="000000" w:themeColor="text1"/>
          <w:sz w:val="20"/>
          <w:szCs w:val="20"/>
          <w:lang w:val="fr-FR"/>
        </w:rPr>
      </w:pPr>
      <w:r w:rsidRPr="000E53A0">
        <w:rPr>
          <w:rFonts w:asciiTheme="minorHAnsi" w:hAnsiTheme="minorHAnsi" w:cstheme="minorHAnsi"/>
          <w:color w:val="000000" w:themeColor="text1"/>
          <w:sz w:val="20"/>
          <w:szCs w:val="20"/>
          <w:lang w:val="fr-FR"/>
        </w:rPr>
        <w:t>(Fonds vert pour le climat, Banque africaine de développement, 2019-2024, 67,8 millions de dollars)</w:t>
      </w:r>
    </w:p>
    <w:p w14:paraId="153C5D8A" w14:textId="77777777" w:rsidR="00601D9B" w:rsidRPr="000E53A0" w:rsidRDefault="000E53A0">
      <w:pPr>
        <w:pStyle w:val="NormalWeb"/>
        <w:spacing w:before="20" w:beforeAutospacing="0" w:after="20" w:afterAutospacing="0"/>
        <w:jc w:val="both"/>
        <w:rPr>
          <w:rFonts w:asciiTheme="minorHAnsi" w:hAnsiTheme="minorHAnsi" w:cstheme="minorHAnsi"/>
          <w:color w:val="000000" w:themeColor="text1"/>
          <w:sz w:val="20"/>
          <w:szCs w:val="20"/>
          <w:lang w:val="fr-FR"/>
        </w:rPr>
      </w:pPr>
      <w:r w:rsidRPr="000E53A0">
        <w:rPr>
          <w:rFonts w:asciiTheme="minorHAnsi" w:hAnsiTheme="minorHAnsi" w:cstheme="minorHAnsi"/>
          <w:sz w:val="20"/>
          <w:szCs w:val="20"/>
          <w:lang w:val="fr-FR"/>
        </w:rPr>
        <w:t xml:space="preserve">Le </w:t>
      </w:r>
      <w:r w:rsidRPr="000E53A0">
        <w:rPr>
          <w:rFonts w:asciiTheme="minorHAnsi" w:hAnsiTheme="minorHAnsi" w:cstheme="minorHAnsi"/>
          <w:color w:val="000000" w:themeColor="text1"/>
          <w:sz w:val="20"/>
          <w:szCs w:val="20"/>
          <w:lang w:val="fr-FR"/>
        </w:rPr>
        <w:t xml:space="preserve">projet, qui se déroule dans 10 pays dont le Mali (régions de Koukikoro, Sikasso, Ségou, Mopti, Tombouctou et Gao), comporte 3 composantes : </w:t>
      </w:r>
      <w:r w:rsidRPr="000E53A0">
        <w:rPr>
          <w:rFonts w:asciiTheme="minorHAnsi" w:hAnsiTheme="minorHAnsi" w:cstheme="minorHAnsi"/>
          <w:sz w:val="20"/>
          <w:szCs w:val="20"/>
          <w:lang w:val="fr-FR"/>
        </w:rPr>
        <w:t xml:space="preserve">i) contribuer à l'amélioration de la résilience des écosystèmes et de la gestion des ressources naturelles en renforçant la GDT et la gestion partagée des ressources naturelles ; ii) développer la résilience des populations en mettant en place des infrastructures de croissance résistantes au climat et en promouvant des activités génératrices de revenus et iii) assurer la coordination, le suivi, l'évaluation et la communication par la diffusion de bonnes pratiques d'adaptation et d'informations climatiques. Les résultats de la composante 1 du projet sont particulièrement bien alignés avec le projet proposé par le FPMA : Les résultats 1 et 2 concernant le renforcement de la gestion des terres et des forêts ; le résultat 5. </w:t>
      </w:r>
      <w:proofErr w:type="gramStart"/>
      <w:r w:rsidRPr="000E53A0">
        <w:rPr>
          <w:rFonts w:asciiTheme="minorHAnsi" w:hAnsiTheme="minorHAnsi" w:cstheme="minorHAnsi"/>
          <w:sz w:val="20"/>
          <w:szCs w:val="20"/>
          <w:lang w:val="fr-FR"/>
        </w:rPr>
        <w:t>le</w:t>
      </w:r>
      <w:proofErr w:type="gramEnd"/>
      <w:r w:rsidRPr="000E53A0">
        <w:rPr>
          <w:rFonts w:asciiTheme="minorHAnsi" w:hAnsiTheme="minorHAnsi" w:cstheme="minorHAnsi"/>
          <w:sz w:val="20"/>
          <w:szCs w:val="20"/>
          <w:lang w:val="fr-FR"/>
        </w:rPr>
        <w:t xml:space="preserve"> renforcement des services d'information climatique et météorologique. Il en va de même pour la composante 2, notamment pour le résultat 11. Points d'eau pour le bétail et développement des voies de transhumance, le résultat 13 : Construction d'infrastructures de pêche pour une meilleure productivité, et le résultat 14 : Préparation et mise en œuvre de plans communautaires d'adaptation au climat. </w:t>
      </w:r>
      <w:r w:rsidRPr="000E53A0">
        <w:rPr>
          <w:rFonts w:asciiTheme="minorHAnsi" w:hAnsiTheme="minorHAnsi" w:cstheme="minorHAnsi"/>
          <w:color w:val="000000" w:themeColor="text1"/>
          <w:sz w:val="20"/>
          <w:szCs w:val="20"/>
          <w:lang w:val="fr-FR"/>
        </w:rPr>
        <w:t>Comme ce projet traite de l'adaptation au changement climatique, il n'est donc pas un projet de base et contribue au scénario alternatif et constituera un cofinancement du projet GEFTF/LDCF. Le prêt du GCF est estimé à 10 millions de dollars, et contribuera à hauteur de 2 millions de dollars en cofinancement, pour les composantes 1 et 2 dans la région de Mopti.</w:t>
      </w:r>
    </w:p>
    <w:p w14:paraId="47DD3DA4" w14:textId="77777777" w:rsidR="00601D9B" w:rsidRPr="000E53A0" w:rsidRDefault="000E53A0">
      <w:pPr>
        <w:pStyle w:val="NormalWeb"/>
        <w:numPr>
          <w:ilvl w:val="0"/>
          <w:numId w:val="67"/>
        </w:numPr>
        <w:spacing w:before="20" w:beforeAutospacing="0" w:after="20" w:afterAutospacing="0"/>
        <w:ind w:left="0"/>
        <w:jc w:val="both"/>
        <w:rPr>
          <w:rFonts w:asciiTheme="minorHAnsi" w:hAnsiTheme="minorHAnsi" w:cstheme="minorHAnsi"/>
          <w:b/>
          <w:bCs/>
          <w:color w:val="000000" w:themeColor="text1"/>
          <w:sz w:val="20"/>
          <w:szCs w:val="20"/>
          <w:lang w:val="fr-FR"/>
        </w:rPr>
      </w:pPr>
      <w:r w:rsidRPr="000E53A0">
        <w:rPr>
          <w:rFonts w:asciiTheme="minorHAnsi" w:hAnsiTheme="minorHAnsi" w:cstheme="minorHAnsi"/>
          <w:b/>
          <w:bCs/>
          <w:sz w:val="20"/>
          <w:szCs w:val="20"/>
          <w:lang w:val="fr-FR"/>
        </w:rPr>
        <w:t xml:space="preserve">FP012 : Programme Africa Hydromet - Renforcement de la résilience climatique en Afrique sub-saharienne : Projet national du Mali </w:t>
      </w:r>
      <w:r w:rsidRPr="004E0953">
        <w:rPr>
          <w:rStyle w:val="Appelnotedebasdep"/>
          <w:rFonts w:asciiTheme="minorHAnsi" w:hAnsiTheme="minorHAnsi" w:cstheme="minorHAnsi"/>
          <w:b/>
          <w:bCs/>
          <w:sz w:val="20"/>
          <w:szCs w:val="20"/>
        </w:rPr>
        <w:footnoteReference w:id="53"/>
      </w:r>
    </w:p>
    <w:p w14:paraId="0D929380" w14:textId="77777777" w:rsidR="00601D9B" w:rsidRPr="000E53A0" w:rsidRDefault="000E53A0">
      <w:pPr>
        <w:pStyle w:val="NormalWeb"/>
        <w:spacing w:before="20" w:beforeAutospacing="0" w:after="20" w:afterAutospacing="0"/>
        <w:jc w:val="both"/>
        <w:rPr>
          <w:rFonts w:asciiTheme="minorHAnsi" w:hAnsiTheme="minorHAnsi" w:cstheme="minorHAnsi"/>
          <w:sz w:val="20"/>
          <w:szCs w:val="20"/>
          <w:lang w:val="fr-FR"/>
        </w:rPr>
      </w:pPr>
      <w:r w:rsidRPr="000E53A0">
        <w:rPr>
          <w:rFonts w:asciiTheme="minorHAnsi" w:hAnsiTheme="minorHAnsi" w:cstheme="minorHAnsi"/>
          <w:sz w:val="20"/>
          <w:szCs w:val="20"/>
          <w:lang w:val="fr-FR"/>
        </w:rPr>
        <w:t xml:space="preserve">(Fonds vert pour le climat, 2020-2024, 22,7 millions de dollars) </w:t>
      </w:r>
    </w:p>
    <w:p w14:paraId="4B313D96" w14:textId="77777777" w:rsidR="00601D9B" w:rsidRPr="000E53A0" w:rsidRDefault="000E53A0">
      <w:pPr>
        <w:pStyle w:val="NormalWeb"/>
        <w:spacing w:before="20" w:beforeAutospacing="0" w:after="20" w:afterAutospacing="0"/>
        <w:jc w:val="both"/>
        <w:rPr>
          <w:rFonts w:asciiTheme="minorHAnsi" w:hAnsiTheme="minorHAnsi" w:cstheme="minorHAnsi"/>
          <w:sz w:val="20"/>
          <w:szCs w:val="20"/>
          <w:lang w:val="fr-FR"/>
        </w:rPr>
      </w:pPr>
      <w:r w:rsidRPr="000E53A0">
        <w:rPr>
          <w:rFonts w:asciiTheme="minorHAnsi" w:hAnsiTheme="minorHAnsi" w:cstheme="minorHAnsi"/>
          <w:sz w:val="20"/>
          <w:szCs w:val="20"/>
          <w:lang w:val="fr-FR"/>
        </w:rPr>
        <w:t xml:space="preserve">Le projet, mis en œuvre par Mali meteo, vise à améliorer la capacité d'alerte précoce et à renforcer la résilience climatique des communautés vulnérables au Mali en développant des services d'alerte hydrométéorologique. Le projet est bien aligné avec le projet du FPMA, car il comprend les composantes suivantes : i) renforcement des capacités et développement institutionnel, ii) amélioration des infrastructures hydrométriques et d'alerte précoce, iii) amélioration de la prestation de services et des alertes aux communautés, et iv) gestion du projet. En particulier, la sous-composante 1.2. Renforcer les cadres institutionnels et réglementaires de l'hydrométéorologie, de la sécurité alimentaire et de la protection civile pour assurer une action rapide en relation avec les alertes précoces ; et la sous-composante 3.1. Établir un cadre national de services climatiques avec des groupes de travail </w:t>
      </w:r>
      <w:r w:rsidRPr="000E53A0">
        <w:rPr>
          <w:rFonts w:asciiTheme="minorHAnsi" w:hAnsiTheme="minorHAnsi" w:cstheme="minorHAnsi"/>
          <w:sz w:val="20"/>
          <w:szCs w:val="20"/>
          <w:lang w:val="fr-FR"/>
        </w:rPr>
        <w:lastRenderedPageBreak/>
        <w:t xml:space="preserve">sectoriels sont alignés avec le projet proposé par le FPMA. Des systèmes améliorés d'alerte aux inondations et à la sécheresse seront également développés, ainsi que des systèmes de construction pour s'assurer que les alertes précoces atteignent le niveau municipal et communautaire grâce à de meilleurs systèmes de " dernier kilomètre ". Comme ce projet porte sur l'adaptation au changement climatique, il ne s'agit pas d'un projet de base. Ce projet GCF contribuera à hauteur de 1 million de dollars au cofinancement des composantes 1 et 2 du projet LDCF. </w:t>
      </w:r>
    </w:p>
    <w:p w14:paraId="3B148426" w14:textId="77777777" w:rsidR="00601D9B" w:rsidRPr="000E53A0" w:rsidRDefault="000E53A0">
      <w:pPr>
        <w:pStyle w:val="NormalWeb"/>
        <w:numPr>
          <w:ilvl w:val="0"/>
          <w:numId w:val="67"/>
        </w:numPr>
        <w:spacing w:before="20" w:beforeAutospacing="0" w:after="20" w:afterAutospacing="0"/>
        <w:ind w:left="0"/>
        <w:jc w:val="both"/>
        <w:rPr>
          <w:rFonts w:asciiTheme="minorHAnsi" w:hAnsiTheme="minorHAnsi" w:cstheme="minorHAnsi"/>
          <w:b/>
          <w:bCs/>
          <w:sz w:val="20"/>
          <w:szCs w:val="20"/>
          <w:lang w:val="fr-FR"/>
        </w:rPr>
      </w:pPr>
      <w:r w:rsidRPr="000E53A0">
        <w:rPr>
          <w:rFonts w:asciiTheme="minorHAnsi" w:hAnsiTheme="minorHAnsi" w:cstheme="minorHAnsi"/>
          <w:b/>
          <w:bCs/>
          <w:sz w:val="20"/>
          <w:szCs w:val="20"/>
          <w:lang w:val="fr-FR"/>
        </w:rPr>
        <w:t>Mise en œuvre des priorités régionales et nationales d'adaptation en Afrique centrale et occidentale (PACO)</w:t>
      </w:r>
    </w:p>
    <w:p w14:paraId="1D1E8BC9" w14:textId="77777777" w:rsidR="00601D9B" w:rsidRPr="000E53A0" w:rsidRDefault="000E53A0">
      <w:pPr>
        <w:pStyle w:val="NormalWeb"/>
        <w:spacing w:before="20" w:beforeAutospacing="0" w:after="20" w:afterAutospacing="0"/>
        <w:jc w:val="both"/>
        <w:rPr>
          <w:rFonts w:asciiTheme="minorHAnsi" w:hAnsiTheme="minorHAnsi" w:cstheme="minorHAnsi"/>
          <w:sz w:val="20"/>
          <w:szCs w:val="20"/>
          <w:lang w:val="fr-FR"/>
        </w:rPr>
      </w:pPr>
      <w:r w:rsidRPr="000E53A0">
        <w:rPr>
          <w:rFonts w:asciiTheme="minorHAnsi" w:hAnsiTheme="minorHAnsi" w:cstheme="minorHAnsi"/>
          <w:sz w:val="20"/>
          <w:szCs w:val="20"/>
          <w:lang w:val="fr-FR"/>
        </w:rPr>
        <w:t>(GIZ, 2020-2025, 20 millions d'euros)</w:t>
      </w:r>
    </w:p>
    <w:p w14:paraId="37E559AA" w14:textId="77777777" w:rsidR="00601D9B" w:rsidRPr="000E53A0" w:rsidRDefault="000E53A0">
      <w:pPr>
        <w:pStyle w:val="NormalWeb"/>
        <w:spacing w:before="20" w:beforeAutospacing="0" w:after="20" w:afterAutospacing="0"/>
        <w:jc w:val="both"/>
        <w:rPr>
          <w:rFonts w:asciiTheme="minorHAnsi" w:hAnsiTheme="minorHAnsi" w:cstheme="minorHAnsi"/>
          <w:sz w:val="20"/>
          <w:szCs w:val="20"/>
          <w:lang w:val="fr-FR"/>
        </w:rPr>
      </w:pPr>
      <w:r w:rsidRPr="000E53A0">
        <w:rPr>
          <w:rFonts w:asciiTheme="minorHAnsi" w:hAnsiTheme="minorHAnsi" w:cstheme="minorHAnsi"/>
          <w:sz w:val="20"/>
          <w:szCs w:val="20"/>
          <w:lang w:val="fr-FR"/>
        </w:rPr>
        <w:t xml:space="preserve">Le projet vise à renforcer la résilience climatique dans les pays d'Afrique de l'Ouest et du Centre par une mise en œuvre efficace des PAN/PCD. Il renforce le rôle des commissions climatiques régionales pour des agendas transformationnels et cohérents de résilience climatique et des cadres nationaux de gouvernance climatique au Bénin, au Burkina Faso, au Mali et au Congo. Le projet cherche à atteindre des résultats concrets dans les domaines suivants, qui sont bien alignés avec les domaines du projet proposé par le FPMA : systèmes alimentaires et agricoles à faible émission de carbone et résilients au climat ; adaptation basée sur les écosystèmes (EbA), gestion résiliente au climat des ressources en eau (transfrontalières), des forêts et des ressources foncières ; amélioration de l'accès des populations et des systèmes de production aux infrastructures résilientes au climat ; renforcement des capacités pour le développement, la mise en œuvre et l'évaluation des politiques, stratégies, programmes et projets ; utilisation accrue des informations climatiques aux niveaux stratégique et opérationnel. L'initiative a 4 résultats classés par i) Approches régionales, ii) Approches nationales, iii) Approches sectorielles, et iv) Échange Sud-Sud-mondial. Le projet de la GIZ contribuera à hauteur de 1 million de dollars au cofinancement des composantes 1 et 2 du projet. </w:t>
      </w:r>
    </w:p>
    <w:p w14:paraId="74AD98B6" w14:textId="77777777" w:rsidR="00601D9B" w:rsidRPr="000E53A0" w:rsidRDefault="000E53A0">
      <w:pPr>
        <w:pStyle w:val="NormalWeb"/>
        <w:numPr>
          <w:ilvl w:val="0"/>
          <w:numId w:val="67"/>
        </w:numPr>
        <w:spacing w:before="20" w:beforeAutospacing="0" w:after="20" w:afterAutospacing="0"/>
        <w:ind w:left="0"/>
        <w:jc w:val="both"/>
        <w:rPr>
          <w:rFonts w:asciiTheme="minorHAnsi" w:hAnsiTheme="minorHAnsi" w:cstheme="minorHAnsi"/>
          <w:b/>
          <w:bCs/>
          <w:sz w:val="20"/>
          <w:szCs w:val="20"/>
          <w:lang w:val="fr-FR"/>
        </w:rPr>
      </w:pPr>
      <w:r w:rsidRPr="000E53A0">
        <w:rPr>
          <w:rFonts w:asciiTheme="minorHAnsi" w:hAnsiTheme="minorHAnsi" w:cstheme="minorHAnsi"/>
          <w:b/>
          <w:bCs/>
          <w:sz w:val="20"/>
          <w:szCs w:val="20"/>
          <w:lang w:val="fr-FR"/>
        </w:rPr>
        <w:t xml:space="preserve">Agriculture et financement rural au Mali (FARM) </w:t>
      </w:r>
      <w:r w:rsidRPr="004E0953">
        <w:rPr>
          <w:rStyle w:val="Appelnotedebasdep"/>
          <w:rFonts w:asciiTheme="minorHAnsi" w:hAnsiTheme="minorHAnsi" w:cstheme="minorHAnsi"/>
          <w:b/>
          <w:bCs/>
          <w:sz w:val="20"/>
          <w:szCs w:val="20"/>
        </w:rPr>
        <w:footnoteReference w:id="54"/>
      </w:r>
    </w:p>
    <w:p w14:paraId="42C862AC" w14:textId="77777777" w:rsidR="00601D9B" w:rsidRPr="000E53A0" w:rsidRDefault="000E53A0">
      <w:pPr>
        <w:pStyle w:val="NormalWeb"/>
        <w:spacing w:before="20" w:beforeAutospacing="0" w:after="20" w:afterAutospacing="0"/>
        <w:jc w:val="both"/>
        <w:rPr>
          <w:rFonts w:asciiTheme="minorHAnsi" w:hAnsiTheme="minorHAnsi" w:cstheme="minorHAnsi"/>
          <w:color w:val="000000" w:themeColor="text1"/>
          <w:sz w:val="20"/>
          <w:szCs w:val="20"/>
          <w:shd w:val="clear" w:color="auto" w:fill="FFFFFF"/>
          <w:lang w:val="fr-FR"/>
        </w:rPr>
      </w:pPr>
      <w:r w:rsidRPr="000E53A0">
        <w:rPr>
          <w:rFonts w:asciiTheme="minorHAnsi" w:hAnsiTheme="minorHAnsi" w:cstheme="minorHAnsi"/>
          <w:color w:val="000000" w:themeColor="text1"/>
          <w:sz w:val="20"/>
          <w:szCs w:val="20"/>
          <w:shd w:val="clear" w:color="auto" w:fill="FFFFFF"/>
          <w:lang w:val="fr-FR"/>
        </w:rPr>
        <w:t>(Gouvernement du Canada (1), FAO, 2020-2024, 18,9 millions CAD)</w:t>
      </w:r>
    </w:p>
    <w:p w14:paraId="1C7E3156" w14:textId="77777777" w:rsidR="00601D9B" w:rsidRPr="000E53A0" w:rsidRDefault="000E53A0">
      <w:pPr>
        <w:pStyle w:val="NormalWeb"/>
        <w:spacing w:before="20" w:beforeAutospacing="0" w:after="20" w:afterAutospacing="0"/>
        <w:jc w:val="both"/>
        <w:rPr>
          <w:rFonts w:asciiTheme="minorHAnsi" w:hAnsiTheme="minorHAnsi" w:cstheme="minorHAnsi"/>
          <w:sz w:val="20"/>
          <w:szCs w:val="20"/>
          <w:lang w:val="fr-FR"/>
        </w:rPr>
      </w:pPr>
      <w:r w:rsidRPr="000E53A0">
        <w:rPr>
          <w:rFonts w:asciiTheme="minorHAnsi" w:hAnsiTheme="minorHAnsi" w:cstheme="minorHAnsi"/>
          <w:sz w:val="20"/>
          <w:szCs w:val="20"/>
          <w:lang w:val="fr-FR"/>
        </w:rPr>
        <w:t xml:space="preserve">Cette initiative aide un nombre restreint d'institutions financières viables à acquérir l'expertise et la capacité en matière de financement agricole pour répondre à la demande non satisfaite des producteurs agricoles en matière de services financiers à moyen et long terme dans les régions du sud du Mali, à savoir Ségou, Koulikoro, Bamako et Sikasso. </w:t>
      </w:r>
      <w:r w:rsidRPr="000E53A0">
        <w:rPr>
          <w:rFonts w:asciiTheme="minorHAnsi" w:hAnsiTheme="minorHAnsi" w:cstheme="minorHAnsi"/>
          <w:color w:val="000000" w:themeColor="text1"/>
          <w:sz w:val="20"/>
          <w:szCs w:val="20"/>
          <w:lang w:val="fr-FR"/>
        </w:rPr>
        <w:t xml:space="preserve">Le projet vise à i) aider les institutions financières locales à renforcer leurs capacités en matière d'octroi et de gestion du crédit rural ; ii) stimuler de nouveaux prêts agricoles par le biais d'un fonds de garantie et d'une ligne de crédit ; iii) réduire le risque financier inhérent à l'agriculture à petite échelle par le biais d'une assurance récolte ; et iv) soutenir une restructuration du système de microfinance. Le </w:t>
      </w:r>
      <w:r w:rsidRPr="000E53A0">
        <w:rPr>
          <w:rFonts w:asciiTheme="minorHAnsi" w:hAnsiTheme="minorHAnsi" w:cstheme="minorHAnsi"/>
          <w:sz w:val="20"/>
          <w:szCs w:val="20"/>
          <w:lang w:val="fr-FR"/>
        </w:rPr>
        <w:t xml:space="preserve">projet proposé par le FPMA, qui vise à soutenir les exploitations familiales, les jeunes et les femmes pour qu'ils innovent et adoptent des moyens de subsistance résilients et durables, s'aligne sur les résultats attendus du projet qui sont : i) le système de financement de l'agriculture et de l'agroalimentaire contribue à un environnement qui répond de manière adéquate aux besoins des acteurs du secteur rural ; et ii) l'économie rurale est stimulée par le contrôle des risques associés à la finance rurale et le soutien aux initiatives locales qui favorisent l'expansion des services financiers. </w:t>
      </w:r>
      <w:r w:rsidRPr="000E53A0">
        <w:rPr>
          <w:rFonts w:asciiTheme="minorHAnsi" w:hAnsiTheme="minorHAnsi" w:cstheme="minorHAnsi"/>
          <w:color w:val="000000" w:themeColor="text1"/>
          <w:sz w:val="20"/>
          <w:szCs w:val="20"/>
          <w:lang w:val="fr-FR"/>
        </w:rPr>
        <w:t xml:space="preserve">Ce projet constituera un cofinancement pour le projet GEFTF/LDCF et </w:t>
      </w:r>
      <w:r w:rsidRPr="000E53A0">
        <w:rPr>
          <w:rFonts w:asciiTheme="minorHAnsi" w:hAnsiTheme="minorHAnsi" w:cstheme="minorHAnsi"/>
          <w:sz w:val="20"/>
          <w:szCs w:val="20"/>
          <w:lang w:val="fr-FR"/>
        </w:rPr>
        <w:t xml:space="preserve">contribuera à hauteur de </w:t>
      </w:r>
      <w:r w:rsidRPr="000E53A0">
        <w:rPr>
          <w:rFonts w:asciiTheme="minorHAnsi" w:hAnsiTheme="minorHAnsi" w:cstheme="minorHAnsi"/>
          <w:color w:val="000000" w:themeColor="text1"/>
          <w:sz w:val="20"/>
          <w:szCs w:val="20"/>
          <w:highlight w:val="yellow"/>
          <w:lang w:val="fr-FR"/>
        </w:rPr>
        <w:t xml:space="preserve">X </w:t>
      </w:r>
      <w:r w:rsidRPr="000E53A0">
        <w:rPr>
          <w:rFonts w:asciiTheme="minorHAnsi" w:hAnsiTheme="minorHAnsi" w:cstheme="minorHAnsi"/>
          <w:color w:val="000000" w:themeColor="text1"/>
          <w:sz w:val="20"/>
          <w:szCs w:val="20"/>
          <w:lang w:val="fr-FR"/>
        </w:rPr>
        <w:t xml:space="preserve">millions de dollars </w:t>
      </w:r>
      <w:r w:rsidRPr="000E53A0">
        <w:rPr>
          <w:rFonts w:asciiTheme="minorHAnsi" w:hAnsiTheme="minorHAnsi" w:cstheme="minorHAnsi"/>
          <w:sz w:val="20"/>
          <w:szCs w:val="20"/>
          <w:lang w:val="fr-FR"/>
        </w:rPr>
        <w:t>au cofinancement du projet LDCF.</w:t>
      </w:r>
    </w:p>
    <w:p w14:paraId="30376358" w14:textId="77777777" w:rsidR="00601D9B" w:rsidRPr="000E53A0" w:rsidRDefault="000E53A0">
      <w:pPr>
        <w:pStyle w:val="NormalWeb"/>
        <w:numPr>
          <w:ilvl w:val="0"/>
          <w:numId w:val="67"/>
        </w:numPr>
        <w:spacing w:before="20" w:beforeAutospacing="0" w:after="20" w:afterAutospacing="0"/>
        <w:ind w:left="0"/>
        <w:jc w:val="both"/>
        <w:rPr>
          <w:rFonts w:asciiTheme="minorHAnsi" w:hAnsiTheme="minorHAnsi" w:cstheme="minorHAnsi"/>
          <w:b/>
          <w:bCs/>
          <w:color w:val="000000" w:themeColor="text1"/>
          <w:sz w:val="20"/>
          <w:szCs w:val="20"/>
          <w:lang w:val="fr-FR"/>
        </w:rPr>
      </w:pPr>
      <w:r w:rsidRPr="000E53A0">
        <w:rPr>
          <w:rFonts w:asciiTheme="minorHAnsi" w:hAnsiTheme="minorHAnsi" w:cstheme="minorHAnsi"/>
          <w:b/>
          <w:bCs/>
          <w:color w:val="000000" w:themeColor="text1"/>
          <w:sz w:val="20"/>
          <w:szCs w:val="20"/>
          <w:lang w:val="fr-FR"/>
        </w:rPr>
        <w:t xml:space="preserve">Renforcer la résilience nutritionnelle et la sécurité alimentaire des plus vulnérables au Mali </w:t>
      </w:r>
      <w:r w:rsidRPr="004E0953">
        <w:rPr>
          <w:rStyle w:val="Appelnotedebasdep"/>
          <w:rFonts w:asciiTheme="minorHAnsi" w:hAnsiTheme="minorHAnsi" w:cstheme="minorHAnsi"/>
          <w:b/>
          <w:bCs/>
          <w:color w:val="000000" w:themeColor="text1"/>
          <w:sz w:val="20"/>
          <w:szCs w:val="20"/>
        </w:rPr>
        <w:footnoteReference w:id="55"/>
      </w:r>
    </w:p>
    <w:p w14:paraId="57EAFC29" w14:textId="77777777" w:rsidR="00601D9B" w:rsidRPr="000E53A0" w:rsidRDefault="000E53A0">
      <w:pPr>
        <w:pStyle w:val="NormalWeb"/>
        <w:spacing w:before="20" w:beforeAutospacing="0" w:after="20" w:afterAutospacing="0"/>
        <w:jc w:val="both"/>
        <w:rPr>
          <w:rFonts w:asciiTheme="minorHAnsi" w:hAnsiTheme="minorHAnsi" w:cstheme="minorHAnsi"/>
          <w:color w:val="000000" w:themeColor="text1"/>
          <w:sz w:val="20"/>
          <w:szCs w:val="20"/>
          <w:lang w:val="fr-FR"/>
        </w:rPr>
      </w:pPr>
      <w:r w:rsidRPr="000E53A0">
        <w:rPr>
          <w:rFonts w:asciiTheme="minorHAnsi" w:hAnsiTheme="minorHAnsi" w:cstheme="minorHAnsi"/>
          <w:color w:val="000000" w:themeColor="text1"/>
          <w:sz w:val="20"/>
          <w:szCs w:val="20"/>
          <w:lang w:val="fr-FR"/>
        </w:rPr>
        <w:t>(Gouvernement du Canada (2), FAO, en partenariat avec l'UNICEF, Programme alimentaire mondial des Nations unies, 2021-2024, 20 millions CAD)</w:t>
      </w:r>
    </w:p>
    <w:p w14:paraId="6CD89EE3" w14:textId="77777777" w:rsidR="00601D9B" w:rsidRPr="000E53A0" w:rsidRDefault="000E53A0">
      <w:pPr>
        <w:pStyle w:val="NormalWeb"/>
        <w:spacing w:before="20" w:beforeAutospacing="0" w:after="20" w:afterAutospacing="0"/>
        <w:jc w:val="both"/>
        <w:rPr>
          <w:rFonts w:asciiTheme="minorHAnsi" w:hAnsiTheme="minorHAnsi" w:cstheme="minorHAnsi"/>
          <w:color w:val="000000" w:themeColor="text1"/>
          <w:sz w:val="20"/>
          <w:szCs w:val="20"/>
          <w:lang w:val="fr-FR"/>
        </w:rPr>
      </w:pPr>
      <w:r w:rsidRPr="000E53A0">
        <w:rPr>
          <w:rFonts w:asciiTheme="minorHAnsi" w:hAnsiTheme="minorHAnsi" w:cstheme="minorHAnsi"/>
          <w:color w:val="000000" w:themeColor="text1"/>
          <w:sz w:val="20"/>
          <w:szCs w:val="20"/>
          <w:lang w:val="fr-FR"/>
        </w:rPr>
        <w:t xml:space="preserve">Ce projet, </w:t>
      </w:r>
      <w:r w:rsidRPr="000E53A0">
        <w:rPr>
          <w:rFonts w:asciiTheme="minorHAnsi" w:hAnsiTheme="minorHAnsi" w:cstheme="minorHAnsi"/>
          <w:sz w:val="20"/>
          <w:szCs w:val="20"/>
          <w:lang w:val="fr-FR"/>
        </w:rPr>
        <w:t xml:space="preserve">mis en œuvre conjointement par le Programme alimentaire mondial (PAM), la FAO et l'UNICEF, </w:t>
      </w:r>
      <w:r w:rsidRPr="000E53A0">
        <w:rPr>
          <w:rFonts w:asciiTheme="minorHAnsi" w:hAnsiTheme="minorHAnsi" w:cstheme="minorHAnsi"/>
          <w:color w:val="000000" w:themeColor="text1"/>
          <w:sz w:val="20"/>
          <w:szCs w:val="20"/>
          <w:lang w:val="fr-FR"/>
        </w:rPr>
        <w:t xml:space="preserve">a pour objectif de renforcer la résilience de 250 000 personnes (dont 140 000 femmes) dans les régions de Mopti et de Ségou au Mali, en améliorant la sécurité alimentaire, nutritionnelle et sanitaire et en augmentant la productivité et les revenus agricoles, tout en s'attaquant aux effets du changement climatique sur la sécurité alimentaire de leurs communautés. </w:t>
      </w:r>
      <w:r w:rsidRPr="000E53A0">
        <w:rPr>
          <w:rFonts w:asciiTheme="minorHAnsi" w:hAnsiTheme="minorHAnsi" w:cstheme="minorHAnsi"/>
          <w:sz w:val="20"/>
          <w:szCs w:val="20"/>
          <w:lang w:val="fr-FR"/>
        </w:rPr>
        <w:t xml:space="preserve">Les activités du projet comprennent : (i) la réhabilitation des infrastructures sanitaires et d'eau potable dans les centres de santé, les écoles et les foyers des communautés ciblées ; (ii) le renforcement de la prévention et de la prise en charge de la malnutrition chez les enfants, les femmes enceintes et les mères allaitantes ; (iii) la distribution de repas nutritifs aux élèves ; (iv) l'organisation d'associations villageoises d'épargne et de crédit, de jardins scolaires et d'activités génératrices de revenus pour les petits producteurs, en particulier les </w:t>
      </w:r>
      <w:r w:rsidRPr="000E53A0">
        <w:rPr>
          <w:rFonts w:asciiTheme="minorHAnsi" w:hAnsiTheme="minorHAnsi" w:cstheme="minorHAnsi"/>
          <w:sz w:val="20"/>
          <w:szCs w:val="20"/>
          <w:lang w:val="fr-FR"/>
        </w:rPr>
        <w:lastRenderedPageBreak/>
        <w:t xml:space="preserve">femmes ; (v) la création et la réhabilitation d'actifs productifs communautaires (périmètre irrigué, reboisement des zones arides, systèmes de collecte d'eau, etc.) ; (vi) œuvrer pour une gestion commune des ressources naturelles partagées entre agriculteurs et éleveurs ; et (vii) renforcer la capacité des femmes à prendre des décisions éclairées au sein des ménages et des communautés en leur offrant une formation au leadership et en les sensibilisant à l'égalité des sexes dans les communautés. Les résultats escomptés pour ce projet sont bien alignés avec le projet proposé par le FPMA car ils comprennent : (1) une utilisation accrue des services sociaux de base et des filets de sécurité, et l'adoption de comportements adéquats en termes d'alimentation, de nutrition et de pratiques d'hygiène par les populations cibles, en particulier les femmes et les filles ; (2) une meilleure disponibilité et un meilleur accès à des aliments nutritifs et diversifiés et une amélioration des moyens de subsistance, en particulier pour les femmes ; et (3) un pouvoir de décision et un leadership accrus des femmes sur les questions nutritionnelles, alimentaires et environnementales et une cohésion sociale renforcée. </w:t>
      </w:r>
      <w:r w:rsidRPr="000E53A0">
        <w:rPr>
          <w:rFonts w:asciiTheme="minorHAnsi" w:hAnsiTheme="minorHAnsi" w:cstheme="minorHAnsi"/>
          <w:color w:val="000000" w:themeColor="text1"/>
          <w:sz w:val="20"/>
          <w:szCs w:val="20"/>
          <w:lang w:val="fr-FR"/>
        </w:rPr>
        <w:t xml:space="preserve">Ce projet n'est pas un projet de référence car il traite de l'adaptation au changement climatique. En tant que tel, le projet GCF contribue au scénario alternatif, et le travail sur la sécurité alimentaire au niveau du village de Mopti constituera un cofinancement du projet GEFTF/LDCF pour un montant estimé à 10 millions de dollars à dépenser à Mopti, </w:t>
      </w:r>
      <w:r w:rsidRPr="000E53A0">
        <w:rPr>
          <w:rFonts w:asciiTheme="minorHAnsi" w:hAnsiTheme="minorHAnsi" w:cstheme="minorHAnsi"/>
          <w:sz w:val="20"/>
          <w:szCs w:val="20"/>
          <w:lang w:val="fr-FR"/>
        </w:rPr>
        <w:t>en particulier pour les composantes 2 et 3.</w:t>
      </w:r>
    </w:p>
    <w:p w14:paraId="4D545D2E" w14:textId="77777777" w:rsidR="00601D9B" w:rsidRPr="000E53A0" w:rsidRDefault="000E53A0">
      <w:pPr>
        <w:pStyle w:val="NormalWeb"/>
        <w:numPr>
          <w:ilvl w:val="0"/>
          <w:numId w:val="67"/>
        </w:numPr>
        <w:spacing w:before="20" w:beforeAutospacing="0" w:after="20" w:afterAutospacing="0"/>
        <w:ind w:left="0"/>
        <w:jc w:val="both"/>
        <w:rPr>
          <w:rFonts w:asciiTheme="minorHAnsi" w:hAnsiTheme="minorHAnsi" w:cstheme="minorHAnsi"/>
          <w:b/>
          <w:bCs/>
          <w:color w:val="000000" w:themeColor="text1"/>
          <w:sz w:val="20"/>
          <w:szCs w:val="20"/>
          <w:lang w:val="fr-FR"/>
        </w:rPr>
      </w:pPr>
      <w:r w:rsidRPr="000E53A0">
        <w:rPr>
          <w:rFonts w:asciiTheme="minorHAnsi" w:hAnsiTheme="minorHAnsi" w:cstheme="minorHAnsi"/>
          <w:b/>
          <w:bCs/>
          <w:color w:val="000000" w:themeColor="text1"/>
          <w:sz w:val="20"/>
          <w:szCs w:val="20"/>
          <w:lang w:val="fr-FR"/>
        </w:rPr>
        <w:t xml:space="preserve">Financement inclusif du secteur agricole (INCLUSIVE) </w:t>
      </w:r>
      <w:r w:rsidRPr="004E0953">
        <w:rPr>
          <w:rStyle w:val="Appelnotedebasdep"/>
          <w:rFonts w:asciiTheme="minorHAnsi" w:hAnsiTheme="minorHAnsi" w:cstheme="minorHAnsi"/>
          <w:b/>
          <w:bCs/>
          <w:color w:val="000000" w:themeColor="text1"/>
          <w:sz w:val="20"/>
          <w:szCs w:val="20"/>
        </w:rPr>
        <w:footnoteReference w:id="56"/>
      </w:r>
    </w:p>
    <w:p w14:paraId="38878B26" w14:textId="77777777" w:rsidR="00601D9B" w:rsidRPr="000E53A0" w:rsidRDefault="000E53A0">
      <w:pPr>
        <w:pStyle w:val="NormalWeb"/>
        <w:spacing w:before="20" w:beforeAutospacing="0" w:after="20" w:afterAutospacing="0"/>
        <w:jc w:val="both"/>
        <w:rPr>
          <w:rFonts w:asciiTheme="minorHAnsi" w:hAnsiTheme="minorHAnsi" w:cstheme="minorHAnsi"/>
          <w:color w:val="000000" w:themeColor="text1"/>
          <w:sz w:val="20"/>
          <w:szCs w:val="20"/>
          <w:lang w:val="fr-FR"/>
        </w:rPr>
      </w:pPr>
      <w:r w:rsidRPr="000E53A0">
        <w:rPr>
          <w:rFonts w:asciiTheme="minorHAnsi" w:hAnsiTheme="minorHAnsi" w:cstheme="minorHAnsi"/>
          <w:color w:val="000000" w:themeColor="text1"/>
          <w:sz w:val="20"/>
          <w:szCs w:val="20"/>
          <w:lang w:val="fr-FR"/>
        </w:rPr>
        <w:t>(Gouvernement du Canada, 2021-2024, 16 millions CAD)</w:t>
      </w:r>
    </w:p>
    <w:p w14:paraId="42F1F7B0" w14:textId="77777777" w:rsidR="00601D9B" w:rsidRPr="000E53A0" w:rsidRDefault="000E53A0">
      <w:pPr>
        <w:pStyle w:val="NormalWeb"/>
        <w:spacing w:before="20" w:beforeAutospacing="0" w:after="20" w:afterAutospacing="0"/>
        <w:jc w:val="both"/>
        <w:rPr>
          <w:rFonts w:asciiTheme="minorHAnsi" w:hAnsiTheme="minorHAnsi" w:cstheme="minorHAnsi"/>
          <w:color w:val="000000" w:themeColor="text1"/>
          <w:sz w:val="20"/>
          <w:szCs w:val="20"/>
          <w:lang w:val="fr-FR"/>
        </w:rPr>
      </w:pPr>
      <w:r w:rsidRPr="000E53A0">
        <w:rPr>
          <w:rFonts w:asciiTheme="minorHAnsi" w:hAnsiTheme="minorHAnsi" w:cstheme="minorHAnsi"/>
          <w:color w:val="333333"/>
          <w:sz w:val="20"/>
          <w:szCs w:val="20"/>
          <w:lang w:val="fr-FR"/>
        </w:rPr>
        <w:t xml:space="preserve">Ce projet vise à améliorer l'inclusion financière des populations, organisations et entreprises rurales maliennes (notamment les femmes) exclues du système financier traditionnel afin d'améliorer leur résilience aux chocs climatiques, sociaux et économiques. Le projet touchera 400 000 bénéficiaires directs (dont 50% de femmes) </w:t>
      </w:r>
      <w:r w:rsidRPr="000E53A0">
        <w:rPr>
          <w:rFonts w:asciiTheme="minorHAnsi" w:hAnsiTheme="minorHAnsi" w:cstheme="minorHAnsi"/>
          <w:color w:val="000000" w:themeColor="text1"/>
          <w:sz w:val="20"/>
          <w:szCs w:val="20"/>
          <w:lang w:val="fr-FR"/>
        </w:rPr>
        <w:t xml:space="preserve">et 360 organisations professionnelles agricoles en matière d'épargne, de crédit et de micro-assurance, d'activités génératrices de revenus et de micro-entreprises rurales dans les régions de Kayes, Koulikoro, Mopti, Ségou et Sikasso. </w:t>
      </w:r>
      <w:r w:rsidRPr="000E53A0">
        <w:rPr>
          <w:rFonts w:asciiTheme="minorHAnsi" w:hAnsiTheme="minorHAnsi" w:cstheme="minorHAnsi"/>
          <w:sz w:val="20"/>
          <w:szCs w:val="20"/>
          <w:lang w:val="fr-FR"/>
        </w:rPr>
        <w:t xml:space="preserve">Les activités du projet comprennent i) la promotion de services financiers agricoles adaptés aux petits producteurs, y compris des produits répondant spécifiquement aux besoins des femmes ; ii) la numérisation des services financiers ; iii) la fourniture d'une éducation et d'un soutien financiers à divers groupes cibles pour faciliter l'accès aux prêts ; iv) la promotion de l'égalité et de l'inclusion du genre au sein des organisations et des populations pauvres ; v) la fourniture d'une assistance technique ; vi) le renforcement des capacités organisationnelles des organisations de producteurs par des formations sur l'organisation, la gouvernance et l'animation d'une structure collective. </w:t>
      </w:r>
      <w:r w:rsidRPr="000E53A0">
        <w:rPr>
          <w:rFonts w:asciiTheme="minorHAnsi" w:hAnsiTheme="minorHAnsi" w:cstheme="minorHAnsi"/>
          <w:color w:val="000000" w:themeColor="text1"/>
          <w:sz w:val="20"/>
          <w:szCs w:val="20"/>
          <w:lang w:val="fr-FR"/>
        </w:rPr>
        <w:t xml:space="preserve">Comme ce projet GCF contribue au scénario alternatif, et au travail sur la micro-finance au niveau des villages de Mopti, il constituera un cofinancement du projet GEFTF/LDCF avec une estimation de 3 millions de dollars de fonds de projet à dépenser à Mopti. </w:t>
      </w:r>
    </w:p>
    <w:p w14:paraId="57B7EE55" w14:textId="77777777" w:rsidR="00601D9B" w:rsidRPr="000E53A0" w:rsidRDefault="000E53A0">
      <w:pPr>
        <w:pStyle w:val="NormalWeb"/>
        <w:numPr>
          <w:ilvl w:val="0"/>
          <w:numId w:val="67"/>
        </w:numPr>
        <w:spacing w:before="20" w:beforeAutospacing="0" w:after="20" w:afterAutospacing="0"/>
        <w:ind w:left="0"/>
        <w:jc w:val="both"/>
        <w:rPr>
          <w:rFonts w:asciiTheme="minorHAnsi" w:hAnsiTheme="minorHAnsi" w:cstheme="minorHAnsi"/>
          <w:b/>
          <w:bCs/>
          <w:color w:val="000000" w:themeColor="text1"/>
          <w:sz w:val="20"/>
          <w:szCs w:val="20"/>
          <w:lang w:val="fr-FR"/>
        </w:rPr>
      </w:pPr>
      <w:r w:rsidRPr="000E53A0">
        <w:rPr>
          <w:rFonts w:asciiTheme="minorHAnsi" w:hAnsiTheme="minorHAnsi" w:cstheme="minorHAnsi"/>
          <w:b/>
          <w:bCs/>
          <w:color w:val="000000" w:themeColor="text1"/>
          <w:sz w:val="20"/>
          <w:szCs w:val="20"/>
          <w:shd w:val="clear" w:color="auto" w:fill="FFFFFF"/>
          <w:lang w:val="fr-FR"/>
        </w:rPr>
        <w:t xml:space="preserve">Renforcement de la résilience face au changement climatique dans la région de Mopti par le soutien aux initiatives des femmes </w:t>
      </w:r>
      <w:r w:rsidRPr="004E0953">
        <w:rPr>
          <w:rStyle w:val="Appelnotedebasdep"/>
          <w:rFonts w:asciiTheme="minorHAnsi" w:hAnsiTheme="minorHAnsi" w:cstheme="minorHAnsi"/>
          <w:b/>
          <w:bCs/>
          <w:color w:val="000000" w:themeColor="text1"/>
          <w:sz w:val="20"/>
          <w:szCs w:val="20"/>
          <w:shd w:val="clear" w:color="auto" w:fill="FFFFFF"/>
        </w:rPr>
        <w:footnoteReference w:id="57"/>
      </w:r>
    </w:p>
    <w:p w14:paraId="463F1316" w14:textId="77777777" w:rsidR="00601D9B" w:rsidRPr="000E53A0" w:rsidRDefault="000E53A0">
      <w:pPr>
        <w:pStyle w:val="NormalWeb"/>
        <w:spacing w:before="20" w:beforeAutospacing="0" w:after="20" w:afterAutospacing="0"/>
        <w:jc w:val="both"/>
        <w:rPr>
          <w:rFonts w:asciiTheme="minorHAnsi" w:hAnsiTheme="minorHAnsi" w:cstheme="minorHAnsi"/>
          <w:color w:val="000000" w:themeColor="text1"/>
          <w:sz w:val="20"/>
          <w:szCs w:val="20"/>
          <w:lang w:val="fr-FR"/>
        </w:rPr>
      </w:pPr>
      <w:r w:rsidRPr="000E53A0">
        <w:rPr>
          <w:rFonts w:asciiTheme="minorHAnsi" w:hAnsiTheme="minorHAnsi" w:cstheme="minorHAnsi"/>
          <w:color w:val="000000" w:themeColor="text1"/>
          <w:sz w:val="20"/>
          <w:szCs w:val="20"/>
          <w:lang w:val="fr-FR"/>
        </w:rPr>
        <w:t xml:space="preserve">(Gouvernement de Monaco, FAO, 2020-2023, 300 000 </w:t>
      </w:r>
      <w:r w:rsidRPr="000E53A0">
        <w:rPr>
          <w:rFonts w:asciiTheme="minorHAnsi" w:hAnsiTheme="minorHAnsi" w:cstheme="minorHAnsi"/>
          <w:sz w:val="20"/>
          <w:szCs w:val="20"/>
          <w:lang w:val="fr-FR"/>
        </w:rPr>
        <w:t>EUR</w:t>
      </w:r>
      <w:r w:rsidRPr="000E53A0">
        <w:rPr>
          <w:rFonts w:asciiTheme="minorHAnsi" w:hAnsiTheme="minorHAnsi" w:cstheme="minorHAnsi"/>
          <w:color w:val="000000" w:themeColor="text1"/>
          <w:sz w:val="20"/>
          <w:szCs w:val="20"/>
          <w:lang w:val="fr-FR"/>
        </w:rPr>
        <w:t>)</w:t>
      </w:r>
    </w:p>
    <w:p w14:paraId="7CCC1585" w14:textId="77777777" w:rsidR="00601D9B" w:rsidRPr="000E53A0" w:rsidRDefault="000E53A0">
      <w:pPr>
        <w:pStyle w:val="NormalWeb"/>
        <w:spacing w:before="20" w:beforeAutospacing="0" w:after="20" w:afterAutospacing="0"/>
        <w:jc w:val="both"/>
        <w:rPr>
          <w:rFonts w:asciiTheme="minorHAnsi" w:hAnsiTheme="minorHAnsi" w:cstheme="minorHAnsi"/>
          <w:color w:val="000000" w:themeColor="text1"/>
          <w:sz w:val="20"/>
          <w:szCs w:val="20"/>
          <w:lang w:val="fr-FR"/>
        </w:rPr>
      </w:pPr>
      <w:r w:rsidRPr="000E53A0">
        <w:rPr>
          <w:rFonts w:asciiTheme="minorHAnsi" w:hAnsiTheme="minorHAnsi" w:cstheme="minorHAnsi"/>
          <w:color w:val="000000" w:themeColor="text1"/>
          <w:sz w:val="20"/>
          <w:szCs w:val="20"/>
          <w:shd w:val="clear" w:color="auto" w:fill="FFFFFF"/>
          <w:lang w:val="fr-FR"/>
        </w:rPr>
        <w:t xml:space="preserve">Ce projet vise à contribuer à l'amélioration des conditions de vie de 350 femmes/ménages ruraux (2450 personnes au total) pour renforcer la résilience et la sécurité alimentaire et nutritionnelle de leurs ménages par la promotion du maraîchage, l'embouche du petit bétail, la transformation des produits agricoles, l'accès au crédit et l'éducation nutritionnelle pour l'autonomisation des femmes. Les résultats attendus sont donc le renforcement des capacités des femmes dans les domaines connexes, et la réhabilitation de deux périmètres réhabilités équipés pour la production maraîchère. Ce projet s'aligne sur les composantes 2 et 3 du </w:t>
      </w:r>
      <w:r w:rsidRPr="000E53A0">
        <w:rPr>
          <w:rFonts w:asciiTheme="minorHAnsi" w:hAnsiTheme="minorHAnsi" w:cstheme="minorHAnsi"/>
          <w:color w:val="000000" w:themeColor="text1"/>
          <w:sz w:val="20"/>
          <w:szCs w:val="20"/>
          <w:lang w:val="fr-FR"/>
        </w:rPr>
        <w:t xml:space="preserve">projet </w:t>
      </w:r>
      <w:r w:rsidRPr="000E53A0">
        <w:rPr>
          <w:rFonts w:asciiTheme="minorHAnsi" w:hAnsiTheme="minorHAnsi" w:cstheme="minorHAnsi"/>
          <w:color w:val="000000" w:themeColor="text1"/>
          <w:sz w:val="20"/>
          <w:szCs w:val="20"/>
          <w:shd w:val="clear" w:color="auto" w:fill="FFFFFF"/>
          <w:lang w:val="fr-FR"/>
        </w:rPr>
        <w:t xml:space="preserve">proposé par le </w:t>
      </w:r>
      <w:r w:rsidRPr="000E53A0">
        <w:rPr>
          <w:rFonts w:asciiTheme="minorHAnsi" w:hAnsiTheme="minorHAnsi" w:cstheme="minorHAnsi"/>
          <w:color w:val="000000" w:themeColor="text1"/>
          <w:sz w:val="20"/>
          <w:szCs w:val="20"/>
          <w:lang w:val="fr-FR"/>
        </w:rPr>
        <w:t xml:space="preserve">FPMA et contribue au scénario alternatif, à travers le travail sur les activités de subsistance des femmes à Mopti. Ce projet formera un cofinancement de 300.000 euros au projet GEFTF/LDCF. </w:t>
      </w:r>
    </w:p>
    <w:p w14:paraId="3C628A0D" w14:textId="77777777" w:rsidR="00601D9B" w:rsidRPr="000E53A0" w:rsidRDefault="000E53A0">
      <w:pPr>
        <w:pStyle w:val="NormalWeb"/>
        <w:numPr>
          <w:ilvl w:val="0"/>
          <w:numId w:val="67"/>
        </w:numPr>
        <w:spacing w:before="20" w:beforeAutospacing="0" w:after="20" w:afterAutospacing="0"/>
        <w:ind w:left="0"/>
        <w:jc w:val="both"/>
        <w:rPr>
          <w:rFonts w:asciiTheme="minorHAnsi" w:hAnsiTheme="minorHAnsi" w:cstheme="minorHAnsi"/>
          <w:b/>
          <w:bCs/>
          <w:sz w:val="20"/>
          <w:szCs w:val="20"/>
          <w:lang w:val="fr-FR"/>
        </w:rPr>
      </w:pPr>
      <w:r w:rsidRPr="000E53A0">
        <w:rPr>
          <w:rFonts w:asciiTheme="minorHAnsi" w:hAnsiTheme="minorHAnsi" w:cstheme="minorHAnsi"/>
          <w:b/>
          <w:bCs/>
          <w:sz w:val="20"/>
          <w:szCs w:val="20"/>
          <w:lang w:val="fr-FR"/>
        </w:rPr>
        <w:t xml:space="preserve">Programme de développement durable dans le delta intérieur du Niger, phase II (PDD-DIN) </w:t>
      </w:r>
      <w:r w:rsidRPr="004E0953">
        <w:rPr>
          <w:rStyle w:val="Appelnotedebasdep"/>
          <w:rFonts w:asciiTheme="minorHAnsi" w:hAnsiTheme="minorHAnsi" w:cstheme="minorHAnsi"/>
          <w:b/>
          <w:bCs/>
          <w:sz w:val="20"/>
          <w:szCs w:val="20"/>
          <w:lang w:val="fr-FR"/>
        </w:rPr>
        <w:footnoteReference w:id="58"/>
      </w:r>
    </w:p>
    <w:p w14:paraId="2B56DC95" w14:textId="77777777" w:rsidR="00601D9B" w:rsidRPr="000E53A0" w:rsidRDefault="000E53A0">
      <w:pPr>
        <w:pStyle w:val="NormalWeb"/>
        <w:spacing w:before="20" w:beforeAutospacing="0" w:after="20" w:afterAutospacing="0"/>
        <w:jc w:val="both"/>
        <w:rPr>
          <w:rFonts w:asciiTheme="minorHAnsi" w:hAnsiTheme="minorHAnsi" w:cstheme="minorHAnsi"/>
          <w:color w:val="000000" w:themeColor="text1"/>
          <w:sz w:val="20"/>
          <w:szCs w:val="20"/>
          <w:lang w:val="fr-FR"/>
        </w:rPr>
      </w:pPr>
      <w:r w:rsidRPr="000E53A0">
        <w:rPr>
          <w:rFonts w:asciiTheme="minorHAnsi" w:hAnsiTheme="minorHAnsi" w:cstheme="minorHAnsi"/>
          <w:color w:val="000000" w:themeColor="text1"/>
          <w:sz w:val="20"/>
          <w:szCs w:val="20"/>
          <w:lang w:val="fr-FR"/>
        </w:rPr>
        <w:t xml:space="preserve">(Gouvernement de la Suède, 2018-2021, </w:t>
      </w:r>
      <w:r w:rsidRPr="000E53A0">
        <w:rPr>
          <w:rStyle w:val="markedcontent"/>
          <w:rFonts w:asciiTheme="minorHAnsi" w:hAnsiTheme="minorHAnsi" w:cstheme="minorHAnsi"/>
          <w:sz w:val="20"/>
          <w:szCs w:val="20"/>
          <w:lang w:val="fr-FR"/>
        </w:rPr>
        <w:t xml:space="preserve">6 934 202 000 </w:t>
      </w:r>
      <w:r w:rsidRPr="000E53A0">
        <w:rPr>
          <w:rFonts w:asciiTheme="minorHAnsi" w:hAnsiTheme="minorHAnsi" w:cstheme="minorHAnsi"/>
          <w:color w:val="000000" w:themeColor="text1"/>
          <w:sz w:val="20"/>
          <w:szCs w:val="20"/>
          <w:lang w:val="fr-FR"/>
        </w:rPr>
        <w:t>CFA)</w:t>
      </w:r>
    </w:p>
    <w:p w14:paraId="3E58FB06" w14:textId="77777777" w:rsidR="00601D9B" w:rsidRPr="000E53A0" w:rsidRDefault="000E53A0">
      <w:pPr>
        <w:pStyle w:val="NormalWeb"/>
        <w:spacing w:before="20" w:beforeAutospacing="0" w:after="20" w:afterAutospacing="0"/>
        <w:jc w:val="both"/>
        <w:rPr>
          <w:rFonts w:asciiTheme="minorHAnsi" w:hAnsiTheme="minorHAnsi" w:cstheme="minorHAnsi"/>
          <w:color w:val="000000" w:themeColor="text1"/>
          <w:sz w:val="20"/>
          <w:szCs w:val="20"/>
          <w:lang w:val="fr-FR"/>
        </w:rPr>
      </w:pPr>
      <w:r w:rsidRPr="000E53A0">
        <w:rPr>
          <w:rFonts w:asciiTheme="minorHAnsi" w:hAnsiTheme="minorHAnsi" w:cstheme="minorHAnsi"/>
          <w:sz w:val="20"/>
          <w:szCs w:val="20"/>
          <w:lang w:val="fr-FR"/>
        </w:rPr>
        <w:t xml:space="preserve">Le programme de développement durable du delta intérieur du Niger s'inscrit dans la continuité du projet de réhabilitation des écosystèmes dégradés du delta intérieur du Niger (REDDIN), mis en œuvre de 2009 à 2014 par l'UICN et Wetlands International, dont l'objectif était de renforcer la restauration et la gestion durable des </w:t>
      </w:r>
      <w:r w:rsidRPr="000E53A0">
        <w:rPr>
          <w:rFonts w:asciiTheme="minorHAnsi" w:hAnsiTheme="minorHAnsi" w:cstheme="minorHAnsi"/>
          <w:sz w:val="20"/>
          <w:szCs w:val="20"/>
          <w:lang w:val="fr-FR"/>
        </w:rPr>
        <w:lastRenderedPageBreak/>
        <w:t xml:space="preserve">ressources naturelles dans le delta intérieur du Niger, afin d'améliorer les conditions de vie et l'adaptation des communautés locales aux impacts du changement climatique. La phase II du projet comporte 4 composantes : i) </w:t>
      </w:r>
      <w:r w:rsidRPr="000E53A0">
        <w:rPr>
          <w:rFonts w:asciiTheme="minorHAnsi" w:hAnsiTheme="minorHAnsi" w:cstheme="minorHAnsi"/>
          <w:color w:val="000000" w:themeColor="text1"/>
          <w:sz w:val="20"/>
          <w:szCs w:val="20"/>
          <w:lang w:val="fr-FR"/>
        </w:rPr>
        <w:t xml:space="preserve">Développement institutionnel et renforcement des capacités ; ii) Protection et gestion des ressources naturelles et des écosystèmes ; iii) Sécurité alimentaire et amélioration des revenus </w:t>
      </w:r>
      <w:r w:rsidRPr="000E53A0">
        <w:rPr>
          <w:rFonts w:asciiTheme="minorHAnsi" w:hAnsiTheme="minorHAnsi" w:cstheme="minorHAnsi"/>
          <w:sz w:val="20"/>
          <w:szCs w:val="20"/>
          <w:lang w:val="fr-FR"/>
        </w:rPr>
        <w:t xml:space="preserve">; iv) </w:t>
      </w:r>
      <w:r w:rsidRPr="000E53A0">
        <w:rPr>
          <w:rFonts w:asciiTheme="minorHAnsi" w:hAnsiTheme="minorHAnsi" w:cstheme="minorHAnsi"/>
          <w:color w:val="000000" w:themeColor="text1"/>
          <w:sz w:val="20"/>
          <w:szCs w:val="20"/>
          <w:lang w:val="fr-FR"/>
        </w:rPr>
        <w:t>Communication, genre/équité sociale et VIH/SIDA. La zone du projet comprend les régions de Ségou, Mopti et Tombouctou. Les activités des composantes 1 et 2, telles que le renforcement des capacités institutionnelles, la lutte contre l'érosion et l'ensablement, et le développement d'initiatives d'atténuation du changement climatique pour renforcer la résilience des populations vulnérables, peuvent contribuer à soutenir les objectifs du projet proposé par le FPMA.</w:t>
      </w:r>
    </w:p>
    <w:p w14:paraId="76A2E62D" w14:textId="77777777" w:rsidR="00601D9B" w:rsidRPr="000E53A0" w:rsidRDefault="000E53A0">
      <w:pPr>
        <w:pStyle w:val="NormalWeb"/>
        <w:numPr>
          <w:ilvl w:val="0"/>
          <w:numId w:val="67"/>
        </w:numPr>
        <w:spacing w:before="20" w:beforeAutospacing="0" w:after="20" w:afterAutospacing="0"/>
        <w:ind w:left="0"/>
        <w:jc w:val="both"/>
        <w:rPr>
          <w:rFonts w:asciiTheme="minorHAnsi" w:hAnsiTheme="minorHAnsi" w:cstheme="minorHAnsi"/>
          <w:b/>
          <w:bCs/>
          <w:color w:val="000000" w:themeColor="text1"/>
          <w:sz w:val="20"/>
          <w:szCs w:val="20"/>
          <w:lang w:val="fr-FR"/>
        </w:rPr>
      </w:pPr>
      <w:r w:rsidRPr="000E53A0">
        <w:rPr>
          <w:rFonts w:asciiTheme="minorHAnsi" w:hAnsiTheme="minorHAnsi" w:cstheme="minorHAnsi"/>
          <w:b/>
          <w:bCs/>
          <w:color w:val="000000" w:themeColor="text1"/>
          <w:sz w:val="20"/>
          <w:szCs w:val="20"/>
          <w:lang w:val="fr-FR"/>
        </w:rPr>
        <w:t xml:space="preserve">Projets à impact rapide (QIP) </w:t>
      </w:r>
      <w:r w:rsidRPr="004E0953">
        <w:rPr>
          <w:rStyle w:val="Appelnotedebasdep"/>
          <w:rFonts w:asciiTheme="minorHAnsi" w:hAnsiTheme="minorHAnsi" w:cstheme="minorHAnsi"/>
          <w:b/>
          <w:bCs/>
          <w:color w:val="000000" w:themeColor="text1"/>
          <w:sz w:val="20"/>
          <w:szCs w:val="20"/>
        </w:rPr>
        <w:footnoteReference w:id="59"/>
      </w:r>
    </w:p>
    <w:p w14:paraId="626533BF" w14:textId="77777777" w:rsidR="00601D9B" w:rsidRPr="000E53A0" w:rsidRDefault="000E53A0">
      <w:pPr>
        <w:pStyle w:val="NormalWeb"/>
        <w:spacing w:before="20" w:beforeAutospacing="0" w:after="20" w:afterAutospacing="0"/>
        <w:jc w:val="both"/>
        <w:rPr>
          <w:rFonts w:asciiTheme="minorHAnsi" w:hAnsiTheme="minorHAnsi" w:cstheme="minorHAnsi"/>
          <w:color w:val="000000" w:themeColor="text1"/>
          <w:sz w:val="20"/>
          <w:szCs w:val="20"/>
          <w:lang w:val="fr-FR"/>
        </w:rPr>
      </w:pPr>
      <w:r w:rsidRPr="000E53A0">
        <w:rPr>
          <w:rFonts w:asciiTheme="minorHAnsi" w:hAnsiTheme="minorHAnsi" w:cstheme="minorHAnsi"/>
          <w:color w:val="000000" w:themeColor="text1"/>
          <w:sz w:val="20"/>
          <w:szCs w:val="20"/>
          <w:lang w:val="fr-FR"/>
        </w:rPr>
        <w:t>(MINUSMA, 6 mois, 82,6 millions CFA)</w:t>
      </w:r>
    </w:p>
    <w:p w14:paraId="5F7F19B3" w14:textId="77777777" w:rsidR="00601D9B" w:rsidRPr="000E53A0" w:rsidRDefault="000E53A0">
      <w:pPr>
        <w:pStyle w:val="NormalWeb"/>
        <w:spacing w:before="20" w:beforeAutospacing="0" w:after="20" w:afterAutospacing="0"/>
        <w:jc w:val="both"/>
        <w:rPr>
          <w:rFonts w:asciiTheme="minorHAnsi" w:hAnsiTheme="minorHAnsi" w:cstheme="minorHAnsi"/>
          <w:color w:val="000000" w:themeColor="text1"/>
          <w:sz w:val="20"/>
          <w:szCs w:val="20"/>
          <w:lang w:val="fr-FR"/>
        </w:rPr>
      </w:pPr>
      <w:r w:rsidRPr="000E53A0">
        <w:rPr>
          <w:rFonts w:asciiTheme="minorHAnsi" w:hAnsiTheme="minorHAnsi" w:cstheme="minorHAnsi"/>
          <w:color w:val="000000" w:themeColor="text1"/>
          <w:sz w:val="20"/>
          <w:szCs w:val="20"/>
          <w:lang w:val="fr-FR"/>
        </w:rPr>
        <w:t>Ces projets sont d'un coût maximum de 50 000 dollars et d'une durée n'excédant pas 6 mois, dans le domaine (i) de la réhabilitation des services publics et des petites infrastructures, (ii) des activités de formation et de sensibilisation, (iii) de la création d'emplois et de revenus dans les quatre régions du Nord et à Bamako. Trois QIP ont été lancés en novembre 2020</w:t>
      </w:r>
      <w:r w:rsidRPr="004E0953">
        <w:rPr>
          <w:rStyle w:val="Appelnotedebasdep"/>
          <w:rFonts w:asciiTheme="minorHAnsi" w:hAnsiTheme="minorHAnsi" w:cstheme="minorHAnsi"/>
          <w:color w:val="000000" w:themeColor="text1"/>
          <w:sz w:val="20"/>
          <w:szCs w:val="20"/>
        </w:rPr>
        <w:footnoteReference w:id="60"/>
      </w:r>
      <w:r w:rsidRPr="000E53A0">
        <w:rPr>
          <w:rFonts w:asciiTheme="minorHAnsi" w:hAnsiTheme="minorHAnsi" w:cstheme="minorHAnsi"/>
          <w:color w:val="000000" w:themeColor="text1"/>
          <w:sz w:val="20"/>
          <w:szCs w:val="20"/>
          <w:lang w:val="fr-FR"/>
        </w:rPr>
        <w:t xml:space="preserve">, qui impliquent un appui à la production et à la diffusion de programmes radiophoniques axés sur la stratégie de stabilisation du centre du Mali, à travers 46 stations de radio bénéficiant d'un appui technique et logistique pour la production et la diffusion. Les programmes visent en particulier les femmes, les jeunes et les populations vulnérables. Par conséquent, les domaines d'intervention des QIPs sont alignés avec les composantes 2 et 3 du projet proposé par le FPMA. </w:t>
      </w:r>
    </w:p>
    <w:p w14:paraId="2A09D6C6" w14:textId="77777777" w:rsidR="00601D9B" w:rsidRDefault="000E53A0">
      <w:pPr>
        <w:pStyle w:val="NormalWeb"/>
        <w:numPr>
          <w:ilvl w:val="0"/>
          <w:numId w:val="67"/>
        </w:numPr>
        <w:spacing w:before="20" w:beforeAutospacing="0" w:after="20" w:afterAutospacing="0"/>
        <w:ind w:left="0"/>
        <w:jc w:val="both"/>
        <w:rPr>
          <w:rFonts w:asciiTheme="minorHAnsi" w:hAnsiTheme="minorHAnsi" w:cstheme="minorHAnsi"/>
          <w:b/>
          <w:bCs/>
          <w:color w:val="000000" w:themeColor="text1"/>
          <w:sz w:val="20"/>
          <w:szCs w:val="20"/>
        </w:rPr>
      </w:pPr>
      <w:r w:rsidRPr="004E0953">
        <w:rPr>
          <w:rFonts w:asciiTheme="minorHAnsi" w:hAnsiTheme="minorHAnsi" w:cstheme="minorHAnsi"/>
          <w:b/>
          <w:bCs/>
          <w:sz w:val="20"/>
          <w:szCs w:val="20"/>
        </w:rPr>
        <w:t xml:space="preserve">Projet des trois frontières </w:t>
      </w:r>
      <w:r w:rsidRPr="004E0953">
        <w:rPr>
          <w:rStyle w:val="Appelnotedebasdep"/>
          <w:rFonts w:asciiTheme="minorHAnsi" w:hAnsiTheme="minorHAnsi" w:cstheme="minorHAnsi"/>
          <w:b/>
          <w:bCs/>
          <w:sz w:val="20"/>
          <w:szCs w:val="20"/>
        </w:rPr>
        <w:footnoteReference w:id="61"/>
      </w:r>
    </w:p>
    <w:p w14:paraId="56812F3D" w14:textId="77777777" w:rsidR="00601D9B" w:rsidRDefault="000E53A0">
      <w:pPr>
        <w:pStyle w:val="NormalWeb"/>
        <w:spacing w:before="20" w:beforeAutospacing="0" w:after="20" w:afterAutospacing="0"/>
        <w:jc w:val="both"/>
        <w:rPr>
          <w:rFonts w:asciiTheme="minorHAnsi" w:hAnsiTheme="minorHAnsi" w:cstheme="minorHAnsi"/>
          <w:sz w:val="20"/>
          <w:szCs w:val="20"/>
        </w:rPr>
      </w:pPr>
      <w:r w:rsidRPr="004E0953">
        <w:rPr>
          <w:rFonts w:asciiTheme="minorHAnsi" w:hAnsiTheme="minorHAnsi" w:cstheme="minorHAnsi"/>
          <w:color w:val="000000" w:themeColor="text1"/>
          <w:sz w:val="20"/>
          <w:szCs w:val="20"/>
        </w:rPr>
        <w:t xml:space="preserve">(G5 Sahel, 2019-2024, </w:t>
      </w:r>
      <w:r w:rsidRPr="004E0953">
        <w:rPr>
          <w:rFonts w:asciiTheme="minorHAnsi" w:hAnsiTheme="minorHAnsi" w:cstheme="minorHAnsi"/>
          <w:sz w:val="20"/>
          <w:szCs w:val="20"/>
        </w:rPr>
        <w:t>55,5M €)</w:t>
      </w:r>
    </w:p>
    <w:p w14:paraId="34FE11AD" w14:textId="77777777" w:rsidR="00601D9B" w:rsidRPr="000E53A0" w:rsidRDefault="000E53A0">
      <w:pPr>
        <w:pStyle w:val="NormalWeb"/>
        <w:spacing w:before="20" w:beforeAutospacing="0" w:after="20" w:afterAutospacing="0"/>
        <w:jc w:val="both"/>
        <w:rPr>
          <w:rFonts w:asciiTheme="minorHAnsi" w:hAnsiTheme="minorHAnsi" w:cstheme="minorHAnsi"/>
          <w:color w:val="000000" w:themeColor="text1"/>
          <w:sz w:val="20"/>
          <w:szCs w:val="20"/>
          <w:lang w:val="fr-FR"/>
        </w:rPr>
      </w:pPr>
      <w:r w:rsidRPr="000E53A0">
        <w:rPr>
          <w:rFonts w:asciiTheme="minorHAnsi" w:hAnsiTheme="minorHAnsi" w:cstheme="minorHAnsi"/>
          <w:sz w:val="20"/>
          <w:szCs w:val="20"/>
          <w:lang w:val="fr-FR"/>
        </w:rPr>
        <w:t xml:space="preserve">Le projet "Trois Frontières" vise à contribuer à la stabilisation de la zone du Liptako Gourma en appuyant son développement socio-économique et en assurant une plus grande cohésion sociale entre les communautés du Burkina Faso, du Mali et du Niger. Il est cofinancé par l'Agence Française de Développement (AFD) et le Centre de Crise et de Soutien (CDCS) du Ministère français de l'Europe et des Affaires étrangères. Les </w:t>
      </w:r>
      <w:r w:rsidRPr="000E53A0">
        <w:rPr>
          <w:rStyle w:val="markedcontent"/>
          <w:rFonts w:asciiTheme="minorHAnsi" w:hAnsiTheme="minorHAnsi" w:cstheme="minorHAnsi"/>
          <w:sz w:val="20"/>
          <w:szCs w:val="20"/>
          <w:lang w:val="fr-FR"/>
        </w:rPr>
        <w:t xml:space="preserve">objectifs généraux du projet des Trois Frontières sont de </w:t>
      </w:r>
      <w:proofErr w:type="gramStart"/>
      <w:r w:rsidRPr="000E53A0">
        <w:rPr>
          <w:rStyle w:val="markedcontent"/>
          <w:rFonts w:asciiTheme="minorHAnsi" w:hAnsiTheme="minorHAnsi" w:cstheme="minorHAnsi"/>
          <w:sz w:val="20"/>
          <w:szCs w:val="20"/>
          <w:lang w:val="fr-FR"/>
        </w:rPr>
        <w:t>:  (</w:t>
      </w:r>
      <w:proofErr w:type="gramEnd"/>
      <w:r w:rsidRPr="000E53A0">
        <w:rPr>
          <w:rStyle w:val="markedcontent"/>
          <w:rFonts w:asciiTheme="minorHAnsi" w:hAnsiTheme="minorHAnsi" w:cstheme="minorHAnsi"/>
          <w:sz w:val="20"/>
          <w:szCs w:val="20"/>
          <w:lang w:val="fr-FR"/>
        </w:rPr>
        <w:t xml:space="preserve">i) répondre aux besoins les plus urgents exprimés par les communautés, (ii) soutenir la reprise de l'activité économique, (iii) favoriser la restauration de la légitimité des États et renforcer l'État de droit dans la zone frontalière. Au Mali, plusieurs activités ont déjà été mises en œuvre, telles que la création de 10 magasins d'aliments pour bétail au profit d'organisations d'éleveurs, la création de 6 banques de semences pour les cultures pluviales, l'amélioration des conditions de stockage </w:t>
      </w:r>
      <w:r w:rsidR="00612832" w:rsidRPr="000E53A0">
        <w:rPr>
          <w:rStyle w:val="markedcontent"/>
          <w:rFonts w:asciiTheme="minorHAnsi" w:hAnsiTheme="minorHAnsi" w:cstheme="minorHAnsi"/>
          <w:sz w:val="20"/>
          <w:szCs w:val="20"/>
          <w:lang w:val="fr-FR"/>
        </w:rPr>
        <w:t xml:space="preserve">par la </w:t>
      </w:r>
      <w:r w:rsidRPr="000E53A0">
        <w:rPr>
          <w:rStyle w:val="markedcontent"/>
          <w:rFonts w:asciiTheme="minorHAnsi" w:hAnsiTheme="minorHAnsi" w:cstheme="minorHAnsi"/>
          <w:sz w:val="20"/>
          <w:szCs w:val="20"/>
          <w:lang w:val="fr-FR"/>
        </w:rPr>
        <w:t xml:space="preserve">fourniture de palettes, la fourniture de 25 petits </w:t>
      </w:r>
      <w:r w:rsidR="00612832" w:rsidRPr="000E53A0">
        <w:rPr>
          <w:rStyle w:val="markedcontent"/>
          <w:rFonts w:asciiTheme="minorHAnsi" w:hAnsiTheme="minorHAnsi" w:cstheme="minorHAnsi"/>
          <w:sz w:val="20"/>
          <w:szCs w:val="20"/>
          <w:lang w:val="fr-FR"/>
        </w:rPr>
        <w:t xml:space="preserve">animaux </w:t>
      </w:r>
      <w:r w:rsidRPr="000E53A0">
        <w:rPr>
          <w:rStyle w:val="markedcontent"/>
          <w:rFonts w:asciiTheme="minorHAnsi" w:hAnsiTheme="minorHAnsi" w:cstheme="minorHAnsi"/>
          <w:sz w:val="20"/>
          <w:szCs w:val="20"/>
          <w:lang w:val="fr-FR"/>
        </w:rPr>
        <w:t xml:space="preserve">pour 6 organisations de femmes et la réhabilitation de marchés à bétail. Le projet proposé dans le cadre du FPMA peut donc capitaliser sur ces activités et les reproduire le cas échéant. </w:t>
      </w:r>
    </w:p>
    <w:p w14:paraId="11F8DD83" w14:textId="77777777" w:rsidR="00601D9B" w:rsidRPr="000E53A0" w:rsidRDefault="000E53A0">
      <w:pPr>
        <w:pStyle w:val="Paragraphedeliste"/>
        <w:numPr>
          <w:ilvl w:val="0"/>
          <w:numId w:val="67"/>
        </w:numPr>
        <w:ind w:left="0"/>
        <w:contextualSpacing/>
        <w:jc w:val="both"/>
        <w:rPr>
          <w:rFonts w:asciiTheme="minorHAnsi" w:hAnsiTheme="minorHAnsi" w:cstheme="minorHAnsi"/>
          <w:b/>
          <w:bCs/>
          <w:sz w:val="20"/>
          <w:szCs w:val="20"/>
          <w:lang w:val="fr-FR"/>
        </w:rPr>
      </w:pPr>
      <w:r w:rsidRPr="000E53A0">
        <w:rPr>
          <w:rFonts w:asciiTheme="minorHAnsi" w:hAnsiTheme="minorHAnsi" w:cstheme="minorHAnsi"/>
          <w:b/>
          <w:bCs/>
          <w:sz w:val="20"/>
          <w:szCs w:val="20"/>
          <w:lang w:val="fr-FR"/>
        </w:rPr>
        <w:t xml:space="preserve">Médiation agro-pastorale au Sahel </w:t>
      </w:r>
      <w:r w:rsidRPr="004E0953">
        <w:rPr>
          <w:rStyle w:val="Appelnotedebasdep"/>
          <w:rFonts w:asciiTheme="minorHAnsi" w:hAnsiTheme="minorHAnsi" w:cstheme="minorHAnsi"/>
          <w:b/>
          <w:bCs/>
          <w:sz w:val="20"/>
          <w:szCs w:val="20"/>
        </w:rPr>
        <w:footnoteReference w:id="62"/>
      </w:r>
    </w:p>
    <w:p w14:paraId="13569EE5" w14:textId="77777777" w:rsidR="00601D9B" w:rsidRPr="000E53A0" w:rsidRDefault="000E53A0">
      <w:pPr>
        <w:pStyle w:val="NormalWeb"/>
        <w:spacing w:before="20" w:beforeAutospacing="0" w:after="20" w:afterAutospacing="0"/>
        <w:jc w:val="both"/>
        <w:rPr>
          <w:rFonts w:asciiTheme="minorHAnsi" w:hAnsiTheme="minorHAnsi" w:cstheme="minorHAnsi"/>
          <w:sz w:val="20"/>
          <w:szCs w:val="20"/>
          <w:lang w:val="fr-FR"/>
        </w:rPr>
      </w:pPr>
      <w:r w:rsidRPr="000E53A0">
        <w:rPr>
          <w:rFonts w:asciiTheme="minorHAnsi" w:hAnsiTheme="minorHAnsi" w:cstheme="minorHAnsi"/>
          <w:color w:val="000000" w:themeColor="text1"/>
          <w:sz w:val="20"/>
          <w:szCs w:val="20"/>
          <w:lang w:val="fr-FR"/>
        </w:rPr>
        <w:t xml:space="preserve">(G5 Sahel, 2019-2022, 5M </w:t>
      </w:r>
      <w:r w:rsidRPr="000E53A0">
        <w:rPr>
          <w:rFonts w:asciiTheme="minorHAnsi" w:hAnsiTheme="minorHAnsi" w:cstheme="minorHAnsi"/>
          <w:sz w:val="20"/>
          <w:szCs w:val="20"/>
          <w:lang w:val="fr-FR"/>
        </w:rPr>
        <w:t>€)</w:t>
      </w:r>
    </w:p>
    <w:p w14:paraId="7D1A626C" w14:textId="77777777" w:rsidR="00601D9B" w:rsidRPr="000E53A0" w:rsidRDefault="000E53A0">
      <w:pPr>
        <w:pStyle w:val="NormalWeb"/>
        <w:spacing w:before="20" w:beforeAutospacing="0" w:after="20" w:afterAutospacing="0"/>
        <w:jc w:val="both"/>
        <w:rPr>
          <w:rStyle w:val="markedcontent"/>
          <w:rFonts w:asciiTheme="minorHAnsi" w:hAnsiTheme="minorHAnsi" w:cstheme="minorHAnsi"/>
          <w:sz w:val="20"/>
          <w:szCs w:val="20"/>
          <w:lang w:val="fr-FR"/>
        </w:rPr>
      </w:pPr>
      <w:r w:rsidRPr="000E53A0">
        <w:rPr>
          <w:rFonts w:asciiTheme="minorHAnsi" w:hAnsiTheme="minorHAnsi" w:cstheme="minorHAnsi"/>
          <w:color w:val="000000" w:themeColor="text1"/>
          <w:sz w:val="20"/>
          <w:szCs w:val="20"/>
          <w:lang w:val="fr-FR"/>
        </w:rPr>
        <w:t xml:space="preserve">Ce projet est mis en œuvre par le Centre pour le Dialogue Humanitaire (HD Centre) dans 129 communes agro-pastorales frontalières de la région du Sahel (Burkina Faso, Mali, Mauritanie, Niger et Tchad), confrontées à des conflits intercommunautaires. </w:t>
      </w:r>
      <w:r w:rsidRPr="000E53A0">
        <w:rPr>
          <w:rStyle w:val="markedcontent"/>
          <w:rFonts w:asciiTheme="minorHAnsi" w:hAnsiTheme="minorHAnsi" w:cstheme="minorHAnsi"/>
          <w:sz w:val="20"/>
          <w:szCs w:val="20"/>
          <w:lang w:val="fr-FR"/>
        </w:rPr>
        <w:t xml:space="preserve">L'objectif du projet est de réduire les conflits entre les communautés nomades et sédentaires le long des itinéraires de transhumance sahéliens en utilisant des méthodes traditionnelles de gestion des ressources naturelles. </w:t>
      </w:r>
      <w:r w:rsidRPr="000E53A0">
        <w:rPr>
          <w:rFonts w:asciiTheme="minorHAnsi" w:hAnsiTheme="minorHAnsi" w:cstheme="minorHAnsi"/>
          <w:sz w:val="20"/>
          <w:szCs w:val="20"/>
          <w:lang w:val="fr-FR"/>
        </w:rPr>
        <w:br/>
      </w:r>
      <w:proofErr w:type="gramStart"/>
      <w:r w:rsidRPr="000E53A0">
        <w:rPr>
          <w:rStyle w:val="markedcontent"/>
          <w:rFonts w:asciiTheme="minorHAnsi" w:hAnsiTheme="minorHAnsi" w:cstheme="minorHAnsi"/>
          <w:sz w:val="20"/>
          <w:szCs w:val="20"/>
          <w:lang w:val="fr-FR"/>
        </w:rPr>
        <w:t>transhumance</w:t>
      </w:r>
      <w:proofErr w:type="gramEnd"/>
      <w:r w:rsidRPr="000E53A0">
        <w:rPr>
          <w:rStyle w:val="markedcontent"/>
          <w:rFonts w:asciiTheme="minorHAnsi" w:hAnsiTheme="minorHAnsi" w:cstheme="minorHAnsi"/>
          <w:sz w:val="20"/>
          <w:szCs w:val="20"/>
          <w:lang w:val="fr-FR"/>
        </w:rPr>
        <w:t xml:space="preserve"> sahélienne en utilisant les mécanismes traditionnels de médiation et de dialogue communautaires. HD mène des activités sur lesquelles le projet proposé par le FPMA peut capitaliser, notamment pour les composantes 1 et 2 telles que i) la structuration et l'appui aux réseaux de médiateurs pour prévenir et gérer les conflits liés à l'accès et à l'utilisation des ressources naturelles, ii) l'accompagnement des réseaux de médiation des conflits en cas de besoin, iii) la facilitation de l'accès des communautés nomades aux ressources pastorales pendant les périodes de transhumance afin de prévenir les conflits, iv) la facilitation du dialogue entre les </w:t>
      </w:r>
      <w:r w:rsidRPr="000E53A0">
        <w:rPr>
          <w:rStyle w:val="markedcontent"/>
          <w:rFonts w:asciiTheme="minorHAnsi" w:hAnsiTheme="minorHAnsi" w:cstheme="minorHAnsi"/>
          <w:sz w:val="20"/>
          <w:szCs w:val="20"/>
          <w:lang w:val="fr-FR"/>
        </w:rPr>
        <w:lastRenderedPageBreak/>
        <w:t xml:space="preserve">communautés sédentaires, transhumantes ou nomades avec les autorités nationales au profit d'une gestion pacifique des ressources naturelles. </w:t>
      </w:r>
    </w:p>
    <w:p w14:paraId="783EC204" w14:textId="77777777" w:rsidR="00601D9B" w:rsidRPr="000E53A0" w:rsidRDefault="000E53A0">
      <w:pPr>
        <w:pStyle w:val="NormalWeb"/>
        <w:numPr>
          <w:ilvl w:val="0"/>
          <w:numId w:val="67"/>
        </w:numPr>
        <w:spacing w:before="20" w:beforeAutospacing="0" w:after="20" w:afterAutospacing="0"/>
        <w:ind w:left="0"/>
        <w:jc w:val="both"/>
        <w:rPr>
          <w:rFonts w:asciiTheme="minorHAnsi" w:hAnsiTheme="minorHAnsi" w:cstheme="minorHAnsi"/>
          <w:b/>
          <w:bCs/>
          <w:color w:val="000000" w:themeColor="text1"/>
          <w:sz w:val="20"/>
          <w:szCs w:val="20"/>
          <w:lang w:val="fr-FR"/>
        </w:rPr>
      </w:pPr>
      <w:r w:rsidRPr="000E53A0">
        <w:rPr>
          <w:rFonts w:asciiTheme="minorHAnsi" w:hAnsiTheme="minorHAnsi" w:cstheme="minorHAnsi"/>
          <w:b/>
          <w:bCs/>
          <w:color w:val="000000" w:themeColor="text1"/>
          <w:sz w:val="20"/>
          <w:szCs w:val="20"/>
          <w:lang w:val="fr-FR"/>
        </w:rPr>
        <w:t xml:space="preserve">Projet régional d'appui au pastoralisme au Sahel </w:t>
      </w:r>
      <w:r w:rsidRPr="000E53A0">
        <w:rPr>
          <w:rFonts w:asciiTheme="minorHAnsi" w:hAnsiTheme="minorHAnsi" w:cstheme="minorHAnsi"/>
          <w:b/>
          <w:bCs/>
          <w:sz w:val="20"/>
          <w:szCs w:val="20"/>
          <w:lang w:val="fr-FR"/>
        </w:rPr>
        <w:t xml:space="preserve">- Pérenniser les activités pastorales dans tous les pays de la région - </w:t>
      </w:r>
      <w:r w:rsidRPr="000E53A0">
        <w:rPr>
          <w:rFonts w:asciiTheme="minorHAnsi" w:hAnsiTheme="minorHAnsi" w:cstheme="minorHAnsi"/>
          <w:b/>
          <w:bCs/>
          <w:color w:val="000000" w:themeColor="text1"/>
          <w:sz w:val="20"/>
          <w:szCs w:val="20"/>
          <w:lang w:val="fr-FR"/>
        </w:rPr>
        <w:t xml:space="preserve">PRAPS </w:t>
      </w:r>
      <w:r w:rsidRPr="004E0953">
        <w:rPr>
          <w:rStyle w:val="Appelnotedebasdep"/>
          <w:rFonts w:asciiTheme="minorHAnsi" w:hAnsiTheme="minorHAnsi" w:cstheme="minorHAnsi"/>
          <w:b/>
          <w:bCs/>
          <w:color w:val="000000" w:themeColor="text1"/>
          <w:sz w:val="20"/>
          <w:szCs w:val="20"/>
        </w:rPr>
        <w:footnoteReference w:id="63"/>
      </w:r>
    </w:p>
    <w:p w14:paraId="1AA60C2A" w14:textId="77777777" w:rsidR="00601D9B" w:rsidRPr="000E53A0" w:rsidRDefault="000E53A0">
      <w:pPr>
        <w:pStyle w:val="NormalWeb"/>
        <w:spacing w:before="20" w:beforeAutospacing="0" w:after="20" w:afterAutospacing="0"/>
        <w:jc w:val="both"/>
        <w:rPr>
          <w:rFonts w:asciiTheme="minorHAnsi" w:hAnsiTheme="minorHAnsi" w:cstheme="minorHAnsi"/>
          <w:color w:val="000000" w:themeColor="text1"/>
          <w:sz w:val="20"/>
          <w:szCs w:val="20"/>
          <w:lang w:val="fr-FR"/>
        </w:rPr>
      </w:pPr>
      <w:r w:rsidRPr="000E53A0">
        <w:rPr>
          <w:rFonts w:asciiTheme="minorHAnsi" w:hAnsiTheme="minorHAnsi" w:cstheme="minorHAnsi"/>
          <w:color w:val="000000" w:themeColor="text1"/>
          <w:sz w:val="20"/>
          <w:szCs w:val="20"/>
          <w:lang w:val="fr-FR"/>
        </w:rPr>
        <w:t xml:space="preserve">(Banque mondiale, 2015-2021, 201M </w:t>
      </w:r>
      <w:r w:rsidRPr="000E53A0">
        <w:rPr>
          <w:rFonts w:asciiTheme="minorHAnsi" w:hAnsiTheme="minorHAnsi" w:cstheme="minorHAnsi"/>
          <w:sz w:val="20"/>
          <w:szCs w:val="20"/>
          <w:lang w:val="fr-FR"/>
        </w:rPr>
        <w:t>€)</w:t>
      </w:r>
    </w:p>
    <w:p w14:paraId="6F2D72B5" w14:textId="77777777" w:rsidR="00601D9B" w:rsidRPr="000E53A0" w:rsidRDefault="000E53A0">
      <w:pPr>
        <w:pStyle w:val="NormalWeb"/>
        <w:spacing w:before="20" w:beforeAutospacing="0" w:after="20" w:afterAutospacing="0"/>
        <w:jc w:val="both"/>
        <w:rPr>
          <w:rFonts w:asciiTheme="minorHAnsi" w:hAnsiTheme="minorHAnsi" w:cstheme="minorHAnsi"/>
          <w:color w:val="000000" w:themeColor="text1"/>
          <w:sz w:val="20"/>
          <w:szCs w:val="20"/>
          <w:lang w:val="fr-FR"/>
        </w:rPr>
      </w:pPr>
      <w:r w:rsidRPr="000E53A0">
        <w:rPr>
          <w:rFonts w:asciiTheme="minorHAnsi" w:hAnsiTheme="minorHAnsi" w:cstheme="minorHAnsi"/>
          <w:sz w:val="20"/>
          <w:szCs w:val="20"/>
          <w:lang w:val="fr-FR"/>
        </w:rPr>
        <w:t>Ce projet régional cible les populations dont les moyens de subsistance dépendent principalement des activités pastorales dans 6 pays sahéliens, dont les États membres du G5 Sahel : le Mali, le Tchad, le Burkina Faso, le Niger et la Mauritanie. L'objectif du projet est d'améliorer et de pérenniser leurs moyens de subsistance, ce qui bénéficiera directement à plus de 2 millions de personnes, dont au moins 30 % de femmes et les populations les plus vulnérables, comme les jeunes et les femmes. Les bénéficiaires secondaires seront les prestataires publics et privés de services d'élevage, ainsi que les institutions nationales et régionales concernées. Le projet comporte cinq composantes : i) santé animale, ii) gestion des ressources naturelles, iii) accès au marché, iv) gestion des crises pastorales et v) appui institutionnel. Plus spécifiquement, le projet a mis en place certains mécanismes de gouvernance pour l'utilisation et la gestion des ressources naturelles (par exemple, les "Chartes pastorales") et a contribué à des initiatives de dialogue visant à résoudre les conflits au niveau local. Les changements résultant de ce projet soutiendront le projet proposé par le FPMA dans l'amélioration de la résilience des populations vulnérables aux conflits.</w:t>
      </w:r>
    </w:p>
    <w:p w14:paraId="3D968696" w14:textId="77777777" w:rsidR="00601D9B" w:rsidRPr="000E53A0" w:rsidRDefault="000E53A0">
      <w:pPr>
        <w:pStyle w:val="Paragraphedeliste"/>
        <w:numPr>
          <w:ilvl w:val="0"/>
          <w:numId w:val="67"/>
        </w:numPr>
        <w:ind w:left="0"/>
        <w:contextualSpacing/>
        <w:jc w:val="both"/>
        <w:rPr>
          <w:rFonts w:asciiTheme="minorHAnsi" w:hAnsiTheme="minorHAnsi" w:cstheme="minorHAnsi"/>
          <w:b/>
          <w:bCs/>
          <w:sz w:val="20"/>
          <w:szCs w:val="20"/>
          <w:lang w:val="fr-FR"/>
        </w:rPr>
      </w:pPr>
      <w:r w:rsidRPr="000E53A0">
        <w:rPr>
          <w:rFonts w:asciiTheme="minorHAnsi" w:hAnsiTheme="minorHAnsi" w:cstheme="minorHAnsi"/>
          <w:b/>
          <w:bCs/>
          <w:sz w:val="20"/>
          <w:szCs w:val="20"/>
          <w:lang w:val="fr-FR"/>
        </w:rPr>
        <w:t xml:space="preserve">Projet de redressement et de stabilisation à base communautaire pour le Sahel </w:t>
      </w:r>
      <w:r w:rsidRPr="004E0953">
        <w:rPr>
          <w:rStyle w:val="Appelnotedebasdep"/>
          <w:rFonts w:asciiTheme="minorHAnsi" w:hAnsiTheme="minorHAnsi" w:cstheme="minorHAnsi"/>
          <w:b/>
          <w:bCs/>
          <w:sz w:val="20"/>
          <w:szCs w:val="20"/>
        </w:rPr>
        <w:footnoteReference w:id="64"/>
      </w:r>
    </w:p>
    <w:p w14:paraId="52B5F3A5" w14:textId="77777777" w:rsidR="00601D9B" w:rsidRPr="000E53A0" w:rsidRDefault="000E53A0">
      <w:pPr>
        <w:pStyle w:val="NormalWeb"/>
        <w:spacing w:before="20" w:beforeAutospacing="0" w:after="20" w:afterAutospacing="0"/>
        <w:jc w:val="both"/>
        <w:rPr>
          <w:rFonts w:asciiTheme="minorHAnsi" w:hAnsiTheme="minorHAnsi" w:cstheme="minorHAnsi"/>
          <w:color w:val="000000" w:themeColor="text1"/>
          <w:sz w:val="20"/>
          <w:szCs w:val="20"/>
          <w:lang w:val="fr-FR"/>
        </w:rPr>
      </w:pPr>
      <w:r w:rsidRPr="000E53A0">
        <w:rPr>
          <w:rFonts w:asciiTheme="minorHAnsi" w:hAnsiTheme="minorHAnsi" w:cstheme="minorHAnsi"/>
          <w:color w:val="000000" w:themeColor="text1"/>
          <w:sz w:val="20"/>
          <w:szCs w:val="20"/>
          <w:lang w:val="fr-FR"/>
        </w:rPr>
        <w:t>(Banque mondiale, 2021-2026, 352,5 millions d'USD)</w:t>
      </w:r>
    </w:p>
    <w:p w14:paraId="2950E1E6" w14:textId="77777777" w:rsidR="00601D9B" w:rsidRPr="000E53A0" w:rsidRDefault="000E53A0">
      <w:pPr>
        <w:pStyle w:val="NormalWeb"/>
        <w:spacing w:before="20" w:beforeAutospacing="0" w:after="20" w:afterAutospacing="0"/>
        <w:jc w:val="both"/>
        <w:rPr>
          <w:rFonts w:asciiTheme="minorHAnsi" w:hAnsiTheme="minorHAnsi" w:cstheme="minorHAnsi"/>
          <w:color w:val="000000" w:themeColor="text1"/>
          <w:sz w:val="20"/>
          <w:szCs w:val="20"/>
          <w:lang w:val="fr-FR"/>
        </w:rPr>
      </w:pPr>
      <w:r w:rsidRPr="000E53A0">
        <w:rPr>
          <w:rFonts w:asciiTheme="minorHAnsi" w:hAnsiTheme="minorHAnsi" w:cstheme="minorHAnsi"/>
          <w:sz w:val="20"/>
          <w:szCs w:val="20"/>
          <w:lang w:val="fr-FR"/>
        </w:rPr>
        <w:t>L'objectif du projet est de contribuer au redressement et à la résilience des communautés dans les zones cibles de la région du Liptako-Gourma au Burkina Faso, au Mali et au Niger, par le biais d'une approche régionale soutenant les services et infrastructures socio-économiques intégrés, les moyens de subsistance et le développement territorial, ainsi que les données et la coordination régionales. L'agence d'exécution responsable au Mali est le Ministère de l'Economie et des Finances (MEF) de la République du Mali, chargé de la coordination et de la supervision globale des activités du projet. La répartition des montants de financement indique que 100 millions USD seront alloués au Mali pour les 4 composantes suivantes du projet : i) Relèvement résilient et inclusif des communautés affectées par le conflit (34 millions USD) ; ii) Appui transitoire vers la stabilisation et le développement territorial des communautés (47 millions USD) ; iii) Dialogue, coordination et données régionales et renforcement des capacités (15 millions USD) ; et iv) Gestion du projet (15 millions USD)</w:t>
      </w:r>
      <w:r w:rsidRPr="004E0953">
        <w:rPr>
          <w:rStyle w:val="Appelnotedebasdep"/>
          <w:rFonts w:asciiTheme="minorHAnsi" w:hAnsiTheme="minorHAnsi" w:cstheme="minorHAnsi"/>
          <w:sz w:val="20"/>
          <w:szCs w:val="20"/>
        </w:rPr>
        <w:footnoteReference w:id="65"/>
      </w:r>
      <w:r w:rsidRPr="000E53A0">
        <w:rPr>
          <w:rFonts w:asciiTheme="minorHAnsi" w:hAnsiTheme="minorHAnsi" w:cstheme="minorHAnsi"/>
          <w:sz w:val="20"/>
          <w:szCs w:val="20"/>
          <w:lang w:val="fr-FR"/>
        </w:rPr>
        <w:t xml:space="preserve">. Les composantes 1 et 2 seront exécutées par des MODs (Maitrise d'Ouvrage Déléguée) </w:t>
      </w:r>
      <w:r w:rsidRPr="004E0953">
        <w:rPr>
          <w:rStyle w:val="Appelnotedebasdep"/>
          <w:rFonts w:asciiTheme="minorHAnsi" w:hAnsiTheme="minorHAnsi" w:cstheme="minorHAnsi"/>
          <w:sz w:val="20"/>
          <w:szCs w:val="20"/>
        </w:rPr>
        <w:footnoteReference w:id="66"/>
      </w:r>
      <w:r w:rsidRPr="000E53A0">
        <w:rPr>
          <w:rFonts w:asciiTheme="minorHAnsi" w:hAnsiTheme="minorHAnsi" w:cstheme="minorHAnsi"/>
          <w:sz w:val="20"/>
          <w:szCs w:val="20"/>
          <w:lang w:val="fr-FR"/>
        </w:rPr>
        <w:t xml:space="preserve">. Les Conseils des Gouvernements Locaux (PNG) participants, réviseront leurs PDSEC existants et les feront valider par les comités respectifs pour le suivi. Le projet LDCF proposé capitalisera donc sur les résultats obtenus par ce projet, pour poursuivre ses objectifs, notamment ceux liés à l'adaptation des PDSEC (Output 2.2). </w:t>
      </w:r>
    </w:p>
    <w:p w14:paraId="1EF7100B" w14:textId="77777777" w:rsidR="009F25C4" w:rsidRPr="000E53A0" w:rsidRDefault="009F25C4" w:rsidP="004E0953">
      <w:pPr>
        <w:pStyle w:val="NormalWeb"/>
        <w:spacing w:before="20" w:beforeAutospacing="0" w:after="20" w:afterAutospacing="0"/>
        <w:jc w:val="both"/>
        <w:rPr>
          <w:rFonts w:asciiTheme="minorHAnsi" w:hAnsiTheme="minorHAnsi" w:cstheme="minorHAnsi"/>
          <w:sz w:val="20"/>
          <w:szCs w:val="20"/>
          <w:lang w:val="fr-FR"/>
        </w:rPr>
      </w:pPr>
    </w:p>
    <w:p w14:paraId="072F4786" w14:textId="77777777" w:rsidR="00601D9B" w:rsidRPr="000E53A0" w:rsidRDefault="000E53A0">
      <w:pPr>
        <w:spacing w:before="60"/>
        <w:rPr>
          <w:rFonts w:asciiTheme="minorHAnsi" w:hAnsiTheme="minorHAnsi" w:cstheme="minorHAnsi"/>
          <w:b/>
          <w:bCs/>
          <w:szCs w:val="20"/>
          <w:lang w:val="fr-FR"/>
        </w:rPr>
      </w:pPr>
      <w:commentRangeStart w:id="29"/>
      <w:r w:rsidRPr="000E53A0">
        <w:rPr>
          <w:rFonts w:asciiTheme="minorHAnsi" w:hAnsiTheme="minorHAnsi" w:cstheme="minorHAnsi"/>
          <w:b/>
          <w:bCs/>
          <w:szCs w:val="20"/>
          <w:lang w:val="fr-FR"/>
        </w:rPr>
        <w:t>Investissements du secteur</w:t>
      </w:r>
      <w:commentRangeEnd w:id="29"/>
      <w:r w:rsidR="00612832">
        <w:rPr>
          <w:rStyle w:val="Marquedecommentaire"/>
        </w:rPr>
        <w:commentReference w:id="29"/>
      </w:r>
      <w:r w:rsidRPr="000E53A0">
        <w:rPr>
          <w:rFonts w:asciiTheme="minorHAnsi" w:hAnsiTheme="minorHAnsi" w:cstheme="minorHAnsi"/>
          <w:b/>
          <w:bCs/>
          <w:szCs w:val="20"/>
          <w:lang w:val="fr-FR"/>
        </w:rPr>
        <w:t xml:space="preserve"> public faisant partie de la ligne de base et du cofinancement</w:t>
      </w:r>
    </w:p>
    <w:p w14:paraId="3BD784C5" w14:textId="77777777" w:rsidR="00601D9B" w:rsidRPr="000E53A0" w:rsidRDefault="000E53A0">
      <w:pPr>
        <w:rPr>
          <w:rFonts w:asciiTheme="minorHAnsi" w:hAnsiTheme="minorHAnsi" w:cstheme="minorHAnsi"/>
          <w:color w:val="000000" w:themeColor="text1"/>
          <w:sz w:val="20"/>
          <w:szCs w:val="20"/>
          <w:lang w:val="fr-FR"/>
        </w:rPr>
      </w:pPr>
      <w:r w:rsidRPr="000E53A0">
        <w:rPr>
          <w:rFonts w:asciiTheme="minorHAnsi" w:hAnsiTheme="minorHAnsi" w:cstheme="minorHAnsi"/>
          <w:sz w:val="20"/>
          <w:szCs w:val="20"/>
          <w:lang w:val="fr-FR"/>
        </w:rPr>
        <w:t xml:space="preserve">Ces investissements </w:t>
      </w:r>
      <w:r w:rsidR="00612832" w:rsidRPr="000E53A0">
        <w:rPr>
          <w:rFonts w:asciiTheme="minorHAnsi" w:hAnsiTheme="minorHAnsi" w:cstheme="minorHAnsi"/>
          <w:color w:val="000000" w:themeColor="text1"/>
          <w:sz w:val="20"/>
          <w:szCs w:val="20"/>
          <w:lang w:val="fr-FR"/>
        </w:rPr>
        <w:t xml:space="preserve">fournissent un </w:t>
      </w:r>
      <w:r w:rsidRPr="000E53A0">
        <w:rPr>
          <w:rFonts w:asciiTheme="minorHAnsi" w:hAnsiTheme="minorHAnsi" w:cstheme="minorHAnsi"/>
          <w:color w:val="000000" w:themeColor="text1"/>
          <w:sz w:val="20"/>
          <w:szCs w:val="20"/>
          <w:lang w:val="fr-FR"/>
        </w:rPr>
        <w:t xml:space="preserve">cofinancement au projet GEFTF/LDCF pour des interventions de développement dans la région de Mopti : </w:t>
      </w:r>
    </w:p>
    <w:tbl>
      <w:tblPr>
        <w:tblStyle w:val="Grilledutableau"/>
        <w:tblW w:w="5000" w:type="pct"/>
        <w:tblLook w:val="04A0" w:firstRow="1" w:lastRow="0" w:firstColumn="1" w:lastColumn="0" w:noHBand="0" w:noVBand="1"/>
      </w:tblPr>
      <w:tblGrid>
        <w:gridCol w:w="1474"/>
        <w:gridCol w:w="3130"/>
        <w:gridCol w:w="1334"/>
        <w:gridCol w:w="1524"/>
        <w:gridCol w:w="2114"/>
      </w:tblGrid>
      <w:tr w:rsidR="00BE082B" w:rsidRPr="000E53A0" w14:paraId="794CA644" w14:textId="77777777" w:rsidTr="00964B13">
        <w:tc>
          <w:tcPr>
            <w:tcW w:w="704" w:type="pct"/>
          </w:tcPr>
          <w:p w14:paraId="560D5008" w14:textId="77777777" w:rsidR="00601D9B" w:rsidRDefault="000E53A0">
            <w:pPr>
              <w:rPr>
                <w:rFonts w:asciiTheme="minorHAnsi" w:hAnsiTheme="minorHAnsi" w:cstheme="minorHAnsi"/>
                <w:b/>
                <w:bCs/>
                <w:sz w:val="18"/>
                <w:szCs w:val="18"/>
              </w:rPr>
            </w:pPr>
            <w:r w:rsidRPr="004E0953">
              <w:rPr>
                <w:rFonts w:asciiTheme="minorHAnsi" w:hAnsiTheme="minorHAnsi" w:cstheme="minorHAnsi"/>
                <w:b/>
                <w:bCs/>
                <w:sz w:val="18"/>
                <w:szCs w:val="18"/>
              </w:rPr>
              <w:t>Ministère</w:t>
            </w:r>
          </w:p>
        </w:tc>
        <w:tc>
          <w:tcPr>
            <w:tcW w:w="1651" w:type="pct"/>
          </w:tcPr>
          <w:p w14:paraId="57C43446" w14:textId="77777777" w:rsidR="00601D9B" w:rsidRDefault="000E53A0">
            <w:pPr>
              <w:rPr>
                <w:rFonts w:asciiTheme="minorHAnsi" w:hAnsiTheme="minorHAnsi" w:cstheme="minorHAnsi"/>
                <w:b/>
                <w:bCs/>
                <w:sz w:val="18"/>
                <w:szCs w:val="18"/>
              </w:rPr>
            </w:pPr>
            <w:r w:rsidRPr="004E0953">
              <w:rPr>
                <w:rFonts w:asciiTheme="minorHAnsi" w:hAnsiTheme="minorHAnsi" w:cstheme="minorHAnsi"/>
                <w:b/>
                <w:bCs/>
                <w:sz w:val="18"/>
                <w:szCs w:val="18"/>
              </w:rPr>
              <w:t>Programme</w:t>
            </w:r>
          </w:p>
        </w:tc>
        <w:tc>
          <w:tcPr>
            <w:tcW w:w="713" w:type="pct"/>
          </w:tcPr>
          <w:p w14:paraId="1D163474" w14:textId="77777777" w:rsidR="00601D9B" w:rsidRDefault="000E53A0">
            <w:pPr>
              <w:jc w:val="center"/>
              <w:rPr>
                <w:rFonts w:asciiTheme="minorHAnsi" w:hAnsiTheme="minorHAnsi" w:cstheme="minorHAnsi"/>
                <w:b/>
                <w:bCs/>
                <w:sz w:val="18"/>
                <w:szCs w:val="18"/>
              </w:rPr>
            </w:pPr>
            <w:r w:rsidRPr="004E0953">
              <w:rPr>
                <w:rFonts w:asciiTheme="minorHAnsi" w:hAnsiTheme="minorHAnsi" w:cstheme="minorHAnsi"/>
                <w:b/>
                <w:bCs/>
                <w:sz w:val="18"/>
                <w:szCs w:val="18"/>
              </w:rPr>
              <w:t xml:space="preserve">millions de francs CFA </w:t>
            </w:r>
            <w:r w:rsidRPr="004E0953">
              <w:rPr>
                <w:rStyle w:val="Appelnotedebasdep"/>
                <w:rFonts w:asciiTheme="minorHAnsi" w:hAnsiTheme="minorHAnsi" w:cstheme="minorHAnsi"/>
                <w:b/>
                <w:bCs/>
                <w:szCs w:val="18"/>
              </w:rPr>
              <w:footnoteReference w:id="67"/>
            </w:r>
          </w:p>
        </w:tc>
        <w:tc>
          <w:tcPr>
            <w:tcW w:w="811" w:type="pct"/>
          </w:tcPr>
          <w:p w14:paraId="77E70381" w14:textId="77777777" w:rsidR="00601D9B" w:rsidRDefault="000E53A0">
            <w:pPr>
              <w:jc w:val="center"/>
              <w:rPr>
                <w:rFonts w:asciiTheme="minorHAnsi" w:hAnsiTheme="minorHAnsi" w:cstheme="minorHAnsi"/>
                <w:b/>
                <w:bCs/>
                <w:sz w:val="18"/>
                <w:szCs w:val="18"/>
              </w:rPr>
            </w:pPr>
            <w:r w:rsidRPr="004E0953">
              <w:rPr>
                <w:rFonts w:asciiTheme="minorHAnsi" w:hAnsiTheme="minorHAnsi" w:cstheme="minorHAnsi"/>
                <w:b/>
                <w:bCs/>
                <w:sz w:val="18"/>
                <w:szCs w:val="18"/>
              </w:rPr>
              <w:t>USD 1 an</w:t>
            </w:r>
          </w:p>
        </w:tc>
        <w:tc>
          <w:tcPr>
            <w:tcW w:w="1120" w:type="pct"/>
          </w:tcPr>
          <w:p w14:paraId="747E62FF" w14:textId="77777777" w:rsidR="00601D9B" w:rsidRPr="000E53A0" w:rsidRDefault="000E53A0">
            <w:pPr>
              <w:jc w:val="center"/>
              <w:rPr>
                <w:rFonts w:asciiTheme="minorHAnsi" w:hAnsiTheme="minorHAnsi" w:cstheme="minorHAnsi"/>
                <w:b/>
                <w:bCs/>
                <w:sz w:val="18"/>
                <w:szCs w:val="18"/>
                <w:lang w:val="fr-FR"/>
              </w:rPr>
            </w:pPr>
            <w:r w:rsidRPr="000E53A0">
              <w:rPr>
                <w:rFonts w:asciiTheme="minorHAnsi" w:hAnsiTheme="minorHAnsi" w:cstheme="minorHAnsi"/>
                <w:b/>
                <w:bCs/>
                <w:sz w:val="18"/>
                <w:szCs w:val="18"/>
                <w:lang w:val="fr-FR"/>
              </w:rPr>
              <w:t xml:space="preserve">Cofinancement indicatif </w:t>
            </w:r>
          </w:p>
          <w:p w14:paraId="2FA8C9A6" w14:textId="77777777" w:rsidR="00601D9B" w:rsidRPr="000E53A0" w:rsidRDefault="000E53A0">
            <w:pPr>
              <w:jc w:val="center"/>
              <w:rPr>
                <w:rFonts w:asciiTheme="minorHAnsi" w:hAnsiTheme="minorHAnsi" w:cstheme="minorHAnsi"/>
                <w:b/>
                <w:bCs/>
                <w:sz w:val="18"/>
                <w:szCs w:val="18"/>
                <w:lang w:val="fr-FR"/>
              </w:rPr>
            </w:pPr>
            <w:r w:rsidRPr="000E53A0">
              <w:rPr>
                <w:rFonts w:asciiTheme="minorHAnsi" w:hAnsiTheme="minorHAnsi" w:cstheme="minorHAnsi"/>
                <w:b/>
                <w:bCs/>
                <w:sz w:val="18"/>
                <w:szCs w:val="18"/>
                <w:lang w:val="fr-FR"/>
              </w:rPr>
              <w:t>(en USD sur 6 ans)</w:t>
            </w:r>
          </w:p>
        </w:tc>
      </w:tr>
      <w:tr w:rsidR="00BE082B" w:rsidRPr="004E0953" w14:paraId="18313E52" w14:textId="77777777" w:rsidTr="00964B13">
        <w:tc>
          <w:tcPr>
            <w:tcW w:w="704" w:type="pct"/>
          </w:tcPr>
          <w:p w14:paraId="0C936B0E" w14:textId="77777777" w:rsidR="00601D9B" w:rsidRDefault="000E53A0">
            <w:pPr>
              <w:rPr>
                <w:rFonts w:asciiTheme="minorHAnsi" w:hAnsiTheme="minorHAnsi" w:cstheme="minorHAnsi"/>
                <w:sz w:val="18"/>
                <w:szCs w:val="18"/>
              </w:rPr>
            </w:pPr>
            <w:r w:rsidRPr="004E0953">
              <w:rPr>
                <w:rFonts w:asciiTheme="minorHAnsi" w:hAnsiTheme="minorHAnsi" w:cstheme="minorHAnsi"/>
                <w:sz w:val="18"/>
                <w:szCs w:val="18"/>
              </w:rPr>
              <w:t>Ministère de l'agriculture</w:t>
            </w:r>
          </w:p>
        </w:tc>
        <w:tc>
          <w:tcPr>
            <w:tcW w:w="1651" w:type="pct"/>
          </w:tcPr>
          <w:p w14:paraId="0E7E9E61" w14:textId="77777777" w:rsidR="00601D9B" w:rsidRPr="000E53A0" w:rsidRDefault="000E53A0">
            <w:pPr>
              <w:rPr>
                <w:rFonts w:asciiTheme="minorHAnsi" w:hAnsiTheme="minorHAnsi" w:cstheme="minorHAnsi"/>
                <w:sz w:val="18"/>
                <w:szCs w:val="18"/>
                <w:lang w:val="fr-FR"/>
              </w:rPr>
            </w:pPr>
            <w:r w:rsidRPr="000E53A0">
              <w:rPr>
                <w:rFonts w:asciiTheme="minorHAnsi" w:hAnsiTheme="minorHAnsi" w:cstheme="minorHAnsi"/>
                <w:sz w:val="18"/>
                <w:szCs w:val="18"/>
                <w:lang w:val="fr-FR"/>
              </w:rPr>
              <w:t>Soutien au développement, à la réhabilitation et à l'équipement des terres agricoles, y compris les cultures sèches et irriguées.</w:t>
            </w:r>
          </w:p>
        </w:tc>
        <w:tc>
          <w:tcPr>
            <w:tcW w:w="713" w:type="pct"/>
          </w:tcPr>
          <w:p w14:paraId="2A8E9BBF" w14:textId="77777777" w:rsidR="00601D9B" w:rsidRDefault="000E53A0">
            <w:pPr>
              <w:jc w:val="right"/>
              <w:rPr>
                <w:rFonts w:asciiTheme="minorHAnsi" w:hAnsiTheme="minorHAnsi" w:cstheme="minorHAnsi"/>
                <w:sz w:val="18"/>
                <w:szCs w:val="18"/>
              </w:rPr>
            </w:pPr>
            <w:r w:rsidRPr="004E0953">
              <w:rPr>
                <w:rFonts w:asciiTheme="minorHAnsi" w:hAnsiTheme="minorHAnsi" w:cstheme="minorHAnsi"/>
                <w:sz w:val="18"/>
                <w:szCs w:val="18"/>
              </w:rPr>
              <w:t xml:space="preserve">58.0 </w:t>
            </w:r>
          </w:p>
        </w:tc>
        <w:tc>
          <w:tcPr>
            <w:tcW w:w="811" w:type="pct"/>
          </w:tcPr>
          <w:p w14:paraId="3BF9C42E" w14:textId="77777777" w:rsidR="00601D9B" w:rsidRDefault="000E53A0">
            <w:pPr>
              <w:jc w:val="right"/>
              <w:rPr>
                <w:rFonts w:asciiTheme="minorHAnsi" w:hAnsiTheme="minorHAnsi" w:cstheme="minorHAnsi"/>
                <w:sz w:val="18"/>
                <w:szCs w:val="18"/>
              </w:rPr>
            </w:pPr>
            <w:r w:rsidRPr="004E0953">
              <w:rPr>
                <w:rFonts w:asciiTheme="minorHAnsi" w:hAnsiTheme="minorHAnsi" w:cstheme="minorHAnsi"/>
                <w:sz w:val="18"/>
                <w:szCs w:val="18"/>
              </w:rPr>
              <w:t>104,882</w:t>
            </w:r>
          </w:p>
        </w:tc>
        <w:tc>
          <w:tcPr>
            <w:tcW w:w="1120" w:type="pct"/>
          </w:tcPr>
          <w:p w14:paraId="77E7F1B9" w14:textId="77777777" w:rsidR="00601D9B" w:rsidRDefault="000E53A0">
            <w:pPr>
              <w:jc w:val="right"/>
              <w:rPr>
                <w:rFonts w:asciiTheme="minorHAnsi" w:hAnsiTheme="minorHAnsi" w:cstheme="minorHAnsi"/>
                <w:sz w:val="18"/>
                <w:szCs w:val="18"/>
              </w:rPr>
            </w:pPr>
            <w:r w:rsidRPr="004E0953">
              <w:rPr>
                <w:rFonts w:asciiTheme="minorHAnsi" w:hAnsiTheme="minorHAnsi" w:cstheme="minorHAnsi"/>
                <w:sz w:val="18"/>
                <w:szCs w:val="18"/>
              </w:rPr>
              <w:t>629,292</w:t>
            </w:r>
          </w:p>
        </w:tc>
      </w:tr>
      <w:tr w:rsidR="00BE082B" w:rsidRPr="004E0953" w14:paraId="2E0A6ABA" w14:textId="77777777" w:rsidTr="00964B13">
        <w:tc>
          <w:tcPr>
            <w:tcW w:w="704" w:type="pct"/>
          </w:tcPr>
          <w:p w14:paraId="343089DC" w14:textId="77777777" w:rsidR="00601D9B" w:rsidRPr="000E53A0" w:rsidRDefault="000E53A0">
            <w:pPr>
              <w:rPr>
                <w:rFonts w:asciiTheme="minorHAnsi" w:hAnsiTheme="minorHAnsi" w:cstheme="minorHAnsi"/>
                <w:sz w:val="18"/>
                <w:szCs w:val="18"/>
                <w:lang w:val="fr-FR"/>
              </w:rPr>
            </w:pPr>
            <w:r w:rsidRPr="000E53A0">
              <w:rPr>
                <w:rFonts w:asciiTheme="minorHAnsi" w:hAnsiTheme="minorHAnsi" w:cstheme="minorHAnsi"/>
                <w:sz w:val="18"/>
                <w:szCs w:val="18"/>
                <w:lang w:val="fr-FR"/>
              </w:rPr>
              <w:t xml:space="preserve">Ministère de </w:t>
            </w:r>
            <w:r w:rsidRPr="000E53A0">
              <w:rPr>
                <w:rFonts w:asciiTheme="minorHAnsi" w:hAnsiTheme="minorHAnsi" w:cstheme="minorHAnsi"/>
                <w:sz w:val="18"/>
                <w:szCs w:val="18"/>
                <w:lang w:val="fr-FR"/>
              </w:rPr>
              <w:lastRenderedPageBreak/>
              <w:t>l'environnement, de l'assainissement et du développement durable</w:t>
            </w:r>
          </w:p>
        </w:tc>
        <w:tc>
          <w:tcPr>
            <w:tcW w:w="1651" w:type="pct"/>
          </w:tcPr>
          <w:p w14:paraId="45258DFF" w14:textId="77777777" w:rsidR="00601D9B" w:rsidRPr="000E53A0" w:rsidRDefault="000E53A0">
            <w:pPr>
              <w:rPr>
                <w:rFonts w:asciiTheme="minorHAnsi" w:hAnsiTheme="minorHAnsi" w:cstheme="minorHAnsi"/>
                <w:sz w:val="18"/>
                <w:szCs w:val="18"/>
                <w:lang w:val="fr-FR"/>
              </w:rPr>
            </w:pPr>
            <w:r w:rsidRPr="000E53A0">
              <w:rPr>
                <w:rFonts w:asciiTheme="minorHAnsi" w:hAnsiTheme="minorHAnsi" w:cstheme="minorHAnsi"/>
                <w:sz w:val="18"/>
                <w:szCs w:val="18"/>
                <w:lang w:val="fr-FR"/>
              </w:rPr>
              <w:lastRenderedPageBreak/>
              <w:t xml:space="preserve">Protection de la nature et des forêts, et </w:t>
            </w:r>
            <w:r w:rsidRPr="000E53A0">
              <w:rPr>
                <w:rFonts w:asciiTheme="minorHAnsi" w:hAnsiTheme="minorHAnsi" w:cstheme="minorHAnsi"/>
                <w:sz w:val="18"/>
                <w:szCs w:val="18"/>
                <w:lang w:val="fr-FR"/>
              </w:rPr>
              <w:lastRenderedPageBreak/>
              <w:t>lutte contre la désertification et la dégradation des sols, y compris par des efforts de restauration.</w:t>
            </w:r>
          </w:p>
        </w:tc>
        <w:tc>
          <w:tcPr>
            <w:tcW w:w="713" w:type="pct"/>
          </w:tcPr>
          <w:p w14:paraId="4CC537A4" w14:textId="77777777" w:rsidR="00601D9B" w:rsidRDefault="000E53A0">
            <w:pPr>
              <w:jc w:val="right"/>
              <w:rPr>
                <w:rFonts w:asciiTheme="minorHAnsi" w:hAnsiTheme="minorHAnsi" w:cstheme="minorHAnsi"/>
                <w:sz w:val="18"/>
                <w:szCs w:val="18"/>
              </w:rPr>
            </w:pPr>
            <w:r w:rsidRPr="004E0953">
              <w:rPr>
                <w:rFonts w:asciiTheme="minorHAnsi" w:hAnsiTheme="minorHAnsi" w:cstheme="minorHAnsi"/>
                <w:sz w:val="18"/>
                <w:szCs w:val="18"/>
              </w:rPr>
              <w:lastRenderedPageBreak/>
              <w:t xml:space="preserve">11.2 </w:t>
            </w:r>
          </w:p>
        </w:tc>
        <w:tc>
          <w:tcPr>
            <w:tcW w:w="811" w:type="pct"/>
          </w:tcPr>
          <w:p w14:paraId="44F47DC6" w14:textId="77777777" w:rsidR="00601D9B" w:rsidRDefault="000E53A0">
            <w:pPr>
              <w:jc w:val="right"/>
              <w:rPr>
                <w:rFonts w:asciiTheme="minorHAnsi" w:hAnsiTheme="minorHAnsi" w:cstheme="minorHAnsi"/>
                <w:sz w:val="18"/>
                <w:szCs w:val="18"/>
              </w:rPr>
            </w:pPr>
            <w:r w:rsidRPr="004E0953">
              <w:rPr>
                <w:rFonts w:asciiTheme="minorHAnsi" w:hAnsiTheme="minorHAnsi" w:cstheme="minorHAnsi"/>
                <w:sz w:val="18"/>
                <w:szCs w:val="18"/>
              </w:rPr>
              <w:t>20,253</w:t>
            </w:r>
          </w:p>
        </w:tc>
        <w:tc>
          <w:tcPr>
            <w:tcW w:w="1120" w:type="pct"/>
          </w:tcPr>
          <w:p w14:paraId="7289DDAF" w14:textId="77777777" w:rsidR="00601D9B" w:rsidRDefault="000E53A0">
            <w:pPr>
              <w:jc w:val="right"/>
              <w:rPr>
                <w:rFonts w:asciiTheme="minorHAnsi" w:hAnsiTheme="minorHAnsi" w:cstheme="minorHAnsi"/>
                <w:sz w:val="18"/>
                <w:szCs w:val="18"/>
              </w:rPr>
            </w:pPr>
            <w:r w:rsidRPr="004E0953">
              <w:rPr>
                <w:rFonts w:asciiTheme="minorHAnsi" w:hAnsiTheme="minorHAnsi" w:cstheme="minorHAnsi"/>
                <w:sz w:val="18"/>
                <w:szCs w:val="18"/>
              </w:rPr>
              <w:t>121,518</w:t>
            </w:r>
          </w:p>
        </w:tc>
      </w:tr>
      <w:tr w:rsidR="00BE082B" w:rsidRPr="004E0953" w14:paraId="648C7BCD" w14:textId="77777777" w:rsidTr="00964B13">
        <w:tc>
          <w:tcPr>
            <w:tcW w:w="704" w:type="pct"/>
          </w:tcPr>
          <w:p w14:paraId="60AD27A0" w14:textId="77777777" w:rsidR="00601D9B" w:rsidRPr="000E53A0" w:rsidRDefault="000E53A0">
            <w:pPr>
              <w:rPr>
                <w:rFonts w:asciiTheme="minorHAnsi" w:hAnsiTheme="minorHAnsi" w:cstheme="minorHAnsi"/>
                <w:sz w:val="18"/>
                <w:szCs w:val="18"/>
                <w:lang w:val="fr-FR"/>
              </w:rPr>
            </w:pPr>
            <w:r w:rsidRPr="000E53A0">
              <w:rPr>
                <w:rFonts w:asciiTheme="minorHAnsi" w:hAnsiTheme="minorHAnsi" w:cstheme="minorHAnsi"/>
                <w:sz w:val="18"/>
                <w:szCs w:val="18"/>
                <w:lang w:val="fr-FR"/>
              </w:rPr>
              <w:t>Ministère de l'élevage et de la pêche</w:t>
            </w:r>
          </w:p>
        </w:tc>
        <w:tc>
          <w:tcPr>
            <w:tcW w:w="1651" w:type="pct"/>
          </w:tcPr>
          <w:p w14:paraId="6DD61EF5" w14:textId="77777777" w:rsidR="00601D9B" w:rsidRPr="000E53A0" w:rsidRDefault="000E53A0">
            <w:pPr>
              <w:rPr>
                <w:rFonts w:asciiTheme="minorHAnsi" w:hAnsiTheme="minorHAnsi" w:cstheme="minorHAnsi"/>
                <w:sz w:val="18"/>
                <w:szCs w:val="18"/>
                <w:lang w:val="fr-FR"/>
              </w:rPr>
            </w:pPr>
            <w:r w:rsidRPr="000E53A0">
              <w:rPr>
                <w:rFonts w:asciiTheme="minorHAnsi" w:hAnsiTheme="minorHAnsi" w:cstheme="minorHAnsi"/>
                <w:sz w:val="18"/>
                <w:szCs w:val="18"/>
                <w:lang w:val="fr-FR"/>
              </w:rPr>
              <w:t xml:space="preserve">Soutien au secteur de l'élevage, y compris la gestion des pâturages, la promotion d'une capacité de charge appropriée et le soutien vétérinaire pour garantir la santé des troupeaux. </w:t>
            </w:r>
          </w:p>
        </w:tc>
        <w:tc>
          <w:tcPr>
            <w:tcW w:w="713" w:type="pct"/>
          </w:tcPr>
          <w:p w14:paraId="4A6E842E" w14:textId="77777777" w:rsidR="00601D9B" w:rsidRDefault="000E53A0">
            <w:pPr>
              <w:jc w:val="right"/>
              <w:rPr>
                <w:rFonts w:asciiTheme="minorHAnsi" w:hAnsiTheme="minorHAnsi" w:cstheme="minorHAnsi"/>
                <w:sz w:val="18"/>
                <w:szCs w:val="18"/>
              </w:rPr>
            </w:pPr>
            <w:r w:rsidRPr="004E0953">
              <w:rPr>
                <w:rFonts w:asciiTheme="minorHAnsi" w:hAnsiTheme="minorHAnsi" w:cstheme="minorHAnsi"/>
                <w:sz w:val="18"/>
                <w:szCs w:val="18"/>
              </w:rPr>
              <w:t>9.0</w:t>
            </w:r>
          </w:p>
        </w:tc>
        <w:tc>
          <w:tcPr>
            <w:tcW w:w="811" w:type="pct"/>
          </w:tcPr>
          <w:p w14:paraId="0CD1B733" w14:textId="77777777" w:rsidR="00601D9B" w:rsidRDefault="000E53A0">
            <w:pPr>
              <w:jc w:val="right"/>
              <w:rPr>
                <w:rFonts w:asciiTheme="minorHAnsi" w:hAnsiTheme="minorHAnsi" w:cstheme="minorHAnsi"/>
                <w:sz w:val="18"/>
                <w:szCs w:val="18"/>
              </w:rPr>
            </w:pPr>
            <w:r w:rsidRPr="004E0953">
              <w:rPr>
                <w:rFonts w:asciiTheme="minorHAnsi" w:hAnsiTheme="minorHAnsi" w:cstheme="minorHAnsi"/>
                <w:sz w:val="18"/>
                <w:szCs w:val="18"/>
              </w:rPr>
              <w:t>16,275</w:t>
            </w:r>
          </w:p>
        </w:tc>
        <w:tc>
          <w:tcPr>
            <w:tcW w:w="1120" w:type="pct"/>
          </w:tcPr>
          <w:p w14:paraId="646DD4E0" w14:textId="77777777" w:rsidR="00601D9B" w:rsidRDefault="000E53A0">
            <w:pPr>
              <w:jc w:val="right"/>
              <w:rPr>
                <w:rFonts w:asciiTheme="minorHAnsi" w:hAnsiTheme="minorHAnsi" w:cstheme="minorHAnsi"/>
                <w:sz w:val="18"/>
                <w:szCs w:val="18"/>
              </w:rPr>
            </w:pPr>
            <w:r w:rsidRPr="004E0953">
              <w:rPr>
                <w:rFonts w:asciiTheme="minorHAnsi" w:hAnsiTheme="minorHAnsi" w:cstheme="minorHAnsi"/>
                <w:sz w:val="18"/>
                <w:szCs w:val="18"/>
              </w:rPr>
              <w:t>97,650</w:t>
            </w:r>
          </w:p>
        </w:tc>
      </w:tr>
      <w:tr w:rsidR="00BE082B" w:rsidRPr="004E0953" w14:paraId="7C63FEC4" w14:textId="77777777" w:rsidTr="00964B13">
        <w:tc>
          <w:tcPr>
            <w:tcW w:w="704" w:type="pct"/>
          </w:tcPr>
          <w:p w14:paraId="7C764CEC" w14:textId="77777777" w:rsidR="00601D9B" w:rsidRPr="000E53A0" w:rsidRDefault="000E53A0">
            <w:pPr>
              <w:rPr>
                <w:rFonts w:asciiTheme="minorHAnsi" w:hAnsiTheme="minorHAnsi" w:cstheme="minorHAnsi"/>
                <w:sz w:val="18"/>
                <w:szCs w:val="18"/>
                <w:lang w:val="fr-FR"/>
              </w:rPr>
            </w:pPr>
            <w:r w:rsidRPr="000E53A0">
              <w:rPr>
                <w:rFonts w:asciiTheme="minorHAnsi" w:hAnsiTheme="minorHAnsi" w:cstheme="minorHAnsi"/>
                <w:sz w:val="18"/>
                <w:szCs w:val="18"/>
                <w:lang w:val="fr-FR"/>
              </w:rPr>
              <w:t>Ministère de la promotion de la femme, de l'enfant et de la famille</w:t>
            </w:r>
          </w:p>
        </w:tc>
        <w:tc>
          <w:tcPr>
            <w:tcW w:w="1651" w:type="pct"/>
          </w:tcPr>
          <w:p w14:paraId="6171F7B0" w14:textId="77777777" w:rsidR="00601D9B" w:rsidRPr="000E53A0" w:rsidRDefault="000E53A0">
            <w:pPr>
              <w:rPr>
                <w:rFonts w:asciiTheme="minorHAnsi" w:hAnsiTheme="minorHAnsi" w:cstheme="minorHAnsi"/>
                <w:sz w:val="18"/>
                <w:szCs w:val="18"/>
                <w:lang w:val="fr-FR"/>
              </w:rPr>
            </w:pPr>
            <w:r w:rsidRPr="000E53A0">
              <w:rPr>
                <w:rFonts w:asciiTheme="minorHAnsi" w:hAnsiTheme="minorHAnsi" w:cstheme="minorHAnsi"/>
                <w:sz w:val="18"/>
                <w:szCs w:val="18"/>
                <w:lang w:val="fr-FR"/>
              </w:rPr>
              <w:t>Autonomisation des femmes - mener des programmes d'éducation contre la violence sexiste et des programmes visant à impliquer les femmes dans les structures de consolidation de la paix, et offrir aux femmes des possibilités d'entrepreneuriat rural grâce à l'accès au microfinancement.</w:t>
            </w:r>
          </w:p>
        </w:tc>
        <w:tc>
          <w:tcPr>
            <w:tcW w:w="713" w:type="pct"/>
          </w:tcPr>
          <w:p w14:paraId="6C3801D0" w14:textId="77777777" w:rsidR="00601D9B" w:rsidRDefault="000E53A0">
            <w:pPr>
              <w:jc w:val="right"/>
              <w:rPr>
                <w:rFonts w:asciiTheme="minorHAnsi" w:hAnsiTheme="minorHAnsi" w:cstheme="minorHAnsi"/>
                <w:sz w:val="18"/>
                <w:szCs w:val="18"/>
              </w:rPr>
            </w:pPr>
            <w:r w:rsidRPr="004E0953">
              <w:rPr>
                <w:rFonts w:asciiTheme="minorHAnsi" w:hAnsiTheme="minorHAnsi" w:cstheme="minorHAnsi"/>
                <w:sz w:val="18"/>
                <w:szCs w:val="18"/>
              </w:rPr>
              <w:t xml:space="preserve">6.2 </w:t>
            </w:r>
          </w:p>
        </w:tc>
        <w:tc>
          <w:tcPr>
            <w:tcW w:w="811" w:type="pct"/>
          </w:tcPr>
          <w:p w14:paraId="3BAA7176" w14:textId="77777777" w:rsidR="00601D9B" w:rsidRDefault="000E53A0">
            <w:pPr>
              <w:jc w:val="right"/>
              <w:rPr>
                <w:rFonts w:asciiTheme="minorHAnsi" w:hAnsiTheme="minorHAnsi" w:cstheme="minorHAnsi"/>
                <w:sz w:val="18"/>
                <w:szCs w:val="18"/>
              </w:rPr>
            </w:pPr>
            <w:r w:rsidRPr="004E0953">
              <w:rPr>
                <w:rFonts w:asciiTheme="minorHAnsi" w:hAnsiTheme="minorHAnsi" w:cstheme="minorHAnsi"/>
                <w:sz w:val="18"/>
                <w:szCs w:val="18"/>
              </w:rPr>
              <w:t>11,212</w:t>
            </w:r>
          </w:p>
        </w:tc>
        <w:tc>
          <w:tcPr>
            <w:tcW w:w="1120" w:type="pct"/>
          </w:tcPr>
          <w:p w14:paraId="14CFA119" w14:textId="77777777" w:rsidR="00601D9B" w:rsidRDefault="000E53A0">
            <w:pPr>
              <w:jc w:val="right"/>
              <w:rPr>
                <w:rFonts w:asciiTheme="minorHAnsi" w:hAnsiTheme="minorHAnsi" w:cstheme="minorHAnsi"/>
                <w:sz w:val="18"/>
                <w:szCs w:val="18"/>
              </w:rPr>
            </w:pPr>
            <w:r w:rsidRPr="004E0953">
              <w:rPr>
                <w:rFonts w:asciiTheme="minorHAnsi" w:hAnsiTheme="minorHAnsi" w:cstheme="minorHAnsi"/>
                <w:sz w:val="18"/>
                <w:szCs w:val="18"/>
              </w:rPr>
              <w:t>67,272</w:t>
            </w:r>
          </w:p>
        </w:tc>
      </w:tr>
      <w:tr w:rsidR="00BE082B" w:rsidRPr="004E0953" w14:paraId="0D99D3F0" w14:textId="77777777" w:rsidTr="00964B13">
        <w:tc>
          <w:tcPr>
            <w:tcW w:w="704" w:type="pct"/>
          </w:tcPr>
          <w:p w14:paraId="2331985F" w14:textId="77777777" w:rsidR="00601D9B" w:rsidRPr="000E53A0" w:rsidRDefault="000E53A0">
            <w:pPr>
              <w:rPr>
                <w:rFonts w:asciiTheme="minorHAnsi" w:hAnsiTheme="minorHAnsi" w:cstheme="minorHAnsi"/>
                <w:sz w:val="18"/>
                <w:szCs w:val="18"/>
                <w:lang w:val="fr-FR"/>
              </w:rPr>
            </w:pPr>
            <w:r w:rsidRPr="000E53A0">
              <w:rPr>
                <w:rFonts w:asciiTheme="minorHAnsi" w:hAnsiTheme="minorHAnsi" w:cstheme="minorHAnsi"/>
                <w:sz w:val="18"/>
                <w:szCs w:val="18"/>
                <w:lang w:val="fr-FR"/>
              </w:rPr>
              <w:t>Ministère de la jeunesse, de l'emploi et de la construction citoyenne</w:t>
            </w:r>
          </w:p>
        </w:tc>
        <w:tc>
          <w:tcPr>
            <w:tcW w:w="1651" w:type="pct"/>
          </w:tcPr>
          <w:p w14:paraId="40AF2F08" w14:textId="77777777" w:rsidR="00601D9B" w:rsidRPr="000E53A0" w:rsidRDefault="000E53A0">
            <w:pPr>
              <w:rPr>
                <w:rFonts w:asciiTheme="minorHAnsi" w:hAnsiTheme="minorHAnsi" w:cstheme="minorHAnsi"/>
                <w:sz w:val="18"/>
                <w:szCs w:val="18"/>
                <w:lang w:val="fr-FR"/>
              </w:rPr>
            </w:pPr>
            <w:r w:rsidRPr="000E53A0">
              <w:rPr>
                <w:rFonts w:asciiTheme="minorHAnsi" w:hAnsiTheme="minorHAnsi" w:cstheme="minorHAnsi"/>
                <w:sz w:val="18"/>
                <w:szCs w:val="18"/>
                <w:lang w:val="fr-FR"/>
              </w:rPr>
              <w:t>Programmes de formation et de création d'emplois pour les jeunes, notamment dans le secteur agroalimentaire, et promotion de l'accès des jeunes au microfinancement pour le développement des petites, moyennes et micro-entreprises.</w:t>
            </w:r>
          </w:p>
        </w:tc>
        <w:tc>
          <w:tcPr>
            <w:tcW w:w="713" w:type="pct"/>
          </w:tcPr>
          <w:p w14:paraId="1BAC1A6E" w14:textId="77777777" w:rsidR="00601D9B" w:rsidRDefault="000E53A0">
            <w:pPr>
              <w:jc w:val="right"/>
              <w:rPr>
                <w:rFonts w:asciiTheme="minorHAnsi" w:hAnsiTheme="minorHAnsi" w:cstheme="minorHAnsi"/>
                <w:sz w:val="18"/>
                <w:szCs w:val="18"/>
              </w:rPr>
            </w:pPr>
            <w:r w:rsidRPr="004E0953">
              <w:rPr>
                <w:rFonts w:asciiTheme="minorHAnsi" w:hAnsiTheme="minorHAnsi" w:cstheme="minorHAnsi"/>
                <w:sz w:val="18"/>
                <w:szCs w:val="18"/>
              </w:rPr>
              <w:t xml:space="preserve">3.2 </w:t>
            </w:r>
          </w:p>
        </w:tc>
        <w:tc>
          <w:tcPr>
            <w:tcW w:w="811" w:type="pct"/>
          </w:tcPr>
          <w:p w14:paraId="347E9D3E" w14:textId="77777777" w:rsidR="00601D9B" w:rsidRDefault="000E53A0">
            <w:pPr>
              <w:jc w:val="right"/>
              <w:rPr>
                <w:rFonts w:asciiTheme="minorHAnsi" w:hAnsiTheme="minorHAnsi" w:cstheme="minorHAnsi"/>
                <w:sz w:val="18"/>
                <w:szCs w:val="18"/>
              </w:rPr>
            </w:pPr>
            <w:r w:rsidRPr="004E0953">
              <w:rPr>
                <w:rFonts w:asciiTheme="minorHAnsi" w:hAnsiTheme="minorHAnsi" w:cstheme="minorHAnsi"/>
                <w:sz w:val="18"/>
                <w:szCs w:val="18"/>
              </w:rPr>
              <w:t>5,787</w:t>
            </w:r>
          </w:p>
        </w:tc>
        <w:tc>
          <w:tcPr>
            <w:tcW w:w="1120" w:type="pct"/>
          </w:tcPr>
          <w:p w14:paraId="78631E99" w14:textId="77777777" w:rsidR="00601D9B" w:rsidRDefault="000E53A0">
            <w:pPr>
              <w:jc w:val="right"/>
              <w:rPr>
                <w:rFonts w:asciiTheme="minorHAnsi" w:hAnsiTheme="minorHAnsi" w:cstheme="minorHAnsi"/>
                <w:sz w:val="18"/>
                <w:szCs w:val="18"/>
              </w:rPr>
            </w:pPr>
            <w:r w:rsidRPr="004E0953">
              <w:rPr>
                <w:rFonts w:asciiTheme="minorHAnsi" w:hAnsiTheme="minorHAnsi" w:cstheme="minorHAnsi"/>
                <w:sz w:val="18"/>
                <w:szCs w:val="18"/>
              </w:rPr>
              <w:t>34,722</w:t>
            </w:r>
          </w:p>
        </w:tc>
      </w:tr>
      <w:tr w:rsidR="00BE082B" w:rsidRPr="004E0953" w14:paraId="372D70D3" w14:textId="77777777" w:rsidTr="00612832">
        <w:tc>
          <w:tcPr>
            <w:tcW w:w="3880" w:type="pct"/>
            <w:gridSpan w:val="4"/>
          </w:tcPr>
          <w:p w14:paraId="61645782" w14:textId="77777777" w:rsidR="00601D9B" w:rsidRPr="000E53A0" w:rsidRDefault="000E53A0">
            <w:pPr>
              <w:spacing w:before="40" w:after="40"/>
              <w:jc w:val="right"/>
              <w:rPr>
                <w:rFonts w:asciiTheme="minorHAnsi" w:hAnsiTheme="minorHAnsi" w:cstheme="minorHAnsi"/>
                <w:b/>
                <w:bCs/>
                <w:sz w:val="18"/>
                <w:szCs w:val="18"/>
                <w:lang w:val="fr-FR"/>
              </w:rPr>
            </w:pPr>
            <w:r w:rsidRPr="000E53A0">
              <w:rPr>
                <w:rFonts w:asciiTheme="minorHAnsi" w:hAnsiTheme="minorHAnsi" w:cstheme="minorHAnsi"/>
                <w:b/>
                <w:bCs/>
                <w:sz w:val="18"/>
                <w:szCs w:val="18"/>
                <w:lang w:val="fr-FR"/>
              </w:rPr>
              <w:t>Cofinancement total du secteur public</w:t>
            </w:r>
          </w:p>
        </w:tc>
        <w:tc>
          <w:tcPr>
            <w:tcW w:w="1120" w:type="pct"/>
          </w:tcPr>
          <w:p w14:paraId="617DEE57" w14:textId="77777777" w:rsidR="00601D9B" w:rsidRDefault="000E53A0">
            <w:pPr>
              <w:spacing w:before="40" w:after="40"/>
              <w:jc w:val="right"/>
              <w:rPr>
                <w:rFonts w:asciiTheme="minorHAnsi" w:hAnsiTheme="minorHAnsi" w:cstheme="minorHAnsi"/>
                <w:b/>
                <w:bCs/>
                <w:sz w:val="18"/>
                <w:szCs w:val="18"/>
              </w:rPr>
            </w:pPr>
            <w:r w:rsidRPr="004E0953">
              <w:rPr>
                <w:rFonts w:asciiTheme="minorHAnsi" w:hAnsiTheme="minorHAnsi" w:cstheme="minorHAnsi"/>
                <w:b/>
                <w:bCs/>
                <w:sz w:val="18"/>
                <w:szCs w:val="18"/>
              </w:rPr>
              <w:t>950,454</w:t>
            </w:r>
          </w:p>
        </w:tc>
      </w:tr>
    </w:tbl>
    <w:p w14:paraId="654E13BC" w14:textId="77777777" w:rsidR="00BE082B" w:rsidRPr="006D0795" w:rsidRDefault="00BE082B" w:rsidP="00E55834">
      <w:pPr>
        <w:rPr>
          <w:rFonts w:asciiTheme="minorHAnsi" w:hAnsiTheme="minorHAnsi" w:cstheme="minorHAnsi"/>
          <w:szCs w:val="20"/>
        </w:rPr>
      </w:pPr>
    </w:p>
    <w:p w14:paraId="7F57FF44" w14:textId="77777777" w:rsidR="00601D9B" w:rsidRPr="000E53A0" w:rsidRDefault="000E53A0">
      <w:pPr>
        <w:jc w:val="both"/>
        <w:rPr>
          <w:rFonts w:asciiTheme="minorHAnsi" w:hAnsiTheme="minorHAnsi" w:cstheme="minorHAnsi"/>
          <w:sz w:val="20"/>
          <w:szCs w:val="20"/>
          <w:u w:val="single"/>
          <w:lang w:val="fr-FR"/>
        </w:rPr>
      </w:pPr>
      <w:r w:rsidRPr="000E53A0">
        <w:rPr>
          <w:rFonts w:asciiTheme="minorHAnsi" w:hAnsiTheme="minorHAnsi" w:cstheme="minorHAnsi"/>
          <w:sz w:val="20"/>
          <w:szCs w:val="20"/>
          <w:u w:val="single"/>
          <w:lang w:val="fr-FR"/>
        </w:rPr>
        <w:t>3) au scénario alternatif proposé avec une brève description des résultats attendus et des composantes du projet :</w:t>
      </w:r>
    </w:p>
    <w:p w14:paraId="6DE8CA16" w14:textId="77777777" w:rsidR="00601D9B" w:rsidRPr="000E53A0" w:rsidRDefault="000E53A0">
      <w:pPr>
        <w:jc w:val="both"/>
        <w:rPr>
          <w:rFonts w:asciiTheme="minorHAnsi" w:hAnsiTheme="minorHAnsi" w:cstheme="minorHAnsi"/>
          <w:sz w:val="20"/>
          <w:szCs w:val="20"/>
          <w:lang w:val="fr-FR"/>
        </w:rPr>
      </w:pPr>
      <w:r w:rsidRPr="000E53A0">
        <w:rPr>
          <w:rFonts w:asciiTheme="minorHAnsi" w:hAnsiTheme="minorHAnsi" w:cstheme="minorHAnsi"/>
          <w:sz w:val="20"/>
          <w:szCs w:val="20"/>
          <w:lang w:val="fr-FR"/>
        </w:rPr>
        <w:t xml:space="preserve">Comme présenté dans les TdC </w:t>
      </w:r>
      <w:r w:rsidR="009F25C4" w:rsidRPr="000E53A0">
        <w:rPr>
          <w:rFonts w:asciiTheme="minorHAnsi" w:hAnsiTheme="minorHAnsi" w:cstheme="minorHAnsi"/>
          <w:sz w:val="20"/>
          <w:szCs w:val="20"/>
          <w:lang w:val="fr-FR"/>
        </w:rPr>
        <w:t>ci-dessus, les composantes et les résultats spécifiques du projet sont :</w:t>
      </w:r>
    </w:p>
    <w:p w14:paraId="169DADE6" w14:textId="77777777" w:rsidR="00601D9B" w:rsidRPr="000E53A0" w:rsidRDefault="000E53A0">
      <w:pPr>
        <w:ind w:left="363"/>
        <w:jc w:val="both"/>
        <w:rPr>
          <w:rFonts w:asciiTheme="minorHAnsi" w:hAnsiTheme="minorHAnsi" w:cstheme="minorHAnsi"/>
          <w:color w:val="000000"/>
          <w:sz w:val="20"/>
          <w:szCs w:val="20"/>
          <w:lang w:val="fr-FR"/>
        </w:rPr>
      </w:pPr>
      <w:r w:rsidRPr="000E53A0">
        <w:rPr>
          <w:rFonts w:asciiTheme="minorHAnsi" w:hAnsiTheme="minorHAnsi" w:cstheme="minorHAnsi"/>
          <w:b/>
          <w:bCs/>
          <w:sz w:val="20"/>
          <w:szCs w:val="20"/>
          <w:lang w:val="fr-FR"/>
        </w:rPr>
        <w:t xml:space="preserve">- </w:t>
      </w:r>
      <w:r w:rsidRPr="000E53A0">
        <w:rPr>
          <w:rFonts w:asciiTheme="minorHAnsi" w:hAnsiTheme="minorHAnsi" w:cstheme="minorHAnsi"/>
          <w:b/>
          <w:bCs/>
          <w:color w:val="000000"/>
          <w:sz w:val="20"/>
          <w:szCs w:val="20"/>
          <w:lang w:val="fr-FR"/>
        </w:rPr>
        <w:t xml:space="preserve">Composante 1 : </w:t>
      </w:r>
      <w:r w:rsidRPr="000E53A0">
        <w:rPr>
          <w:rFonts w:asciiTheme="minorHAnsi" w:hAnsiTheme="minorHAnsi" w:cstheme="minorHAnsi"/>
          <w:b/>
          <w:bCs/>
          <w:sz w:val="20"/>
          <w:szCs w:val="20"/>
          <w:lang w:val="fr-FR"/>
        </w:rPr>
        <w:t>Renforcer la coordination et le suivi pour la neutralité de la dégradation des terres et la sécurité climatique.</w:t>
      </w:r>
    </w:p>
    <w:p w14:paraId="3A25066E" w14:textId="77777777" w:rsidR="00601D9B" w:rsidRPr="000E53A0" w:rsidRDefault="000E53A0">
      <w:pPr>
        <w:jc w:val="both"/>
        <w:rPr>
          <w:rFonts w:asciiTheme="minorHAnsi" w:hAnsiTheme="minorHAnsi" w:cstheme="minorHAnsi"/>
          <w:color w:val="000000"/>
          <w:sz w:val="20"/>
          <w:szCs w:val="20"/>
          <w:lang w:val="fr-FR"/>
        </w:rPr>
      </w:pPr>
      <w:r w:rsidRPr="000E53A0">
        <w:rPr>
          <w:rFonts w:asciiTheme="minorHAnsi" w:hAnsiTheme="minorHAnsi" w:cstheme="minorHAnsi"/>
          <w:i/>
          <w:iCs/>
          <w:sz w:val="20"/>
          <w:szCs w:val="20"/>
          <w:lang w:val="fr-FR"/>
        </w:rPr>
        <w:t xml:space="preserve">Résultat 1 : </w:t>
      </w:r>
      <w:r w:rsidRPr="000E53A0">
        <w:rPr>
          <w:rFonts w:asciiTheme="minorHAnsi" w:hAnsiTheme="minorHAnsi" w:cstheme="minorHAnsi"/>
          <w:color w:val="000000"/>
          <w:sz w:val="20"/>
          <w:szCs w:val="20"/>
          <w:lang w:val="fr-FR"/>
        </w:rPr>
        <w:t xml:space="preserve">la capacité de </w:t>
      </w:r>
      <w:r w:rsidRPr="000E53A0">
        <w:rPr>
          <w:rFonts w:asciiTheme="minorHAnsi" w:hAnsiTheme="minorHAnsi" w:cstheme="minorHAnsi"/>
          <w:color w:val="000000" w:themeColor="text1"/>
          <w:sz w:val="20"/>
          <w:szCs w:val="20"/>
          <w:lang w:val="fr-FR"/>
        </w:rPr>
        <w:t xml:space="preserve">coordination et de suivi au niveau national </w:t>
      </w:r>
      <w:r w:rsidRPr="000E53A0">
        <w:rPr>
          <w:rFonts w:asciiTheme="minorHAnsi" w:hAnsiTheme="minorHAnsi" w:cstheme="minorHAnsi"/>
          <w:color w:val="000000"/>
          <w:sz w:val="20"/>
          <w:szCs w:val="20"/>
          <w:lang w:val="fr-FR"/>
        </w:rPr>
        <w:t>est améliorée</w:t>
      </w:r>
      <w:r w:rsidRPr="000E53A0">
        <w:rPr>
          <w:rFonts w:asciiTheme="minorHAnsi" w:hAnsiTheme="minorHAnsi" w:cstheme="minorHAnsi"/>
          <w:color w:val="000000" w:themeColor="text1"/>
          <w:sz w:val="20"/>
          <w:szCs w:val="20"/>
          <w:lang w:val="fr-FR"/>
        </w:rPr>
        <w:t xml:space="preserve">, afin d'atteindre les objectifs de neutralité en matière de dégradation des sols et de s'adapter au changement climatique. </w:t>
      </w:r>
    </w:p>
    <w:p w14:paraId="39747471" w14:textId="77777777" w:rsidR="00601D9B" w:rsidRPr="000E53A0" w:rsidRDefault="000E53A0">
      <w:pPr>
        <w:pStyle w:val="GEFQuestion"/>
        <w:shd w:val="clear" w:color="auto" w:fill="FFFFFF"/>
        <w:spacing w:before="120"/>
        <w:ind w:left="363"/>
        <w:jc w:val="both"/>
        <w:rPr>
          <w:rFonts w:asciiTheme="minorHAnsi" w:hAnsiTheme="minorHAnsi" w:cstheme="minorHAnsi"/>
          <w:color w:val="000000"/>
          <w:sz w:val="20"/>
          <w:szCs w:val="20"/>
          <w:lang w:val="fr-FR"/>
        </w:rPr>
      </w:pPr>
      <w:r w:rsidRPr="000E53A0">
        <w:rPr>
          <w:rFonts w:asciiTheme="minorHAnsi" w:hAnsiTheme="minorHAnsi" w:cstheme="minorHAnsi"/>
          <w:b/>
          <w:bCs/>
          <w:color w:val="000000"/>
          <w:sz w:val="20"/>
          <w:szCs w:val="20"/>
          <w:lang w:val="fr-FR"/>
        </w:rPr>
        <w:t>- Composante 2 : Renforcer la résilience des paysages de production dégradés avec des communautés vulnérables au changement climatique</w:t>
      </w:r>
      <w:r w:rsidRPr="000E53A0">
        <w:rPr>
          <w:rFonts w:asciiTheme="minorHAnsi" w:hAnsiTheme="minorHAnsi" w:cstheme="minorHAnsi"/>
          <w:color w:val="000000"/>
          <w:sz w:val="20"/>
          <w:szCs w:val="20"/>
          <w:lang w:val="fr-FR"/>
        </w:rPr>
        <w:t xml:space="preserve">. </w:t>
      </w:r>
    </w:p>
    <w:p w14:paraId="43A3DBA8" w14:textId="77777777" w:rsidR="00601D9B" w:rsidRPr="000E53A0" w:rsidRDefault="000E53A0">
      <w:pPr>
        <w:pStyle w:val="GEFQuestion"/>
        <w:shd w:val="clear" w:color="auto" w:fill="FFFFFF"/>
        <w:spacing w:before="120"/>
        <w:ind w:left="0"/>
        <w:jc w:val="both"/>
        <w:rPr>
          <w:rFonts w:asciiTheme="minorHAnsi" w:hAnsiTheme="minorHAnsi" w:cstheme="minorHAnsi"/>
          <w:color w:val="000000"/>
          <w:sz w:val="20"/>
          <w:szCs w:val="20"/>
          <w:lang w:val="fr-FR"/>
        </w:rPr>
      </w:pPr>
      <w:r w:rsidRPr="000E53A0">
        <w:rPr>
          <w:rFonts w:asciiTheme="minorHAnsi" w:hAnsiTheme="minorHAnsi" w:cstheme="minorHAnsi"/>
          <w:i/>
          <w:iCs/>
          <w:sz w:val="20"/>
          <w:szCs w:val="20"/>
          <w:lang w:val="fr-FR"/>
        </w:rPr>
        <w:t xml:space="preserve">Résultat 2 : </w:t>
      </w:r>
      <w:r w:rsidRPr="000E53A0">
        <w:rPr>
          <w:rFonts w:asciiTheme="minorHAnsi" w:hAnsiTheme="minorHAnsi" w:cstheme="minorHAnsi"/>
          <w:sz w:val="20"/>
          <w:szCs w:val="20"/>
          <w:lang w:val="fr-FR"/>
        </w:rPr>
        <w:t>La productivité est restaurée et les rendements sont augmentés dans les paysages vulnérables de pâturage, d'agriculture et de pêche grâce à une gestion communautaire efficace dans trois paysages cibles des régions centrales du Mali</w:t>
      </w:r>
      <w:r w:rsidRPr="000E53A0">
        <w:rPr>
          <w:rFonts w:asciiTheme="minorHAnsi" w:hAnsiTheme="minorHAnsi" w:cstheme="minorHAnsi"/>
          <w:color w:val="000000"/>
          <w:sz w:val="20"/>
          <w:szCs w:val="20"/>
          <w:lang w:val="fr-FR"/>
        </w:rPr>
        <w:t xml:space="preserve">. </w:t>
      </w:r>
    </w:p>
    <w:p w14:paraId="002E9640" w14:textId="77777777" w:rsidR="00601D9B" w:rsidRPr="000E53A0" w:rsidRDefault="000E53A0">
      <w:pPr>
        <w:pStyle w:val="GEFQuestion"/>
        <w:shd w:val="clear" w:color="auto" w:fill="FFFFFF"/>
        <w:spacing w:before="120" w:line="276" w:lineRule="auto"/>
        <w:ind w:left="363"/>
        <w:jc w:val="both"/>
        <w:rPr>
          <w:rFonts w:asciiTheme="minorHAnsi" w:hAnsiTheme="minorHAnsi" w:cstheme="minorHAnsi"/>
          <w:color w:val="000000"/>
          <w:sz w:val="20"/>
          <w:szCs w:val="20"/>
          <w:lang w:val="fr-FR"/>
        </w:rPr>
      </w:pPr>
      <w:r w:rsidRPr="000E53A0">
        <w:rPr>
          <w:rFonts w:asciiTheme="minorHAnsi" w:hAnsiTheme="minorHAnsi" w:cstheme="minorHAnsi"/>
          <w:b/>
          <w:bCs/>
          <w:color w:val="000000"/>
          <w:sz w:val="20"/>
          <w:szCs w:val="20"/>
          <w:lang w:val="fr-FR"/>
        </w:rPr>
        <w:t xml:space="preserve">- Composante 3 : aider les exploitations familiales, les jeunes et les femmes à innover et à adopter des moyens de subsistance résilients et durables. </w:t>
      </w:r>
    </w:p>
    <w:p w14:paraId="1646BD0A" w14:textId="77777777" w:rsidR="00601D9B" w:rsidRPr="000E53A0" w:rsidRDefault="000E53A0">
      <w:pPr>
        <w:pStyle w:val="GEFQuestion"/>
        <w:shd w:val="clear" w:color="auto" w:fill="FFFFFF"/>
        <w:spacing w:before="120" w:line="276" w:lineRule="auto"/>
        <w:ind w:left="0"/>
        <w:jc w:val="both"/>
        <w:rPr>
          <w:rFonts w:asciiTheme="minorHAnsi" w:hAnsiTheme="minorHAnsi" w:cstheme="minorHAnsi"/>
          <w:color w:val="000000"/>
          <w:sz w:val="20"/>
          <w:szCs w:val="20"/>
          <w:lang w:val="fr-FR"/>
        </w:rPr>
      </w:pPr>
      <w:r w:rsidRPr="000E53A0">
        <w:rPr>
          <w:rFonts w:asciiTheme="minorHAnsi" w:hAnsiTheme="minorHAnsi" w:cstheme="minorHAnsi"/>
          <w:i/>
          <w:iCs/>
          <w:sz w:val="20"/>
          <w:szCs w:val="20"/>
          <w:lang w:val="fr-FR"/>
        </w:rPr>
        <w:t xml:space="preserve">Résultat 3 : les </w:t>
      </w:r>
      <w:r w:rsidRPr="000E53A0">
        <w:rPr>
          <w:rFonts w:asciiTheme="minorHAnsi" w:hAnsiTheme="minorHAnsi" w:cstheme="minorHAnsi"/>
          <w:sz w:val="20"/>
          <w:szCs w:val="20"/>
          <w:lang w:val="fr-FR"/>
        </w:rPr>
        <w:t>ménages ruraux et les organisations communautaires renforcent leur résilience face aux conflits et au changement climatique en relançant et en diversifiant les activités productives et les entreprises qui répartissent les risques pour les ménages, tout en fournissant des intrants pour une agriculture intelligente face au climat ou en ajoutant de la valeur aux produits agricoles intelligents face au climat.</w:t>
      </w:r>
    </w:p>
    <w:p w14:paraId="32CEED6B" w14:textId="77777777" w:rsidR="00601D9B" w:rsidRPr="000E53A0" w:rsidRDefault="000E53A0">
      <w:pPr>
        <w:pStyle w:val="GEFQuestion"/>
        <w:shd w:val="clear" w:color="auto" w:fill="FFFFFF"/>
        <w:ind w:left="363"/>
        <w:jc w:val="both"/>
        <w:rPr>
          <w:rFonts w:asciiTheme="minorHAnsi" w:hAnsiTheme="minorHAnsi" w:cstheme="minorHAnsi"/>
          <w:color w:val="000000"/>
          <w:sz w:val="20"/>
          <w:szCs w:val="20"/>
          <w:lang w:val="fr-FR"/>
        </w:rPr>
      </w:pPr>
      <w:r w:rsidRPr="000E53A0">
        <w:rPr>
          <w:rFonts w:asciiTheme="minorHAnsi" w:hAnsiTheme="minorHAnsi" w:cstheme="minorHAnsi"/>
          <w:b/>
          <w:bCs/>
          <w:color w:val="000000"/>
          <w:sz w:val="20"/>
          <w:szCs w:val="20"/>
          <w:lang w:val="fr-FR"/>
        </w:rPr>
        <w:t xml:space="preserve">- Composante 4 : Suivi et évaluation et gestion des connaissances pour la mise à l'échelle. </w:t>
      </w:r>
    </w:p>
    <w:p w14:paraId="47770056" w14:textId="77777777" w:rsidR="00601D9B" w:rsidRPr="000E53A0" w:rsidRDefault="000E53A0">
      <w:pPr>
        <w:jc w:val="both"/>
        <w:rPr>
          <w:rFonts w:asciiTheme="minorHAnsi" w:hAnsiTheme="minorHAnsi" w:cstheme="minorHAnsi"/>
          <w:sz w:val="20"/>
          <w:szCs w:val="20"/>
          <w:lang w:val="fr-FR"/>
        </w:rPr>
      </w:pPr>
      <w:r w:rsidRPr="000E53A0">
        <w:rPr>
          <w:rFonts w:asciiTheme="minorHAnsi" w:hAnsiTheme="minorHAnsi" w:cstheme="minorHAnsi"/>
          <w:i/>
          <w:iCs/>
          <w:sz w:val="20"/>
          <w:szCs w:val="20"/>
          <w:lang w:val="fr-FR"/>
        </w:rPr>
        <w:t xml:space="preserve">Résultat 4 : </w:t>
      </w:r>
      <w:r w:rsidRPr="000E53A0">
        <w:rPr>
          <w:rFonts w:asciiTheme="minorHAnsi" w:hAnsiTheme="minorHAnsi" w:cstheme="minorHAnsi"/>
          <w:color w:val="000000"/>
          <w:sz w:val="20"/>
          <w:szCs w:val="20"/>
          <w:lang w:val="fr-FR"/>
        </w:rPr>
        <w:t>Les impacts du projet sont suivis et l'apprentissage est partagé pour la mise à l'échelle des résultats dans les régions du Sahel du Mali, et au-delà.</w:t>
      </w:r>
    </w:p>
    <w:p w14:paraId="3B54C6D3" w14:textId="77777777" w:rsidR="009F25C4" w:rsidRPr="000E53A0" w:rsidRDefault="009F25C4" w:rsidP="004E0953">
      <w:pPr>
        <w:jc w:val="both"/>
        <w:rPr>
          <w:rFonts w:asciiTheme="minorHAnsi" w:hAnsiTheme="minorHAnsi" w:cstheme="minorHAnsi"/>
          <w:sz w:val="20"/>
          <w:szCs w:val="20"/>
          <w:u w:val="single"/>
          <w:lang w:val="fr-FR"/>
        </w:rPr>
      </w:pPr>
    </w:p>
    <w:p w14:paraId="3E5C4F7D" w14:textId="77777777" w:rsidR="00601D9B" w:rsidRPr="000E53A0" w:rsidRDefault="000E53A0">
      <w:pPr>
        <w:jc w:val="both"/>
        <w:rPr>
          <w:rFonts w:asciiTheme="minorHAnsi" w:hAnsiTheme="minorHAnsi" w:cstheme="minorHAnsi"/>
          <w:sz w:val="20"/>
          <w:szCs w:val="20"/>
          <w:u w:val="single"/>
          <w:lang w:val="fr-FR"/>
        </w:rPr>
      </w:pPr>
      <w:r w:rsidRPr="000E53A0">
        <w:rPr>
          <w:rFonts w:asciiTheme="minorHAnsi" w:hAnsiTheme="minorHAnsi" w:cstheme="minorHAnsi"/>
          <w:sz w:val="20"/>
          <w:szCs w:val="20"/>
          <w:u w:val="single"/>
          <w:lang w:val="fr-FR"/>
        </w:rPr>
        <w:t>4) à l'alignement sur les stratégies du domaine focal et/ou du programme d'impact du FEM :</w:t>
      </w:r>
    </w:p>
    <w:p w14:paraId="76624925" w14:textId="77777777" w:rsidR="00601D9B" w:rsidRPr="000E53A0" w:rsidRDefault="000E53A0">
      <w:pPr>
        <w:pStyle w:val="GEFQuestion"/>
        <w:shd w:val="clear" w:color="auto" w:fill="FFFFFF"/>
        <w:spacing w:after="120"/>
        <w:ind w:left="0"/>
        <w:jc w:val="both"/>
        <w:rPr>
          <w:rFonts w:asciiTheme="minorHAnsi" w:hAnsiTheme="minorHAnsi" w:cstheme="minorHAnsi"/>
          <w:color w:val="000000" w:themeColor="text1"/>
          <w:sz w:val="20"/>
          <w:szCs w:val="20"/>
          <w:lang w:val="fr-FR"/>
        </w:rPr>
      </w:pPr>
      <w:r w:rsidRPr="000E53A0">
        <w:rPr>
          <w:rFonts w:asciiTheme="minorHAnsi" w:hAnsiTheme="minorHAnsi" w:cstheme="minorHAnsi"/>
          <w:color w:val="000000" w:themeColor="text1"/>
          <w:sz w:val="20"/>
          <w:szCs w:val="20"/>
          <w:lang w:val="fr-FR"/>
        </w:rPr>
        <w:t xml:space="preserve">Il s'agit d'un projet multi-fonds fiduciaires, tel qu'envisagé dans la Stratégie de programmation du FEM-7, sous l'objectif " </w:t>
      </w:r>
      <w:r w:rsidRPr="000E53A0">
        <w:rPr>
          <w:rFonts w:asciiTheme="minorHAnsi" w:hAnsiTheme="minorHAnsi" w:cstheme="minorHAnsi"/>
          <w:i/>
          <w:iCs/>
          <w:color w:val="000000" w:themeColor="text1"/>
          <w:sz w:val="20"/>
          <w:szCs w:val="20"/>
          <w:lang w:val="fr-FR"/>
        </w:rPr>
        <w:t xml:space="preserve">Intégrer l'adaptation à travers les thèmes du FEM ", dans lequel </w:t>
      </w:r>
      <w:r w:rsidRPr="000E53A0">
        <w:rPr>
          <w:rFonts w:asciiTheme="minorHAnsi" w:hAnsiTheme="minorHAnsi" w:cstheme="minorHAnsi"/>
          <w:color w:val="000000" w:themeColor="text1"/>
          <w:sz w:val="20"/>
          <w:szCs w:val="20"/>
          <w:lang w:val="fr-FR"/>
        </w:rPr>
        <w:t xml:space="preserve">le gouvernement du Mali programme </w:t>
      </w:r>
      <w:r w:rsidRPr="000E53A0">
        <w:rPr>
          <w:rFonts w:asciiTheme="minorHAnsi" w:hAnsiTheme="minorHAnsi" w:cstheme="minorHAnsi"/>
          <w:color w:val="000000" w:themeColor="text1"/>
          <w:sz w:val="20"/>
          <w:szCs w:val="20"/>
          <w:lang w:val="fr-FR"/>
        </w:rPr>
        <w:lastRenderedPageBreak/>
        <w:t xml:space="preserve">conjointement une subvention du FPMA en synergie avec une partie de l'allocation du fonds fiduciaire STAR du FEM du pays dans le domaine d'intervention de la dégradation des terres. Le projet proposé vise à générer des avantages en termes d'adaptation et d'effets bénéfiques pour l'environnement, en tirant parti du mandat unique du FEM, qui est de servir plusieurs AME, et en répondant aux récentes directives de la COP visant à promouvoir les synergies entre les domaines d'intervention. Le projet de fonds multi-dépôts proposé est également aligné sur l'initiative de la Grande Muraille Verte à l'échelle du Sahel, favorisant les synergies et les impacts régionaux. </w:t>
      </w:r>
    </w:p>
    <w:p w14:paraId="339D0F5F" w14:textId="77777777" w:rsidR="00601D9B" w:rsidRPr="000E53A0" w:rsidRDefault="000E53A0">
      <w:pPr>
        <w:pStyle w:val="GEFQuestion"/>
        <w:shd w:val="clear" w:color="auto" w:fill="FFFFFF"/>
        <w:spacing w:after="120"/>
        <w:ind w:left="0"/>
        <w:jc w:val="both"/>
        <w:rPr>
          <w:rFonts w:asciiTheme="minorHAnsi" w:hAnsiTheme="minorHAnsi" w:cstheme="minorHAnsi"/>
          <w:color w:val="000000" w:themeColor="text1"/>
          <w:sz w:val="20"/>
          <w:szCs w:val="20"/>
          <w:lang w:val="fr-FR"/>
        </w:rPr>
      </w:pPr>
      <w:bookmarkStart w:id="30" w:name="_Hlk54721521"/>
      <w:r w:rsidRPr="000E53A0">
        <w:rPr>
          <w:rFonts w:asciiTheme="minorHAnsi" w:hAnsiTheme="minorHAnsi" w:cstheme="minorHAnsi"/>
          <w:color w:val="000000" w:themeColor="text1"/>
          <w:sz w:val="20"/>
          <w:szCs w:val="20"/>
          <w:lang w:val="fr-FR"/>
        </w:rPr>
        <w:t xml:space="preserve">Le projet répond directement à l'objectif de la stratégie du domaine d'intervention "dégradation des terres" du Fonds fiduciaire du FEM : </w:t>
      </w:r>
    </w:p>
    <w:p w14:paraId="2B637DF7" w14:textId="77777777" w:rsidR="00601D9B" w:rsidRPr="000E53A0" w:rsidRDefault="000E53A0">
      <w:pPr>
        <w:pStyle w:val="GEFQuestion"/>
        <w:numPr>
          <w:ilvl w:val="0"/>
          <w:numId w:val="66"/>
        </w:numPr>
        <w:shd w:val="clear" w:color="auto" w:fill="FFFFFF"/>
        <w:spacing w:after="120"/>
        <w:jc w:val="both"/>
        <w:rPr>
          <w:rFonts w:asciiTheme="minorHAnsi" w:hAnsiTheme="minorHAnsi" w:cstheme="minorHAnsi"/>
          <w:color w:val="000000" w:themeColor="text1"/>
          <w:sz w:val="20"/>
          <w:szCs w:val="20"/>
          <w:lang w:val="fr-FR"/>
        </w:rPr>
      </w:pPr>
      <w:r w:rsidRPr="000E53A0">
        <w:rPr>
          <w:rFonts w:asciiTheme="minorHAnsi" w:hAnsiTheme="minorHAnsi" w:cstheme="minorHAnsi"/>
          <w:i/>
          <w:iCs/>
          <w:color w:val="000000" w:themeColor="text1"/>
          <w:sz w:val="20"/>
          <w:szCs w:val="20"/>
          <w:lang w:val="fr-FR"/>
        </w:rPr>
        <w:t>Objectif 1.1 Maintenir ou améliorer le flux des services agro-écosystémiques pour soutenir la production alimentaire et les moyens de subsistance grâce à la gestion durable des terres (SLM)</w:t>
      </w:r>
      <w:r w:rsidRPr="000E53A0">
        <w:rPr>
          <w:rFonts w:asciiTheme="minorHAnsi" w:hAnsiTheme="minorHAnsi" w:cstheme="minorHAnsi"/>
          <w:color w:val="000000" w:themeColor="text1"/>
          <w:sz w:val="20"/>
          <w:szCs w:val="20"/>
          <w:lang w:val="fr-FR"/>
        </w:rPr>
        <w:t xml:space="preserve">. Dans le cadre des activités de la composante 2, le projet soutiendra directement les services agro-écosystémiques par une meilleure GDT, comme le reverdissement des terres agricoles (résultat 2.2) ainsi que les travaux de restauration communale des prairies/arbustes et des zones humides (résultat 2.4), participant à la réalisation du LD-1-1 ; </w:t>
      </w:r>
    </w:p>
    <w:p w14:paraId="22E42707" w14:textId="77777777" w:rsidR="00601D9B" w:rsidRPr="000E53A0" w:rsidRDefault="000E53A0">
      <w:pPr>
        <w:pStyle w:val="GEFQuestion"/>
        <w:numPr>
          <w:ilvl w:val="0"/>
          <w:numId w:val="66"/>
        </w:numPr>
        <w:shd w:val="clear" w:color="auto" w:fill="FFFFFF"/>
        <w:spacing w:after="120"/>
        <w:jc w:val="both"/>
        <w:rPr>
          <w:rFonts w:asciiTheme="minorHAnsi" w:hAnsiTheme="minorHAnsi" w:cstheme="minorHAnsi"/>
          <w:color w:val="000000" w:themeColor="text1"/>
          <w:sz w:val="20"/>
          <w:szCs w:val="20"/>
          <w:lang w:val="fr-FR"/>
        </w:rPr>
      </w:pPr>
      <w:r w:rsidRPr="000E53A0">
        <w:rPr>
          <w:rFonts w:asciiTheme="minorHAnsi" w:hAnsiTheme="minorHAnsi" w:cstheme="minorHAnsi"/>
          <w:i/>
          <w:iCs/>
          <w:color w:val="000000" w:themeColor="text1"/>
          <w:sz w:val="20"/>
          <w:szCs w:val="20"/>
          <w:lang w:val="fr-FR"/>
        </w:rPr>
        <w:t xml:space="preserve">Objectif 1.4 : Réduire les pressions exercées sur les ressources naturelles par des utilisations concurrentes des terres et accroître la résilience dans le paysage au sens large. </w:t>
      </w:r>
      <w:r w:rsidRPr="000E53A0">
        <w:rPr>
          <w:rFonts w:asciiTheme="minorHAnsi" w:hAnsiTheme="minorHAnsi" w:cstheme="minorHAnsi"/>
          <w:color w:val="000000" w:themeColor="text1"/>
          <w:sz w:val="20"/>
          <w:szCs w:val="20"/>
          <w:lang w:val="fr-FR"/>
        </w:rPr>
        <w:t xml:space="preserve">Grâce à l'amélioration de la gestion des ressources naturelles par la mise en place de comités communautaires (résultat 2.1), ainsi qu'aux activités de renforcement des capacités pour diffuser l'adoption de pratiques agricoles améliorées, moins gourmandes en ressources ou moins nocives pour l'écosystème (composantes 2, 3 et 4), le projet soutiendra la réalisation du LD-1-4. </w:t>
      </w:r>
    </w:p>
    <w:p w14:paraId="25B9F729" w14:textId="77777777" w:rsidR="00601D9B" w:rsidRPr="000E53A0" w:rsidRDefault="000E53A0">
      <w:pPr>
        <w:pStyle w:val="GEFQuestion"/>
        <w:numPr>
          <w:ilvl w:val="0"/>
          <w:numId w:val="66"/>
        </w:numPr>
        <w:shd w:val="clear" w:color="auto" w:fill="FFFFFF"/>
        <w:spacing w:after="120"/>
        <w:jc w:val="both"/>
        <w:rPr>
          <w:rFonts w:asciiTheme="minorHAnsi" w:hAnsiTheme="minorHAnsi" w:cstheme="minorHAnsi"/>
          <w:color w:val="000000" w:themeColor="text1"/>
          <w:sz w:val="20"/>
          <w:szCs w:val="20"/>
          <w:lang w:val="fr-FR"/>
        </w:rPr>
      </w:pPr>
      <w:r w:rsidRPr="000E53A0">
        <w:rPr>
          <w:rFonts w:asciiTheme="minorHAnsi" w:hAnsiTheme="minorHAnsi" w:cstheme="minorHAnsi"/>
          <w:i/>
          <w:iCs/>
          <w:color w:val="000000" w:themeColor="text1"/>
          <w:sz w:val="20"/>
          <w:szCs w:val="20"/>
          <w:lang w:val="fr-FR"/>
        </w:rPr>
        <w:t xml:space="preserve">Objectif 2.5 : Créer des environnements favorables pour soutenir la mise à l'échelle et l'intégration de la GDT et du RLD </w:t>
      </w:r>
      <w:r w:rsidRPr="000E53A0">
        <w:rPr>
          <w:rFonts w:asciiTheme="minorHAnsi" w:hAnsiTheme="minorHAnsi" w:cstheme="minorHAnsi"/>
          <w:color w:val="000000" w:themeColor="text1"/>
          <w:sz w:val="20"/>
          <w:szCs w:val="20"/>
          <w:lang w:val="fr-FR"/>
        </w:rPr>
        <w:t>dans la stratégie du domaine focal du RLD</w:t>
      </w:r>
      <w:r w:rsidRPr="000E53A0">
        <w:rPr>
          <w:rFonts w:asciiTheme="minorHAnsi" w:hAnsiTheme="minorHAnsi" w:cstheme="minorHAnsi"/>
          <w:i/>
          <w:iCs/>
          <w:color w:val="000000" w:themeColor="text1"/>
          <w:sz w:val="20"/>
          <w:szCs w:val="20"/>
          <w:lang w:val="fr-FR"/>
        </w:rPr>
        <w:t xml:space="preserve">. </w:t>
      </w:r>
      <w:r w:rsidRPr="000E53A0">
        <w:rPr>
          <w:rFonts w:asciiTheme="minorHAnsi" w:hAnsiTheme="minorHAnsi" w:cstheme="minorHAnsi"/>
          <w:color w:val="161614"/>
          <w:sz w:val="20"/>
          <w:szCs w:val="20"/>
          <w:lang w:val="fr-FR"/>
        </w:rPr>
        <w:t>Comme le montrent les directives du STAP sur le LDN, l'objectif du LDN est de maintenir ou d'augmenter la quantité de terres saines et productives</w:t>
      </w:r>
      <w:r w:rsidRPr="004E0953">
        <w:rPr>
          <w:rStyle w:val="Appelnotedebasdep"/>
          <w:rFonts w:asciiTheme="minorHAnsi" w:hAnsiTheme="minorHAnsi" w:cstheme="minorHAnsi"/>
          <w:sz w:val="20"/>
          <w:szCs w:val="20"/>
        </w:rPr>
        <w:footnoteReference w:id="68"/>
      </w:r>
      <w:r w:rsidRPr="000E53A0">
        <w:rPr>
          <w:rFonts w:asciiTheme="minorHAnsi" w:hAnsiTheme="minorHAnsi" w:cstheme="minorHAnsi"/>
          <w:color w:val="161614"/>
          <w:sz w:val="20"/>
          <w:szCs w:val="20"/>
          <w:lang w:val="fr-FR"/>
        </w:rPr>
        <w:t xml:space="preserve">. </w:t>
      </w:r>
      <w:r w:rsidRPr="000E53A0">
        <w:rPr>
          <w:rFonts w:asciiTheme="minorHAnsi" w:hAnsiTheme="minorHAnsi" w:cstheme="minorHAnsi"/>
          <w:color w:val="000000" w:themeColor="text1"/>
          <w:sz w:val="20"/>
          <w:szCs w:val="20"/>
          <w:lang w:val="fr-FR"/>
        </w:rPr>
        <w:t xml:space="preserve">Le projet vise à créer un environnement favorable à cet effet - en se concentrant sur la coordination intra-gouvernementale pour la mise en œuvre des AME et la surveillance spatiale, la gouvernance des ressources naturelles au niveau local, et les interventions systémiques pour réduire la dégradation et la désertification, et restaurer la productivité des écosystèmes (terre, eau, pâturage) (LD-2-5). </w:t>
      </w:r>
    </w:p>
    <w:bookmarkEnd w:id="30"/>
    <w:p w14:paraId="6A4B9B89" w14:textId="77777777" w:rsidR="00601D9B" w:rsidRPr="000E53A0" w:rsidRDefault="000E53A0">
      <w:pPr>
        <w:pStyle w:val="GEFQuestion"/>
        <w:shd w:val="clear" w:color="auto" w:fill="FFFFFF"/>
        <w:spacing w:after="120"/>
        <w:ind w:left="0"/>
        <w:jc w:val="both"/>
        <w:rPr>
          <w:rFonts w:asciiTheme="minorHAnsi" w:hAnsiTheme="minorHAnsi" w:cstheme="minorHAnsi"/>
          <w:color w:val="000000" w:themeColor="text1"/>
          <w:sz w:val="20"/>
          <w:szCs w:val="20"/>
          <w:lang w:val="fr-FR"/>
        </w:rPr>
      </w:pPr>
      <w:r w:rsidRPr="000E53A0">
        <w:rPr>
          <w:rFonts w:asciiTheme="minorHAnsi" w:hAnsiTheme="minorHAnsi" w:cstheme="minorHAnsi"/>
          <w:color w:val="000000" w:themeColor="text1"/>
          <w:sz w:val="20"/>
          <w:szCs w:val="20"/>
          <w:lang w:val="fr-FR"/>
        </w:rPr>
        <w:t xml:space="preserve">Dans cette région semi-aride du Sahel, les stratégies systémiques visant à atteindre la neutralité de la dégradation des terres (GEFTF), sont efficacement complétées par des stratégies d'adaptation spécifiques pour renforcer la résilience des communautés d'agriculteurs, d'éleveurs et de pêcheurs face à la variabilité climatique accrue et au changement à long terme des moyens climatiques (LDCF). Le projet est aligné sur le LDCF-1 </w:t>
      </w:r>
      <w:r w:rsidRPr="000E53A0">
        <w:rPr>
          <w:rFonts w:asciiTheme="minorHAnsi" w:hAnsiTheme="minorHAnsi" w:cstheme="minorHAnsi"/>
          <w:i/>
          <w:iCs/>
          <w:color w:val="000000" w:themeColor="text1"/>
          <w:sz w:val="20"/>
          <w:szCs w:val="20"/>
          <w:lang w:val="fr-FR"/>
        </w:rPr>
        <w:t xml:space="preserve">Réduire la vulnérabilité et accroître la résilience par l'innovation et le transfert de technologie pour l'adaptation au changement climatique, </w:t>
      </w:r>
      <w:r w:rsidRPr="000E53A0">
        <w:rPr>
          <w:rFonts w:asciiTheme="minorHAnsi" w:hAnsiTheme="minorHAnsi" w:cstheme="minorHAnsi"/>
          <w:color w:val="000000" w:themeColor="text1"/>
          <w:sz w:val="20"/>
          <w:szCs w:val="20"/>
          <w:lang w:val="fr-FR"/>
        </w:rPr>
        <w:t xml:space="preserve">et comprend un accent sur l'évaluation de la vulnérabilité climatique, l'adaptation de l'agriculture par l'innovation et les meilleures pratiques, et la diversification des moyens de subsistance adaptés au climat. </w:t>
      </w:r>
    </w:p>
    <w:p w14:paraId="719AC716" w14:textId="77777777" w:rsidR="009F25C4" w:rsidRPr="000E53A0" w:rsidRDefault="009F25C4" w:rsidP="004E0953">
      <w:pPr>
        <w:jc w:val="both"/>
        <w:rPr>
          <w:rFonts w:asciiTheme="minorHAnsi" w:hAnsiTheme="minorHAnsi" w:cstheme="minorHAnsi"/>
          <w:sz w:val="20"/>
          <w:szCs w:val="20"/>
          <w:u w:val="single"/>
          <w:lang w:val="fr-FR"/>
        </w:rPr>
      </w:pPr>
    </w:p>
    <w:p w14:paraId="59D47B8B" w14:textId="77777777" w:rsidR="00601D9B" w:rsidRPr="000E53A0" w:rsidRDefault="000E53A0">
      <w:pPr>
        <w:jc w:val="both"/>
        <w:rPr>
          <w:rFonts w:asciiTheme="minorHAnsi" w:hAnsiTheme="minorHAnsi" w:cstheme="minorHAnsi"/>
          <w:sz w:val="20"/>
          <w:szCs w:val="20"/>
          <w:u w:val="single"/>
          <w:lang w:val="fr-FR"/>
        </w:rPr>
      </w:pPr>
      <w:r w:rsidRPr="000E53A0">
        <w:rPr>
          <w:rFonts w:asciiTheme="minorHAnsi" w:hAnsiTheme="minorHAnsi" w:cstheme="minorHAnsi"/>
          <w:sz w:val="20"/>
          <w:szCs w:val="20"/>
          <w:u w:val="single"/>
          <w:lang w:val="fr-FR"/>
        </w:rPr>
        <w:t>5)</w:t>
      </w:r>
      <w:commentRangeStart w:id="31"/>
      <w:r w:rsidRPr="000E53A0">
        <w:rPr>
          <w:rFonts w:asciiTheme="minorHAnsi" w:hAnsiTheme="minorHAnsi" w:cstheme="minorHAnsi"/>
          <w:sz w:val="20"/>
          <w:szCs w:val="20"/>
          <w:u w:val="single"/>
          <w:lang w:val="fr-FR"/>
        </w:rPr>
        <w:t xml:space="preserve"> au raisonnement du coût incrémental/additionnel et aux contributions attendues de la base de référence, du GEFTF, du LDCF et du cofinancement : </w:t>
      </w:r>
      <w:commentRangeEnd w:id="31"/>
      <w:r w:rsidRPr="004E0953">
        <w:rPr>
          <w:rStyle w:val="Marquedecommentaire"/>
          <w:rFonts w:asciiTheme="minorHAnsi" w:hAnsiTheme="minorHAnsi" w:cstheme="minorHAnsi"/>
          <w:sz w:val="20"/>
          <w:szCs w:val="20"/>
        </w:rPr>
        <w:commentReference w:id="31"/>
      </w:r>
    </w:p>
    <w:p w14:paraId="47947AB5" w14:textId="77777777" w:rsidR="009F25C4" w:rsidRPr="000E53A0" w:rsidRDefault="009F25C4" w:rsidP="004E0953">
      <w:pPr>
        <w:jc w:val="both"/>
        <w:rPr>
          <w:rFonts w:asciiTheme="minorHAnsi" w:hAnsiTheme="minorHAnsi" w:cstheme="minorHAnsi"/>
          <w:sz w:val="20"/>
          <w:szCs w:val="20"/>
          <w:u w:val="single"/>
          <w:lang w:val="fr-FR"/>
        </w:rPr>
      </w:pPr>
    </w:p>
    <w:p w14:paraId="26344B38" w14:textId="77777777" w:rsidR="009F25C4" w:rsidRPr="000E53A0" w:rsidRDefault="009F25C4" w:rsidP="004E0953">
      <w:pPr>
        <w:jc w:val="both"/>
        <w:rPr>
          <w:rFonts w:asciiTheme="minorHAnsi" w:hAnsiTheme="minorHAnsi" w:cstheme="minorHAnsi"/>
          <w:sz w:val="20"/>
          <w:szCs w:val="20"/>
          <w:u w:val="single"/>
          <w:lang w:val="fr-FR"/>
        </w:rPr>
      </w:pPr>
    </w:p>
    <w:p w14:paraId="3F36788A" w14:textId="77777777" w:rsidR="00601D9B" w:rsidRPr="000E53A0" w:rsidRDefault="000E53A0">
      <w:pPr>
        <w:jc w:val="both"/>
        <w:rPr>
          <w:rFonts w:asciiTheme="minorHAnsi" w:hAnsiTheme="minorHAnsi" w:cstheme="minorHAnsi"/>
          <w:sz w:val="20"/>
          <w:szCs w:val="20"/>
          <w:u w:val="single"/>
          <w:lang w:val="fr-FR"/>
        </w:rPr>
      </w:pPr>
      <w:r w:rsidRPr="000E53A0">
        <w:rPr>
          <w:rFonts w:asciiTheme="minorHAnsi" w:hAnsiTheme="minorHAnsi" w:cstheme="minorHAnsi"/>
          <w:sz w:val="20"/>
          <w:szCs w:val="20"/>
          <w:u w:val="single"/>
          <w:lang w:val="fr-FR"/>
        </w:rPr>
        <w:t>6) aux bénéfices environnementaux mondiaux (GEFTF) et aux bénéfices d'adaptation (LDCF) :</w:t>
      </w:r>
    </w:p>
    <w:p w14:paraId="27BB0DC4" w14:textId="77777777" w:rsidR="00601D9B" w:rsidRPr="000E53A0" w:rsidRDefault="000E53A0">
      <w:pPr>
        <w:pStyle w:val="GEFQuestion"/>
        <w:shd w:val="clear" w:color="auto" w:fill="FFFFFF"/>
        <w:ind w:left="0"/>
        <w:jc w:val="both"/>
        <w:rPr>
          <w:rFonts w:asciiTheme="minorHAnsi" w:hAnsiTheme="minorHAnsi" w:cstheme="minorHAnsi"/>
          <w:sz w:val="20"/>
          <w:szCs w:val="20"/>
          <w:lang w:val="fr-FR"/>
        </w:rPr>
      </w:pPr>
      <w:r w:rsidRPr="000E53A0">
        <w:rPr>
          <w:rFonts w:asciiTheme="minorHAnsi" w:hAnsiTheme="minorHAnsi" w:cstheme="minorHAnsi"/>
          <w:sz w:val="20"/>
          <w:szCs w:val="20"/>
          <w:lang w:val="fr-FR"/>
        </w:rPr>
        <w:t xml:space="preserve">Grâce au projet proposé, </w:t>
      </w:r>
      <w:r w:rsidR="00762C7E" w:rsidRPr="000E53A0">
        <w:rPr>
          <w:rFonts w:asciiTheme="minorHAnsi" w:hAnsiTheme="minorHAnsi" w:cstheme="minorHAnsi"/>
          <w:sz w:val="20"/>
          <w:szCs w:val="20"/>
          <w:lang w:val="fr-FR"/>
        </w:rPr>
        <w:t>le</w:t>
      </w:r>
      <w:r w:rsidRPr="000E53A0">
        <w:rPr>
          <w:rFonts w:asciiTheme="minorHAnsi" w:hAnsiTheme="minorHAnsi" w:cstheme="minorHAnsi"/>
          <w:sz w:val="20"/>
          <w:szCs w:val="20"/>
          <w:lang w:val="fr-FR"/>
        </w:rPr>
        <w:t xml:space="preserve"> Mali élaborera un plan d'action visant à atteindre les objectifs du RLD et devrait contribuer (i) à une </w:t>
      </w:r>
      <w:r w:rsidRPr="000E53A0">
        <w:rPr>
          <w:rFonts w:asciiTheme="minorHAnsi" w:hAnsiTheme="minorHAnsi" w:cstheme="minorHAnsi"/>
          <w:iCs/>
          <w:sz w:val="20"/>
          <w:szCs w:val="20"/>
          <w:lang w:val="fr-FR"/>
        </w:rPr>
        <w:t xml:space="preserve">superficie </w:t>
      </w:r>
      <w:r w:rsidRPr="000E53A0">
        <w:rPr>
          <w:rFonts w:asciiTheme="minorHAnsi" w:hAnsiTheme="minorHAnsi" w:cstheme="minorHAnsi"/>
          <w:sz w:val="20"/>
          <w:szCs w:val="20"/>
          <w:lang w:val="fr-FR"/>
        </w:rPr>
        <w:t xml:space="preserve">totale de </w:t>
      </w:r>
      <w:r w:rsidRPr="000E53A0">
        <w:rPr>
          <w:rFonts w:asciiTheme="minorHAnsi" w:hAnsiTheme="minorHAnsi" w:cstheme="minorHAnsi"/>
          <w:iCs/>
          <w:sz w:val="20"/>
          <w:szCs w:val="20"/>
          <w:lang w:val="fr-FR"/>
        </w:rPr>
        <w:t xml:space="preserve">15 000 ha de terres communales dont le fonctionnement de l'écosystème a été restauré et qui sont gérées efficacement par la communauté, fournissant des services écosystémiques qui renforcent la résistance des communautés vulnérables à l'augmentation des températures et à l'irrégularité des </w:t>
      </w:r>
      <w:r w:rsidRPr="000E53A0">
        <w:rPr>
          <w:rFonts w:asciiTheme="minorHAnsi" w:hAnsiTheme="minorHAnsi" w:cstheme="minorHAnsi"/>
          <w:iCs/>
          <w:sz w:val="20"/>
          <w:szCs w:val="20"/>
          <w:lang w:val="fr-FR"/>
        </w:rPr>
        <w:lastRenderedPageBreak/>
        <w:t>précipitations, renforçant ainsi leur capacité d'adaptation au changement climatique ; (ii) à une superficie totale de 21 000 ha d'exploitations familiales qui sont soumises à des pratiques améliorées grâce à l'</w:t>
      </w:r>
      <w:r w:rsidRPr="000E53A0">
        <w:rPr>
          <w:rFonts w:asciiTheme="minorHAnsi" w:hAnsiTheme="minorHAnsi" w:cstheme="minorHAnsi"/>
          <w:color w:val="000000" w:themeColor="text1"/>
          <w:sz w:val="20"/>
          <w:szCs w:val="20"/>
          <w:lang w:val="fr-FR"/>
        </w:rPr>
        <w:t xml:space="preserve">utilisation de techniques agro-écologiques qui restaurent la productivité des terres, inversent la désertification et renforcent la résistance aux catastrophes : l'augmentation du rendement des cultures, l'amélioration de la recharge des eaux souterraines, la rétention de l'humidité du sol et l'augmentation du carbone organique du sol, le recyclage des nutriments, l'ombre, les barrières contre le vent et la poussière, la production de fourrage et de compost et la disponibilité de fruits et de médicaments ; et (iii) on </w:t>
      </w:r>
      <w:r w:rsidRPr="000E53A0">
        <w:rPr>
          <w:rFonts w:asciiTheme="minorHAnsi" w:hAnsiTheme="minorHAnsi" w:cstheme="minorHAnsi"/>
          <w:sz w:val="20"/>
          <w:szCs w:val="20"/>
          <w:lang w:val="fr-FR"/>
        </w:rPr>
        <w:t xml:space="preserve">estime que 1 090 000 tonnes métriques d'émissions de gaz à effet de serre </w:t>
      </w:r>
      <w:r w:rsidRPr="000E53A0">
        <w:rPr>
          <w:rFonts w:asciiTheme="minorHAnsi" w:hAnsiTheme="minorHAnsi" w:cstheme="minorHAnsi"/>
          <w:sz w:val="20"/>
          <w:szCs w:val="20"/>
          <w:vertAlign w:val="subscript"/>
          <w:lang w:val="fr-FR"/>
        </w:rPr>
        <w:t xml:space="preserve">équivalentes à du CO2 </w:t>
      </w:r>
      <w:r w:rsidRPr="000E53A0">
        <w:rPr>
          <w:rFonts w:asciiTheme="minorHAnsi" w:hAnsiTheme="minorHAnsi" w:cstheme="minorHAnsi"/>
          <w:sz w:val="20"/>
          <w:szCs w:val="20"/>
          <w:lang w:val="fr-FR"/>
        </w:rPr>
        <w:t>sont évitées grâce à la conservation de la forêt sur pied, à la restauration du couvert végétal dans les terres agricoles et à l'amélioration du carbone organique du sol, ce qui permet de réaliser l'ambition de la CDN du Mali de réduire les GES de 29 % pour l'agriculture et de 21 % pour le changement d'affectation des terres et la foresterie (d'un scénario de base de 2015-2030 à un scénario d'atténuation de 2020-2030).</w:t>
      </w:r>
    </w:p>
    <w:p w14:paraId="4E0BE48E" w14:textId="77777777" w:rsidR="009F25C4" w:rsidRPr="000E53A0" w:rsidRDefault="009F25C4" w:rsidP="004E0953">
      <w:pPr>
        <w:jc w:val="both"/>
        <w:rPr>
          <w:rFonts w:asciiTheme="minorHAnsi" w:hAnsiTheme="minorHAnsi" w:cstheme="minorHAnsi"/>
          <w:sz w:val="20"/>
          <w:szCs w:val="20"/>
          <w:u w:val="single"/>
          <w:lang w:val="fr-FR"/>
        </w:rPr>
      </w:pPr>
    </w:p>
    <w:p w14:paraId="394BF8F3" w14:textId="77777777" w:rsidR="00601D9B" w:rsidRPr="000E53A0" w:rsidRDefault="000E53A0">
      <w:pPr>
        <w:jc w:val="both"/>
        <w:rPr>
          <w:rFonts w:asciiTheme="minorHAnsi" w:hAnsiTheme="minorHAnsi" w:cstheme="minorHAnsi"/>
          <w:sz w:val="20"/>
          <w:szCs w:val="20"/>
          <w:u w:val="single"/>
          <w:lang w:val="fr-FR"/>
        </w:rPr>
      </w:pPr>
      <w:r w:rsidRPr="000E53A0">
        <w:rPr>
          <w:rFonts w:asciiTheme="minorHAnsi" w:hAnsiTheme="minorHAnsi" w:cstheme="minorHAnsi"/>
          <w:sz w:val="20"/>
          <w:szCs w:val="20"/>
          <w:u w:val="single"/>
          <w:lang w:val="fr-FR"/>
        </w:rPr>
        <w:t xml:space="preserve">10. aux avantages (avantages socio-économiques aux </w:t>
      </w:r>
      <w:commentRangeStart w:id="32"/>
      <w:r w:rsidRPr="000E53A0">
        <w:rPr>
          <w:rFonts w:asciiTheme="minorHAnsi" w:hAnsiTheme="minorHAnsi" w:cstheme="minorHAnsi"/>
          <w:sz w:val="20"/>
          <w:szCs w:val="20"/>
          <w:u w:val="single"/>
          <w:lang w:val="fr-FR"/>
        </w:rPr>
        <w:t>niveaux national et local</w:t>
      </w:r>
      <w:commentRangeEnd w:id="32"/>
      <w:r w:rsidRPr="004E0953">
        <w:rPr>
          <w:rStyle w:val="Marquedecommentaire"/>
          <w:rFonts w:asciiTheme="minorHAnsi" w:hAnsiTheme="minorHAnsi" w:cstheme="minorHAnsi"/>
          <w:sz w:val="20"/>
          <w:szCs w:val="20"/>
        </w:rPr>
        <w:commentReference w:id="32"/>
      </w:r>
      <w:r w:rsidRPr="000E53A0">
        <w:rPr>
          <w:rFonts w:asciiTheme="minorHAnsi" w:hAnsiTheme="minorHAnsi" w:cstheme="minorHAnsi"/>
          <w:sz w:val="20"/>
          <w:szCs w:val="20"/>
          <w:u w:val="single"/>
          <w:lang w:val="fr-FR"/>
        </w:rPr>
        <w:t>) :</w:t>
      </w:r>
    </w:p>
    <w:p w14:paraId="329A4231" w14:textId="77777777" w:rsidR="00601D9B" w:rsidRPr="000E53A0" w:rsidRDefault="000E53A0">
      <w:pPr>
        <w:jc w:val="both"/>
        <w:rPr>
          <w:rFonts w:asciiTheme="minorHAnsi" w:hAnsiTheme="minorHAnsi" w:cstheme="minorHAnsi"/>
          <w:sz w:val="20"/>
          <w:szCs w:val="20"/>
          <w:lang w:val="fr-FR" w:eastAsia="fr-FR"/>
        </w:rPr>
      </w:pPr>
      <w:r w:rsidRPr="000E53A0">
        <w:rPr>
          <w:rFonts w:asciiTheme="minorHAnsi" w:hAnsiTheme="minorHAnsi" w:cstheme="minorHAnsi"/>
          <w:sz w:val="20"/>
          <w:szCs w:val="20"/>
          <w:lang w:val="fr-FR" w:eastAsia="fr-FR"/>
        </w:rPr>
        <w:t xml:space="preserve">Le projet assurera la durabilité à long terme des paysages productifs vulnérables dans la région centrale de Mopti au Mali grâce à des solutions fondées sur la nature qui inversent la dégradation des terres, renforcent la résilience climatique des communautés et favorisent la résolution des conflits pour 100 000 bénéficiaires directs, </w:t>
      </w:r>
      <w:r w:rsidR="00762C7E" w:rsidRPr="000E53A0">
        <w:rPr>
          <w:rFonts w:asciiTheme="minorHAnsi" w:hAnsiTheme="minorHAnsi" w:cstheme="minorHAnsi"/>
          <w:sz w:val="20"/>
          <w:szCs w:val="20"/>
          <w:lang w:val="fr-FR" w:eastAsia="fr-FR"/>
        </w:rPr>
        <w:t xml:space="preserve">dont </w:t>
      </w:r>
      <w:r w:rsidRPr="000E53A0">
        <w:rPr>
          <w:rFonts w:asciiTheme="minorHAnsi" w:hAnsiTheme="minorHAnsi" w:cstheme="minorHAnsi"/>
          <w:sz w:val="20"/>
          <w:szCs w:val="20"/>
          <w:lang w:val="fr-FR" w:eastAsia="fr-FR"/>
        </w:rPr>
        <w:t xml:space="preserve">60% de femmes. </w:t>
      </w:r>
    </w:p>
    <w:p w14:paraId="62EA2951" w14:textId="77777777" w:rsidR="00D44A58" w:rsidRPr="000E53A0" w:rsidRDefault="00D44A58" w:rsidP="00845399">
      <w:pPr>
        <w:rPr>
          <w:rFonts w:asciiTheme="minorHAnsi" w:hAnsiTheme="minorHAnsi" w:cstheme="minorHAnsi"/>
          <w:i/>
          <w:szCs w:val="20"/>
          <w:lang w:val="fr-FR"/>
        </w:rPr>
      </w:pPr>
    </w:p>
    <w:p w14:paraId="4C3FE842" w14:textId="77777777" w:rsidR="00D44A58" w:rsidRPr="000E53A0" w:rsidRDefault="00D44A58" w:rsidP="00845399">
      <w:pPr>
        <w:rPr>
          <w:rFonts w:asciiTheme="minorHAnsi" w:hAnsiTheme="minorHAnsi" w:cstheme="minorHAnsi"/>
          <w:i/>
          <w:szCs w:val="20"/>
          <w:lang w:val="fr-FR"/>
        </w:rPr>
      </w:pPr>
    </w:p>
    <w:p w14:paraId="4ABE1207" w14:textId="77777777" w:rsidR="00D36507" w:rsidRPr="000E53A0" w:rsidRDefault="00D36507" w:rsidP="001354E3">
      <w:pPr>
        <w:rPr>
          <w:i/>
          <w:szCs w:val="20"/>
          <w:highlight w:val="yellow"/>
          <w:lang w:val="fr-FR"/>
        </w:rPr>
      </w:pPr>
    </w:p>
    <w:p w14:paraId="78C67F84" w14:textId="77777777" w:rsidR="00601D9B" w:rsidRDefault="000E53A0">
      <w:pPr>
        <w:pStyle w:val="Titre1"/>
        <w:spacing w:before="0" w:after="0"/>
        <w:rPr>
          <w:rFonts w:ascii="Calibri" w:hAnsi="Calibri"/>
          <w:szCs w:val="28"/>
        </w:rPr>
      </w:pPr>
      <w:bookmarkStart w:id="33" w:name="_Toc46749079"/>
      <w:r w:rsidRPr="0094042F">
        <w:rPr>
          <w:rFonts w:ascii="Calibri" w:hAnsi="Calibri"/>
          <w:szCs w:val="28"/>
        </w:rPr>
        <w:t xml:space="preserve">Résultats et </w:t>
      </w:r>
      <w:r w:rsidR="00DA3833" w:rsidRPr="0094042F">
        <w:rPr>
          <w:rFonts w:ascii="Calibri" w:hAnsi="Calibri"/>
          <w:szCs w:val="28"/>
        </w:rPr>
        <w:t xml:space="preserve">partenariats </w:t>
      </w:r>
      <w:bookmarkEnd w:id="33"/>
    </w:p>
    <w:p w14:paraId="7216D726" w14:textId="77777777" w:rsidR="000C3FF2" w:rsidRDefault="000C3FF2" w:rsidP="001354E3">
      <w:pPr>
        <w:rPr>
          <w:b/>
          <w:i/>
          <w:szCs w:val="20"/>
        </w:rPr>
      </w:pPr>
    </w:p>
    <w:p w14:paraId="7148B1BB" w14:textId="77777777" w:rsidR="00601D9B" w:rsidRDefault="000E53A0">
      <w:pPr>
        <w:jc w:val="both"/>
        <w:rPr>
          <w:rFonts w:asciiTheme="minorHAnsi" w:hAnsiTheme="minorHAnsi" w:cstheme="minorHAnsi"/>
          <w:i/>
          <w:sz w:val="20"/>
          <w:szCs w:val="20"/>
        </w:rPr>
      </w:pPr>
      <w:commentRangeStart w:id="34"/>
      <w:r w:rsidRPr="004E0953">
        <w:rPr>
          <w:rFonts w:asciiTheme="minorHAnsi" w:hAnsiTheme="minorHAnsi" w:cstheme="minorHAnsi"/>
          <w:sz w:val="20"/>
          <w:szCs w:val="20"/>
          <w:u w:val="single"/>
        </w:rPr>
        <w:t xml:space="preserve">Résultats escomptés </w:t>
      </w:r>
      <w:r w:rsidRPr="004E0953">
        <w:rPr>
          <w:rFonts w:asciiTheme="minorHAnsi" w:hAnsiTheme="minorHAnsi" w:cstheme="minorHAnsi"/>
          <w:i/>
          <w:sz w:val="20"/>
          <w:szCs w:val="20"/>
        </w:rPr>
        <w:t xml:space="preserve">:  </w:t>
      </w:r>
      <w:commentRangeEnd w:id="34"/>
      <w:r w:rsidR="002A42CE" w:rsidRPr="004E0953">
        <w:rPr>
          <w:rStyle w:val="Marquedecommentaire"/>
          <w:rFonts w:asciiTheme="minorHAnsi" w:hAnsiTheme="minorHAnsi" w:cstheme="minorHAnsi"/>
          <w:sz w:val="20"/>
          <w:szCs w:val="20"/>
        </w:rPr>
        <w:commentReference w:id="34"/>
      </w:r>
    </w:p>
    <w:p w14:paraId="0CD7468D" w14:textId="77777777" w:rsidR="00034B09" w:rsidRPr="004E0953" w:rsidRDefault="00034B09" w:rsidP="004E0953">
      <w:pPr>
        <w:jc w:val="both"/>
        <w:rPr>
          <w:rFonts w:asciiTheme="minorHAnsi" w:hAnsiTheme="minorHAnsi" w:cstheme="minorHAnsi"/>
          <w:i/>
          <w:sz w:val="20"/>
          <w:szCs w:val="20"/>
        </w:rPr>
      </w:pPr>
    </w:p>
    <w:p w14:paraId="39BA4D30" w14:textId="77777777" w:rsidR="00601D9B" w:rsidRPr="000E53A0" w:rsidRDefault="000E53A0">
      <w:pPr>
        <w:jc w:val="both"/>
        <w:rPr>
          <w:rFonts w:asciiTheme="minorHAnsi" w:hAnsiTheme="minorHAnsi" w:cstheme="minorHAnsi"/>
          <w:color w:val="000000"/>
          <w:sz w:val="20"/>
          <w:szCs w:val="20"/>
          <w:lang w:val="fr-FR"/>
        </w:rPr>
      </w:pPr>
      <w:r w:rsidRPr="000E53A0">
        <w:rPr>
          <w:rFonts w:asciiTheme="minorHAnsi" w:hAnsiTheme="minorHAnsi" w:cstheme="minorHAnsi"/>
          <w:b/>
          <w:bCs/>
          <w:color w:val="000000"/>
          <w:sz w:val="20"/>
          <w:szCs w:val="20"/>
          <w:lang w:val="fr-FR"/>
        </w:rPr>
        <w:t xml:space="preserve">Composante 1 : </w:t>
      </w:r>
      <w:r w:rsidRPr="000E53A0">
        <w:rPr>
          <w:rFonts w:asciiTheme="minorHAnsi" w:hAnsiTheme="minorHAnsi" w:cstheme="minorHAnsi"/>
          <w:b/>
          <w:bCs/>
          <w:sz w:val="20"/>
          <w:szCs w:val="20"/>
          <w:lang w:val="fr-FR"/>
        </w:rPr>
        <w:t xml:space="preserve">Renforcer la coordination et le suivi pour la neutralité de la dégradation des terres et la sécurité climatique. </w:t>
      </w:r>
    </w:p>
    <w:p w14:paraId="3B300C98" w14:textId="77777777" w:rsidR="00601D9B" w:rsidRPr="000E53A0" w:rsidRDefault="000E53A0">
      <w:pPr>
        <w:jc w:val="both"/>
        <w:rPr>
          <w:rFonts w:asciiTheme="minorHAnsi" w:hAnsiTheme="minorHAnsi" w:cstheme="minorHAnsi"/>
          <w:color w:val="000000" w:themeColor="text1"/>
          <w:sz w:val="20"/>
          <w:szCs w:val="20"/>
          <w:lang w:val="fr-FR"/>
        </w:rPr>
      </w:pPr>
      <w:r w:rsidRPr="000E53A0">
        <w:rPr>
          <w:rFonts w:asciiTheme="minorHAnsi" w:hAnsiTheme="minorHAnsi" w:cstheme="minorHAnsi"/>
          <w:color w:val="000000"/>
          <w:sz w:val="20"/>
          <w:szCs w:val="20"/>
          <w:lang w:val="fr-FR"/>
        </w:rPr>
        <w:t>Le résultat escompté de cette composante est l'</w:t>
      </w:r>
      <w:r w:rsidRPr="000E53A0">
        <w:rPr>
          <w:rFonts w:asciiTheme="minorHAnsi" w:hAnsiTheme="minorHAnsi" w:cstheme="minorHAnsi"/>
          <w:i/>
          <w:iCs/>
          <w:color w:val="000000"/>
          <w:sz w:val="20"/>
          <w:szCs w:val="20"/>
          <w:lang w:val="fr-FR"/>
        </w:rPr>
        <w:t xml:space="preserve">amélioration des capacités de </w:t>
      </w:r>
      <w:r w:rsidRPr="000E53A0">
        <w:rPr>
          <w:rFonts w:asciiTheme="minorHAnsi" w:hAnsiTheme="minorHAnsi" w:cstheme="minorHAnsi"/>
          <w:i/>
          <w:iCs/>
          <w:color w:val="000000" w:themeColor="text1"/>
          <w:sz w:val="20"/>
          <w:szCs w:val="20"/>
          <w:lang w:val="fr-FR"/>
        </w:rPr>
        <w:t>coordination et de suivi au niveau national, afin d'atteindre les objectifs de neutralité en matière de dégradation des sols et de s'adapter au changement climatique</w:t>
      </w:r>
      <w:r w:rsidRPr="000E53A0">
        <w:rPr>
          <w:rFonts w:asciiTheme="minorHAnsi" w:hAnsiTheme="minorHAnsi" w:cstheme="minorHAnsi"/>
          <w:color w:val="000000" w:themeColor="text1"/>
          <w:sz w:val="20"/>
          <w:szCs w:val="20"/>
          <w:lang w:val="fr-FR"/>
        </w:rPr>
        <w:t xml:space="preserve">. </w:t>
      </w:r>
    </w:p>
    <w:p w14:paraId="3D5FFB1C" w14:textId="77777777" w:rsidR="00601D9B" w:rsidRPr="000E53A0" w:rsidRDefault="000E53A0">
      <w:pPr>
        <w:spacing w:after="120"/>
        <w:jc w:val="both"/>
        <w:rPr>
          <w:rFonts w:asciiTheme="minorHAnsi" w:hAnsiTheme="minorHAnsi" w:cstheme="minorHAnsi"/>
          <w:color w:val="000000"/>
          <w:sz w:val="20"/>
          <w:szCs w:val="20"/>
          <w:lang w:val="fr-FR"/>
        </w:rPr>
      </w:pPr>
      <w:r w:rsidRPr="000E53A0">
        <w:rPr>
          <w:rFonts w:asciiTheme="minorHAnsi" w:hAnsiTheme="minorHAnsi" w:cstheme="minorHAnsi"/>
          <w:color w:val="000000" w:themeColor="text1"/>
          <w:sz w:val="20"/>
          <w:szCs w:val="20"/>
          <w:lang w:val="fr-FR"/>
        </w:rPr>
        <w:t xml:space="preserve">En 2020, le Mali a fixé ses objectifs en matière de LDN par le biais d'un Groupe de travail national sur la LDN, dans le but de lutter systématiquement contre la dégradation des terres. </w:t>
      </w:r>
      <w:r w:rsidRPr="000E53A0">
        <w:rPr>
          <w:rFonts w:asciiTheme="minorHAnsi" w:hAnsiTheme="minorHAnsi" w:cstheme="minorHAnsi"/>
          <w:color w:val="000000"/>
          <w:sz w:val="20"/>
          <w:szCs w:val="20"/>
          <w:lang w:val="fr-FR"/>
        </w:rPr>
        <w:t>Dans ce scénario alternatif, le projet soutiendra la revitalisation et la capacitation du Groupe de travail national sur le RLD (GTN-RLD) pour une meilleure coordination de la prise de décision intersectorielle pour le RLD, et s'assurera qu'il a une représentation suffisante aux niveaux régional et local pour permettre des processus de décision verticaux. En outre, cette structure sera nécessaire pour coordonner le processus de suivi des objectifs du LDN. En effet, le projet soutiendra également le développement d'</w:t>
      </w:r>
      <w:r w:rsidRPr="000E53A0">
        <w:rPr>
          <w:rFonts w:asciiTheme="minorHAnsi" w:hAnsiTheme="minorHAnsi" w:cstheme="minorHAnsi"/>
          <w:sz w:val="20"/>
          <w:szCs w:val="20"/>
          <w:lang w:val="fr-FR"/>
        </w:rPr>
        <w:t>un plan d'action LDN dans tous les secteurs économiques nécessaires pour atteindre les objectifs, et un système de suivi sera mis en place</w:t>
      </w:r>
      <w:r w:rsidRPr="000E53A0">
        <w:rPr>
          <w:rFonts w:asciiTheme="minorHAnsi" w:hAnsiTheme="minorHAnsi" w:cstheme="minorHAnsi"/>
          <w:color w:val="000000" w:themeColor="text1"/>
          <w:sz w:val="20"/>
          <w:szCs w:val="20"/>
          <w:lang w:val="fr-FR"/>
        </w:rPr>
        <w:t xml:space="preserve">. Cela impliquera un travail au niveau national autour des objectifs de LDN, en s'appuyant sur les données existantes pour revoir les bases de référence, les objectifs, les indicateurs et les moyens de mesure / suivi </w:t>
      </w:r>
      <w:r w:rsidR="003919DB" w:rsidRPr="000E53A0">
        <w:rPr>
          <w:rFonts w:asciiTheme="minorHAnsi" w:hAnsiTheme="minorHAnsi" w:cstheme="minorHAnsi"/>
          <w:color w:val="000000" w:themeColor="text1"/>
          <w:sz w:val="20"/>
          <w:szCs w:val="20"/>
          <w:lang w:val="fr-FR"/>
        </w:rPr>
        <w:t>établis</w:t>
      </w:r>
      <w:r w:rsidRPr="000E53A0">
        <w:rPr>
          <w:rFonts w:asciiTheme="minorHAnsi" w:hAnsiTheme="minorHAnsi" w:cstheme="minorHAnsi"/>
          <w:color w:val="000000" w:themeColor="text1"/>
          <w:sz w:val="20"/>
          <w:szCs w:val="20"/>
          <w:lang w:val="fr-FR"/>
        </w:rPr>
        <w:t xml:space="preserve">. Les indicateurs seront axés sur les trois domaines fondamentaux que sont la </w:t>
      </w:r>
      <w:r w:rsidRPr="000E53A0">
        <w:rPr>
          <w:rFonts w:asciiTheme="minorHAnsi" w:hAnsiTheme="minorHAnsi" w:cstheme="minorHAnsi"/>
          <w:color w:val="000000" w:themeColor="text1"/>
          <w:sz w:val="20"/>
          <w:szCs w:val="20"/>
          <w:shd w:val="clear" w:color="auto" w:fill="FFFFFF"/>
          <w:lang w:val="fr-FR"/>
        </w:rPr>
        <w:t>couverture des sols et son évolution</w:t>
      </w:r>
      <w:r w:rsidR="003919DB" w:rsidRPr="000E53A0">
        <w:rPr>
          <w:rFonts w:asciiTheme="minorHAnsi" w:hAnsiTheme="minorHAnsi" w:cstheme="minorHAnsi"/>
          <w:color w:val="000000" w:themeColor="text1"/>
          <w:sz w:val="20"/>
          <w:szCs w:val="20"/>
          <w:shd w:val="clear" w:color="auto" w:fill="FFFFFF"/>
          <w:lang w:val="fr-FR"/>
        </w:rPr>
        <w:t xml:space="preserve">, la </w:t>
      </w:r>
      <w:r w:rsidRPr="000E53A0">
        <w:rPr>
          <w:rFonts w:asciiTheme="minorHAnsi" w:hAnsiTheme="minorHAnsi" w:cstheme="minorHAnsi"/>
          <w:color w:val="000000" w:themeColor="text1"/>
          <w:sz w:val="20"/>
          <w:szCs w:val="20"/>
          <w:shd w:val="clear" w:color="auto" w:fill="FFFFFF"/>
          <w:lang w:val="fr-FR"/>
        </w:rPr>
        <w:t>productivité des sols et le carbone organique du sol</w:t>
      </w:r>
      <w:r w:rsidRPr="004E0953">
        <w:rPr>
          <w:rStyle w:val="Appelnotedebasdep"/>
          <w:rFonts w:asciiTheme="minorHAnsi" w:eastAsiaTheme="majorEastAsia" w:hAnsiTheme="minorHAnsi" w:cstheme="minorHAnsi"/>
          <w:color w:val="000000" w:themeColor="text1"/>
          <w:sz w:val="20"/>
          <w:szCs w:val="20"/>
          <w:shd w:val="clear" w:color="auto" w:fill="FFFFFF"/>
        </w:rPr>
        <w:footnoteReference w:id="69"/>
      </w:r>
      <w:r w:rsidRPr="000E53A0">
        <w:rPr>
          <w:rFonts w:asciiTheme="minorHAnsi" w:hAnsiTheme="minorHAnsi" w:cstheme="minorHAnsi"/>
          <w:color w:val="000000" w:themeColor="text1"/>
          <w:sz w:val="20"/>
          <w:szCs w:val="20"/>
          <w:shd w:val="clear" w:color="auto" w:fill="FFFFFF"/>
          <w:lang w:val="fr-FR"/>
        </w:rPr>
        <w:t>. L'</w:t>
      </w:r>
      <w:r w:rsidRPr="000E53A0">
        <w:rPr>
          <w:rFonts w:asciiTheme="minorHAnsi" w:hAnsiTheme="minorHAnsi" w:cstheme="minorHAnsi"/>
          <w:color w:val="000000" w:themeColor="text1"/>
          <w:sz w:val="20"/>
          <w:szCs w:val="20"/>
          <w:lang w:val="fr-FR"/>
        </w:rPr>
        <w:t>AEDD sera soutenu par l'</w:t>
      </w:r>
      <w:r w:rsidRPr="000E53A0">
        <w:rPr>
          <w:rFonts w:asciiTheme="minorHAnsi" w:hAnsiTheme="minorHAnsi" w:cstheme="minorHAnsi"/>
          <w:sz w:val="20"/>
          <w:szCs w:val="20"/>
          <w:lang w:val="fr-FR"/>
        </w:rPr>
        <w:t>Institut d'Economie Rurale (IER)</w:t>
      </w:r>
      <w:r w:rsidRPr="000E53A0">
        <w:rPr>
          <w:rFonts w:asciiTheme="minorHAnsi" w:hAnsiTheme="minorHAnsi" w:cstheme="minorHAnsi"/>
          <w:color w:val="000000"/>
          <w:sz w:val="20"/>
          <w:szCs w:val="20"/>
          <w:lang w:val="fr-FR"/>
        </w:rPr>
        <w:t xml:space="preserve"> </w:t>
      </w:r>
      <w:r w:rsidRPr="004E0953">
        <w:rPr>
          <w:rStyle w:val="Appelnotedebasdep"/>
          <w:rFonts w:asciiTheme="minorHAnsi" w:eastAsiaTheme="majorEastAsia" w:hAnsiTheme="minorHAnsi" w:cstheme="minorHAnsi"/>
          <w:sz w:val="20"/>
          <w:szCs w:val="20"/>
        </w:rPr>
        <w:footnoteReference w:id="70"/>
      </w:r>
      <w:r w:rsidRPr="000E53A0">
        <w:rPr>
          <w:rFonts w:asciiTheme="minorHAnsi" w:hAnsiTheme="minorHAnsi" w:cstheme="minorHAnsi"/>
          <w:color w:val="000000" w:themeColor="text1"/>
          <w:sz w:val="20"/>
          <w:szCs w:val="20"/>
          <w:lang w:val="fr-FR"/>
        </w:rPr>
        <w:t xml:space="preserve">pour ce résultat, qui </w:t>
      </w:r>
      <w:r w:rsidRPr="000E53A0">
        <w:rPr>
          <w:rFonts w:asciiTheme="minorHAnsi" w:hAnsiTheme="minorHAnsi" w:cstheme="minorHAnsi"/>
          <w:sz w:val="20"/>
          <w:szCs w:val="20"/>
          <w:lang w:val="fr-FR"/>
        </w:rPr>
        <w:t>sera étroitement lié à la composante 4 (voir ci-dessous).</w:t>
      </w:r>
    </w:p>
    <w:p w14:paraId="26313D7C" w14:textId="77777777" w:rsidR="00601D9B" w:rsidRPr="000E53A0" w:rsidRDefault="000E53A0">
      <w:pPr>
        <w:pStyle w:val="GEFQuestion"/>
        <w:shd w:val="clear" w:color="auto" w:fill="FFFFFF"/>
        <w:spacing w:after="120"/>
        <w:ind w:left="0"/>
        <w:jc w:val="both"/>
        <w:rPr>
          <w:rFonts w:asciiTheme="minorHAnsi" w:hAnsiTheme="minorHAnsi" w:cstheme="minorHAnsi"/>
          <w:sz w:val="20"/>
          <w:szCs w:val="20"/>
          <w:lang w:val="fr-FR" w:eastAsia="ar-SA"/>
        </w:rPr>
      </w:pPr>
      <w:r w:rsidRPr="000E53A0">
        <w:rPr>
          <w:rFonts w:asciiTheme="minorHAnsi" w:hAnsiTheme="minorHAnsi" w:cstheme="minorHAnsi"/>
          <w:sz w:val="20"/>
          <w:szCs w:val="20"/>
          <w:lang w:val="fr-FR" w:eastAsia="ar-SA"/>
        </w:rPr>
        <w:t>Pour soutenir la capacité institutionnelle d'adaptation au changement climatique, le projet s'attachera également à fournir des données pertinentes pour la prise de décision, sous la forme de profils de risques climatiques et de cartographies de vulnérabilité (FPMA). L'</w:t>
      </w:r>
      <w:r w:rsidRPr="000E53A0">
        <w:rPr>
          <w:rFonts w:asciiTheme="minorHAnsi" w:hAnsiTheme="minorHAnsi" w:cstheme="minorHAnsi"/>
          <w:color w:val="000000" w:themeColor="text1"/>
          <w:sz w:val="20"/>
          <w:szCs w:val="20"/>
          <w:lang w:val="fr-FR"/>
        </w:rPr>
        <w:t>AEDD sera appuyée sur ce point par l'</w:t>
      </w:r>
      <w:r w:rsidRPr="000E53A0">
        <w:rPr>
          <w:rFonts w:asciiTheme="minorHAnsi" w:hAnsiTheme="minorHAnsi" w:cstheme="minorHAnsi"/>
          <w:sz w:val="20"/>
          <w:szCs w:val="20"/>
          <w:lang w:val="fr-FR"/>
        </w:rPr>
        <w:t xml:space="preserve">Institut Géographique du Mali </w:t>
      </w:r>
      <w:r w:rsidRPr="000E53A0">
        <w:rPr>
          <w:rFonts w:asciiTheme="minorHAnsi" w:hAnsiTheme="minorHAnsi" w:cstheme="minorHAnsi"/>
          <w:sz w:val="20"/>
          <w:szCs w:val="20"/>
          <w:lang w:val="fr-FR"/>
        </w:rPr>
        <w:lastRenderedPageBreak/>
        <w:t>(IGM)</w:t>
      </w:r>
      <w:r w:rsidRPr="004E0953">
        <w:rPr>
          <w:rStyle w:val="Appelnotedebasdep"/>
          <w:rFonts w:asciiTheme="minorHAnsi" w:eastAsiaTheme="majorEastAsia" w:hAnsiTheme="minorHAnsi" w:cstheme="minorHAnsi"/>
          <w:sz w:val="20"/>
          <w:szCs w:val="20"/>
        </w:rPr>
        <w:footnoteReference w:id="71"/>
      </w:r>
      <w:r w:rsidRPr="000E53A0">
        <w:rPr>
          <w:rFonts w:asciiTheme="minorHAnsi" w:hAnsiTheme="minorHAnsi" w:cstheme="minorHAnsi"/>
          <w:sz w:val="20"/>
          <w:szCs w:val="20"/>
          <w:lang w:val="fr-FR"/>
        </w:rPr>
        <w:t xml:space="preserve">. </w:t>
      </w:r>
      <w:r w:rsidRPr="000E53A0">
        <w:rPr>
          <w:rFonts w:asciiTheme="minorHAnsi" w:hAnsiTheme="minorHAnsi" w:cstheme="minorHAnsi"/>
          <w:sz w:val="20"/>
          <w:szCs w:val="20"/>
          <w:lang w:val="fr-FR" w:eastAsia="ar-SA"/>
        </w:rPr>
        <w:t xml:space="preserve">Le processus d'évaluation et de cartographie de la vulnérabilité prévu pour la composante 1 comprendra l'application d'un cadre de sensibilité à la sécurité. </w:t>
      </w:r>
    </w:p>
    <w:p w14:paraId="4A108F7E" w14:textId="77777777" w:rsidR="00601D9B" w:rsidRPr="000E53A0" w:rsidRDefault="000E53A0">
      <w:pPr>
        <w:jc w:val="both"/>
        <w:rPr>
          <w:rFonts w:asciiTheme="minorHAnsi" w:hAnsiTheme="minorHAnsi" w:cstheme="minorHAnsi"/>
          <w:sz w:val="20"/>
          <w:szCs w:val="20"/>
          <w:lang w:val="fr-FR"/>
        </w:rPr>
      </w:pPr>
      <w:r w:rsidRPr="000E53A0">
        <w:rPr>
          <w:rFonts w:asciiTheme="minorHAnsi" w:hAnsiTheme="minorHAnsi" w:cstheme="minorHAnsi"/>
          <w:sz w:val="20"/>
          <w:szCs w:val="20"/>
          <w:lang w:val="fr-FR"/>
        </w:rPr>
        <w:t xml:space="preserve">Sans les interventions du projet, la capacité des acteurs nationaux à réaliser la mise en œuvre des objectifs du RLD du Mali et à s'adapter au changement climatique sera insuffisante. Les défis sous-jacents contribuant à la dégradation des terres et à la vulnérabilité climatique, y compris la mauvaise coordination intersectorielle sur la gestion et la planification des terres, ainsi que les données limitées pour éclairer la prise de décision et le suivi des progrès, ne seraient pas résolus. Alors qu'un Groupe de Travail National (GTN) du RLD a été formé et actif pendant la formulation du PTS-RLD du pays en 2020, au moment de la formulation du PPG, ce comité était toujours actif et sa capacité à servir dans la mise en œuvre des objectifs du RLD a été évaluée. Sa composition initiale (21 membres, principalement des ministères, agences et instituts nationaux (DNEF, IER, IFRA, DNAT, ANGMV, PFN, AFOMA, DNA, AEDD, DNAPIA, LCV, MEADD), AOPP Ségou, et 4 experts individuels) a été jugée insuffisamment représentative de l'ensemble des secteurs devant être activement impliqués dans le processus RLD </w:t>
      </w:r>
      <w:r w:rsidR="005A7DA4" w:rsidRPr="000E53A0">
        <w:rPr>
          <w:rFonts w:asciiTheme="minorHAnsi" w:hAnsiTheme="minorHAnsi" w:cstheme="minorHAnsi"/>
          <w:sz w:val="20"/>
          <w:szCs w:val="20"/>
          <w:lang w:val="fr-FR"/>
        </w:rPr>
        <w:t>(ex.Ministère de la Promotion de la Femme, de l'Enfant et de la Famille et ses directions régionales)</w:t>
      </w:r>
      <w:r w:rsidRPr="000E53A0">
        <w:rPr>
          <w:rFonts w:asciiTheme="minorHAnsi" w:hAnsiTheme="minorHAnsi" w:cstheme="minorHAnsi"/>
          <w:sz w:val="20"/>
          <w:szCs w:val="20"/>
          <w:lang w:val="fr-FR"/>
        </w:rPr>
        <w:t xml:space="preserve">, et il n'y avait pas non plus suffisamment d'acteurs au niveau régional ou local impliqués dans le GTN du RLD. Cela empêche les processus décisionnels verticaux nécessaires à la réalisation des objectifs du LDN au niveau national d'avoir lieu. </w:t>
      </w:r>
    </w:p>
    <w:p w14:paraId="785DBF9E" w14:textId="77777777" w:rsidR="00D22751" w:rsidRPr="000E53A0" w:rsidRDefault="00D22751" w:rsidP="004E0953">
      <w:pPr>
        <w:pStyle w:val="GEFQuestion"/>
        <w:shd w:val="clear" w:color="auto" w:fill="FFFFFF"/>
        <w:ind w:left="0"/>
        <w:jc w:val="both"/>
        <w:rPr>
          <w:rFonts w:asciiTheme="minorHAnsi" w:hAnsiTheme="minorHAnsi" w:cstheme="minorHAnsi"/>
          <w:sz w:val="20"/>
          <w:szCs w:val="20"/>
          <w:lang w:val="fr-FR"/>
        </w:rPr>
      </w:pPr>
    </w:p>
    <w:p w14:paraId="3F8D115A" w14:textId="77777777" w:rsidR="00601D9B" w:rsidRPr="000E53A0" w:rsidRDefault="000E53A0">
      <w:pPr>
        <w:shd w:val="clear" w:color="auto" w:fill="FFFFFF"/>
        <w:spacing w:before="60"/>
        <w:jc w:val="both"/>
        <w:rPr>
          <w:rFonts w:asciiTheme="minorHAnsi" w:hAnsiTheme="minorHAnsi" w:cstheme="minorHAnsi"/>
          <w:i/>
          <w:iCs/>
          <w:sz w:val="20"/>
          <w:szCs w:val="20"/>
          <w:lang w:val="fr-FR"/>
        </w:rPr>
      </w:pPr>
      <w:r w:rsidRPr="000E53A0">
        <w:rPr>
          <w:rFonts w:asciiTheme="minorHAnsi" w:hAnsiTheme="minorHAnsi" w:cstheme="minorHAnsi"/>
          <w:i/>
          <w:iCs/>
          <w:sz w:val="20"/>
          <w:szCs w:val="20"/>
          <w:lang w:val="fr-FR"/>
        </w:rPr>
        <w:t>Produit 1.1 Le comité national du réseau de distribution de médicaments revitalisé et renforcé pour une meilleure coordination de la prise de décision intersectorielle pour le réseau de distribution de médicaments (GEFTF).</w:t>
      </w:r>
    </w:p>
    <w:p w14:paraId="21DF7467" w14:textId="77777777" w:rsidR="00601D9B" w:rsidRPr="000E53A0" w:rsidRDefault="000E53A0">
      <w:pPr>
        <w:pStyle w:val="GEFQuestion"/>
        <w:shd w:val="clear" w:color="auto" w:fill="FFFFFF"/>
        <w:ind w:left="0"/>
        <w:jc w:val="both"/>
        <w:rPr>
          <w:rFonts w:asciiTheme="minorHAnsi" w:hAnsiTheme="minorHAnsi" w:cstheme="minorHAnsi"/>
          <w:sz w:val="20"/>
          <w:szCs w:val="20"/>
          <w:lang w:val="fr-FR"/>
        </w:rPr>
      </w:pPr>
      <w:r w:rsidRPr="000E53A0">
        <w:rPr>
          <w:rFonts w:asciiTheme="minorHAnsi" w:hAnsiTheme="minorHAnsi" w:cstheme="minorHAnsi"/>
          <w:sz w:val="20"/>
          <w:szCs w:val="20"/>
          <w:lang w:val="fr-FR"/>
        </w:rPr>
        <w:t xml:space="preserve">Comme première étape pour informer le développement du plan d'action LDN, le projet réalisera un </w:t>
      </w:r>
      <w:r w:rsidR="00296533" w:rsidRPr="000E53A0">
        <w:rPr>
          <w:rFonts w:asciiTheme="minorHAnsi" w:hAnsiTheme="minorHAnsi" w:cstheme="minorHAnsi"/>
          <w:sz w:val="20"/>
          <w:szCs w:val="20"/>
          <w:lang w:val="fr-FR"/>
        </w:rPr>
        <w:t>diagnostic</w:t>
      </w:r>
      <w:r w:rsidRPr="000E53A0">
        <w:rPr>
          <w:rFonts w:asciiTheme="minorHAnsi" w:hAnsiTheme="minorHAnsi" w:cstheme="minorHAnsi"/>
          <w:sz w:val="20"/>
          <w:szCs w:val="20"/>
          <w:lang w:val="fr-FR"/>
        </w:rPr>
        <w:t xml:space="preserve"> approfondi pour </w:t>
      </w:r>
      <w:r w:rsidR="00296533" w:rsidRPr="000E53A0">
        <w:rPr>
          <w:rFonts w:asciiTheme="minorHAnsi" w:hAnsiTheme="minorHAnsi" w:cstheme="minorHAnsi"/>
          <w:sz w:val="20"/>
          <w:szCs w:val="20"/>
          <w:lang w:val="fr-FR"/>
        </w:rPr>
        <w:t xml:space="preserve">évaluer </w:t>
      </w:r>
      <w:r w:rsidRPr="000E53A0">
        <w:rPr>
          <w:rFonts w:asciiTheme="minorHAnsi" w:hAnsiTheme="minorHAnsi" w:cstheme="minorHAnsi"/>
          <w:sz w:val="20"/>
          <w:szCs w:val="20"/>
          <w:lang w:val="fr-FR"/>
        </w:rPr>
        <w:t xml:space="preserve">la capacité des différentes </w:t>
      </w:r>
      <w:r w:rsidR="00296533" w:rsidRPr="000E53A0">
        <w:rPr>
          <w:rFonts w:asciiTheme="minorHAnsi" w:hAnsiTheme="minorHAnsi" w:cstheme="minorHAnsi"/>
          <w:sz w:val="20"/>
          <w:szCs w:val="20"/>
          <w:lang w:val="fr-FR"/>
        </w:rPr>
        <w:t xml:space="preserve">institutions </w:t>
      </w:r>
      <w:r w:rsidRPr="000E53A0">
        <w:rPr>
          <w:rFonts w:asciiTheme="minorHAnsi" w:hAnsiTheme="minorHAnsi" w:cstheme="minorHAnsi"/>
          <w:sz w:val="20"/>
          <w:szCs w:val="20"/>
          <w:lang w:val="fr-FR"/>
        </w:rPr>
        <w:t xml:space="preserve">gouvernementales et de ses partenaires à contribuer à la réalisation et au suivi des objectifs LDN. Cela permettra d'identifier les besoins en matière de renforcement des capacités, qu'il </w:t>
      </w:r>
      <w:r w:rsidR="00296533" w:rsidRPr="000E53A0">
        <w:rPr>
          <w:rFonts w:asciiTheme="minorHAnsi" w:hAnsiTheme="minorHAnsi" w:cstheme="minorHAnsi"/>
          <w:sz w:val="20"/>
          <w:szCs w:val="20"/>
          <w:lang w:val="fr-FR"/>
        </w:rPr>
        <w:t xml:space="preserve">s'agisse des </w:t>
      </w:r>
      <w:r w:rsidRPr="000E53A0">
        <w:rPr>
          <w:rFonts w:asciiTheme="minorHAnsi" w:hAnsiTheme="minorHAnsi" w:cstheme="minorHAnsi"/>
          <w:sz w:val="20"/>
          <w:szCs w:val="20"/>
          <w:lang w:val="fr-FR"/>
        </w:rPr>
        <w:t xml:space="preserve">connaissances relatives aux stratégies et réglementations existantes, ou de leur mise en œuvre et application. </w:t>
      </w:r>
      <w:r w:rsidR="00296533" w:rsidRPr="000E53A0">
        <w:rPr>
          <w:rFonts w:asciiTheme="minorHAnsi" w:hAnsiTheme="minorHAnsi" w:cstheme="minorHAnsi"/>
          <w:sz w:val="20"/>
          <w:szCs w:val="20"/>
          <w:lang w:val="fr-FR"/>
        </w:rPr>
        <w:t xml:space="preserve">Au </w:t>
      </w:r>
      <w:r w:rsidRPr="000E53A0">
        <w:rPr>
          <w:rFonts w:asciiTheme="minorHAnsi" w:hAnsiTheme="minorHAnsi" w:cstheme="minorHAnsi"/>
          <w:sz w:val="20"/>
          <w:szCs w:val="20"/>
          <w:lang w:val="fr-FR"/>
        </w:rPr>
        <w:t xml:space="preserve">niveau local, cela prendra la forme d'un diagnostic communautaire, qui sera réalisé pour identifier les approches communautaires, les structures communautaires et l'état des lieux du LDN dans les communes cibles. Il comprendra également </w:t>
      </w:r>
      <w:r w:rsidR="00D22751" w:rsidRPr="000E53A0">
        <w:rPr>
          <w:rFonts w:asciiTheme="minorHAnsi" w:hAnsiTheme="minorHAnsi" w:cstheme="minorHAnsi"/>
          <w:sz w:val="20"/>
          <w:szCs w:val="20"/>
          <w:lang w:val="fr-FR"/>
        </w:rPr>
        <w:t xml:space="preserve">un rapide exercice d'inventaire, afin d'évaluer le statut et la composition du GTN LDN à ce moment-là, ainsi que sa capacité à assumer les responsabilités nécessaires pour conduire le processus LDN aux niveaux national, régional et local. </w:t>
      </w:r>
      <w:r w:rsidR="00D22751" w:rsidRPr="000E53A0">
        <w:rPr>
          <w:rFonts w:asciiTheme="minorHAnsi" w:hAnsiTheme="minorHAnsi" w:cstheme="minorHAnsi"/>
          <w:color w:val="000000"/>
          <w:sz w:val="20"/>
          <w:szCs w:val="20"/>
          <w:lang w:val="fr-FR"/>
        </w:rPr>
        <w:t xml:space="preserve">Le projet entreprendra ensuite des actions visant à reformuler le GTN-LDN et, si nécessaire, à établir des comités régionaux et locaux dans les zones d'intervention afin d'améliorer l'échange vertical d'informations, la coordination du processus LDN au niveau du paysage, et d'encourager les dialogues multi-acteurs. Chaque comité sera formé sur ses rôles et responsabilités. De plus, le projet aidera à équiper les différents comités pour une meilleure liaison et coordination afin d'entreprendre des actions conjointes liées à la réalisation des objectifs de LDN. Plus précisément, le projet propose d'organiser des formations sur le terrain pour les membres du GTN-LDN et leurs homologues régionaux et locaux, </w:t>
      </w:r>
      <w:r w:rsidR="00D22751" w:rsidRPr="000E53A0">
        <w:rPr>
          <w:rFonts w:asciiTheme="minorHAnsi" w:hAnsiTheme="minorHAnsi" w:cstheme="minorHAnsi"/>
          <w:sz w:val="20"/>
          <w:szCs w:val="20"/>
          <w:lang w:val="fr-FR"/>
        </w:rPr>
        <w:t>sur des sujets tels que le suivi des objectifs du LDN, la planification intégrée de l'utilisation des terres, etc. Les termes de référence de ce groupe de travail ainsi qu'un protocole d'accord entre les différents partenaires seront développés et approuvés par toutes les parties au cours de l'année primaire, bien qu'il soit proposé, pour assurer la durabilité du GTN-LDN, que le point focal de la CNUCD continue à diriger le groupe, en assurant également l'alignement avec les exigences de la CNUCD en matière de rapports.</w:t>
      </w:r>
    </w:p>
    <w:p w14:paraId="14814A91" w14:textId="77777777" w:rsidR="00D22751" w:rsidRPr="000E53A0" w:rsidRDefault="00D22751" w:rsidP="004E0953">
      <w:pPr>
        <w:shd w:val="clear" w:color="auto" w:fill="FFFFFF"/>
        <w:spacing w:before="60"/>
        <w:jc w:val="both"/>
        <w:rPr>
          <w:rFonts w:asciiTheme="minorHAnsi" w:hAnsiTheme="minorHAnsi" w:cstheme="minorHAnsi"/>
          <w:sz w:val="20"/>
          <w:szCs w:val="20"/>
          <w:lang w:val="fr-FR"/>
        </w:rPr>
      </w:pPr>
    </w:p>
    <w:p w14:paraId="3F166A87" w14:textId="77777777" w:rsidR="00601D9B" w:rsidRPr="000E53A0" w:rsidRDefault="000E53A0">
      <w:pPr>
        <w:pStyle w:val="GEFQuestion"/>
        <w:numPr>
          <w:ilvl w:val="0"/>
          <w:numId w:val="63"/>
        </w:numPr>
        <w:shd w:val="clear" w:color="auto" w:fill="FFFFFF"/>
        <w:jc w:val="both"/>
        <w:rPr>
          <w:rFonts w:asciiTheme="minorHAnsi" w:hAnsiTheme="minorHAnsi" w:cstheme="minorHAnsi"/>
          <w:color w:val="000000" w:themeColor="text1"/>
          <w:sz w:val="20"/>
          <w:szCs w:val="20"/>
          <w:lang w:val="fr-FR"/>
        </w:rPr>
      </w:pPr>
      <w:r w:rsidRPr="000E53A0">
        <w:rPr>
          <w:rFonts w:asciiTheme="minorHAnsi" w:hAnsiTheme="minorHAnsi" w:cstheme="minorHAnsi"/>
          <w:color w:val="000000" w:themeColor="text1"/>
          <w:sz w:val="20"/>
          <w:szCs w:val="20"/>
          <w:lang w:val="fr-FR"/>
        </w:rPr>
        <w:t xml:space="preserve">Activité 1.1.1 </w:t>
      </w:r>
      <w:r w:rsidR="001C3906" w:rsidRPr="000E53A0">
        <w:rPr>
          <w:rFonts w:asciiTheme="minorHAnsi" w:hAnsiTheme="minorHAnsi" w:cstheme="minorHAnsi"/>
          <w:color w:val="000000" w:themeColor="text1"/>
          <w:sz w:val="20"/>
          <w:szCs w:val="20"/>
          <w:lang w:val="fr-FR"/>
        </w:rPr>
        <w:t>Mener une enquête pour évaluer la capacité du gouvernement et des partenaires à mettre en œuvre les stratégies et les actions de LDN, et à appliquer la législation pertinente.</w:t>
      </w:r>
    </w:p>
    <w:p w14:paraId="5A018C51" w14:textId="77777777" w:rsidR="00601D9B" w:rsidRPr="000E53A0" w:rsidRDefault="000E53A0">
      <w:pPr>
        <w:pStyle w:val="GEFQuestion"/>
        <w:numPr>
          <w:ilvl w:val="0"/>
          <w:numId w:val="63"/>
        </w:numPr>
        <w:shd w:val="clear" w:color="auto" w:fill="FFFFFF"/>
        <w:jc w:val="both"/>
        <w:rPr>
          <w:rFonts w:asciiTheme="minorHAnsi" w:hAnsiTheme="minorHAnsi" w:cstheme="minorHAnsi"/>
          <w:color w:val="000000" w:themeColor="text1"/>
          <w:sz w:val="20"/>
          <w:szCs w:val="20"/>
          <w:lang w:val="fr-FR"/>
        </w:rPr>
      </w:pPr>
      <w:r w:rsidRPr="000E53A0">
        <w:rPr>
          <w:rFonts w:asciiTheme="minorHAnsi" w:hAnsiTheme="minorHAnsi" w:cstheme="minorHAnsi"/>
          <w:color w:val="000000" w:themeColor="text1"/>
          <w:sz w:val="20"/>
          <w:szCs w:val="20"/>
          <w:lang w:val="fr-FR"/>
        </w:rPr>
        <w:t>Activité 1.1.2</w:t>
      </w:r>
      <w:r w:rsidR="001C3906" w:rsidRPr="000E53A0">
        <w:rPr>
          <w:rFonts w:asciiTheme="minorHAnsi" w:hAnsiTheme="minorHAnsi" w:cstheme="minorHAnsi"/>
          <w:color w:val="000000" w:themeColor="text1"/>
          <w:sz w:val="20"/>
          <w:szCs w:val="20"/>
          <w:lang w:val="fr-FR"/>
        </w:rPr>
        <w:t xml:space="preserve">. </w:t>
      </w:r>
      <w:r w:rsidR="00DE4C3D" w:rsidRPr="000E53A0">
        <w:rPr>
          <w:rFonts w:asciiTheme="minorHAnsi" w:hAnsiTheme="minorHAnsi" w:cstheme="minorHAnsi"/>
          <w:color w:val="000000" w:themeColor="text1"/>
          <w:sz w:val="20"/>
          <w:szCs w:val="20"/>
          <w:lang w:val="fr-FR"/>
        </w:rPr>
        <w:t>Rédaction des termes de référence du groupe de travail national LDN et de son équivalent régional à Mopti</w:t>
      </w:r>
    </w:p>
    <w:p w14:paraId="0870E003" w14:textId="77777777" w:rsidR="00601D9B" w:rsidRPr="000E53A0" w:rsidRDefault="000E53A0">
      <w:pPr>
        <w:pStyle w:val="GEFQuestion"/>
        <w:numPr>
          <w:ilvl w:val="0"/>
          <w:numId w:val="63"/>
        </w:numPr>
        <w:shd w:val="clear" w:color="auto" w:fill="FFFFFF"/>
        <w:jc w:val="both"/>
        <w:rPr>
          <w:rFonts w:asciiTheme="minorHAnsi" w:hAnsiTheme="minorHAnsi" w:cstheme="minorHAnsi"/>
          <w:color w:val="000000" w:themeColor="text1"/>
          <w:sz w:val="20"/>
          <w:szCs w:val="20"/>
          <w:lang w:val="fr-FR"/>
        </w:rPr>
      </w:pPr>
      <w:r w:rsidRPr="000E53A0">
        <w:rPr>
          <w:rFonts w:asciiTheme="minorHAnsi" w:hAnsiTheme="minorHAnsi" w:cstheme="minorHAnsi"/>
          <w:color w:val="000000" w:themeColor="text1"/>
          <w:sz w:val="20"/>
          <w:szCs w:val="20"/>
          <w:lang w:val="fr-FR"/>
        </w:rPr>
        <w:t>Activité 1.1.3 Reformulation du comité LDN-NWG pour une meilleure coordination de la prise de décision intersectorielle pour LDN</w:t>
      </w:r>
    </w:p>
    <w:p w14:paraId="6D4E8BBC" w14:textId="77777777" w:rsidR="00601D9B" w:rsidRPr="000E53A0" w:rsidRDefault="000E53A0">
      <w:pPr>
        <w:pStyle w:val="GEFQuestion"/>
        <w:numPr>
          <w:ilvl w:val="0"/>
          <w:numId w:val="63"/>
        </w:numPr>
        <w:shd w:val="clear" w:color="auto" w:fill="FFFFFF"/>
        <w:jc w:val="both"/>
        <w:rPr>
          <w:rFonts w:asciiTheme="minorHAnsi" w:hAnsiTheme="minorHAnsi" w:cstheme="minorHAnsi"/>
          <w:color w:val="000000" w:themeColor="text1"/>
          <w:sz w:val="20"/>
          <w:szCs w:val="20"/>
          <w:lang w:val="fr-FR"/>
        </w:rPr>
      </w:pPr>
      <w:r w:rsidRPr="000E53A0">
        <w:rPr>
          <w:rFonts w:asciiTheme="minorHAnsi" w:hAnsiTheme="minorHAnsi" w:cstheme="minorHAnsi"/>
          <w:color w:val="000000" w:themeColor="text1"/>
          <w:sz w:val="20"/>
          <w:szCs w:val="20"/>
          <w:lang w:val="fr-FR"/>
        </w:rPr>
        <w:t>Activité 1.1.4 Appui à la création d'un comité régional LDN à Mopti</w:t>
      </w:r>
    </w:p>
    <w:p w14:paraId="7953916C" w14:textId="77777777" w:rsidR="00D22751" w:rsidRPr="000E53A0" w:rsidRDefault="00D22751" w:rsidP="004E0953">
      <w:pPr>
        <w:jc w:val="both"/>
        <w:rPr>
          <w:rFonts w:asciiTheme="minorHAnsi" w:hAnsiTheme="minorHAnsi" w:cstheme="minorHAnsi"/>
          <w:color w:val="000000" w:themeColor="text1"/>
          <w:sz w:val="20"/>
          <w:szCs w:val="20"/>
          <w:lang w:val="fr-FR"/>
        </w:rPr>
      </w:pPr>
    </w:p>
    <w:p w14:paraId="15FECC41" w14:textId="77777777" w:rsidR="00601D9B" w:rsidRPr="000E53A0" w:rsidRDefault="000E53A0">
      <w:pPr>
        <w:shd w:val="clear" w:color="auto" w:fill="FFFFFF"/>
        <w:spacing w:before="60"/>
        <w:jc w:val="both"/>
        <w:rPr>
          <w:rFonts w:asciiTheme="minorHAnsi" w:hAnsiTheme="minorHAnsi" w:cstheme="minorHAnsi"/>
          <w:i/>
          <w:iCs/>
          <w:sz w:val="20"/>
          <w:szCs w:val="20"/>
          <w:lang w:val="fr-FR"/>
        </w:rPr>
      </w:pPr>
      <w:r w:rsidRPr="000E53A0">
        <w:rPr>
          <w:rFonts w:asciiTheme="minorHAnsi" w:hAnsiTheme="minorHAnsi" w:cstheme="minorHAnsi"/>
          <w:i/>
          <w:iCs/>
          <w:color w:val="000000"/>
          <w:sz w:val="20"/>
          <w:szCs w:val="20"/>
          <w:lang w:val="fr-FR"/>
        </w:rPr>
        <w:lastRenderedPageBreak/>
        <w:t xml:space="preserve">Produit 1.2 Plan d'action pour atteindre et suivre les objectifs de neutralité en matière de dégradation des sols </w:t>
      </w:r>
      <w:r w:rsidRPr="000E53A0">
        <w:rPr>
          <w:rFonts w:asciiTheme="minorHAnsi" w:hAnsiTheme="minorHAnsi" w:cstheme="minorHAnsi"/>
          <w:i/>
          <w:iCs/>
          <w:sz w:val="20"/>
          <w:szCs w:val="20"/>
          <w:lang w:val="fr-FR"/>
        </w:rPr>
        <w:t>(GEFTF)</w:t>
      </w:r>
    </w:p>
    <w:p w14:paraId="6AEEA25E" w14:textId="77777777" w:rsidR="00601D9B" w:rsidRPr="000E53A0" w:rsidRDefault="000E53A0">
      <w:pPr>
        <w:pStyle w:val="GEFQuestion"/>
        <w:shd w:val="clear" w:color="auto" w:fill="FFFFFF"/>
        <w:ind w:left="0"/>
        <w:jc w:val="both"/>
        <w:rPr>
          <w:rFonts w:asciiTheme="minorHAnsi" w:hAnsiTheme="minorHAnsi" w:cstheme="minorHAnsi"/>
          <w:sz w:val="20"/>
          <w:szCs w:val="20"/>
          <w:lang w:val="fr-FR"/>
        </w:rPr>
      </w:pPr>
      <w:r w:rsidRPr="000E53A0">
        <w:rPr>
          <w:rFonts w:asciiTheme="minorHAnsi" w:hAnsiTheme="minorHAnsi" w:cstheme="minorHAnsi"/>
          <w:sz w:val="20"/>
          <w:szCs w:val="20"/>
          <w:lang w:val="fr-FR"/>
        </w:rPr>
        <w:t xml:space="preserve">Le projet organisera une série d'ateliers dirigés par </w:t>
      </w:r>
      <w:r w:rsidR="00DE4C3D" w:rsidRPr="000E53A0">
        <w:rPr>
          <w:rFonts w:asciiTheme="minorHAnsi" w:hAnsiTheme="minorHAnsi" w:cstheme="minorHAnsi"/>
          <w:sz w:val="20"/>
          <w:szCs w:val="20"/>
          <w:lang w:val="fr-FR"/>
        </w:rPr>
        <w:t>le GTN-DLN, et soutenus par l'</w:t>
      </w:r>
      <w:r w:rsidRPr="000E53A0">
        <w:rPr>
          <w:rFonts w:asciiTheme="minorHAnsi" w:hAnsiTheme="minorHAnsi" w:cstheme="minorHAnsi"/>
          <w:sz w:val="20"/>
          <w:szCs w:val="20"/>
          <w:lang w:val="fr-FR"/>
        </w:rPr>
        <w:t>Institut d'Economie Rurale (IER) du Mali</w:t>
      </w:r>
      <w:r w:rsidR="00DE4C3D" w:rsidRPr="000E53A0">
        <w:rPr>
          <w:rFonts w:asciiTheme="minorHAnsi" w:hAnsiTheme="minorHAnsi" w:cstheme="minorHAnsi"/>
          <w:sz w:val="20"/>
          <w:szCs w:val="20"/>
          <w:lang w:val="fr-FR"/>
        </w:rPr>
        <w:t xml:space="preserve">, </w:t>
      </w:r>
      <w:r w:rsidRPr="000E53A0">
        <w:rPr>
          <w:rFonts w:asciiTheme="minorHAnsi" w:hAnsiTheme="minorHAnsi" w:cstheme="minorHAnsi"/>
          <w:sz w:val="20"/>
          <w:szCs w:val="20"/>
          <w:lang w:val="fr-FR"/>
        </w:rPr>
        <w:t>avec des partenaires du gouvernement (niveaux national, régional, cercle représentés), des services techniques, de la recherche et de la société civile, afin de développer un plan d'action pour atteindre et suivre les objectifs de neutralité de la dégradation des terres. Le plan d'action sera axé sur : l'aménagement du territoire ; la lutte contre la désertification ; l'adoption de bonnes pratiques de gestion durable des terres en facilitant le fonctionnement des schémas et plans de gestion des terres agricoles ; la visibilité de la LDN à tous les niveaux en maintenant les efforts de communication autour des actions prévues afin d'assurer un large soutien des décideurs et des utilisateurs des ressources foncières, etc.</w:t>
      </w:r>
    </w:p>
    <w:p w14:paraId="5FD7D84C" w14:textId="77777777" w:rsidR="00601D9B" w:rsidRPr="000E53A0" w:rsidRDefault="000E53A0">
      <w:pPr>
        <w:pStyle w:val="GEFQuestion"/>
        <w:shd w:val="clear" w:color="auto" w:fill="FFFFFF"/>
        <w:ind w:left="0"/>
        <w:jc w:val="both"/>
        <w:rPr>
          <w:rFonts w:asciiTheme="minorHAnsi" w:hAnsiTheme="minorHAnsi" w:cstheme="minorHAnsi"/>
          <w:sz w:val="20"/>
          <w:szCs w:val="20"/>
          <w:lang w:val="fr-FR"/>
        </w:rPr>
      </w:pPr>
      <w:r w:rsidRPr="000E53A0">
        <w:rPr>
          <w:rFonts w:asciiTheme="minorHAnsi" w:hAnsiTheme="minorHAnsi" w:cstheme="minorHAnsi"/>
          <w:sz w:val="20"/>
          <w:szCs w:val="20"/>
          <w:lang w:val="fr-FR"/>
        </w:rPr>
        <w:t xml:space="preserve">Le projet entreprendra également l'identification des lacunes, des limites et des besoins, là où les cadres juridiques peuvent nécessiter des révisions et une harmonisation afin de donner une cohérence entre le contenu et la forme des lois pour soutenir le LDN. A travers une série de réunions avec les acteurs gouvernementaux concernés, le projet appuiera la mise à jour de certains des textes législatifs et réglementaires suivants : </w:t>
      </w:r>
      <w:bookmarkStart w:id="35" w:name="_Hlk78967926"/>
      <w:r w:rsidRPr="000E53A0">
        <w:rPr>
          <w:rFonts w:asciiTheme="minorHAnsi" w:hAnsiTheme="minorHAnsi" w:cstheme="minorHAnsi"/>
          <w:sz w:val="20"/>
          <w:szCs w:val="20"/>
          <w:lang w:val="fr-FR"/>
        </w:rPr>
        <w:t xml:space="preserve">le code minier pour mieux contrôler l'orpaillage ; la révision du code foncier et du code des investissements </w:t>
      </w:r>
      <w:bookmarkEnd w:id="35"/>
      <w:r w:rsidRPr="000E53A0">
        <w:rPr>
          <w:rFonts w:asciiTheme="minorHAnsi" w:hAnsiTheme="minorHAnsi" w:cstheme="minorHAnsi"/>
          <w:sz w:val="20"/>
          <w:szCs w:val="20"/>
          <w:lang w:val="fr-FR"/>
        </w:rPr>
        <w:t>afin que les études d'impact environnemental et social et leur mise en œuvre puissent contribuer à éviter la dégradation des terres et aussi réduire le phénomène d'accaparement des terres et de spéculation foncière, etc.</w:t>
      </w:r>
    </w:p>
    <w:p w14:paraId="7691C807" w14:textId="77777777" w:rsidR="00601D9B" w:rsidRPr="000E53A0" w:rsidRDefault="000E53A0">
      <w:pPr>
        <w:pStyle w:val="GEFQuestion"/>
        <w:shd w:val="clear" w:color="auto" w:fill="FFFFFF"/>
        <w:ind w:left="0"/>
        <w:jc w:val="both"/>
        <w:rPr>
          <w:rFonts w:asciiTheme="minorHAnsi" w:hAnsiTheme="minorHAnsi" w:cstheme="minorHAnsi"/>
          <w:sz w:val="20"/>
          <w:szCs w:val="20"/>
          <w:lang w:val="fr-FR"/>
        </w:rPr>
      </w:pPr>
      <w:r w:rsidRPr="000E53A0">
        <w:rPr>
          <w:rFonts w:asciiTheme="minorHAnsi" w:hAnsiTheme="minorHAnsi" w:cstheme="minorHAnsi"/>
          <w:sz w:val="20"/>
          <w:szCs w:val="20"/>
          <w:lang w:val="fr-FR"/>
        </w:rPr>
        <w:t xml:space="preserve">Enfin, sur la base du diagnostic initial réalisé </w:t>
      </w:r>
      <w:r w:rsidR="00094EE6" w:rsidRPr="000E53A0">
        <w:rPr>
          <w:rFonts w:asciiTheme="minorHAnsi" w:hAnsiTheme="minorHAnsi" w:cstheme="minorHAnsi"/>
          <w:sz w:val="20"/>
          <w:szCs w:val="20"/>
          <w:lang w:val="fr-FR"/>
        </w:rPr>
        <w:t>(Output 1.1.)</w:t>
      </w:r>
      <w:r w:rsidRPr="000E53A0">
        <w:rPr>
          <w:rFonts w:asciiTheme="minorHAnsi" w:hAnsiTheme="minorHAnsi" w:cstheme="minorHAnsi"/>
          <w:sz w:val="20"/>
          <w:szCs w:val="20"/>
          <w:lang w:val="fr-FR"/>
        </w:rPr>
        <w:t>, des plans de renforcement des capacités pertinents seront mis en œuvre, notamment des formations sur des thèmes spécifiques et des supports de formation pertinents seront élaborés. Les acteurs ciblés par les sessions de renforcement des capacités sont : les agents des services techniques (niveaux national, régional et local), les élus locaux, les membres des structures communautaires, les membres des coopératives et des OP et autres personnes ressources. Il est prévu, entre autres, une sensibilisation sur la législation d'appui à la LDN, notamment : la loi d'orientation agricole, la charte pastorale et les autres textes et instruments juridiques régissant le code foncier et immobilier, l'agriculture, le pastoralisme et les ressources forestières. Par exemple, il est prévu d'organiser des formations pour les acteurs des collectivités locales sur la nature des lois et le soutien à leur application.</w:t>
      </w:r>
    </w:p>
    <w:p w14:paraId="51B3AE60" w14:textId="77777777" w:rsidR="00D22751" w:rsidRPr="000E53A0" w:rsidRDefault="00D22751" w:rsidP="004E0953">
      <w:pPr>
        <w:pStyle w:val="GEFQuestion"/>
        <w:shd w:val="clear" w:color="auto" w:fill="FFFFFF"/>
        <w:ind w:left="0"/>
        <w:jc w:val="both"/>
        <w:rPr>
          <w:rFonts w:asciiTheme="minorHAnsi" w:hAnsiTheme="minorHAnsi" w:cstheme="minorHAnsi"/>
          <w:i/>
          <w:iCs/>
          <w:color w:val="000000"/>
          <w:sz w:val="20"/>
          <w:szCs w:val="20"/>
          <w:lang w:val="fr-FR" w:eastAsia="ar-SA"/>
        </w:rPr>
      </w:pPr>
    </w:p>
    <w:p w14:paraId="75358033" w14:textId="77777777" w:rsidR="00601D9B" w:rsidRPr="000E53A0" w:rsidRDefault="000E53A0">
      <w:pPr>
        <w:pStyle w:val="GEFQuestion"/>
        <w:numPr>
          <w:ilvl w:val="0"/>
          <w:numId w:val="63"/>
        </w:numPr>
        <w:shd w:val="clear" w:color="auto" w:fill="FFFFFF"/>
        <w:jc w:val="both"/>
        <w:rPr>
          <w:rFonts w:asciiTheme="minorHAnsi" w:hAnsiTheme="minorHAnsi" w:cstheme="minorHAnsi"/>
          <w:color w:val="000000" w:themeColor="text1"/>
          <w:sz w:val="20"/>
          <w:szCs w:val="20"/>
          <w:lang w:val="fr-FR"/>
        </w:rPr>
      </w:pPr>
      <w:r w:rsidRPr="000E53A0">
        <w:rPr>
          <w:rFonts w:asciiTheme="minorHAnsi" w:hAnsiTheme="minorHAnsi" w:cstheme="minorHAnsi"/>
          <w:color w:val="000000" w:themeColor="text1"/>
          <w:sz w:val="20"/>
          <w:szCs w:val="20"/>
          <w:lang w:val="fr-FR"/>
        </w:rPr>
        <w:t>Activité 1.2.</w:t>
      </w:r>
      <w:r w:rsidR="00094EE6" w:rsidRPr="000E53A0">
        <w:rPr>
          <w:rFonts w:asciiTheme="minorHAnsi" w:hAnsiTheme="minorHAnsi" w:cstheme="minorHAnsi"/>
          <w:color w:val="000000" w:themeColor="text1"/>
          <w:sz w:val="20"/>
          <w:szCs w:val="20"/>
          <w:lang w:val="fr-FR"/>
        </w:rPr>
        <w:t xml:space="preserve">1 </w:t>
      </w:r>
      <w:r w:rsidRPr="000E53A0">
        <w:rPr>
          <w:rFonts w:asciiTheme="minorHAnsi" w:hAnsiTheme="minorHAnsi" w:cstheme="minorHAnsi"/>
          <w:color w:val="000000" w:themeColor="text1"/>
          <w:sz w:val="20"/>
          <w:szCs w:val="20"/>
          <w:lang w:val="fr-FR"/>
        </w:rPr>
        <w:t xml:space="preserve">Organiser une série d'ateliers dirigés par </w:t>
      </w:r>
      <w:r w:rsidR="00DE4C3D" w:rsidRPr="000E53A0">
        <w:rPr>
          <w:rFonts w:asciiTheme="minorHAnsi" w:hAnsiTheme="minorHAnsi" w:cstheme="minorHAnsi"/>
          <w:color w:val="000000" w:themeColor="text1"/>
          <w:sz w:val="20"/>
          <w:szCs w:val="20"/>
          <w:lang w:val="fr-FR"/>
        </w:rPr>
        <w:t>le GTN-LDN et l'</w:t>
      </w:r>
      <w:r w:rsidRPr="000E53A0">
        <w:rPr>
          <w:rFonts w:asciiTheme="minorHAnsi" w:hAnsiTheme="minorHAnsi" w:cstheme="minorHAnsi"/>
          <w:color w:val="000000" w:themeColor="text1"/>
          <w:sz w:val="20"/>
          <w:szCs w:val="20"/>
          <w:lang w:val="fr-FR"/>
        </w:rPr>
        <w:t>Institut d'Economie Rurale (IER) du Mali avec le gouvernement (niveaux national, régional, cercle représentés), la recherche et les partenaires de la société civile pour développer un plan d'action pour atteindre et suivre les objectifs de neutralité de la dégradation des terres.</w:t>
      </w:r>
    </w:p>
    <w:p w14:paraId="208410E0" w14:textId="77777777" w:rsidR="00601D9B" w:rsidRPr="000E53A0" w:rsidRDefault="000E53A0">
      <w:pPr>
        <w:pStyle w:val="GEFQuestion"/>
        <w:numPr>
          <w:ilvl w:val="0"/>
          <w:numId w:val="63"/>
        </w:numPr>
        <w:shd w:val="clear" w:color="auto" w:fill="FFFFFF"/>
        <w:jc w:val="both"/>
        <w:rPr>
          <w:rFonts w:asciiTheme="minorHAnsi" w:hAnsiTheme="minorHAnsi" w:cstheme="minorHAnsi"/>
          <w:color w:val="000000" w:themeColor="text1"/>
          <w:sz w:val="20"/>
          <w:szCs w:val="20"/>
          <w:lang w:val="fr-FR"/>
        </w:rPr>
      </w:pPr>
      <w:r w:rsidRPr="000E53A0">
        <w:rPr>
          <w:rFonts w:asciiTheme="minorHAnsi" w:hAnsiTheme="minorHAnsi" w:cstheme="minorHAnsi"/>
          <w:color w:val="000000" w:themeColor="text1"/>
          <w:sz w:val="20"/>
          <w:szCs w:val="20"/>
          <w:lang w:val="fr-FR"/>
        </w:rPr>
        <w:t>Activité 1.2.</w:t>
      </w:r>
      <w:r w:rsidR="00094EE6" w:rsidRPr="000E53A0">
        <w:rPr>
          <w:rFonts w:asciiTheme="minorHAnsi" w:hAnsiTheme="minorHAnsi" w:cstheme="minorHAnsi"/>
          <w:color w:val="000000" w:themeColor="text1"/>
          <w:sz w:val="20"/>
          <w:szCs w:val="20"/>
          <w:lang w:val="fr-FR"/>
        </w:rPr>
        <w:t xml:space="preserve">2 </w:t>
      </w:r>
      <w:r w:rsidRPr="000E53A0">
        <w:rPr>
          <w:rFonts w:asciiTheme="minorHAnsi" w:hAnsiTheme="minorHAnsi" w:cstheme="minorHAnsi"/>
          <w:color w:val="000000" w:themeColor="text1"/>
          <w:sz w:val="20"/>
          <w:szCs w:val="20"/>
          <w:lang w:val="fr-FR"/>
        </w:rPr>
        <w:t xml:space="preserve">Entreprendre une mise à jour de la législation sur les ressources naturelles afin d'harmoniser et de combler les lacunes en matière de gestion efficace et de restauration comme base pour une mise en œuvre efficace du LDN. </w:t>
      </w:r>
    </w:p>
    <w:p w14:paraId="05882E08" w14:textId="77777777" w:rsidR="00601D9B" w:rsidRPr="000E53A0" w:rsidRDefault="000E53A0">
      <w:pPr>
        <w:pStyle w:val="GEFQuestion"/>
        <w:numPr>
          <w:ilvl w:val="0"/>
          <w:numId w:val="63"/>
        </w:numPr>
        <w:shd w:val="clear" w:color="auto" w:fill="FFFFFF"/>
        <w:jc w:val="both"/>
        <w:rPr>
          <w:rFonts w:asciiTheme="minorHAnsi" w:hAnsiTheme="minorHAnsi" w:cstheme="minorHAnsi"/>
          <w:color w:val="000000" w:themeColor="text1"/>
          <w:sz w:val="20"/>
          <w:szCs w:val="20"/>
          <w:lang w:val="fr-FR"/>
        </w:rPr>
      </w:pPr>
      <w:r w:rsidRPr="000E53A0">
        <w:rPr>
          <w:rFonts w:asciiTheme="minorHAnsi" w:hAnsiTheme="minorHAnsi" w:cstheme="minorHAnsi"/>
          <w:color w:val="000000" w:themeColor="text1"/>
          <w:sz w:val="20"/>
          <w:szCs w:val="20"/>
          <w:lang w:val="fr-FR"/>
        </w:rPr>
        <w:t>Activité 1.2.</w:t>
      </w:r>
      <w:r w:rsidR="00094EE6" w:rsidRPr="000E53A0">
        <w:rPr>
          <w:rFonts w:asciiTheme="minorHAnsi" w:hAnsiTheme="minorHAnsi" w:cstheme="minorHAnsi"/>
          <w:color w:val="000000" w:themeColor="text1"/>
          <w:sz w:val="20"/>
          <w:szCs w:val="20"/>
          <w:lang w:val="fr-FR"/>
        </w:rPr>
        <w:t xml:space="preserve">3 </w:t>
      </w:r>
      <w:r w:rsidRPr="000E53A0">
        <w:rPr>
          <w:rFonts w:asciiTheme="minorHAnsi" w:hAnsiTheme="minorHAnsi" w:cstheme="minorHAnsi"/>
          <w:color w:val="000000" w:themeColor="text1"/>
          <w:sz w:val="20"/>
          <w:szCs w:val="20"/>
          <w:lang w:val="fr-FR"/>
        </w:rPr>
        <w:t xml:space="preserve">Organiser une série de sessions de renforcement des capacités des acteurs </w:t>
      </w:r>
      <w:r w:rsidR="00094EE6" w:rsidRPr="000E53A0">
        <w:rPr>
          <w:rFonts w:asciiTheme="minorHAnsi" w:hAnsiTheme="minorHAnsi" w:cstheme="minorHAnsi"/>
          <w:color w:val="000000" w:themeColor="text1"/>
          <w:sz w:val="20"/>
          <w:szCs w:val="20"/>
          <w:lang w:val="fr-FR"/>
        </w:rPr>
        <w:t xml:space="preserve">concernés </w:t>
      </w:r>
      <w:r w:rsidRPr="000E53A0">
        <w:rPr>
          <w:rFonts w:asciiTheme="minorHAnsi" w:hAnsiTheme="minorHAnsi" w:cstheme="minorHAnsi"/>
          <w:color w:val="000000" w:themeColor="text1"/>
          <w:sz w:val="20"/>
          <w:szCs w:val="20"/>
          <w:lang w:val="fr-FR"/>
        </w:rPr>
        <w:t>sur les lois relatives au LDN.</w:t>
      </w:r>
    </w:p>
    <w:p w14:paraId="545A956A" w14:textId="77777777" w:rsidR="00D22751" w:rsidRPr="000E53A0" w:rsidRDefault="00D22751" w:rsidP="004E0953">
      <w:pPr>
        <w:pStyle w:val="GEFQuestion"/>
        <w:shd w:val="clear" w:color="auto" w:fill="FFFFFF"/>
        <w:ind w:left="0"/>
        <w:jc w:val="both"/>
        <w:rPr>
          <w:rFonts w:asciiTheme="minorHAnsi" w:hAnsiTheme="minorHAnsi" w:cstheme="minorHAnsi"/>
          <w:i/>
          <w:iCs/>
          <w:color w:val="000000" w:themeColor="text1"/>
          <w:sz w:val="20"/>
          <w:szCs w:val="20"/>
          <w:highlight w:val="yellow"/>
          <w:lang w:val="fr-FR"/>
        </w:rPr>
      </w:pPr>
    </w:p>
    <w:p w14:paraId="3222D94D" w14:textId="77777777" w:rsidR="00601D9B" w:rsidRPr="000E53A0" w:rsidRDefault="000E53A0">
      <w:pPr>
        <w:pStyle w:val="GEFQuestion"/>
        <w:shd w:val="clear" w:color="auto" w:fill="FFFFFF"/>
        <w:ind w:left="0"/>
        <w:jc w:val="both"/>
        <w:rPr>
          <w:rFonts w:asciiTheme="minorHAnsi" w:hAnsiTheme="minorHAnsi" w:cstheme="minorHAnsi"/>
          <w:i/>
          <w:iCs/>
          <w:sz w:val="20"/>
          <w:szCs w:val="20"/>
          <w:lang w:val="fr-FR"/>
        </w:rPr>
      </w:pPr>
      <w:r w:rsidRPr="000E53A0">
        <w:rPr>
          <w:rFonts w:asciiTheme="minorHAnsi" w:hAnsiTheme="minorHAnsi" w:cstheme="minorHAnsi"/>
          <w:i/>
          <w:iCs/>
          <w:sz w:val="20"/>
          <w:szCs w:val="20"/>
          <w:lang w:val="fr-FR"/>
        </w:rPr>
        <w:t>Produit 1.3 : Élaboration de cartes et d'évaluations régionales des risques et des vulnérabilités climatiques, avec application du cadre de sensibilité à la sécurité (FPMA)</w:t>
      </w:r>
    </w:p>
    <w:p w14:paraId="7DF737FC" w14:textId="77777777" w:rsidR="00601D9B" w:rsidRPr="000E53A0" w:rsidRDefault="000E53A0">
      <w:pPr>
        <w:jc w:val="both"/>
        <w:rPr>
          <w:rFonts w:asciiTheme="minorHAnsi" w:hAnsiTheme="minorHAnsi" w:cstheme="minorHAnsi"/>
          <w:sz w:val="20"/>
          <w:szCs w:val="20"/>
          <w:lang w:val="fr-FR"/>
        </w:rPr>
      </w:pPr>
      <w:r w:rsidRPr="000E53A0">
        <w:rPr>
          <w:rFonts w:asciiTheme="minorHAnsi" w:hAnsiTheme="minorHAnsi" w:cstheme="minorHAnsi"/>
          <w:sz w:val="20"/>
          <w:szCs w:val="20"/>
          <w:lang w:val="fr-FR"/>
        </w:rPr>
        <w:t xml:space="preserve">Le Mali manque d'informations actualisées sur les risques climatiques et la vulnérabilité pour améliorer les processus décisionnels. Le projet propose donc, avec l'aide de l'IGM et de Mali Meteo, de développer une méthodologie commune pour mesurer la vulnérabilité des communautés et leur capacité d'adaptation au changement climatique, en s'appuyant sur les initiatives existantes. Une formation sera ensuite dispensée au </w:t>
      </w:r>
      <w:r w:rsidR="002C53A7" w:rsidRPr="000E53A0">
        <w:rPr>
          <w:rFonts w:asciiTheme="minorHAnsi" w:hAnsiTheme="minorHAnsi" w:cstheme="minorHAnsi"/>
          <w:sz w:val="20"/>
          <w:szCs w:val="20"/>
          <w:lang w:val="fr-FR"/>
        </w:rPr>
        <w:t xml:space="preserve">personnel de </w:t>
      </w:r>
      <w:r w:rsidRPr="000E53A0">
        <w:rPr>
          <w:rFonts w:asciiTheme="minorHAnsi" w:hAnsiTheme="minorHAnsi" w:cstheme="minorHAnsi"/>
          <w:sz w:val="20"/>
          <w:szCs w:val="20"/>
          <w:lang w:val="fr-FR"/>
        </w:rPr>
        <w:t xml:space="preserve">15 </w:t>
      </w:r>
      <w:r w:rsidR="002C53A7" w:rsidRPr="000E53A0">
        <w:rPr>
          <w:rFonts w:asciiTheme="minorHAnsi" w:hAnsiTheme="minorHAnsi" w:cstheme="minorHAnsi"/>
          <w:sz w:val="20"/>
          <w:szCs w:val="20"/>
          <w:lang w:val="fr-FR"/>
        </w:rPr>
        <w:t xml:space="preserve">institutions </w:t>
      </w:r>
      <w:r w:rsidRPr="000E53A0">
        <w:rPr>
          <w:rFonts w:asciiTheme="minorHAnsi" w:hAnsiTheme="minorHAnsi" w:cstheme="minorHAnsi"/>
          <w:sz w:val="20"/>
          <w:szCs w:val="20"/>
          <w:lang w:val="fr-FR"/>
        </w:rPr>
        <w:t xml:space="preserve">(par </w:t>
      </w:r>
      <w:r w:rsidR="002C53A7" w:rsidRPr="000E53A0">
        <w:rPr>
          <w:rFonts w:asciiTheme="minorHAnsi" w:hAnsiTheme="minorHAnsi" w:cstheme="minorHAnsi"/>
          <w:sz w:val="20"/>
          <w:szCs w:val="20"/>
          <w:lang w:val="fr-FR"/>
        </w:rPr>
        <w:t xml:space="preserve">exemple </w:t>
      </w:r>
      <w:r w:rsidRPr="000E53A0">
        <w:rPr>
          <w:rFonts w:asciiTheme="minorHAnsi" w:hAnsiTheme="minorHAnsi" w:cstheme="minorHAnsi"/>
          <w:sz w:val="20"/>
          <w:szCs w:val="20"/>
          <w:lang w:val="fr-FR"/>
        </w:rPr>
        <w:t xml:space="preserve">Mali Meteo, DRSIAP, SAP régional) sur la méthodologie d'élaboration des cartes de risque et de vulnérabilité climatiques (c'est-à-dire la méthodologie de collecte et de traitement des données, le logiciel de traitement) dans le cadre d'un atelier de deux jours. Les formations couvriront l'identification des impacts climatiques ainsi que les paramètres de sensibilité et de vulnérabilité à prendre en compte dans la méthodologie. La mise en œuvre des évaluations biennales reposera sur la collecte de données effectuée par 40 jeunes dans les </w:t>
      </w:r>
      <w:r w:rsidR="00557A78" w:rsidRPr="000E53A0">
        <w:rPr>
          <w:rFonts w:asciiTheme="minorHAnsi" w:hAnsiTheme="minorHAnsi" w:cstheme="minorHAnsi"/>
          <w:sz w:val="20"/>
          <w:szCs w:val="20"/>
          <w:lang w:val="fr-FR"/>
        </w:rPr>
        <w:t xml:space="preserve">deux </w:t>
      </w:r>
      <w:r w:rsidRPr="000E53A0">
        <w:rPr>
          <w:rFonts w:asciiTheme="minorHAnsi" w:hAnsiTheme="minorHAnsi" w:cstheme="minorHAnsi"/>
          <w:sz w:val="20"/>
          <w:szCs w:val="20"/>
          <w:lang w:val="fr-FR"/>
        </w:rPr>
        <w:t xml:space="preserve">régions centrales du Mali où le projet sera </w:t>
      </w:r>
      <w:r w:rsidR="000917A8" w:rsidRPr="000E53A0">
        <w:rPr>
          <w:rFonts w:asciiTheme="minorHAnsi" w:hAnsiTheme="minorHAnsi" w:cstheme="minorHAnsi"/>
          <w:sz w:val="20"/>
          <w:szCs w:val="20"/>
          <w:lang w:val="fr-FR"/>
        </w:rPr>
        <w:t>mis en œuvre</w:t>
      </w:r>
      <w:r w:rsidRPr="000E53A0">
        <w:rPr>
          <w:rFonts w:asciiTheme="minorHAnsi" w:hAnsiTheme="minorHAnsi" w:cstheme="minorHAnsi"/>
          <w:sz w:val="20"/>
          <w:szCs w:val="20"/>
          <w:lang w:val="fr-FR"/>
        </w:rPr>
        <w:t>, qui auront reçu une formation d'une journée sur des aspects tels que l'administration des enquêtes auprès des ménages et la vérification des cartes sur le terrain.</w:t>
      </w:r>
      <w:r w:rsidR="00557A78" w:rsidRPr="000E53A0">
        <w:rPr>
          <w:rFonts w:asciiTheme="minorHAnsi" w:hAnsiTheme="minorHAnsi" w:cstheme="minorHAnsi"/>
          <w:sz w:val="20"/>
          <w:szCs w:val="20"/>
          <w:lang w:val="fr-FR"/>
        </w:rPr>
        <w:t xml:space="preserve"> Le projet s'appuiera sur les membres de plateformes communautaires bien </w:t>
      </w:r>
      <w:r w:rsidR="00557A78" w:rsidRPr="000E53A0">
        <w:rPr>
          <w:rFonts w:asciiTheme="minorHAnsi" w:hAnsiTheme="minorHAnsi" w:cstheme="minorHAnsi"/>
          <w:sz w:val="20"/>
          <w:szCs w:val="20"/>
          <w:lang w:val="fr-FR"/>
        </w:rPr>
        <w:lastRenderedPageBreak/>
        <w:t>organisées, comme les groupes d'alerte précoce qui répondent au SAP régional, et/ou les comités communaux de jeunes.</w:t>
      </w:r>
    </w:p>
    <w:p w14:paraId="102BB6A9" w14:textId="77777777" w:rsidR="00601D9B" w:rsidRPr="000E53A0" w:rsidRDefault="000E53A0">
      <w:pPr>
        <w:jc w:val="both"/>
        <w:rPr>
          <w:rFonts w:asciiTheme="minorHAnsi" w:hAnsiTheme="minorHAnsi" w:cstheme="minorHAnsi"/>
          <w:sz w:val="20"/>
          <w:szCs w:val="20"/>
          <w:lang w:val="fr-FR"/>
        </w:rPr>
      </w:pPr>
      <w:r w:rsidRPr="000E53A0">
        <w:rPr>
          <w:rFonts w:asciiTheme="minorHAnsi" w:hAnsiTheme="minorHAnsi" w:cstheme="minorHAnsi"/>
          <w:sz w:val="20"/>
          <w:szCs w:val="20"/>
          <w:lang w:val="fr-FR"/>
        </w:rPr>
        <w:t xml:space="preserve">IGM dirigera la préparation de l'évaluation et de la cartographie </w:t>
      </w:r>
      <w:r w:rsidR="00557A78" w:rsidRPr="000E53A0">
        <w:rPr>
          <w:rFonts w:asciiTheme="minorHAnsi" w:hAnsiTheme="minorHAnsi" w:cstheme="minorHAnsi"/>
          <w:sz w:val="20"/>
          <w:szCs w:val="20"/>
          <w:lang w:val="fr-FR"/>
        </w:rPr>
        <w:t>au début et à la fin du projet</w:t>
      </w:r>
      <w:r w:rsidRPr="000E53A0">
        <w:rPr>
          <w:rFonts w:asciiTheme="minorHAnsi" w:hAnsiTheme="minorHAnsi" w:cstheme="minorHAnsi"/>
          <w:sz w:val="20"/>
          <w:szCs w:val="20"/>
          <w:lang w:val="fr-FR"/>
        </w:rPr>
        <w:t xml:space="preserve">, et désignera une équipe chargée de superviser le processus, et de mener le suivi et l'évaluation. Ils rendront également compte des résultats aux </w:t>
      </w:r>
      <w:r w:rsidR="00557A78" w:rsidRPr="000E53A0">
        <w:rPr>
          <w:rFonts w:asciiTheme="minorHAnsi" w:hAnsiTheme="minorHAnsi" w:cstheme="minorHAnsi"/>
          <w:sz w:val="20"/>
          <w:szCs w:val="20"/>
          <w:lang w:val="fr-FR"/>
        </w:rPr>
        <w:t>autorités communales et aux communautés cibles, ainsi qu'aux autorités nationales</w:t>
      </w:r>
      <w:r w:rsidRPr="000E53A0">
        <w:rPr>
          <w:rFonts w:asciiTheme="minorHAnsi" w:hAnsiTheme="minorHAnsi" w:cstheme="minorHAnsi"/>
          <w:sz w:val="20"/>
          <w:szCs w:val="20"/>
          <w:lang w:val="fr-FR"/>
        </w:rPr>
        <w:t>, en analysant les liens entre les risques liés à la sécurité et au changement climatique, et fourniront une analyse spatiale des risques avec des mesures d'atténuation et de gouvernance recommandées.</w:t>
      </w:r>
      <w:r w:rsidR="00557A78" w:rsidRPr="000E53A0">
        <w:rPr>
          <w:rFonts w:asciiTheme="minorHAnsi" w:hAnsiTheme="minorHAnsi" w:cstheme="minorHAnsi"/>
          <w:sz w:val="20"/>
          <w:szCs w:val="20"/>
          <w:lang w:val="fr-FR"/>
        </w:rPr>
        <w:t xml:space="preserve"> Cela comprendra un atelier pour rendre compte des résultats au niveau national, ainsi que la diffusion des résultats aux services techniques locaux concernés (par exemple, SAP, agriculture) et à d'autres structures communautaires. L'information sera également communiquée aux communautés par le biais d'assemblées générales et d'émissions de radio.</w:t>
      </w:r>
    </w:p>
    <w:p w14:paraId="780B2B76" w14:textId="77777777" w:rsidR="00D22751" w:rsidRPr="000E53A0" w:rsidRDefault="00D22751" w:rsidP="004E0953">
      <w:pPr>
        <w:pStyle w:val="GEFQuestion"/>
        <w:shd w:val="clear" w:color="auto" w:fill="FFFFFF"/>
        <w:ind w:left="0"/>
        <w:jc w:val="both"/>
        <w:rPr>
          <w:rFonts w:asciiTheme="minorHAnsi" w:hAnsiTheme="minorHAnsi" w:cstheme="minorHAnsi"/>
          <w:sz w:val="20"/>
          <w:szCs w:val="20"/>
          <w:lang w:val="fr-FR"/>
        </w:rPr>
      </w:pPr>
    </w:p>
    <w:p w14:paraId="5F8F454D" w14:textId="77777777" w:rsidR="00601D9B" w:rsidRPr="000E53A0" w:rsidRDefault="000E53A0">
      <w:pPr>
        <w:pStyle w:val="GEFQuestion"/>
        <w:numPr>
          <w:ilvl w:val="0"/>
          <w:numId w:val="62"/>
        </w:numPr>
        <w:shd w:val="clear" w:color="auto" w:fill="FFFFFF"/>
        <w:jc w:val="both"/>
        <w:rPr>
          <w:rFonts w:asciiTheme="minorHAnsi" w:hAnsiTheme="minorHAnsi" w:cstheme="minorHAnsi"/>
          <w:sz w:val="20"/>
          <w:szCs w:val="20"/>
          <w:lang w:val="fr-FR"/>
        </w:rPr>
      </w:pPr>
      <w:r w:rsidRPr="000E53A0">
        <w:rPr>
          <w:rFonts w:asciiTheme="minorHAnsi" w:hAnsiTheme="minorHAnsi" w:cstheme="minorHAnsi"/>
          <w:sz w:val="20"/>
          <w:szCs w:val="20"/>
          <w:lang w:val="fr-FR"/>
        </w:rPr>
        <w:t>Activité 1.3.1 Développement d'une méthodologie commune pour mesurer la vulnérabilité et la capacité d'adaptation des communautés au changement climatique</w:t>
      </w:r>
    </w:p>
    <w:p w14:paraId="1662897F" w14:textId="77777777" w:rsidR="00601D9B" w:rsidRPr="000E53A0" w:rsidRDefault="000E53A0">
      <w:pPr>
        <w:pStyle w:val="GEFQuestion"/>
        <w:numPr>
          <w:ilvl w:val="0"/>
          <w:numId w:val="62"/>
        </w:numPr>
        <w:shd w:val="clear" w:color="auto" w:fill="FFFFFF"/>
        <w:jc w:val="both"/>
        <w:rPr>
          <w:rFonts w:asciiTheme="minorHAnsi" w:hAnsiTheme="minorHAnsi" w:cstheme="minorHAnsi"/>
          <w:sz w:val="20"/>
          <w:szCs w:val="20"/>
          <w:lang w:val="fr-FR"/>
        </w:rPr>
      </w:pPr>
      <w:r w:rsidRPr="000E53A0">
        <w:rPr>
          <w:rFonts w:asciiTheme="minorHAnsi" w:hAnsiTheme="minorHAnsi" w:cstheme="minorHAnsi"/>
          <w:sz w:val="20"/>
          <w:szCs w:val="20"/>
          <w:lang w:val="fr-FR"/>
        </w:rPr>
        <w:t xml:space="preserve">Activité 1.3.2 Organiser une formation pour les jeunes des </w:t>
      </w:r>
      <w:r w:rsidR="00557A78" w:rsidRPr="000E53A0">
        <w:rPr>
          <w:rFonts w:asciiTheme="minorHAnsi" w:hAnsiTheme="minorHAnsi" w:cstheme="minorHAnsi"/>
          <w:sz w:val="20"/>
          <w:szCs w:val="20"/>
          <w:lang w:val="fr-FR"/>
        </w:rPr>
        <w:t xml:space="preserve">deux </w:t>
      </w:r>
      <w:r w:rsidRPr="000E53A0">
        <w:rPr>
          <w:rFonts w:asciiTheme="minorHAnsi" w:hAnsiTheme="minorHAnsi" w:cstheme="minorHAnsi"/>
          <w:sz w:val="20"/>
          <w:szCs w:val="20"/>
          <w:lang w:val="fr-FR"/>
        </w:rPr>
        <w:t>régions centrales afin de mener une évaluation, y compris des enquêtes sur les ménages et la vérification des cartes sur le terrain.</w:t>
      </w:r>
    </w:p>
    <w:p w14:paraId="5D417D8A" w14:textId="77777777" w:rsidR="00601D9B" w:rsidRPr="000E53A0" w:rsidRDefault="000E53A0">
      <w:pPr>
        <w:pStyle w:val="GEFQuestion"/>
        <w:numPr>
          <w:ilvl w:val="0"/>
          <w:numId w:val="62"/>
        </w:numPr>
        <w:shd w:val="clear" w:color="auto" w:fill="FFFFFF"/>
        <w:jc w:val="both"/>
        <w:rPr>
          <w:rFonts w:asciiTheme="minorHAnsi" w:hAnsiTheme="minorHAnsi" w:cstheme="minorHAnsi"/>
          <w:sz w:val="20"/>
          <w:szCs w:val="20"/>
          <w:lang w:val="fr-FR"/>
        </w:rPr>
      </w:pPr>
      <w:r w:rsidRPr="000E53A0">
        <w:rPr>
          <w:rFonts w:asciiTheme="minorHAnsi" w:hAnsiTheme="minorHAnsi" w:cstheme="minorHAnsi"/>
          <w:sz w:val="20"/>
          <w:szCs w:val="20"/>
          <w:lang w:val="fr-FR"/>
        </w:rPr>
        <w:t xml:space="preserve">Activité 1.3.3 Réalisation de </w:t>
      </w:r>
      <w:r w:rsidR="00557A78" w:rsidRPr="000E53A0">
        <w:rPr>
          <w:rFonts w:asciiTheme="minorHAnsi" w:hAnsiTheme="minorHAnsi" w:cstheme="minorHAnsi"/>
          <w:sz w:val="20"/>
          <w:szCs w:val="20"/>
          <w:lang w:val="fr-FR"/>
        </w:rPr>
        <w:t xml:space="preserve">deux évaluations </w:t>
      </w:r>
      <w:r w:rsidRPr="000E53A0">
        <w:rPr>
          <w:rFonts w:asciiTheme="minorHAnsi" w:hAnsiTheme="minorHAnsi" w:cstheme="minorHAnsi"/>
          <w:sz w:val="20"/>
          <w:szCs w:val="20"/>
          <w:lang w:val="fr-FR"/>
        </w:rPr>
        <w:t xml:space="preserve">et cartographie de la vulnérabilité au changement climatique dans les </w:t>
      </w:r>
      <w:r w:rsidR="00557A78" w:rsidRPr="000E53A0">
        <w:rPr>
          <w:rFonts w:asciiTheme="minorHAnsi" w:hAnsiTheme="minorHAnsi" w:cstheme="minorHAnsi"/>
          <w:sz w:val="20"/>
          <w:szCs w:val="20"/>
          <w:lang w:val="fr-FR"/>
        </w:rPr>
        <w:t xml:space="preserve">deux </w:t>
      </w:r>
      <w:r w:rsidRPr="000E53A0">
        <w:rPr>
          <w:rFonts w:asciiTheme="minorHAnsi" w:hAnsiTheme="minorHAnsi" w:cstheme="minorHAnsi"/>
          <w:sz w:val="20"/>
          <w:szCs w:val="20"/>
          <w:lang w:val="fr-FR"/>
        </w:rPr>
        <w:t xml:space="preserve">régions du centre du Mali </w:t>
      </w:r>
      <w:r w:rsidR="00557A78" w:rsidRPr="000E53A0">
        <w:rPr>
          <w:rFonts w:asciiTheme="minorHAnsi" w:hAnsiTheme="minorHAnsi" w:cstheme="minorHAnsi"/>
          <w:sz w:val="20"/>
          <w:szCs w:val="20"/>
          <w:lang w:val="fr-FR"/>
        </w:rPr>
        <w:t>(au début et à la fin du projet)</w:t>
      </w:r>
    </w:p>
    <w:p w14:paraId="3479FE03" w14:textId="77777777" w:rsidR="00601D9B" w:rsidRPr="000E53A0" w:rsidRDefault="000E53A0">
      <w:pPr>
        <w:pStyle w:val="GEFQuestion"/>
        <w:numPr>
          <w:ilvl w:val="0"/>
          <w:numId w:val="62"/>
        </w:numPr>
        <w:shd w:val="clear" w:color="auto" w:fill="FFFFFF"/>
        <w:jc w:val="both"/>
        <w:rPr>
          <w:rFonts w:asciiTheme="minorHAnsi" w:hAnsiTheme="minorHAnsi" w:cstheme="minorHAnsi"/>
          <w:sz w:val="20"/>
          <w:szCs w:val="20"/>
          <w:lang w:val="fr-FR"/>
        </w:rPr>
      </w:pPr>
      <w:r w:rsidRPr="000E53A0">
        <w:rPr>
          <w:rFonts w:asciiTheme="minorHAnsi" w:hAnsiTheme="minorHAnsi" w:cstheme="minorHAnsi"/>
          <w:sz w:val="20"/>
          <w:szCs w:val="20"/>
          <w:lang w:val="fr-FR"/>
        </w:rPr>
        <w:t xml:space="preserve">Activité 1.3.4 Communiquer les résultats aux </w:t>
      </w:r>
      <w:r w:rsidR="00557A78" w:rsidRPr="000E53A0">
        <w:rPr>
          <w:rFonts w:asciiTheme="minorHAnsi" w:hAnsiTheme="minorHAnsi" w:cstheme="minorHAnsi"/>
          <w:sz w:val="20"/>
          <w:szCs w:val="20"/>
          <w:lang w:val="fr-FR"/>
        </w:rPr>
        <w:t>autorités communales et aux communautés cibles, ainsi qu'aux autorités nationales</w:t>
      </w:r>
      <w:r w:rsidRPr="000E53A0">
        <w:rPr>
          <w:rFonts w:asciiTheme="minorHAnsi" w:hAnsiTheme="minorHAnsi" w:cstheme="minorHAnsi"/>
          <w:sz w:val="20"/>
          <w:szCs w:val="20"/>
          <w:lang w:val="fr-FR"/>
        </w:rPr>
        <w:t>, en analysant les liens entre les risques liés à la sécurité et au changement climatique, et en fournissant une analyse spatiale des risques avec des mesures d'atténuation et de gouvernance recommandées.</w:t>
      </w:r>
    </w:p>
    <w:p w14:paraId="47127BA0" w14:textId="77777777" w:rsidR="00D22751" w:rsidRPr="000E53A0" w:rsidRDefault="00D22751" w:rsidP="004E0953">
      <w:pPr>
        <w:pStyle w:val="GEFQuestion"/>
        <w:shd w:val="clear" w:color="auto" w:fill="FFFFFF"/>
        <w:ind w:left="0"/>
        <w:jc w:val="both"/>
        <w:rPr>
          <w:rFonts w:asciiTheme="minorHAnsi" w:hAnsiTheme="minorHAnsi" w:cstheme="minorHAnsi"/>
          <w:sz w:val="20"/>
          <w:szCs w:val="20"/>
          <w:lang w:val="fr-FR"/>
        </w:rPr>
      </w:pPr>
    </w:p>
    <w:p w14:paraId="2B1D8E5B" w14:textId="77777777" w:rsidR="00601D9B" w:rsidRPr="000E53A0" w:rsidRDefault="000E53A0">
      <w:pPr>
        <w:pStyle w:val="GEFQuestion"/>
        <w:shd w:val="clear" w:color="auto" w:fill="FFFFFF"/>
        <w:spacing w:before="120"/>
        <w:ind w:left="0"/>
        <w:jc w:val="both"/>
        <w:rPr>
          <w:rFonts w:asciiTheme="minorHAnsi" w:hAnsiTheme="minorHAnsi" w:cstheme="minorHAnsi"/>
          <w:color w:val="000000"/>
          <w:sz w:val="20"/>
          <w:szCs w:val="20"/>
          <w:lang w:val="fr-FR"/>
        </w:rPr>
      </w:pPr>
      <w:r w:rsidRPr="000E53A0">
        <w:rPr>
          <w:rFonts w:asciiTheme="minorHAnsi" w:hAnsiTheme="minorHAnsi" w:cstheme="minorHAnsi"/>
          <w:b/>
          <w:bCs/>
          <w:color w:val="000000"/>
          <w:sz w:val="20"/>
          <w:szCs w:val="20"/>
          <w:lang w:val="fr-FR"/>
        </w:rPr>
        <w:t>Composante 2 : Renforcement de la résilience des paysages de production dégradés avec des communautés vulnérables au changement climatique</w:t>
      </w:r>
      <w:r w:rsidRPr="000E53A0">
        <w:rPr>
          <w:rFonts w:asciiTheme="minorHAnsi" w:hAnsiTheme="minorHAnsi" w:cstheme="minorHAnsi"/>
          <w:color w:val="000000"/>
          <w:sz w:val="20"/>
          <w:szCs w:val="20"/>
          <w:lang w:val="fr-FR"/>
        </w:rPr>
        <w:t xml:space="preserve">. Le résultat attendu de cette composante est la </w:t>
      </w:r>
      <w:r w:rsidRPr="000E53A0">
        <w:rPr>
          <w:rFonts w:asciiTheme="minorHAnsi" w:hAnsiTheme="minorHAnsi" w:cstheme="minorHAnsi"/>
          <w:i/>
          <w:iCs/>
          <w:sz w:val="20"/>
          <w:szCs w:val="20"/>
          <w:lang w:val="fr-FR"/>
        </w:rPr>
        <w:t>restauration de la productivité et l'augmentation des rendements dans les paysages vulnérables de pâturage, d'agriculture et de pêche grâce à une gestion communautaire efficace dans les régions centrales du Mali</w:t>
      </w:r>
      <w:r w:rsidRPr="000E53A0">
        <w:rPr>
          <w:rFonts w:asciiTheme="minorHAnsi" w:hAnsiTheme="minorHAnsi" w:cstheme="minorHAnsi"/>
          <w:color w:val="000000"/>
          <w:sz w:val="20"/>
          <w:szCs w:val="20"/>
          <w:lang w:val="fr-FR"/>
        </w:rPr>
        <w:t xml:space="preserve">. </w:t>
      </w:r>
    </w:p>
    <w:p w14:paraId="27EAFBBF" w14:textId="77777777" w:rsidR="00601D9B" w:rsidRPr="000E53A0" w:rsidRDefault="000E53A0">
      <w:pPr>
        <w:pStyle w:val="GEFQuestion"/>
        <w:shd w:val="clear" w:color="auto" w:fill="FFFFFF"/>
        <w:spacing w:before="120"/>
        <w:ind w:left="0"/>
        <w:jc w:val="both"/>
        <w:rPr>
          <w:rFonts w:asciiTheme="minorHAnsi" w:hAnsiTheme="minorHAnsi" w:cstheme="minorHAnsi"/>
          <w:sz w:val="20"/>
          <w:szCs w:val="20"/>
          <w:lang w:val="fr-FR"/>
        </w:rPr>
      </w:pPr>
      <w:r w:rsidRPr="000E53A0">
        <w:rPr>
          <w:rFonts w:asciiTheme="minorHAnsi" w:hAnsiTheme="minorHAnsi" w:cstheme="minorHAnsi"/>
          <w:color w:val="222222"/>
          <w:sz w:val="20"/>
          <w:szCs w:val="20"/>
          <w:lang w:val="fr-FR"/>
        </w:rPr>
        <w:t>Grâce à cette composante 2</w:t>
      </w:r>
      <w:r w:rsidR="00D22751" w:rsidRPr="000E53A0">
        <w:rPr>
          <w:rFonts w:asciiTheme="minorHAnsi" w:hAnsiTheme="minorHAnsi" w:cstheme="minorHAnsi"/>
          <w:color w:val="222222"/>
          <w:sz w:val="20"/>
          <w:szCs w:val="20"/>
          <w:lang w:val="fr-FR"/>
        </w:rPr>
        <w:t xml:space="preserve">, des ressources importantes sont investies dans le renforcement de la résilience des communautés très vulnérables des régions centrales du Mali aux </w:t>
      </w:r>
      <w:r w:rsidR="00D22751" w:rsidRPr="000E53A0">
        <w:rPr>
          <w:rFonts w:asciiTheme="minorHAnsi" w:hAnsiTheme="minorHAnsi" w:cstheme="minorHAnsi"/>
          <w:sz w:val="20"/>
          <w:szCs w:val="20"/>
          <w:lang w:val="fr-FR"/>
        </w:rPr>
        <w:t xml:space="preserve">impacts du changement climatique, en plus de la dégradation anthropique des différents paysages cibles. Puisque le résultat net de ces effets climatiques et anthropogéniques est une diminution de la capacité de production, l'accent est mis dans le scénario alternatif sur les interventions du projet qui restaurent et améliorent la capacité de production - en réduisant également la concurrence sur les ressources naturelles et en permettant l'adaptation au changement climatique. Les activités agricoles et agroforestières de la composante 2, axées sur l'augmentation de la production, seront liées au développement des petites entreprises dans la composante 3, en donnant la priorité aux opportunités pour les femmes et les jeunes. Les interventions du projet sont soigneusement conçues pour promouvoir la paix et la réconciliation entre les communautés dans les paysages cibles des régions centrales du Mali, et pour éviter d'alimenter involontairement les tensions ou les conflits sous-jacents - en appliquant une approche d'adaptation </w:t>
      </w:r>
      <w:r w:rsidR="00432700" w:rsidRPr="000E53A0">
        <w:rPr>
          <w:rFonts w:asciiTheme="minorHAnsi" w:hAnsiTheme="minorHAnsi" w:cstheme="minorHAnsi"/>
          <w:sz w:val="20"/>
          <w:szCs w:val="20"/>
          <w:lang w:val="fr-FR"/>
        </w:rPr>
        <w:t xml:space="preserve">sensible aux </w:t>
      </w:r>
      <w:r w:rsidR="00D22751" w:rsidRPr="000E53A0">
        <w:rPr>
          <w:rFonts w:asciiTheme="minorHAnsi" w:hAnsiTheme="minorHAnsi" w:cstheme="minorHAnsi"/>
          <w:sz w:val="20"/>
          <w:szCs w:val="20"/>
          <w:lang w:val="fr-FR"/>
        </w:rPr>
        <w:t xml:space="preserve">conflits </w:t>
      </w:r>
      <w:r w:rsidR="00432700" w:rsidRPr="000E53A0">
        <w:rPr>
          <w:rFonts w:asciiTheme="minorHAnsi" w:hAnsiTheme="minorHAnsi" w:cstheme="minorHAnsi"/>
          <w:sz w:val="20"/>
          <w:szCs w:val="20"/>
          <w:lang w:val="fr-FR"/>
        </w:rPr>
        <w:t>et au genre</w:t>
      </w:r>
      <w:r w:rsidR="00D22751" w:rsidRPr="000E53A0">
        <w:rPr>
          <w:rFonts w:asciiTheme="minorHAnsi" w:hAnsiTheme="minorHAnsi" w:cstheme="minorHAnsi"/>
          <w:sz w:val="20"/>
          <w:szCs w:val="20"/>
          <w:lang w:val="fr-FR"/>
        </w:rPr>
        <w:t xml:space="preserve">.  </w:t>
      </w:r>
    </w:p>
    <w:p w14:paraId="7CC89B2F" w14:textId="77777777" w:rsidR="00601D9B" w:rsidRPr="000E53A0" w:rsidRDefault="000E53A0">
      <w:pPr>
        <w:pStyle w:val="GEFQuestion"/>
        <w:shd w:val="clear" w:color="auto" w:fill="FFFFFF"/>
        <w:spacing w:before="120"/>
        <w:ind w:left="0"/>
        <w:jc w:val="both"/>
        <w:rPr>
          <w:rFonts w:asciiTheme="minorHAnsi" w:hAnsiTheme="minorHAnsi" w:cstheme="minorHAnsi"/>
          <w:sz w:val="20"/>
          <w:szCs w:val="20"/>
          <w:lang w:val="fr-FR"/>
        </w:rPr>
      </w:pPr>
      <w:r w:rsidRPr="000E53A0">
        <w:rPr>
          <w:rFonts w:asciiTheme="minorHAnsi" w:hAnsiTheme="minorHAnsi" w:cstheme="minorHAnsi"/>
          <w:sz w:val="20"/>
          <w:szCs w:val="20"/>
          <w:lang w:val="fr-FR"/>
        </w:rPr>
        <w:t xml:space="preserve">Sans les interventions du projet dans le cadre du volet 2, la gouvernance locale des ressources naturelles restera faible, et les conflits intercommunaux et entre utilisateurs liés à l'accès et à l'utilisation des ressources naturelles continueront d'avoir lieu à des taux élevés. En outre, en raison d'un manque de sensibilisation et d'une mauvaise gouvernance, la régénération naturelle de la capacité de production ne sera pas possible ou sera réduite, ce qui entraînera une plus grande insécurité alimentaire et des opportunités commerciales manquées. </w:t>
      </w:r>
    </w:p>
    <w:p w14:paraId="36F6613F" w14:textId="77777777" w:rsidR="00D22751" w:rsidRPr="000E53A0" w:rsidRDefault="00D22751" w:rsidP="004E0953">
      <w:pPr>
        <w:jc w:val="both"/>
        <w:rPr>
          <w:rFonts w:asciiTheme="minorHAnsi" w:hAnsiTheme="minorHAnsi" w:cstheme="minorHAnsi"/>
          <w:sz w:val="20"/>
          <w:szCs w:val="20"/>
          <w:highlight w:val="yellow"/>
          <w:lang w:val="fr-FR"/>
        </w:rPr>
      </w:pPr>
    </w:p>
    <w:p w14:paraId="24FD7B71" w14:textId="77777777" w:rsidR="00601D9B" w:rsidRPr="000E53A0" w:rsidRDefault="000E53A0">
      <w:pPr>
        <w:pStyle w:val="GEFQuestion"/>
        <w:shd w:val="clear" w:color="auto" w:fill="FFFFFF"/>
        <w:ind w:left="0"/>
        <w:jc w:val="both"/>
        <w:rPr>
          <w:rFonts w:asciiTheme="minorHAnsi" w:hAnsiTheme="minorHAnsi" w:cstheme="minorHAnsi"/>
          <w:color w:val="000000" w:themeColor="text1"/>
          <w:sz w:val="20"/>
          <w:szCs w:val="20"/>
          <w:lang w:val="fr-FR"/>
        </w:rPr>
      </w:pPr>
      <w:r w:rsidRPr="000E53A0">
        <w:rPr>
          <w:rFonts w:asciiTheme="minorHAnsi" w:hAnsiTheme="minorHAnsi" w:cstheme="minorHAnsi"/>
          <w:i/>
          <w:iCs/>
          <w:sz w:val="20"/>
          <w:szCs w:val="20"/>
          <w:lang w:val="fr-FR"/>
        </w:rPr>
        <w:t xml:space="preserve">Résultat 2.1 : Des comités communautaires de gestion des ressources naturelles, socialement </w:t>
      </w:r>
      <w:r w:rsidR="00DE4C3D" w:rsidRPr="000E53A0">
        <w:rPr>
          <w:rFonts w:asciiTheme="minorHAnsi" w:hAnsiTheme="minorHAnsi" w:cstheme="minorHAnsi"/>
          <w:i/>
          <w:iCs/>
          <w:sz w:val="20"/>
          <w:szCs w:val="20"/>
          <w:lang w:val="fr-FR"/>
        </w:rPr>
        <w:t xml:space="preserve">et sexuellement </w:t>
      </w:r>
      <w:r w:rsidRPr="000E53A0">
        <w:rPr>
          <w:rFonts w:asciiTheme="minorHAnsi" w:hAnsiTheme="minorHAnsi" w:cstheme="minorHAnsi"/>
          <w:i/>
          <w:iCs/>
          <w:sz w:val="20"/>
          <w:szCs w:val="20"/>
          <w:lang w:val="fr-FR"/>
        </w:rPr>
        <w:t xml:space="preserve">inclusifs, sont créés/revitalisés et soutenus pour servir de plateformes de négociation et de résolution des conflits liés aux ressources naturelles entre les groupes d'utilisateurs </w:t>
      </w:r>
      <w:r w:rsidRPr="000E53A0">
        <w:rPr>
          <w:rFonts w:asciiTheme="minorHAnsi" w:hAnsiTheme="minorHAnsi" w:cstheme="minorHAnsi"/>
          <w:color w:val="000000" w:themeColor="text1"/>
          <w:sz w:val="20"/>
          <w:szCs w:val="20"/>
          <w:lang w:val="fr-FR"/>
        </w:rPr>
        <w:t>(GEFTF).</w:t>
      </w:r>
    </w:p>
    <w:p w14:paraId="2B755174" w14:textId="77777777" w:rsidR="00601D9B" w:rsidRPr="000E53A0" w:rsidRDefault="000E53A0">
      <w:pPr>
        <w:jc w:val="both"/>
        <w:rPr>
          <w:rFonts w:asciiTheme="minorHAnsi" w:hAnsiTheme="minorHAnsi" w:cstheme="minorHAnsi"/>
          <w:sz w:val="20"/>
          <w:szCs w:val="20"/>
          <w:lang w:val="fr-FR"/>
        </w:rPr>
      </w:pPr>
      <w:r w:rsidRPr="000E53A0">
        <w:rPr>
          <w:rFonts w:asciiTheme="minorHAnsi" w:hAnsiTheme="minorHAnsi" w:cstheme="minorHAnsi"/>
          <w:sz w:val="20"/>
          <w:szCs w:val="20"/>
          <w:lang w:val="fr-FR"/>
        </w:rPr>
        <w:t>Les mécanismes traditionnels de gestion des ressources naturelles et des conflits existent dans toutes les zones d'intervention du projet, mais leur structuration, leur légitimité et leur efficacité sont très variables</w:t>
      </w:r>
      <w:r w:rsidR="00432700" w:rsidRPr="000E53A0">
        <w:rPr>
          <w:rFonts w:asciiTheme="minorHAnsi" w:hAnsiTheme="minorHAnsi" w:cstheme="minorHAnsi"/>
          <w:sz w:val="20"/>
          <w:szCs w:val="20"/>
          <w:lang w:val="fr-FR"/>
        </w:rPr>
        <w:t>, et les femmes et les jeunes sont peu représentés</w:t>
      </w:r>
      <w:r w:rsidRPr="000E53A0">
        <w:rPr>
          <w:rFonts w:asciiTheme="minorHAnsi" w:hAnsiTheme="minorHAnsi" w:cstheme="minorHAnsi"/>
          <w:sz w:val="20"/>
          <w:szCs w:val="20"/>
          <w:lang w:val="fr-FR"/>
        </w:rPr>
        <w:t>. Par exemple, dans le bourgou (zone de pâturage), les propriétaires ont des associations locales et sont responsables de la gestion de la zone, et celles-ci sont très légitimes</w:t>
      </w:r>
      <w:r w:rsidR="00432700" w:rsidRPr="000E53A0">
        <w:rPr>
          <w:rFonts w:asciiTheme="minorHAnsi" w:hAnsiTheme="minorHAnsi" w:cstheme="minorHAnsi"/>
          <w:sz w:val="20"/>
          <w:szCs w:val="20"/>
          <w:lang w:val="fr-FR"/>
        </w:rPr>
        <w:t>, mais leur efficacité est menacée par l'introduction de nouveaux acteurs</w:t>
      </w:r>
      <w:r w:rsidRPr="000E53A0">
        <w:rPr>
          <w:rFonts w:asciiTheme="minorHAnsi" w:hAnsiTheme="minorHAnsi" w:cstheme="minorHAnsi"/>
          <w:sz w:val="20"/>
          <w:szCs w:val="20"/>
          <w:lang w:val="fr-FR"/>
        </w:rPr>
        <w:t xml:space="preserve">. Au niveau communal également, il existe des </w:t>
      </w:r>
      <w:r w:rsidRPr="000E53A0">
        <w:rPr>
          <w:rFonts w:asciiTheme="minorHAnsi" w:hAnsiTheme="minorHAnsi" w:cstheme="minorHAnsi"/>
          <w:sz w:val="20"/>
          <w:szCs w:val="20"/>
          <w:lang w:val="fr-FR"/>
        </w:rPr>
        <w:lastRenderedPageBreak/>
        <w:t xml:space="preserve">comités reconnus par la loi. Les </w:t>
      </w:r>
      <w:r w:rsidR="00432700" w:rsidRPr="000E53A0">
        <w:rPr>
          <w:rFonts w:asciiTheme="minorHAnsi" w:hAnsiTheme="minorHAnsi" w:cstheme="minorHAnsi"/>
          <w:sz w:val="20"/>
          <w:szCs w:val="20"/>
          <w:lang w:val="fr-FR"/>
        </w:rPr>
        <w:t xml:space="preserve">comités de gestion des ressources naturelles jouent souvent un rôle limité à la surveillance (brigades), et ne sont pas responsables de la prévention des conflits. Les chefferies de village, quant à elles, sont chargées de décider de la résolution des conflits, et elles aussi n'ont pas de rôle concret dans la prévention des conflits. </w:t>
      </w:r>
      <w:r w:rsidRPr="000E53A0">
        <w:rPr>
          <w:rFonts w:asciiTheme="minorHAnsi" w:hAnsiTheme="minorHAnsi" w:cstheme="minorHAnsi"/>
          <w:sz w:val="20"/>
          <w:szCs w:val="20"/>
          <w:lang w:val="fr-FR"/>
        </w:rPr>
        <w:t xml:space="preserve">Dans certains cas, les institutions </w:t>
      </w:r>
      <w:r w:rsidR="00432700" w:rsidRPr="000E53A0">
        <w:rPr>
          <w:rFonts w:asciiTheme="minorHAnsi" w:hAnsiTheme="minorHAnsi" w:cstheme="minorHAnsi"/>
          <w:sz w:val="20"/>
          <w:szCs w:val="20"/>
          <w:lang w:val="fr-FR"/>
        </w:rPr>
        <w:t xml:space="preserve">traditionnelles </w:t>
      </w:r>
      <w:r w:rsidRPr="000E53A0">
        <w:rPr>
          <w:rFonts w:asciiTheme="minorHAnsi" w:hAnsiTheme="minorHAnsi" w:cstheme="minorHAnsi"/>
          <w:sz w:val="20"/>
          <w:szCs w:val="20"/>
          <w:lang w:val="fr-FR"/>
        </w:rPr>
        <w:t xml:space="preserve">de gestion, propres à chaque cercle, manquent de capacité et de légitimité et ont besoin d'être renforcées et redynamisées. Le projet propose de s'appuyer sur ces mécanismes et comités coutumiers existants dans chaque localité (Delta intérieur, Plateau Dogon, Plaine du Séno, Tominian), en harmonie avec les textes et pouvoirs légaux (gouverneurs, préfets, sous-préfets et maires, juges) pour négocier, formaliser et faire respecter les accords entre (et/ou au sein) des communautés d'éleveurs, d'agriculteurs et de pêcheurs sur les limites des pâturages et des terres agricoles, l'accès aux pâturages et à l'eau, le calendrier et la régulation des migrations, et les accords de GRN (y compris les corridors pastoraux). </w:t>
      </w:r>
    </w:p>
    <w:p w14:paraId="4EC299D8" w14:textId="77777777" w:rsidR="00601D9B" w:rsidRPr="000E53A0" w:rsidRDefault="000E53A0">
      <w:pPr>
        <w:pStyle w:val="GEFQuestion"/>
        <w:shd w:val="clear" w:color="auto" w:fill="FFFFFF"/>
        <w:ind w:left="0"/>
        <w:jc w:val="both"/>
        <w:rPr>
          <w:rFonts w:asciiTheme="minorHAnsi" w:hAnsiTheme="minorHAnsi" w:cstheme="minorHAnsi"/>
          <w:sz w:val="20"/>
          <w:szCs w:val="20"/>
          <w:lang w:val="fr-FR"/>
        </w:rPr>
      </w:pPr>
      <w:r w:rsidRPr="000E53A0">
        <w:rPr>
          <w:rFonts w:asciiTheme="minorHAnsi" w:hAnsiTheme="minorHAnsi" w:cstheme="minorHAnsi"/>
          <w:sz w:val="20"/>
          <w:szCs w:val="20"/>
          <w:lang w:val="fr-FR"/>
        </w:rPr>
        <w:t>Dans un premier temps, le projet réalisera le diagnostic participatif des comités de gestion des ressources naturelles existants, de leur fonctionnement (ex : régularité des réunions, respect des règles et mesures de GRN, statut et règlements) dans les secteurs de la pêche, de l'agriculture, de la forêt et de l'agroforesterie, et du pastoralisme. Dans les communautés où ils n'existent pas, le projet évaluera les besoins de tels comités. Dans certains cas, il se peut que les comités GRN n'existent pas, mais que les comités locaux de résolution des conflits existent, d'où la nécessité d'évaluer clairement la valeur ajoutée de nouveaux comités ou le besoin de renforcer les rôles et responsabilités des structures existantes. Le projet accompagnera ensuite les communautés dans le développement et/ou la revitalisation des comités GRN, en tenant compte du besoin d'inclusion sociale et d'un accès accru aux processus décisionnels pour les femmes et les jeunes. De plus, les statuts et règlements des comités seront mis à jour afin de s'assurer que leurs rôles et responsabilités en matière de GRN et de résolution de conflits soient clairs.</w:t>
      </w:r>
    </w:p>
    <w:p w14:paraId="1A94D0FB" w14:textId="77777777" w:rsidR="00601D9B" w:rsidRPr="000E53A0" w:rsidRDefault="000E53A0">
      <w:pPr>
        <w:pStyle w:val="GEFQuestion"/>
        <w:shd w:val="clear" w:color="auto" w:fill="FFFFFF"/>
        <w:ind w:left="0"/>
        <w:jc w:val="both"/>
        <w:rPr>
          <w:rFonts w:asciiTheme="minorHAnsi" w:hAnsiTheme="minorHAnsi" w:cstheme="minorHAnsi"/>
          <w:sz w:val="20"/>
          <w:szCs w:val="20"/>
          <w:lang w:val="fr-FR"/>
        </w:rPr>
      </w:pPr>
      <w:r w:rsidRPr="000E53A0">
        <w:rPr>
          <w:rFonts w:asciiTheme="minorHAnsi" w:hAnsiTheme="minorHAnsi" w:cstheme="minorHAnsi"/>
          <w:sz w:val="20"/>
          <w:szCs w:val="20"/>
          <w:lang w:val="fr-FR"/>
        </w:rPr>
        <w:t>Les comités de gestion des GRN et les comités coutumiers/chefs communautaires seront formés aux mécanismes de gestion et de prévention des conflits liés aux ressources naturelles et au changement climatique. La formation comprendra : 1) l'élaboration du module de formation ; 2) la formation des comités et leaders communautaires lors d'un atelier de 2 jours. Afin d'assurer une pleine inclusion sociale, des relais villageois (RECO - c'est-à-dire un volontaire choisi par les villageois/locaux/groupes autochtones qui accepte d'assurer la liaison entre la communauté et le projet) seront également formés et seront chargés de sensibiliser les communautés. Ces relais seront déterminants pour assurer la durabilité après le départ du projet.</w:t>
      </w:r>
    </w:p>
    <w:p w14:paraId="5A21FB08" w14:textId="77777777" w:rsidR="00601D9B" w:rsidRPr="000E53A0" w:rsidRDefault="000E53A0">
      <w:pPr>
        <w:pStyle w:val="GEFQuestion"/>
        <w:shd w:val="clear" w:color="auto" w:fill="FFFFFF"/>
        <w:ind w:left="0"/>
        <w:jc w:val="both"/>
        <w:rPr>
          <w:rFonts w:asciiTheme="minorHAnsi" w:hAnsiTheme="minorHAnsi" w:cstheme="minorHAnsi"/>
          <w:sz w:val="20"/>
          <w:szCs w:val="20"/>
          <w:lang w:val="fr-FR"/>
        </w:rPr>
      </w:pPr>
      <w:r w:rsidRPr="000E53A0">
        <w:rPr>
          <w:rFonts w:asciiTheme="minorHAnsi" w:hAnsiTheme="minorHAnsi" w:cstheme="minorHAnsi"/>
          <w:sz w:val="20"/>
          <w:szCs w:val="20"/>
          <w:lang w:val="fr-FR"/>
        </w:rPr>
        <w:t xml:space="preserve">Afin d'assurer la légitimité et l'acceptation des interventions du projet, ce dernier s'engagera aussi activement dans un processus de consultation participative, notamment sur des sujets liés à la restauration des valeurs sociales, culturelles et traditionnelles dans la GRN. En effet, le projet soutiendra un forum annuel sur les valeurs socioculturelles, les mécanismes et les techniques traditionnelles de gestion des ressources naturelles, qui réunira tous les acteurs clés, et sera facilité par RECOTRADE et les chefferies villageoises. L'objectif est de créer un cadre d'échanges sur les valeurs socioculturelles. Cette réunion sera aussi participative et inclusive que possible et rassemblera toutes les sensibilités, et à ce titre, elle impliquera activement les groupes vulnérables, notamment les femmes, les jeunes et les populations déplacées. Le forum sera complété par un événement culturel qui aura de multiples composantes : composition de chansons/poèmes ; innovations et initiatives locales ; histoire de la GRN ; et discours intergénérationnel sur la nature. Chaque composante abordera le thème commun de la gestion environnementale et de la résolution des conflits. </w:t>
      </w:r>
      <w:r w:rsidR="000A3783" w:rsidRPr="000E53A0">
        <w:rPr>
          <w:rFonts w:asciiTheme="minorHAnsi" w:hAnsiTheme="minorHAnsi" w:cstheme="minorHAnsi"/>
          <w:sz w:val="20"/>
          <w:szCs w:val="20"/>
          <w:lang w:val="fr-FR"/>
        </w:rPr>
        <w:t>Grâce à un processus inclusif et participatif, l'</w:t>
      </w:r>
      <w:r w:rsidRPr="000E53A0">
        <w:rPr>
          <w:rFonts w:asciiTheme="minorHAnsi" w:hAnsiTheme="minorHAnsi" w:cstheme="minorHAnsi"/>
          <w:sz w:val="20"/>
          <w:szCs w:val="20"/>
          <w:lang w:val="fr-FR"/>
        </w:rPr>
        <w:t xml:space="preserve">événement donnera lieu au développement d'un plan d'action, </w:t>
      </w:r>
      <w:r w:rsidR="000A3783" w:rsidRPr="000E53A0">
        <w:rPr>
          <w:rFonts w:asciiTheme="minorHAnsi" w:hAnsiTheme="minorHAnsi" w:cstheme="minorHAnsi"/>
          <w:sz w:val="20"/>
          <w:szCs w:val="20"/>
          <w:lang w:val="fr-FR"/>
        </w:rPr>
        <w:t>y compris des dispositions pour la mise en œuvre et le suivi qui seront décidées par les communautés</w:t>
      </w:r>
      <w:r w:rsidRPr="000E53A0">
        <w:rPr>
          <w:rFonts w:asciiTheme="minorHAnsi" w:hAnsiTheme="minorHAnsi" w:cstheme="minorHAnsi"/>
          <w:sz w:val="20"/>
          <w:szCs w:val="20"/>
          <w:lang w:val="fr-FR"/>
        </w:rPr>
        <w:t xml:space="preserve">. Cela soutiendra également les activités de la composante 3 et garantira que les entreprises basées sur l'adaptation sont bien comprises et soutenues par les communautés, ce qui permettra de lever un obstacle socioculturel majeur à la participation des groupes vulnérables. </w:t>
      </w:r>
    </w:p>
    <w:p w14:paraId="64A8578B" w14:textId="77777777" w:rsidR="00422800" w:rsidRPr="000E53A0" w:rsidRDefault="00422800" w:rsidP="004E0953">
      <w:pPr>
        <w:jc w:val="both"/>
        <w:rPr>
          <w:rFonts w:asciiTheme="minorHAnsi" w:hAnsiTheme="minorHAnsi" w:cstheme="minorHAnsi"/>
          <w:sz w:val="20"/>
          <w:szCs w:val="20"/>
          <w:lang w:val="fr-FR"/>
        </w:rPr>
      </w:pPr>
    </w:p>
    <w:p w14:paraId="29335015" w14:textId="77777777" w:rsidR="00601D9B" w:rsidRPr="000E53A0" w:rsidRDefault="000E53A0">
      <w:pPr>
        <w:pStyle w:val="GEFQuestion"/>
        <w:numPr>
          <w:ilvl w:val="0"/>
          <w:numId w:val="61"/>
        </w:numPr>
        <w:shd w:val="clear" w:color="auto" w:fill="FFFFFF"/>
        <w:jc w:val="both"/>
        <w:rPr>
          <w:rFonts w:asciiTheme="minorHAnsi" w:hAnsiTheme="minorHAnsi" w:cstheme="minorHAnsi"/>
          <w:color w:val="000000" w:themeColor="text1"/>
          <w:sz w:val="20"/>
          <w:szCs w:val="20"/>
          <w:lang w:val="fr-FR"/>
        </w:rPr>
      </w:pPr>
      <w:r w:rsidRPr="000E53A0">
        <w:rPr>
          <w:rFonts w:asciiTheme="minorHAnsi" w:hAnsiTheme="minorHAnsi" w:cstheme="minorHAnsi"/>
          <w:color w:val="000000" w:themeColor="text1"/>
          <w:sz w:val="20"/>
          <w:szCs w:val="20"/>
          <w:lang w:val="fr-FR"/>
        </w:rPr>
        <w:t xml:space="preserve">Activité 2.1.1 Diagnostic participatif des comités de gestion des ressources naturelles et/ou des conflits existants, ainsi que </w:t>
      </w:r>
      <w:r w:rsidR="00432700" w:rsidRPr="000E53A0">
        <w:rPr>
          <w:rFonts w:asciiTheme="minorHAnsi" w:hAnsiTheme="minorHAnsi" w:cstheme="minorHAnsi"/>
          <w:color w:val="000000" w:themeColor="text1"/>
          <w:sz w:val="20"/>
          <w:szCs w:val="20"/>
          <w:lang w:val="fr-FR"/>
        </w:rPr>
        <w:t xml:space="preserve">des commissions foncières (CoFo) </w:t>
      </w:r>
      <w:r w:rsidRPr="000E53A0">
        <w:rPr>
          <w:rFonts w:asciiTheme="minorHAnsi" w:hAnsiTheme="minorHAnsi" w:cstheme="minorHAnsi"/>
          <w:color w:val="000000" w:themeColor="text1"/>
          <w:sz w:val="20"/>
          <w:szCs w:val="20"/>
          <w:lang w:val="fr-FR"/>
        </w:rPr>
        <w:t>dans les secteurs de la pêche, de l'agriculture, des ressources forestières et agroforestières, du pastoralisme.</w:t>
      </w:r>
    </w:p>
    <w:p w14:paraId="3093EE47" w14:textId="77777777" w:rsidR="00601D9B" w:rsidRPr="000E53A0" w:rsidRDefault="000E53A0">
      <w:pPr>
        <w:pStyle w:val="Paragraphedeliste"/>
        <w:numPr>
          <w:ilvl w:val="0"/>
          <w:numId w:val="61"/>
        </w:numPr>
        <w:shd w:val="clear" w:color="auto" w:fill="FFFFFF"/>
        <w:jc w:val="both"/>
        <w:rPr>
          <w:rFonts w:asciiTheme="minorHAnsi" w:hAnsiTheme="minorHAnsi" w:cstheme="minorHAnsi"/>
          <w:color w:val="000000" w:themeColor="text1"/>
          <w:sz w:val="20"/>
          <w:szCs w:val="20"/>
          <w:lang w:val="fr-FR"/>
        </w:rPr>
      </w:pPr>
      <w:r w:rsidRPr="000E53A0">
        <w:rPr>
          <w:rFonts w:asciiTheme="minorHAnsi" w:hAnsiTheme="minorHAnsi" w:cstheme="minorHAnsi"/>
          <w:color w:val="000000" w:themeColor="text1"/>
          <w:sz w:val="20"/>
          <w:szCs w:val="20"/>
          <w:lang w:val="fr-FR"/>
        </w:rPr>
        <w:t xml:space="preserve">Activité 2.1.2 Revitaliser/créer des comités de gestion des ressources communautaires </w:t>
      </w:r>
      <w:r w:rsidR="00432700" w:rsidRPr="000E53A0">
        <w:rPr>
          <w:rFonts w:asciiTheme="minorHAnsi" w:hAnsiTheme="minorHAnsi" w:cstheme="minorHAnsi"/>
          <w:color w:val="000000" w:themeColor="text1"/>
          <w:sz w:val="20"/>
          <w:szCs w:val="20"/>
          <w:lang w:val="fr-FR"/>
        </w:rPr>
        <w:t xml:space="preserve">ayant un rôle clair dans la gestion des conflits liés aux ressources naturelles </w:t>
      </w:r>
      <w:r w:rsidRPr="000E53A0">
        <w:rPr>
          <w:rFonts w:asciiTheme="minorHAnsi" w:hAnsiTheme="minorHAnsi" w:cstheme="minorHAnsi"/>
          <w:color w:val="000000" w:themeColor="text1"/>
          <w:sz w:val="20"/>
          <w:szCs w:val="20"/>
          <w:lang w:val="fr-FR"/>
        </w:rPr>
        <w:t xml:space="preserve">au niveau du village, en impliquant les femmes et les jeunes. </w:t>
      </w:r>
    </w:p>
    <w:p w14:paraId="3628D98F" w14:textId="77777777" w:rsidR="00601D9B" w:rsidRPr="000E53A0" w:rsidRDefault="000E53A0">
      <w:pPr>
        <w:pStyle w:val="GEFQuestion"/>
        <w:numPr>
          <w:ilvl w:val="0"/>
          <w:numId w:val="61"/>
        </w:numPr>
        <w:shd w:val="clear" w:color="auto" w:fill="FFFFFF"/>
        <w:jc w:val="both"/>
        <w:rPr>
          <w:rFonts w:asciiTheme="minorHAnsi" w:hAnsiTheme="minorHAnsi" w:cstheme="minorHAnsi"/>
          <w:color w:val="000000" w:themeColor="text1"/>
          <w:sz w:val="20"/>
          <w:szCs w:val="20"/>
          <w:lang w:val="fr-FR"/>
        </w:rPr>
      </w:pPr>
      <w:r w:rsidRPr="000E53A0">
        <w:rPr>
          <w:rFonts w:asciiTheme="minorHAnsi" w:hAnsiTheme="minorHAnsi" w:cstheme="minorHAnsi"/>
          <w:color w:val="000000" w:themeColor="text1"/>
          <w:sz w:val="20"/>
          <w:szCs w:val="20"/>
          <w:lang w:val="fr-FR"/>
        </w:rPr>
        <w:lastRenderedPageBreak/>
        <w:t xml:space="preserve">Activité 2.1.3 Former les comités de gestion des </w:t>
      </w:r>
      <w:r w:rsidR="009329A8" w:rsidRPr="000E53A0">
        <w:rPr>
          <w:rFonts w:asciiTheme="minorHAnsi" w:hAnsiTheme="minorHAnsi" w:cstheme="minorHAnsi"/>
          <w:color w:val="000000" w:themeColor="text1"/>
          <w:sz w:val="20"/>
          <w:szCs w:val="20"/>
          <w:lang w:val="fr-FR"/>
        </w:rPr>
        <w:t xml:space="preserve">ressources naturelles </w:t>
      </w:r>
      <w:r w:rsidRPr="000E53A0">
        <w:rPr>
          <w:rFonts w:asciiTheme="minorHAnsi" w:hAnsiTheme="minorHAnsi" w:cstheme="minorHAnsi"/>
          <w:color w:val="000000" w:themeColor="text1"/>
          <w:sz w:val="20"/>
          <w:szCs w:val="20"/>
          <w:lang w:val="fr-FR"/>
        </w:rPr>
        <w:t>et les comités coutumiers/chefs de communautés sur les mécanismes de prévention, de gestion et de résolution des conflits liés aux ressources naturelles et au changement climatique.</w:t>
      </w:r>
    </w:p>
    <w:p w14:paraId="582F0C87" w14:textId="77777777" w:rsidR="00601D9B" w:rsidRPr="000E53A0" w:rsidRDefault="000E53A0">
      <w:pPr>
        <w:pStyle w:val="GEFQuestion"/>
        <w:numPr>
          <w:ilvl w:val="0"/>
          <w:numId w:val="61"/>
        </w:numPr>
        <w:shd w:val="clear" w:color="auto" w:fill="FFFFFF"/>
        <w:jc w:val="both"/>
        <w:rPr>
          <w:rFonts w:asciiTheme="minorHAnsi" w:hAnsiTheme="minorHAnsi" w:cstheme="minorHAnsi"/>
          <w:color w:val="000000" w:themeColor="text1"/>
          <w:sz w:val="20"/>
          <w:szCs w:val="20"/>
          <w:lang w:val="fr-FR"/>
        </w:rPr>
      </w:pPr>
      <w:r w:rsidRPr="000E53A0">
        <w:rPr>
          <w:rFonts w:asciiTheme="minorHAnsi" w:hAnsiTheme="minorHAnsi" w:cstheme="minorHAnsi"/>
          <w:color w:val="000000" w:themeColor="text1"/>
          <w:sz w:val="20"/>
          <w:szCs w:val="20"/>
          <w:lang w:val="fr-FR"/>
        </w:rPr>
        <w:t>Activité 2.1.4 Forum sur la gestion traditionnelle des ressources naturelles</w:t>
      </w:r>
    </w:p>
    <w:p w14:paraId="20007F1F" w14:textId="77777777" w:rsidR="00D22751" w:rsidRPr="000E53A0" w:rsidRDefault="00D22751" w:rsidP="004E0953">
      <w:pPr>
        <w:pStyle w:val="GEFQuestion"/>
        <w:shd w:val="clear" w:color="auto" w:fill="FFFFFF"/>
        <w:ind w:left="0"/>
        <w:jc w:val="both"/>
        <w:rPr>
          <w:rFonts w:asciiTheme="minorHAnsi" w:hAnsiTheme="minorHAnsi" w:cstheme="minorHAnsi"/>
          <w:sz w:val="20"/>
          <w:szCs w:val="20"/>
          <w:lang w:val="fr-FR"/>
        </w:rPr>
      </w:pPr>
    </w:p>
    <w:p w14:paraId="4E198733" w14:textId="77777777" w:rsidR="00601D9B" w:rsidRPr="000E53A0" w:rsidRDefault="000E53A0">
      <w:pPr>
        <w:pStyle w:val="GEFQuestion"/>
        <w:shd w:val="clear" w:color="auto" w:fill="FFFFFF"/>
        <w:ind w:left="0"/>
        <w:jc w:val="both"/>
        <w:rPr>
          <w:rFonts w:asciiTheme="minorHAnsi" w:hAnsiTheme="minorHAnsi" w:cstheme="minorHAnsi"/>
          <w:color w:val="000000" w:themeColor="text1"/>
          <w:sz w:val="20"/>
          <w:szCs w:val="20"/>
          <w:lang w:val="fr-FR"/>
        </w:rPr>
      </w:pPr>
      <w:r w:rsidRPr="000E53A0">
        <w:rPr>
          <w:rFonts w:asciiTheme="minorHAnsi" w:hAnsiTheme="minorHAnsi" w:cstheme="minorHAnsi"/>
          <w:i/>
          <w:iCs/>
          <w:sz w:val="20"/>
          <w:szCs w:val="20"/>
          <w:lang w:val="fr-FR"/>
        </w:rPr>
        <w:t xml:space="preserve">Output 2.2 Les mesures d'adaptation sont intégrées dans les plans de développement locaux </w:t>
      </w:r>
      <w:r w:rsidRPr="000E53A0">
        <w:rPr>
          <w:rFonts w:asciiTheme="minorHAnsi" w:hAnsiTheme="minorHAnsi" w:cstheme="minorHAnsi"/>
          <w:color w:val="000000" w:themeColor="text1"/>
          <w:sz w:val="20"/>
          <w:szCs w:val="20"/>
          <w:lang w:val="fr-FR"/>
        </w:rPr>
        <w:t>(LDCF)</w:t>
      </w:r>
    </w:p>
    <w:p w14:paraId="44649F8C" w14:textId="77777777" w:rsidR="00601D9B" w:rsidRPr="000E53A0" w:rsidRDefault="000E53A0">
      <w:pPr>
        <w:pStyle w:val="GEFQuestion"/>
        <w:shd w:val="clear" w:color="auto" w:fill="FFFFFF"/>
        <w:ind w:left="0"/>
        <w:jc w:val="both"/>
        <w:rPr>
          <w:rFonts w:asciiTheme="minorHAnsi" w:hAnsiTheme="minorHAnsi" w:cstheme="minorHAnsi"/>
          <w:sz w:val="20"/>
          <w:szCs w:val="20"/>
          <w:lang w:val="fr-FR"/>
        </w:rPr>
      </w:pPr>
      <w:bookmarkStart w:id="36" w:name="_Hlk78968257"/>
      <w:r w:rsidRPr="000E53A0">
        <w:rPr>
          <w:rFonts w:asciiTheme="minorHAnsi" w:hAnsiTheme="minorHAnsi" w:cstheme="minorHAnsi"/>
          <w:sz w:val="20"/>
          <w:szCs w:val="20"/>
          <w:lang w:val="fr-FR"/>
        </w:rPr>
        <w:t xml:space="preserve">Les Plans Locaux de Développement Social, Economique et Culturel (PDSEC) </w:t>
      </w:r>
      <w:bookmarkEnd w:id="36"/>
      <w:r w:rsidRPr="000E53A0">
        <w:rPr>
          <w:rFonts w:asciiTheme="minorHAnsi" w:hAnsiTheme="minorHAnsi" w:cstheme="minorHAnsi"/>
          <w:sz w:val="20"/>
          <w:szCs w:val="20"/>
          <w:lang w:val="fr-FR"/>
        </w:rPr>
        <w:t>constituent un point d'entrée idéal pour l'intégration des priorités et des mesures d'adaptation, et constituent le document le plus important utilisé dans la planification locale. Le projet appuiera donc l'intégration de la gestion communautaire des terres pour l'adaptation et la réhabilitation dans les PDSEC et les cadres budgétaires des cercles et des 15 conseils communaux ciblés par le projet. Pour ce faire, le projet assurera d'abord la formation de 15 agents agricoles locaux et de 15 agents de terrain du projet aux approches APVACC</w:t>
      </w:r>
      <w:r w:rsidRPr="004E0953">
        <w:rPr>
          <w:rStyle w:val="Appelnotedebasdep"/>
          <w:rFonts w:asciiTheme="minorHAnsi" w:eastAsiaTheme="majorEastAsia" w:hAnsiTheme="minorHAnsi" w:cstheme="minorHAnsi"/>
          <w:sz w:val="20"/>
          <w:szCs w:val="20"/>
        </w:rPr>
        <w:footnoteReference w:id="72"/>
      </w:r>
      <w:r w:rsidRPr="000E53A0">
        <w:rPr>
          <w:rFonts w:asciiTheme="minorHAnsi" w:hAnsiTheme="minorHAnsi" w:cstheme="minorHAnsi"/>
          <w:sz w:val="20"/>
          <w:szCs w:val="20"/>
          <w:lang w:val="fr-FR"/>
        </w:rPr>
        <w:t xml:space="preserve">(Analyse participative de la vulnérabilité et de l'adaptation au </w:t>
      </w:r>
      <w:r w:rsidR="00C14609" w:rsidRPr="000E53A0">
        <w:rPr>
          <w:rFonts w:asciiTheme="minorHAnsi" w:hAnsiTheme="minorHAnsi" w:cstheme="minorHAnsi"/>
          <w:sz w:val="20"/>
          <w:szCs w:val="20"/>
          <w:lang w:val="fr-FR"/>
        </w:rPr>
        <w:t>changement climatique</w:t>
      </w:r>
      <w:r w:rsidRPr="000E53A0">
        <w:rPr>
          <w:rFonts w:asciiTheme="minorHAnsi" w:hAnsiTheme="minorHAnsi" w:cstheme="minorHAnsi"/>
          <w:sz w:val="20"/>
          <w:szCs w:val="20"/>
          <w:lang w:val="fr-FR"/>
        </w:rPr>
        <w:t xml:space="preserve">) et PICSA (Services climatiques intégrés participatifs pour l'agriculture). Ces personnes </w:t>
      </w:r>
      <w:r w:rsidR="00C14609" w:rsidRPr="000E53A0">
        <w:rPr>
          <w:rFonts w:asciiTheme="minorHAnsi" w:hAnsiTheme="minorHAnsi" w:cstheme="minorHAnsi"/>
          <w:sz w:val="20"/>
          <w:szCs w:val="20"/>
          <w:lang w:val="fr-FR"/>
        </w:rPr>
        <w:t xml:space="preserve">entreprendront </w:t>
      </w:r>
      <w:r w:rsidRPr="000E53A0">
        <w:rPr>
          <w:rFonts w:asciiTheme="minorHAnsi" w:hAnsiTheme="minorHAnsi" w:cstheme="minorHAnsi"/>
          <w:sz w:val="20"/>
          <w:szCs w:val="20"/>
          <w:lang w:val="fr-FR"/>
        </w:rPr>
        <w:t xml:space="preserve">ensuite les processus </w:t>
      </w:r>
      <w:r w:rsidR="00296FAF" w:rsidRPr="000E53A0">
        <w:rPr>
          <w:rFonts w:asciiTheme="minorHAnsi" w:hAnsiTheme="minorHAnsi" w:cstheme="minorHAnsi"/>
          <w:sz w:val="20"/>
          <w:szCs w:val="20"/>
          <w:lang w:val="fr-FR"/>
        </w:rPr>
        <w:t xml:space="preserve">participatifs </w:t>
      </w:r>
      <w:r w:rsidRPr="000E53A0">
        <w:rPr>
          <w:rFonts w:asciiTheme="minorHAnsi" w:hAnsiTheme="minorHAnsi" w:cstheme="minorHAnsi"/>
          <w:sz w:val="20"/>
          <w:szCs w:val="20"/>
          <w:lang w:val="fr-FR"/>
        </w:rPr>
        <w:t xml:space="preserve">avec les ménages et les coopératives, les groupes de femmes </w:t>
      </w:r>
      <w:r w:rsidR="00296FAF" w:rsidRPr="000E53A0">
        <w:rPr>
          <w:rFonts w:asciiTheme="minorHAnsi" w:hAnsiTheme="minorHAnsi" w:cstheme="minorHAnsi"/>
          <w:sz w:val="20"/>
          <w:szCs w:val="20"/>
          <w:lang w:val="fr-FR"/>
        </w:rPr>
        <w:t xml:space="preserve">et les </w:t>
      </w:r>
      <w:r w:rsidRPr="000E53A0">
        <w:rPr>
          <w:rFonts w:asciiTheme="minorHAnsi" w:hAnsiTheme="minorHAnsi" w:cstheme="minorHAnsi"/>
          <w:sz w:val="20"/>
          <w:szCs w:val="20"/>
          <w:lang w:val="fr-FR"/>
        </w:rPr>
        <w:t>comités de GRN afin de produire des analyses participatives complètes, dont les résultats alimenteront directement 15 PDSEC (niveau communal et cercle) et la budgétisation de ces PDSEC.</w:t>
      </w:r>
      <w:r w:rsidR="004C5B2E" w:rsidRPr="000E53A0">
        <w:rPr>
          <w:rFonts w:asciiTheme="minorHAnsi" w:hAnsiTheme="minorHAnsi" w:cstheme="minorHAnsi"/>
          <w:sz w:val="20"/>
          <w:szCs w:val="20"/>
          <w:lang w:val="fr-FR"/>
        </w:rPr>
        <w:t xml:space="preserve"> L'AEDD a développé un guide sur l'intégration des ODD dans les PDSEC, qui a été piloté dans la région de Ségou. Le projet examinera les leçons tirées de ce processus et transposera l'approche à plus grande échelle dans les sites d'intervention. </w:t>
      </w:r>
    </w:p>
    <w:p w14:paraId="6349868A" w14:textId="77777777" w:rsidR="00D22751" w:rsidRPr="000E53A0" w:rsidRDefault="00D22751" w:rsidP="004E0953">
      <w:pPr>
        <w:jc w:val="both"/>
        <w:rPr>
          <w:rFonts w:asciiTheme="minorHAnsi" w:hAnsiTheme="minorHAnsi" w:cstheme="minorHAnsi"/>
          <w:sz w:val="20"/>
          <w:szCs w:val="20"/>
          <w:lang w:val="fr-FR"/>
        </w:rPr>
      </w:pPr>
    </w:p>
    <w:p w14:paraId="16BB3D51" w14:textId="77777777" w:rsidR="00601D9B" w:rsidRPr="000E53A0" w:rsidRDefault="000E53A0">
      <w:pPr>
        <w:pStyle w:val="GEFQuestion"/>
        <w:numPr>
          <w:ilvl w:val="0"/>
          <w:numId w:val="61"/>
        </w:numPr>
        <w:shd w:val="clear" w:color="auto" w:fill="FFFFFF"/>
        <w:jc w:val="both"/>
        <w:rPr>
          <w:rFonts w:asciiTheme="minorHAnsi" w:hAnsiTheme="minorHAnsi" w:cstheme="minorHAnsi"/>
          <w:color w:val="000000" w:themeColor="text1"/>
          <w:sz w:val="20"/>
          <w:szCs w:val="20"/>
          <w:lang w:val="fr-FR"/>
        </w:rPr>
      </w:pPr>
      <w:r w:rsidRPr="000E53A0">
        <w:rPr>
          <w:rFonts w:asciiTheme="minorHAnsi" w:hAnsiTheme="minorHAnsi" w:cstheme="minorHAnsi"/>
          <w:color w:val="000000" w:themeColor="text1"/>
          <w:sz w:val="20"/>
          <w:szCs w:val="20"/>
          <w:lang w:val="fr-FR"/>
        </w:rPr>
        <w:t>Activité 2.2.1 Appuyer 15 communes (à travers les comités communautaires de gestion des ressources naturelles) dans l'analyse participative de la vulnérabilité et de l'adaptation au changement climatique (APVACC) pour déterminer les besoins et les stratégies d'adaptation.</w:t>
      </w:r>
    </w:p>
    <w:p w14:paraId="282C1675" w14:textId="77777777" w:rsidR="00601D9B" w:rsidRPr="000E53A0" w:rsidRDefault="000E53A0">
      <w:pPr>
        <w:pStyle w:val="GEFQuestion"/>
        <w:numPr>
          <w:ilvl w:val="0"/>
          <w:numId w:val="61"/>
        </w:numPr>
        <w:shd w:val="clear" w:color="auto" w:fill="FFFFFF"/>
        <w:jc w:val="both"/>
        <w:rPr>
          <w:rFonts w:asciiTheme="minorHAnsi" w:hAnsiTheme="minorHAnsi" w:cstheme="minorHAnsi"/>
          <w:color w:val="000000" w:themeColor="text1"/>
          <w:sz w:val="20"/>
          <w:szCs w:val="20"/>
          <w:lang w:val="fr-FR"/>
        </w:rPr>
      </w:pPr>
      <w:r w:rsidRPr="000E53A0">
        <w:rPr>
          <w:rFonts w:asciiTheme="minorHAnsi" w:hAnsiTheme="minorHAnsi" w:cstheme="minorHAnsi"/>
          <w:color w:val="000000" w:themeColor="text1"/>
          <w:sz w:val="20"/>
          <w:szCs w:val="20"/>
          <w:lang w:val="fr-FR"/>
        </w:rPr>
        <w:t>Activité 2.2.2 Intégrer les priorités d'adaptation dans 15 plans de développement communaux sur la base des résultats de l'APVACC.</w:t>
      </w:r>
    </w:p>
    <w:p w14:paraId="3E664BAA" w14:textId="77777777" w:rsidR="00D22751" w:rsidRPr="000E53A0" w:rsidRDefault="00D22751" w:rsidP="004E0953">
      <w:pPr>
        <w:pStyle w:val="GEFQuestion"/>
        <w:shd w:val="clear" w:color="auto" w:fill="FFFFFF"/>
        <w:ind w:left="0"/>
        <w:jc w:val="both"/>
        <w:rPr>
          <w:rFonts w:asciiTheme="minorHAnsi" w:hAnsiTheme="minorHAnsi" w:cstheme="minorHAnsi"/>
          <w:color w:val="000000" w:themeColor="text1"/>
          <w:sz w:val="20"/>
          <w:szCs w:val="20"/>
          <w:lang w:val="fr-FR"/>
        </w:rPr>
      </w:pPr>
    </w:p>
    <w:p w14:paraId="75718555" w14:textId="77777777" w:rsidR="00601D9B" w:rsidRPr="000E53A0" w:rsidRDefault="000E53A0">
      <w:pPr>
        <w:pStyle w:val="GEFQuestion"/>
        <w:shd w:val="clear" w:color="auto" w:fill="FFFFFF"/>
        <w:ind w:left="0"/>
        <w:jc w:val="both"/>
        <w:rPr>
          <w:rFonts w:asciiTheme="minorHAnsi" w:hAnsiTheme="minorHAnsi" w:cstheme="minorHAnsi"/>
          <w:i/>
          <w:iCs/>
          <w:sz w:val="20"/>
          <w:szCs w:val="20"/>
          <w:lang w:val="fr-FR"/>
        </w:rPr>
      </w:pPr>
      <w:r w:rsidRPr="000E53A0">
        <w:rPr>
          <w:rFonts w:asciiTheme="minorHAnsi" w:hAnsiTheme="minorHAnsi" w:cstheme="minorHAnsi"/>
          <w:i/>
          <w:iCs/>
          <w:sz w:val="20"/>
          <w:szCs w:val="20"/>
          <w:lang w:val="fr-FR"/>
        </w:rPr>
        <w:t xml:space="preserve">Produit 2.3 Formation et intrants fournis aux agriculteurs </w:t>
      </w:r>
      <w:r w:rsidR="004E37D7" w:rsidRPr="000E53A0">
        <w:rPr>
          <w:rFonts w:asciiTheme="minorHAnsi" w:hAnsiTheme="minorHAnsi" w:cstheme="minorHAnsi"/>
          <w:i/>
          <w:iCs/>
          <w:sz w:val="20"/>
          <w:szCs w:val="20"/>
          <w:lang w:val="fr-FR"/>
        </w:rPr>
        <w:t xml:space="preserve">et </w:t>
      </w:r>
      <w:r w:rsidRPr="000E53A0">
        <w:rPr>
          <w:rFonts w:asciiTheme="minorHAnsi" w:hAnsiTheme="minorHAnsi" w:cstheme="minorHAnsi"/>
          <w:i/>
          <w:iCs/>
          <w:sz w:val="20"/>
          <w:szCs w:val="20"/>
          <w:lang w:val="fr-FR"/>
        </w:rPr>
        <w:t>éleveurs dans 15 communes cibles de Mopti et Ségou pour le reverdissement du paysage, sur la base des connaissances et solutions traditionnelles/locales (GEFTF)</w:t>
      </w:r>
    </w:p>
    <w:p w14:paraId="1F150026" w14:textId="77777777" w:rsidR="00601D9B" w:rsidRPr="000E53A0" w:rsidRDefault="000E53A0">
      <w:pPr>
        <w:pStyle w:val="GEFQuestion"/>
        <w:shd w:val="clear" w:color="auto" w:fill="FFFFFF"/>
        <w:ind w:left="0"/>
        <w:jc w:val="both"/>
        <w:rPr>
          <w:rFonts w:asciiTheme="minorHAnsi" w:hAnsiTheme="minorHAnsi" w:cstheme="minorHAnsi"/>
          <w:sz w:val="20"/>
          <w:szCs w:val="20"/>
          <w:lang w:val="fr-FR"/>
        </w:rPr>
      </w:pPr>
      <w:r w:rsidRPr="000E53A0">
        <w:rPr>
          <w:rFonts w:asciiTheme="minorHAnsi" w:hAnsiTheme="minorHAnsi" w:cstheme="minorHAnsi"/>
          <w:sz w:val="20"/>
          <w:szCs w:val="20"/>
          <w:lang w:val="fr-FR"/>
        </w:rPr>
        <w:t xml:space="preserve">Pour </w:t>
      </w:r>
      <w:r w:rsidR="00D22751" w:rsidRPr="000E53A0">
        <w:rPr>
          <w:rFonts w:asciiTheme="minorHAnsi" w:hAnsiTheme="minorHAnsi" w:cstheme="minorHAnsi"/>
          <w:sz w:val="20"/>
          <w:szCs w:val="20"/>
          <w:lang w:val="fr-FR"/>
        </w:rPr>
        <w:t xml:space="preserve">reverdir les paysages cibles, le projet adoptera une approche participative et fournira non seulement une formation </w:t>
      </w:r>
      <w:r w:rsidR="004E37D7" w:rsidRPr="000E53A0">
        <w:rPr>
          <w:rFonts w:asciiTheme="minorHAnsi" w:hAnsiTheme="minorHAnsi" w:cstheme="minorHAnsi"/>
          <w:sz w:val="20"/>
          <w:szCs w:val="20"/>
          <w:lang w:val="fr-FR"/>
        </w:rPr>
        <w:t>sur les principes de la régénération naturelle assistée (RNA) et de la gestion durable des terres et de l'eau (GDT)</w:t>
      </w:r>
      <w:r w:rsidR="00D22751" w:rsidRPr="000E53A0">
        <w:rPr>
          <w:rFonts w:asciiTheme="minorHAnsi" w:hAnsiTheme="minorHAnsi" w:cstheme="minorHAnsi"/>
          <w:sz w:val="20"/>
          <w:szCs w:val="20"/>
          <w:lang w:val="fr-FR"/>
        </w:rPr>
        <w:t>, mais aussi un soutien continu pour le suivi de l'avancement des efforts de reverdissement (en particulier en ce qui concerne la RNA</w:t>
      </w:r>
      <w:r w:rsidR="00522FF3" w:rsidRPr="000E53A0">
        <w:rPr>
          <w:rFonts w:asciiTheme="minorHAnsi" w:hAnsiTheme="minorHAnsi" w:cstheme="minorHAnsi"/>
          <w:sz w:val="20"/>
          <w:szCs w:val="20"/>
          <w:lang w:val="fr-FR"/>
        </w:rPr>
        <w:t>)</w:t>
      </w:r>
      <w:r w:rsidR="00D22751" w:rsidRPr="000E53A0">
        <w:rPr>
          <w:rFonts w:asciiTheme="minorHAnsi" w:hAnsiTheme="minorHAnsi" w:cstheme="minorHAnsi"/>
          <w:sz w:val="20"/>
          <w:szCs w:val="20"/>
          <w:lang w:val="fr-FR"/>
        </w:rPr>
        <w:t xml:space="preserve">. </w:t>
      </w:r>
      <w:r w:rsidRPr="000E53A0">
        <w:rPr>
          <w:rFonts w:asciiTheme="minorHAnsi" w:hAnsiTheme="minorHAnsi" w:cstheme="minorHAnsi"/>
          <w:sz w:val="20"/>
          <w:szCs w:val="20"/>
          <w:lang w:val="fr-FR"/>
        </w:rPr>
        <w:t xml:space="preserve">En termes de SLWM, le projet fournira des formations et des intrants pour augmenter l'adoption de stratégies de conservation des sols et de l'eau, telles que les demi-lunes, les fosses zaï, les digues de contour avec des pierres, etc. Pour une meilleure adoption des pratiques de </w:t>
      </w:r>
      <w:r w:rsidR="00D16741" w:rsidRPr="000E53A0">
        <w:rPr>
          <w:rFonts w:asciiTheme="minorHAnsi" w:hAnsiTheme="minorHAnsi" w:cstheme="minorHAnsi"/>
          <w:sz w:val="20"/>
          <w:szCs w:val="20"/>
          <w:lang w:val="fr-FR"/>
        </w:rPr>
        <w:t xml:space="preserve">RNA et de </w:t>
      </w:r>
      <w:r w:rsidRPr="000E53A0">
        <w:rPr>
          <w:rFonts w:asciiTheme="minorHAnsi" w:hAnsiTheme="minorHAnsi" w:cstheme="minorHAnsi"/>
          <w:sz w:val="20"/>
          <w:szCs w:val="20"/>
          <w:lang w:val="fr-FR"/>
        </w:rPr>
        <w:t>GDT, le projet formera les départements d'agriculture, de pêche et de GRN ainsi que les producteurs. Les agents de vulgarisation seront formés en tant que formateurs pour répliquer la formation dans leurs domaines d'</w:t>
      </w:r>
      <w:r w:rsidR="00762C7E" w:rsidRPr="000E53A0">
        <w:rPr>
          <w:rFonts w:asciiTheme="minorHAnsi" w:hAnsiTheme="minorHAnsi" w:cstheme="minorHAnsi"/>
          <w:sz w:val="20"/>
          <w:szCs w:val="20"/>
          <w:lang w:val="fr-FR"/>
        </w:rPr>
        <w:t xml:space="preserve">intervention </w:t>
      </w:r>
      <w:r w:rsidRPr="000E53A0">
        <w:rPr>
          <w:rFonts w:asciiTheme="minorHAnsi" w:hAnsiTheme="minorHAnsi" w:cstheme="minorHAnsi"/>
          <w:sz w:val="20"/>
          <w:szCs w:val="20"/>
          <w:lang w:val="fr-FR"/>
        </w:rPr>
        <w:t xml:space="preserve">respectifs </w:t>
      </w:r>
      <w:r w:rsidR="00762C7E" w:rsidRPr="000E53A0">
        <w:rPr>
          <w:rFonts w:asciiTheme="minorHAnsi" w:hAnsiTheme="minorHAnsi" w:cstheme="minorHAnsi"/>
          <w:sz w:val="20"/>
          <w:szCs w:val="20"/>
          <w:lang w:val="fr-FR"/>
        </w:rPr>
        <w:t xml:space="preserve">et </w:t>
      </w:r>
      <w:r w:rsidRPr="000E53A0">
        <w:rPr>
          <w:rFonts w:asciiTheme="minorHAnsi" w:hAnsiTheme="minorHAnsi" w:cstheme="minorHAnsi"/>
          <w:sz w:val="20"/>
          <w:szCs w:val="20"/>
          <w:lang w:val="fr-FR"/>
        </w:rPr>
        <w:t xml:space="preserve">inclure des notions sur la RNA et la gestion durable des terres </w:t>
      </w:r>
      <w:r w:rsidR="00D16741" w:rsidRPr="000E53A0">
        <w:rPr>
          <w:rFonts w:asciiTheme="minorHAnsi" w:hAnsiTheme="minorHAnsi" w:cstheme="minorHAnsi"/>
          <w:sz w:val="20"/>
          <w:szCs w:val="20"/>
          <w:lang w:val="fr-FR"/>
        </w:rPr>
        <w:t xml:space="preserve">et des eaux </w:t>
      </w:r>
      <w:r w:rsidRPr="000E53A0">
        <w:rPr>
          <w:rFonts w:asciiTheme="minorHAnsi" w:hAnsiTheme="minorHAnsi" w:cstheme="minorHAnsi"/>
          <w:sz w:val="20"/>
          <w:szCs w:val="20"/>
          <w:lang w:val="fr-FR"/>
        </w:rPr>
        <w:t xml:space="preserve">(GDT), en s'appuyant sur les connaissances et les préférences locales et traditionnelles. Le projet soutiendra donc la création d'écoles d'agriculture de terrain pour la formation des producteurs, fournissant ainsi une plateforme pour soutenir l'apprentissage continu et le développement des compétences nécessaires pour améliorer les taux d'adoption des pratiques de RNA et de GDT pour le reverdissement. </w:t>
      </w:r>
    </w:p>
    <w:p w14:paraId="03B3656F" w14:textId="77777777" w:rsidR="00601D9B" w:rsidRPr="000E53A0" w:rsidRDefault="000E53A0">
      <w:pPr>
        <w:pStyle w:val="GEFQuestion"/>
        <w:shd w:val="clear" w:color="auto" w:fill="FFFFFF"/>
        <w:ind w:left="0"/>
        <w:jc w:val="both"/>
        <w:rPr>
          <w:rFonts w:asciiTheme="minorHAnsi" w:hAnsiTheme="minorHAnsi" w:cstheme="minorHAnsi"/>
          <w:sz w:val="20"/>
          <w:szCs w:val="20"/>
          <w:lang w:val="fr-FR"/>
        </w:rPr>
      </w:pPr>
      <w:r w:rsidRPr="000E53A0">
        <w:rPr>
          <w:rFonts w:asciiTheme="minorHAnsi" w:hAnsiTheme="minorHAnsi" w:cstheme="minorHAnsi"/>
          <w:sz w:val="20"/>
          <w:szCs w:val="20"/>
          <w:lang w:val="fr-FR"/>
        </w:rPr>
        <w:t xml:space="preserve">L'expérience récente du projet PACV a montré qu'il est nécessaire d'assurer un suivi continu </w:t>
      </w:r>
      <w:r w:rsidR="002B6FBA" w:rsidRPr="000E53A0">
        <w:rPr>
          <w:rFonts w:asciiTheme="minorHAnsi" w:hAnsiTheme="minorHAnsi" w:cstheme="minorHAnsi"/>
          <w:sz w:val="20"/>
          <w:szCs w:val="20"/>
          <w:lang w:val="fr-FR"/>
        </w:rPr>
        <w:t>des activités de RNA</w:t>
      </w:r>
      <w:r w:rsidRPr="000E53A0">
        <w:rPr>
          <w:rFonts w:asciiTheme="minorHAnsi" w:hAnsiTheme="minorHAnsi" w:cstheme="minorHAnsi"/>
          <w:sz w:val="20"/>
          <w:szCs w:val="20"/>
          <w:lang w:val="fr-FR"/>
        </w:rPr>
        <w:t xml:space="preserve">, au-delà des formations initiales, afin de produire des changements de comportement à long terme et d'augmenter l'adoption des pratiques de RNA au sein des communautés locales. En effet, les leçons apprises montrent que le processus est plus efficace lorsque les promenades en transects ont lieu au début de la mise en œuvre du projet, où la nouvelle croissance peut être identifiée, cartographiée et immédiatement étiquetée pour une protection future. Par la suite, des promenades régulières sur les transects sont nécessaires pour démontrer les progrès réalisés, et il a été démontré qu'elles augmentent efficacement l'adhésion. En effet, il a été signalé lors des </w:t>
      </w:r>
      <w:r w:rsidRPr="000E53A0">
        <w:rPr>
          <w:rFonts w:asciiTheme="minorHAnsi" w:hAnsiTheme="minorHAnsi" w:cstheme="minorHAnsi"/>
          <w:sz w:val="20"/>
          <w:szCs w:val="20"/>
          <w:lang w:val="fr-FR"/>
        </w:rPr>
        <w:lastRenderedPageBreak/>
        <w:t xml:space="preserve">consultations du PPG que les individus ne considèrent souvent pas leurs propres pratiques de culture et de pâturage comme ayant un impact sur la présence des arbres, et qu'ils considèrent plutôt le changement climatique comme le principal facteur de dégradation de l'environnement. Le projet propose donc de s'appuyer sur les bonnes pratiques identifiées dans le projet PACV. Après les formations initiales et les transects pour établir une base de référence, le projet soutiendra un suivi participatif continu des progrès de la RNA et évaluera l'évolution à la fin de la mise en œuvre du projet. </w:t>
      </w:r>
    </w:p>
    <w:p w14:paraId="14470C93" w14:textId="77777777" w:rsidR="00D22751" w:rsidRPr="000E53A0" w:rsidRDefault="00D22751" w:rsidP="004E0953">
      <w:pPr>
        <w:pStyle w:val="GEFQuestion"/>
        <w:shd w:val="clear" w:color="auto" w:fill="FFFFFF"/>
        <w:ind w:left="0"/>
        <w:jc w:val="both"/>
        <w:rPr>
          <w:rFonts w:asciiTheme="minorHAnsi" w:hAnsiTheme="minorHAnsi" w:cstheme="minorHAnsi"/>
          <w:sz w:val="20"/>
          <w:szCs w:val="20"/>
          <w:lang w:val="fr-FR"/>
        </w:rPr>
      </w:pPr>
    </w:p>
    <w:p w14:paraId="04BA0E31" w14:textId="77777777" w:rsidR="00601D9B" w:rsidRPr="000E53A0" w:rsidRDefault="000E53A0">
      <w:pPr>
        <w:pStyle w:val="GEFQuestion"/>
        <w:numPr>
          <w:ilvl w:val="0"/>
          <w:numId w:val="61"/>
        </w:numPr>
        <w:shd w:val="clear" w:color="auto" w:fill="FFFFFF"/>
        <w:jc w:val="both"/>
        <w:rPr>
          <w:rFonts w:asciiTheme="minorHAnsi" w:hAnsiTheme="minorHAnsi" w:cstheme="minorHAnsi"/>
          <w:color w:val="000000" w:themeColor="text1"/>
          <w:sz w:val="20"/>
          <w:szCs w:val="20"/>
          <w:lang w:val="fr-FR"/>
        </w:rPr>
      </w:pPr>
      <w:r w:rsidRPr="000E53A0">
        <w:rPr>
          <w:rFonts w:asciiTheme="minorHAnsi" w:hAnsiTheme="minorHAnsi" w:cstheme="minorHAnsi"/>
          <w:color w:val="000000" w:themeColor="text1"/>
          <w:sz w:val="20"/>
          <w:szCs w:val="20"/>
          <w:lang w:val="fr-FR"/>
        </w:rPr>
        <w:t>Activité 2.3.</w:t>
      </w:r>
      <w:r w:rsidR="009D1E67" w:rsidRPr="000E53A0">
        <w:rPr>
          <w:rFonts w:asciiTheme="minorHAnsi" w:hAnsiTheme="minorHAnsi" w:cstheme="minorHAnsi"/>
          <w:color w:val="000000" w:themeColor="text1"/>
          <w:sz w:val="20"/>
          <w:szCs w:val="20"/>
          <w:lang w:val="fr-FR"/>
        </w:rPr>
        <w:t xml:space="preserve">1 </w:t>
      </w:r>
      <w:r w:rsidRPr="000E53A0">
        <w:rPr>
          <w:rFonts w:asciiTheme="minorHAnsi" w:hAnsiTheme="minorHAnsi" w:cstheme="minorHAnsi"/>
          <w:color w:val="000000" w:themeColor="text1"/>
          <w:sz w:val="20"/>
          <w:szCs w:val="20"/>
          <w:lang w:val="fr-FR"/>
        </w:rPr>
        <w:t xml:space="preserve">Formation </w:t>
      </w:r>
      <w:r w:rsidR="00D465FD" w:rsidRPr="000E53A0">
        <w:rPr>
          <w:rFonts w:asciiTheme="minorHAnsi" w:hAnsiTheme="minorHAnsi" w:cstheme="minorHAnsi"/>
          <w:color w:val="000000" w:themeColor="text1"/>
          <w:sz w:val="20"/>
          <w:szCs w:val="20"/>
          <w:lang w:val="fr-FR"/>
        </w:rPr>
        <w:t xml:space="preserve">de formateurs (agents de vulgarisation) </w:t>
      </w:r>
      <w:r w:rsidRPr="000E53A0">
        <w:rPr>
          <w:rFonts w:asciiTheme="minorHAnsi" w:hAnsiTheme="minorHAnsi" w:cstheme="minorHAnsi"/>
          <w:color w:val="000000" w:themeColor="text1"/>
          <w:sz w:val="20"/>
          <w:szCs w:val="20"/>
          <w:lang w:val="fr-FR"/>
        </w:rPr>
        <w:t xml:space="preserve">aux techniques de </w:t>
      </w:r>
      <w:r w:rsidR="00C37BEE" w:rsidRPr="000E53A0">
        <w:rPr>
          <w:rFonts w:asciiTheme="minorHAnsi" w:hAnsiTheme="minorHAnsi" w:cstheme="minorHAnsi"/>
          <w:color w:val="000000" w:themeColor="text1"/>
          <w:sz w:val="20"/>
          <w:szCs w:val="20"/>
          <w:lang w:val="fr-FR"/>
        </w:rPr>
        <w:t xml:space="preserve">RNA </w:t>
      </w:r>
      <w:r w:rsidR="00D465FD" w:rsidRPr="000E53A0">
        <w:rPr>
          <w:rFonts w:asciiTheme="minorHAnsi" w:hAnsiTheme="minorHAnsi" w:cstheme="minorHAnsi"/>
          <w:color w:val="000000" w:themeColor="text1"/>
          <w:sz w:val="20"/>
          <w:szCs w:val="20"/>
          <w:lang w:val="fr-FR"/>
        </w:rPr>
        <w:t>et de GDT</w:t>
      </w:r>
      <w:r w:rsidRPr="000E53A0">
        <w:rPr>
          <w:rFonts w:asciiTheme="minorHAnsi" w:hAnsiTheme="minorHAnsi" w:cstheme="minorHAnsi"/>
          <w:color w:val="000000" w:themeColor="text1"/>
          <w:sz w:val="20"/>
          <w:szCs w:val="20"/>
          <w:lang w:val="fr-FR"/>
        </w:rPr>
        <w:t>, sur la base des connaissances traditionnelles et des préférences locales.</w:t>
      </w:r>
    </w:p>
    <w:p w14:paraId="70BF1669" w14:textId="77777777" w:rsidR="00601D9B" w:rsidRPr="000E53A0" w:rsidRDefault="000E53A0">
      <w:pPr>
        <w:pStyle w:val="GEFQuestion"/>
        <w:numPr>
          <w:ilvl w:val="0"/>
          <w:numId w:val="61"/>
        </w:numPr>
        <w:shd w:val="clear" w:color="auto" w:fill="FFFFFF"/>
        <w:jc w:val="both"/>
        <w:rPr>
          <w:rFonts w:asciiTheme="minorHAnsi" w:hAnsiTheme="minorHAnsi" w:cstheme="minorHAnsi"/>
          <w:color w:val="000000" w:themeColor="text1"/>
          <w:sz w:val="20"/>
          <w:szCs w:val="20"/>
          <w:lang w:val="fr-FR"/>
        </w:rPr>
      </w:pPr>
      <w:r w:rsidRPr="000E53A0">
        <w:rPr>
          <w:rFonts w:asciiTheme="minorHAnsi" w:hAnsiTheme="minorHAnsi" w:cstheme="minorHAnsi"/>
          <w:color w:val="000000" w:themeColor="text1"/>
          <w:sz w:val="20"/>
          <w:szCs w:val="20"/>
          <w:lang w:val="fr-FR"/>
        </w:rPr>
        <w:t>Activité 2.3.2. Création d'écoles d'agriculture de terrain pour la formation des producteurs, y compris les femmes, et de parcelles de démonstration pour les activités de formation des formateurs.</w:t>
      </w:r>
    </w:p>
    <w:p w14:paraId="6DCBA537" w14:textId="77777777" w:rsidR="00601D9B" w:rsidRPr="000E53A0" w:rsidRDefault="000E53A0">
      <w:pPr>
        <w:pStyle w:val="GEFQuestion"/>
        <w:numPr>
          <w:ilvl w:val="0"/>
          <w:numId w:val="61"/>
        </w:numPr>
        <w:shd w:val="clear" w:color="auto" w:fill="FFFFFF"/>
        <w:jc w:val="both"/>
        <w:rPr>
          <w:rFonts w:asciiTheme="minorHAnsi" w:hAnsiTheme="minorHAnsi" w:cstheme="minorHAnsi"/>
          <w:color w:val="000000" w:themeColor="text1"/>
          <w:sz w:val="20"/>
          <w:szCs w:val="20"/>
          <w:lang w:val="fr-FR"/>
        </w:rPr>
      </w:pPr>
      <w:r w:rsidRPr="000E53A0">
        <w:rPr>
          <w:rFonts w:asciiTheme="minorHAnsi" w:hAnsiTheme="minorHAnsi" w:cstheme="minorHAnsi"/>
          <w:color w:val="000000" w:themeColor="text1"/>
          <w:sz w:val="20"/>
          <w:szCs w:val="20"/>
          <w:lang w:val="fr-FR"/>
        </w:rPr>
        <w:t xml:space="preserve">Activité 2.3.3 Cartographie participative des champs pour identifier la nouvelle croissance au début du projet, et </w:t>
      </w:r>
      <w:r w:rsidR="00312363" w:rsidRPr="000E53A0">
        <w:rPr>
          <w:rFonts w:asciiTheme="minorHAnsi" w:hAnsiTheme="minorHAnsi" w:cstheme="minorHAnsi"/>
          <w:color w:val="000000" w:themeColor="text1"/>
          <w:sz w:val="20"/>
          <w:szCs w:val="20"/>
          <w:lang w:val="fr-FR"/>
        </w:rPr>
        <w:t xml:space="preserve">suivi </w:t>
      </w:r>
      <w:r w:rsidRPr="000E53A0">
        <w:rPr>
          <w:rFonts w:asciiTheme="minorHAnsi" w:hAnsiTheme="minorHAnsi" w:cstheme="minorHAnsi"/>
          <w:color w:val="000000" w:themeColor="text1"/>
          <w:sz w:val="20"/>
          <w:szCs w:val="20"/>
          <w:lang w:val="fr-FR"/>
        </w:rPr>
        <w:t xml:space="preserve">annuel par la suite, y compris une évaluation finale du succès de la RNA. </w:t>
      </w:r>
    </w:p>
    <w:p w14:paraId="388E1E8D" w14:textId="77777777" w:rsidR="00601D9B" w:rsidRPr="000E53A0" w:rsidRDefault="000E53A0">
      <w:pPr>
        <w:pStyle w:val="GEFQuestion"/>
        <w:numPr>
          <w:ilvl w:val="0"/>
          <w:numId w:val="61"/>
        </w:numPr>
        <w:shd w:val="clear" w:color="auto" w:fill="FFFFFF"/>
        <w:jc w:val="both"/>
        <w:rPr>
          <w:rFonts w:asciiTheme="minorHAnsi" w:hAnsiTheme="minorHAnsi" w:cstheme="minorHAnsi"/>
          <w:color w:val="000000" w:themeColor="text1"/>
          <w:sz w:val="20"/>
          <w:szCs w:val="20"/>
          <w:lang w:val="fr-FR"/>
        </w:rPr>
      </w:pPr>
      <w:r w:rsidRPr="000E53A0">
        <w:rPr>
          <w:rFonts w:asciiTheme="minorHAnsi" w:hAnsiTheme="minorHAnsi" w:cstheme="minorHAnsi"/>
          <w:color w:val="000000" w:themeColor="text1"/>
          <w:sz w:val="20"/>
          <w:szCs w:val="20"/>
          <w:lang w:val="fr-FR"/>
        </w:rPr>
        <w:t>Activité 2.3.4 Fourniture d'équipements pour soutenir l'adoption de la RNA et de la GDS (par exemple, cisailles, pioche, brouette, bottes et gants)</w:t>
      </w:r>
    </w:p>
    <w:p w14:paraId="3F36CC88" w14:textId="77777777" w:rsidR="00D465FD" w:rsidRPr="000E53A0" w:rsidRDefault="00D465FD" w:rsidP="004E0953">
      <w:pPr>
        <w:jc w:val="both"/>
        <w:rPr>
          <w:rFonts w:asciiTheme="minorHAnsi" w:hAnsiTheme="minorHAnsi" w:cstheme="minorHAnsi"/>
          <w:sz w:val="20"/>
          <w:szCs w:val="20"/>
          <w:lang w:val="fr-FR"/>
        </w:rPr>
      </w:pPr>
    </w:p>
    <w:p w14:paraId="345157EC" w14:textId="77777777" w:rsidR="00601D9B" w:rsidRPr="000E53A0" w:rsidRDefault="000E53A0">
      <w:pPr>
        <w:jc w:val="both"/>
        <w:rPr>
          <w:rFonts w:asciiTheme="minorHAnsi" w:hAnsiTheme="minorHAnsi" w:cstheme="minorHAnsi"/>
          <w:i/>
          <w:iCs/>
          <w:color w:val="000000" w:themeColor="text1"/>
          <w:sz w:val="20"/>
          <w:szCs w:val="20"/>
          <w:lang w:val="fr-FR"/>
        </w:rPr>
      </w:pPr>
      <w:r w:rsidRPr="000E53A0">
        <w:rPr>
          <w:rFonts w:asciiTheme="minorHAnsi" w:hAnsiTheme="minorHAnsi" w:cstheme="minorHAnsi"/>
          <w:i/>
          <w:iCs/>
          <w:color w:val="000000"/>
          <w:sz w:val="20"/>
          <w:szCs w:val="20"/>
          <w:lang w:val="fr-FR"/>
        </w:rPr>
        <w:t xml:space="preserve">Produit 2.4 : </w:t>
      </w:r>
      <w:r w:rsidRPr="000E53A0">
        <w:rPr>
          <w:rFonts w:asciiTheme="minorHAnsi" w:hAnsiTheme="minorHAnsi" w:cstheme="minorHAnsi"/>
          <w:i/>
          <w:iCs/>
          <w:color w:val="000000" w:themeColor="text1"/>
          <w:sz w:val="20"/>
          <w:szCs w:val="20"/>
          <w:lang w:val="fr-FR"/>
        </w:rPr>
        <w:t>Programme de développement des capacités pour une agriculture intelligente face au climat dans les communes cibles (LDCF)</w:t>
      </w:r>
    </w:p>
    <w:p w14:paraId="2FA6BC65" w14:textId="77777777" w:rsidR="00601D9B" w:rsidRPr="000E53A0" w:rsidRDefault="000E53A0">
      <w:pPr>
        <w:pStyle w:val="GEFQuestion"/>
        <w:shd w:val="clear" w:color="auto" w:fill="FFFFFF"/>
        <w:ind w:left="0"/>
        <w:jc w:val="both"/>
        <w:rPr>
          <w:rFonts w:asciiTheme="minorHAnsi" w:hAnsiTheme="minorHAnsi" w:cstheme="minorHAnsi"/>
          <w:sz w:val="20"/>
          <w:szCs w:val="20"/>
          <w:lang w:val="fr-FR"/>
        </w:rPr>
      </w:pPr>
      <w:r w:rsidRPr="000E53A0">
        <w:rPr>
          <w:rFonts w:asciiTheme="minorHAnsi" w:hAnsiTheme="minorHAnsi" w:cstheme="minorHAnsi"/>
          <w:sz w:val="20"/>
          <w:szCs w:val="20"/>
          <w:lang w:val="fr-FR"/>
        </w:rPr>
        <w:t xml:space="preserve">Le </w:t>
      </w:r>
      <w:r w:rsidR="00360DB0" w:rsidRPr="000E53A0">
        <w:rPr>
          <w:rFonts w:asciiTheme="minorHAnsi" w:hAnsiTheme="minorHAnsi" w:cstheme="minorHAnsi"/>
          <w:sz w:val="20"/>
          <w:szCs w:val="20"/>
          <w:lang w:val="fr-FR"/>
        </w:rPr>
        <w:t xml:space="preserve">projet soutiendra l'adoption de pratiques intelligentes du point de vue climatique par les agriculteurs et les éleveurs, grâce à un meilleur accès à des variétés de semences résistantes à la sécheresse </w:t>
      </w:r>
      <w:r w:rsidRPr="000E53A0">
        <w:rPr>
          <w:rFonts w:asciiTheme="minorHAnsi" w:hAnsiTheme="minorHAnsi" w:cstheme="minorHAnsi"/>
          <w:sz w:val="20"/>
          <w:szCs w:val="20"/>
          <w:lang w:val="fr-FR"/>
        </w:rPr>
        <w:t xml:space="preserve">et au climat, à une </w:t>
      </w:r>
      <w:r w:rsidR="00360DB0" w:rsidRPr="000E53A0">
        <w:rPr>
          <w:rFonts w:asciiTheme="minorHAnsi" w:hAnsiTheme="minorHAnsi" w:cstheme="minorHAnsi"/>
          <w:sz w:val="20"/>
          <w:szCs w:val="20"/>
          <w:lang w:val="fr-FR"/>
        </w:rPr>
        <w:t xml:space="preserve">formation et à un soutien technique à la lutte intégrée contre les parasites, à la production de fourrage </w:t>
      </w:r>
      <w:r w:rsidRPr="000E53A0">
        <w:rPr>
          <w:rFonts w:asciiTheme="minorHAnsi" w:hAnsiTheme="minorHAnsi" w:cstheme="minorHAnsi"/>
          <w:sz w:val="20"/>
          <w:szCs w:val="20"/>
          <w:lang w:val="fr-FR"/>
        </w:rPr>
        <w:t xml:space="preserve">et au jardinage en saison sèche, ainsi qu'à la </w:t>
      </w:r>
      <w:r w:rsidR="00360DB0" w:rsidRPr="000E53A0">
        <w:rPr>
          <w:rFonts w:asciiTheme="minorHAnsi" w:hAnsiTheme="minorHAnsi" w:cstheme="minorHAnsi"/>
          <w:sz w:val="20"/>
          <w:szCs w:val="20"/>
          <w:lang w:val="fr-FR"/>
        </w:rPr>
        <w:t xml:space="preserve">production de plants d'arbres pour l'utilisation des PFNL (arbres fruitiers, gommiers et autres produits). </w:t>
      </w:r>
      <w:r w:rsidRPr="000E53A0">
        <w:rPr>
          <w:rFonts w:asciiTheme="minorHAnsi" w:hAnsiTheme="minorHAnsi" w:cstheme="minorHAnsi"/>
          <w:sz w:val="20"/>
          <w:szCs w:val="20"/>
          <w:lang w:val="fr-FR"/>
        </w:rPr>
        <w:t xml:space="preserve">Ainsi, le </w:t>
      </w:r>
      <w:r w:rsidR="00360DB0" w:rsidRPr="000E53A0">
        <w:rPr>
          <w:rFonts w:asciiTheme="minorHAnsi" w:hAnsiTheme="minorHAnsi" w:cstheme="minorHAnsi"/>
          <w:sz w:val="20"/>
          <w:szCs w:val="20"/>
          <w:lang w:val="fr-FR"/>
        </w:rPr>
        <w:t xml:space="preserve">projet créera un réseau de production de semences améliorées/adaptées (céréales, légumineuses, cultures fourragères, arbres fruitiers, etc.) avec au moins une unité de production par cercle. </w:t>
      </w:r>
      <w:r w:rsidRPr="000E53A0">
        <w:rPr>
          <w:rFonts w:asciiTheme="minorHAnsi" w:hAnsiTheme="minorHAnsi" w:cstheme="minorHAnsi"/>
          <w:sz w:val="20"/>
          <w:szCs w:val="20"/>
          <w:lang w:val="fr-FR"/>
        </w:rPr>
        <w:t xml:space="preserve">Le projet soutiendra la création de pépinières pour différentes espèces d'arbres endémiques, qui sont résistantes au climat et peuvent être intégrées dans des systèmes agroforestiers pour produire des PFNL. Les approches réussies, telles que le PACV, qui comprenait la formation du personnel des pépinières dans les villages grâce à des partenariats avec des agents de vulgarisation des Eaux et Forêts </w:t>
      </w:r>
      <w:r w:rsidR="001B0508" w:rsidRPr="000E53A0">
        <w:rPr>
          <w:rFonts w:asciiTheme="minorHAnsi" w:hAnsiTheme="minorHAnsi" w:cstheme="minorHAnsi"/>
          <w:sz w:val="20"/>
          <w:szCs w:val="20"/>
          <w:lang w:val="fr-FR"/>
        </w:rPr>
        <w:t>(DREF)</w:t>
      </w:r>
      <w:r w:rsidRPr="000E53A0">
        <w:rPr>
          <w:rFonts w:asciiTheme="minorHAnsi" w:hAnsiTheme="minorHAnsi" w:cstheme="minorHAnsi"/>
          <w:sz w:val="20"/>
          <w:szCs w:val="20"/>
          <w:lang w:val="fr-FR"/>
        </w:rPr>
        <w:t xml:space="preserve">, la collecte de graines dans l'environnement naturel et la mise en place de pépinières au niveau de la commune, seront reproduites. </w:t>
      </w:r>
      <w:r w:rsidR="00360DB0" w:rsidRPr="000E53A0">
        <w:rPr>
          <w:rFonts w:asciiTheme="minorHAnsi" w:hAnsiTheme="minorHAnsi" w:cstheme="minorHAnsi"/>
          <w:sz w:val="20"/>
          <w:szCs w:val="20"/>
          <w:lang w:val="fr-FR"/>
        </w:rPr>
        <w:t>Pour aider à l'adoption à grande échelle, le projet développera et pilotera dans les langues locales : un programme radio, un service de messages courts pour les agriculteurs, un réseau de communicateurs traditionnels et des matériaux pour les écoles sur la GDT, l'</w:t>
      </w:r>
      <w:r w:rsidR="00720D28" w:rsidRPr="000E53A0">
        <w:rPr>
          <w:rFonts w:asciiTheme="minorHAnsi" w:hAnsiTheme="minorHAnsi" w:cstheme="minorHAnsi"/>
          <w:sz w:val="20"/>
          <w:szCs w:val="20"/>
          <w:lang w:val="fr-FR"/>
        </w:rPr>
        <w:t xml:space="preserve">agriculture intelligente face au climat </w:t>
      </w:r>
      <w:r w:rsidR="00360DB0" w:rsidRPr="000E53A0">
        <w:rPr>
          <w:rFonts w:asciiTheme="minorHAnsi" w:hAnsiTheme="minorHAnsi" w:cstheme="minorHAnsi"/>
          <w:sz w:val="20"/>
          <w:szCs w:val="20"/>
          <w:lang w:val="fr-FR"/>
        </w:rPr>
        <w:t xml:space="preserve">et l'adaptation au changement climatique </w:t>
      </w:r>
      <w:r w:rsidR="00720D28" w:rsidRPr="000E53A0">
        <w:rPr>
          <w:rFonts w:asciiTheme="minorHAnsi" w:hAnsiTheme="minorHAnsi" w:cstheme="minorHAnsi"/>
          <w:sz w:val="20"/>
          <w:szCs w:val="20"/>
          <w:lang w:val="fr-FR"/>
        </w:rPr>
        <w:t>plus généralement</w:t>
      </w:r>
      <w:r w:rsidR="00360DB0" w:rsidRPr="000E53A0">
        <w:rPr>
          <w:rFonts w:asciiTheme="minorHAnsi" w:hAnsiTheme="minorHAnsi" w:cstheme="minorHAnsi"/>
          <w:sz w:val="20"/>
          <w:szCs w:val="20"/>
          <w:lang w:val="fr-FR"/>
        </w:rPr>
        <w:t>.</w:t>
      </w:r>
    </w:p>
    <w:p w14:paraId="2A96495B" w14:textId="77777777" w:rsidR="00BC5475" w:rsidRPr="000E53A0" w:rsidRDefault="00BC5475" w:rsidP="004E0953">
      <w:pPr>
        <w:jc w:val="both"/>
        <w:rPr>
          <w:rFonts w:asciiTheme="minorHAnsi" w:hAnsiTheme="minorHAnsi" w:cstheme="minorHAnsi"/>
          <w:sz w:val="20"/>
          <w:szCs w:val="20"/>
          <w:lang w:val="fr-FR"/>
        </w:rPr>
      </w:pPr>
    </w:p>
    <w:p w14:paraId="6288F9A7" w14:textId="77777777" w:rsidR="00601D9B" w:rsidRPr="000E53A0" w:rsidRDefault="000E53A0">
      <w:pPr>
        <w:pStyle w:val="GEFQuestion"/>
        <w:numPr>
          <w:ilvl w:val="0"/>
          <w:numId w:val="61"/>
        </w:numPr>
        <w:shd w:val="clear" w:color="auto" w:fill="FFFFFF"/>
        <w:jc w:val="both"/>
        <w:rPr>
          <w:rFonts w:asciiTheme="minorHAnsi" w:hAnsiTheme="minorHAnsi" w:cstheme="minorHAnsi"/>
          <w:color w:val="000000" w:themeColor="text1"/>
          <w:sz w:val="20"/>
          <w:szCs w:val="20"/>
          <w:lang w:val="fr-FR"/>
        </w:rPr>
      </w:pPr>
      <w:r w:rsidRPr="000E53A0">
        <w:rPr>
          <w:rFonts w:asciiTheme="minorHAnsi" w:hAnsiTheme="minorHAnsi" w:cstheme="minorHAnsi"/>
          <w:color w:val="000000" w:themeColor="text1"/>
          <w:sz w:val="20"/>
          <w:szCs w:val="20"/>
          <w:lang w:val="fr-FR"/>
        </w:rPr>
        <w:t>Activité 2.</w:t>
      </w:r>
      <w:r w:rsidR="00720D28" w:rsidRPr="000E53A0">
        <w:rPr>
          <w:rFonts w:asciiTheme="minorHAnsi" w:hAnsiTheme="minorHAnsi" w:cstheme="minorHAnsi"/>
          <w:color w:val="000000" w:themeColor="text1"/>
          <w:sz w:val="20"/>
          <w:szCs w:val="20"/>
          <w:lang w:val="fr-FR"/>
        </w:rPr>
        <w:t>4</w:t>
      </w:r>
      <w:r w:rsidRPr="000E53A0">
        <w:rPr>
          <w:rFonts w:asciiTheme="minorHAnsi" w:hAnsiTheme="minorHAnsi" w:cstheme="minorHAnsi"/>
          <w:color w:val="000000" w:themeColor="text1"/>
          <w:sz w:val="20"/>
          <w:szCs w:val="20"/>
          <w:lang w:val="fr-FR"/>
        </w:rPr>
        <w:t>.</w:t>
      </w:r>
      <w:r w:rsidR="00720D28" w:rsidRPr="000E53A0">
        <w:rPr>
          <w:rFonts w:asciiTheme="minorHAnsi" w:hAnsiTheme="minorHAnsi" w:cstheme="minorHAnsi"/>
          <w:color w:val="000000" w:themeColor="text1"/>
          <w:sz w:val="20"/>
          <w:szCs w:val="20"/>
          <w:lang w:val="fr-FR"/>
        </w:rPr>
        <w:t xml:space="preserve">1 </w:t>
      </w:r>
      <w:r w:rsidRPr="000E53A0">
        <w:rPr>
          <w:rFonts w:asciiTheme="minorHAnsi" w:hAnsiTheme="minorHAnsi" w:cstheme="minorHAnsi"/>
          <w:color w:val="000000" w:themeColor="text1"/>
          <w:sz w:val="20"/>
          <w:szCs w:val="20"/>
          <w:lang w:val="fr-FR"/>
        </w:rPr>
        <w:t>Former les agriculteurs et les éleveurs aux pratiques intelligentes face au climat - y compris les nouvelles cultures/variétés locales résistantes à la sécheresse, l'amélioration de la gestion des parasites, la gestion du fourrage et des arbres fruitiers, et les programmes de jardinage en saison sèche.</w:t>
      </w:r>
    </w:p>
    <w:p w14:paraId="3BDE7474" w14:textId="77777777" w:rsidR="00601D9B" w:rsidRPr="000E53A0" w:rsidRDefault="000E53A0">
      <w:pPr>
        <w:jc w:val="both"/>
        <w:rPr>
          <w:rFonts w:asciiTheme="minorHAnsi" w:hAnsiTheme="minorHAnsi" w:cstheme="minorHAnsi"/>
          <w:sz w:val="20"/>
          <w:szCs w:val="20"/>
          <w:lang w:val="fr-FR"/>
        </w:rPr>
      </w:pPr>
      <w:r w:rsidRPr="000E53A0">
        <w:rPr>
          <w:rFonts w:asciiTheme="minorHAnsi" w:hAnsiTheme="minorHAnsi" w:cstheme="minorHAnsi"/>
          <w:sz w:val="20"/>
          <w:szCs w:val="20"/>
          <w:lang w:val="fr-FR"/>
        </w:rPr>
        <w:t xml:space="preserve">Activité 2.4.2. Création d'un réseau de production de semences améliorées/adaptées (céréales, légumineuses, cultures fourragères, etc.) </w:t>
      </w:r>
      <w:r w:rsidR="00097EEA" w:rsidRPr="000E53A0">
        <w:rPr>
          <w:rFonts w:asciiTheme="minorHAnsi" w:hAnsiTheme="minorHAnsi" w:cstheme="minorHAnsi"/>
          <w:sz w:val="20"/>
          <w:szCs w:val="20"/>
          <w:lang w:val="fr-FR"/>
        </w:rPr>
        <w:t>par cercle</w:t>
      </w:r>
    </w:p>
    <w:p w14:paraId="6026587C" w14:textId="77777777" w:rsidR="00601D9B" w:rsidRPr="000E53A0" w:rsidRDefault="000E53A0">
      <w:pPr>
        <w:jc w:val="both"/>
        <w:rPr>
          <w:rFonts w:asciiTheme="minorHAnsi" w:hAnsiTheme="minorHAnsi" w:cstheme="minorHAnsi"/>
          <w:sz w:val="20"/>
          <w:szCs w:val="20"/>
          <w:lang w:val="fr-FR"/>
        </w:rPr>
      </w:pPr>
      <w:r w:rsidRPr="000E53A0">
        <w:rPr>
          <w:rFonts w:asciiTheme="minorHAnsi" w:hAnsiTheme="minorHAnsi" w:cstheme="minorHAnsi"/>
          <w:sz w:val="20"/>
          <w:szCs w:val="20"/>
          <w:lang w:val="fr-FR"/>
        </w:rPr>
        <w:t xml:space="preserve">Activité 2.4.3. </w:t>
      </w:r>
      <w:r w:rsidR="004B0BCA" w:rsidRPr="000E53A0">
        <w:rPr>
          <w:rFonts w:asciiTheme="minorHAnsi" w:hAnsiTheme="minorHAnsi" w:cstheme="minorHAnsi"/>
          <w:sz w:val="20"/>
          <w:szCs w:val="20"/>
          <w:lang w:val="fr-FR"/>
        </w:rPr>
        <w:t xml:space="preserve">Mise en place de pépinières au niveau des communes pour la </w:t>
      </w:r>
      <w:r w:rsidRPr="000E53A0">
        <w:rPr>
          <w:rFonts w:asciiTheme="minorHAnsi" w:hAnsiTheme="minorHAnsi" w:cstheme="minorHAnsi"/>
          <w:sz w:val="20"/>
          <w:szCs w:val="20"/>
          <w:lang w:val="fr-FR"/>
        </w:rPr>
        <w:t xml:space="preserve">production de plants d'arbres destinés à l'utilisation des PFNL </w:t>
      </w:r>
      <w:r w:rsidR="004B0BCA" w:rsidRPr="000E53A0">
        <w:rPr>
          <w:rFonts w:asciiTheme="minorHAnsi" w:hAnsiTheme="minorHAnsi" w:cstheme="minorHAnsi"/>
          <w:sz w:val="20"/>
          <w:szCs w:val="20"/>
          <w:lang w:val="fr-FR"/>
        </w:rPr>
        <w:t>en agroforesterie.</w:t>
      </w:r>
    </w:p>
    <w:p w14:paraId="3A1D7ECA" w14:textId="77777777" w:rsidR="00601D9B" w:rsidRPr="000E53A0" w:rsidRDefault="000E53A0">
      <w:pPr>
        <w:pStyle w:val="GEFQuestion"/>
        <w:numPr>
          <w:ilvl w:val="0"/>
          <w:numId w:val="61"/>
        </w:numPr>
        <w:shd w:val="clear" w:color="auto" w:fill="FFFFFF"/>
        <w:jc w:val="both"/>
        <w:rPr>
          <w:rFonts w:asciiTheme="minorHAnsi" w:hAnsiTheme="minorHAnsi" w:cstheme="minorHAnsi"/>
          <w:color w:val="000000" w:themeColor="text1"/>
          <w:sz w:val="20"/>
          <w:szCs w:val="20"/>
          <w:lang w:val="fr-FR"/>
        </w:rPr>
      </w:pPr>
      <w:r w:rsidRPr="000E53A0">
        <w:rPr>
          <w:rFonts w:asciiTheme="minorHAnsi" w:hAnsiTheme="minorHAnsi" w:cstheme="minorHAnsi"/>
          <w:color w:val="000000" w:themeColor="text1"/>
          <w:sz w:val="20"/>
          <w:szCs w:val="20"/>
          <w:lang w:val="fr-FR"/>
        </w:rPr>
        <w:t xml:space="preserve">Activité 2.4.3. Diffusion d'informations sur l'agriculture intelligente face au climat par des moyens appropriés au niveau local. </w:t>
      </w:r>
    </w:p>
    <w:p w14:paraId="1895DAE2" w14:textId="77777777" w:rsidR="00D22751" w:rsidRPr="000E53A0" w:rsidRDefault="00D22751" w:rsidP="004E0953">
      <w:pPr>
        <w:pStyle w:val="GEFQuestion"/>
        <w:shd w:val="clear" w:color="auto" w:fill="FFFFFF"/>
        <w:ind w:left="0"/>
        <w:jc w:val="both"/>
        <w:rPr>
          <w:rFonts w:asciiTheme="minorHAnsi" w:hAnsiTheme="minorHAnsi" w:cstheme="minorHAnsi"/>
          <w:color w:val="000000" w:themeColor="text1"/>
          <w:sz w:val="20"/>
          <w:szCs w:val="20"/>
          <w:lang w:val="fr-FR"/>
        </w:rPr>
      </w:pPr>
    </w:p>
    <w:p w14:paraId="47FADF3A" w14:textId="77777777" w:rsidR="00601D9B" w:rsidRPr="000E53A0" w:rsidRDefault="000E53A0">
      <w:pPr>
        <w:pStyle w:val="GEFQuestion"/>
        <w:shd w:val="clear" w:color="auto" w:fill="FFFFFF"/>
        <w:ind w:left="0"/>
        <w:jc w:val="both"/>
        <w:rPr>
          <w:rFonts w:asciiTheme="minorHAnsi" w:hAnsiTheme="minorHAnsi" w:cstheme="minorHAnsi"/>
          <w:i/>
          <w:iCs/>
          <w:sz w:val="20"/>
          <w:szCs w:val="20"/>
          <w:lang w:val="fr-FR"/>
        </w:rPr>
      </w:pPr>
      <w:r w:rsidRPr="000E53A0">
        <w:rPr>
          <w:rFonts w:asciiTheme="minorHAnsi" w:hAnsiTheme="minorHAnsi" w:cstheme="minorHAnsi"/>
          <w:i/>
          <w:iCs/>
          <w:sz w:val="20"/>
          <w:szCs w:val="20"/>
          <w:lang w:val="fr-FR"/>
        </w:rPr>
        <w:t>Produit 2.</w:t>
      </w:r>
      <w:r w:rsidR="00360DB0" w:rsidRPr="000E53A0">
        <w:rPr>
          <w:rFonts w:asciiTheme="minorHAnsi" w:hAnsiTheme="minorHAnsi" w:cstheme="minorHAnsi"/>
          <w:i/>
          <w:iCs/>
          <w:sz w:val="20"/>
          <w:szCs w:val="20"/>
          <w:lang w:val="fr-FR"/>
        </w:rPr>
        <w:t xml:space="preserve">5 </w:t>
      </w:r>
      <w:r w:rsidRPr="000E53A0">
        <w:rPr>
          <w:rFonts w:asciiTheme="minorHAnsi" w:hAnsiTheme="minorHAnsi" w:cstheme="minorHAnsi"/>
          <w:i/>
          <w:iCs/>
          <w:sz w:val="20"/>
          <w:szCs w:val="20"/>
          <w:lang w:val="fr-FR"/>
        </w:rPr>
        <w:t xml:space="preserve">: </w:t>
      </w:r>
      <w:r w:rsidR="00872362" w:rsidRPr="000E53A0">
        <w:rPr>
          <w:rFonts w:asciiTheme="minorHAnsi" w:hAnsiTheme="minorHAnsi" w:cstheme="minorHAnsi"/>
          <w:i/>
          <w:iCs/>
          <w:sz w:val="20"/>
          <w:szCs w:val="20"/>
          <w:lang w:val="fr-FR"/>
        </w:rPr>
        <w:t xml:space="preserve">Restauration de </w:t>
      </w:r>
      <w:r w:rsidRPr="000E53A0">
        <w:rPr>
          <w:rFonts w:asciiTheme="minorHAnsi" w:hAnsiTheme="minorHAnsi" w:cstheme="minorHAnsi"/>
          <w:i/>
          <w:iCs/>
          <w:color w:val="000000"/>
          <w:sz w:val="20"/>
          <w:szCs w:val="20"/>
          <w:lang w:val="fr-FR"/>
        </w:rPr>
        <w:t xml:space="preserve">21 000 hectares de prairies/arbustes et de zones humides dégradées </w:t>
      </w:r>
      <w:r w:rsidRPr="000E53A0">
        <w:rPr>
          <w:rFonts w:asciiTheme="minorHAnsi" w:hAnsiTheme="minorHAnsi" w:cstheme="minorHAnsi"/>
          <w:sz w:val="20"/>
          <w:szCs w:val="20"/>
          <w:lang w:val="fr-FR"/>
        </w:rPr>
        <w:t xml:space="preserve">(LDCF) </w:t>
      </w:r>
    </w:p>
    <w:p w14:paraId="7E5286B6" w14:textId="77777777" w:rsidR="00601D9B" w:rsidRPr="000E53A0" w:rsidRDefault="000E53A0">
      <w:pPr>
        <w:pStyle w:val="GEFQuestion"/>
        <w:shd w:val="clear" w:color="auto" w:fill="FFFFFF"/>
        <w:ind w:left="0"/>
        <w:jc w:val="both"/>
        <w:rPr>
          <w:rFonts w:asciiTheme="minorHAnsi" w:hAnsiTheme="minorHAnsi" w:cstheme="minorHAnsi"/>
          <w:color w:val="000000" w:themeColor="text1"/>
          <w:sz w:val="20"/>
          <w:szCs w:val="20"/>
          <w:lang w:val="fr-FR"/>
        </w:rPr>
      </w:pPr>
      <w:r w:rsidRPr="000E53A0">
        <w:rPr>
          <w:rFonts w:asciiTheme="minorHAnsi" w:hAnsiTheme="minorHAnsi" w:cstheme="minorHAnsi"/>
          <w:sz w:val="20"/>
          <w:szCs w:val="20"/>
          <w:lang w:val="fr-FR"/>
        </w:rPr>
        <w:t>Cet extrant cible les ressources en terre et en eau (en dehors des exploitations familiales) à restaurer par des travaux de restauration communaux pour une adaptation basée sur les écosystèmes</w:t>
      </w:r>
      <w:r w:rsidRPr="000E53A0">
        <w:rPr>
          <w:rFonts w:asciiTheme="minorHAnsi" w:hAnsiTheme="minorHAnsi" w:cstheme="minorHAnsi"/>
          <w:color w:val="000000" w:themeColor="text1"/>
          <w:sz w:val="20"/>
          <w:szCs w:val="20"/>
          <w:lang w:val="fr-FR"/>
        </w:rPr>
        <w:t xml:space="preserve">. </w:t>
      </w:r>
      <w:r w:rsidRPr="000E53A0">
        <w:rPr>
          <w:rFonts w:asciiTheme="minorHAnsi" w:hAnsiTheme="minorHAnsi" w:cstheme="minorHAnsi"/>
          <w:sz w:val="20"/>
          <w:szCs w:val="20"/>
          <w:lang w:val="fr-FR"/>
        </w:rPr>
        <w:t xml:space="preserve">Cela comprend : (i) la </w:t>
      </w:r>
      <w:r w:rsidRPr="000E53A0">
        <w:rPr>
          <w:rFonts w:asciiTheme="minorHAnsi" w:hAnsiTheme="minorHAnsi" w:cstheme="minorHAnsi"/>
          <w:color w:val="000000" w:themeColor="text1"/>
          <w:sz w:val="20"/>
          <w:szCs w:val="20"/>
          <w:lang w:val="fr-FR"/>
        </w:rPr>
        <w:t>formation des comités communautaires de gestion des ressources naturelles et des membres de la communauté, y compris les jeunes et les personnes déplacées, pour analyser les besoins d'adaptation, et pour planifier, réaliser et suivre les efforts de réhabilitation ; (ii) l'</w:t>
      </w:r>
      <w:r w:rsidR="00265922" w:rsidRPr="000E53A0">
        <w:rPr>
          <w:rFonts w:asciiTheme="minorHAnsi" w:hAnsiTheme="minorHAnsi" w:cstheme="minorHAnsi"/>
          <w:color w:val="000000" w:themeColor="text1"/>
          <w:sz w:val="20"/>
          <w:szCs w:val="20"/>
          <w:lang w:val="fr-FR"/>
        </w:rPr>
        <w:t xml:space="preserve">équipement des </w:t>
      </w:r>
      <w:r w:rsidRPr="000E53A0">
        <w:rPr>
          <w:rFonts w:asciiTheme="minorHAnsi" w:hAnsiTheme="minorHAnsi" w:cstheme="minorHAnsi"/>
          <w:color w:val="000000" w:themeColor="text1"/>
          <w:sz w:val="20"/>
          <w:szCs w:val="20"/>
          <w:lang w:val="fr-FR"/>
        </w:rPr>
        <w:t xml:space="preserve">comités au niveau des communes / villages et la réalisation de plantations pour la réhabilitation des pâturages et la protection des villages contre l'empiètement du sable ; (iii) équiper et former les comités pour développer et restaurer durablement les cours d'eau (canaux, </w:t>
      </w:r>
      <w:r w:rsidRPr="000E53A0">
        <w:rPr>
          <w:rFonts w:asciiTheme="minorHAnsi" w:hAnsiTheme="minorHAnsi" w:cstheme="minorHAnsi"/>
          <w:color w:val="000000" w:themeColor="text1"/>
          <w:sz w:val="20"/>
          <w:szCs w:val="20"/>
          <w:lang w:val="fr-FR"/>
        </w:rPr>
        <w:lastRenderedPageBreak/>
        <w:t xml:space="preserve">rivières, étangs, bassins) et réaliser les travaux de réhabilitation ; et (iv) équiper les comités pour construire/réhabiliter les barrages en terre </w:t>
      </w:r>
      <w:r w:rsidR="00D820D8" w:rsidRPr="000E53A0">
        <w:rPr>
          <w:rFonts w:asciiTheme="minorHAnsi" w:hAnsiTheme="minorHAnsi" w:cstheme="minorHAnsi"/>
          <w:color w:val="000000" w:themeColor="text1"/>
          <w:sz w:val="20"/>
          <w:szCs w:val="20"/>
          <w:lang w:val="fr-FR"/>
        </w:rPr>
        <w:t>locaux</w:t>
      </w:r>
      <w:r w:rsidRPr="000E53A0">
        <w:rPr>
          <w:rFonts w:asciiTheme="minorHAnsi" w:hAnsiTheme="minorHAnsi" w:cstheme="minorHAnsi"/>
          <w:color w:val="000000" w:themeColor="text1"/>
          <w:sz w:val="20"/>
          <w:szCs w:val="20"/>
          <w:lang w:val="fr-FR"/>
        </w:rPr>
        <w:t xml:space="preserve">, et les puits avec des pompes solaires PV, pour augmenter l'approvisionnement en eau des ménages et l'irrigation (pour le résultat 2.1). </w:t>
      </w:r>
    </w:p>
    <w:p w14:paraId="3F0701BB" w14:textId="77777777" w:rsidR="00601D9B" w:rsidRPr="000E53A0" w:rsidRDefault="000E53A0">
      <w:pPr>
        <w:pStyle w:val="GEFQuestion"/>
        <w:shd w:val="clear" w:color="auto" w:fill="FFFFFF"/>
        <w:ind w:left="0"/>
        <w:jc w:val="both"/>
        <w:rPr>
          <w:rFonts w:asciiTheme="minorHAnsi" w:hAnsiTheme="minorHAnsi" w:cstheme="minorHAnsi"/>
          <w:sz w:val="20"/>
          <w:szCs w:val="20"/>
          <w:lang w:val="fr-FR"/>
        </w:rPr>
      </w:pPr>
      <w:r w:rsidRPr="000E53A0">
        <w:rPr>
          <w:rFonts w:asciiTheme="minorHAnsi" w:hAnsiTheme="minorHAnsi" w:cstheme="minorHAnsi"/>
          <w:sz w:val="20"/>
          <w:szCs w:val="20"/>
          <w:lang w:val="fr-FR"/>
        </w:rPr>
        <w:t>Dans un premier temps, le projet soutiendra, par l'intermédiaire des comités communautaires de gestion des ressources naturelles, la cartographie participative des zones qui nécessitent des efforts de restauration, et les géoréférencera. Par la suite, des plans de restauration, prenant en compte les bénéfices potentiels d'adaptation, seront développés dans chaque zone ciblée, qui identifieront clairement les types d'activités de restauration nécessaires (par exemple, clôture, restauration des berges, dragage, plantation d'arbres, respect des zones tampons, semis d'herbes vivaces) dans 20 villages. Pour assurer le bon déroulement des opérations, cinq accords pour la restauration des parcours et des zones humides seront signés, y compris sur les exigences de suivi et de supervision, et attribueront des responsabilités claires. Le projet soutiendra également la sensibilisation et l'information des communautés sur l'importance des zones à restaurer (au moins 100 acteurs).</w:t>
      </w:r>
    </w:p>
    <w:p w14:paraId="0ADA4877" w14:textId="77777777" w:rsidR="00601D9B" w:rsidRPr="000E53A0" w:rsidRDefault="000E53A0">
      <w:pPr>
        <w:pStyle w:val="GEFQuestion"/>
        <w:shd w:val="clear" w:color="auto" w:fill="FFFFFF"/>
        <w:ind w:left="0"/>
        <w:jc w:val="both"/>
        <w:rPr>
          <w:rFonts w:asciiTheme="minorHAnsi" w:hAnsiTheme="minorHAnsi" w:cstheme="minorHAnsi"/>
          <w:sz w:val="20"/>
          <w:szCs w:val="20"/>
          <w:lang w:val="fr-FR"/>
        </w:rPr>
      </w:pPr>
      <w:r w:rsidRPr="000E53A0">
        <w:rPr>
          <w:rFonts w:asciiTheme="minorHAnsi" w:hAnsiTheme="minorHAnsi" w:cstheme="minorHAnsi"/>
          <w:sz w:val="20"/>
          <w:szCs w:val="20"/>
          <w:lang w:val="fr-FR"/>
        </w:rPr>
        <w:t xml:space="preserve">Dans les </w:t>
      </w:r>
      <w:r w:rsidR="00D22751" w:rsidRPr="000E53A0">
        <w:rPr>
          <w:rFonts w:asciiTheme="minorHAnsi" w:hAnsiTheme="minorHAnsi" w:cstheme="minorHAnsi"/>
          <w:sz w:val="20"/>
          <w:szCs w:val="20"/>
          <w:lang w:val="fr-FR"/>
        </w:rPr>
        <w:t>zones humides, les efforts de réhabilitation consisteront en des travaux de nettoyage/dragage, la fixation des berges avec des tapis herbacés et/ou la plantation d'espèces indigènes. Ces travaux seront complétés par des activités d'empoissonnement et un suivi continu pour promouvoir leur durabilité. Le projet fournira du matériel et des équipements qui pourront faciliter l'adoption de ces pratiques de gestion durable des terres et des eaux et augmenter les capacités des bénéficiaires.</w:t>
      </w:r>
    </w:p>
    <w:p w14:paraId="731AB56D" w14:textId="77777777" w:rsidR="00601D9B" w:rsidRPr="000E53A0" w:rsidRDefault="000E53A0">
      <w:pPr>
        <w:pStyle w:val="GEFQuestion"/>
        <w:shd w:val="clear" w:color="auto" w:fill="FFFFFF"/>
        <w:ind w:left="0"/>
        <w:jc w:val="both"/>
        <w:rPr>
          <w:rFonts w:asciiTheme="minorHAnsi" w:hAnsiTheme="minorHAnsi" w:cstheme="minorHAnsi"/>
          <w:sz w:val="20"/>
          <w:szCs w:val="20"/>
          <w:lang w:val="fr-FR"/>
        </w:rPr>
      </w:pPr>
      <w:r w:rsidRPr="000E53A0">
        <w:rPr>
          <w:rFonts w:asciiTheme="minorHAnsi" w:hAnsiTheme="minorHAnsi" w:cstheme="minorHAnsi"/>
          <w:sz w:val="20"/>
          <w:szCs w:val="20"/>
          <w:lang w:val="fr-FR"/>
        </w:rPr>
        <w:t>La disponibilité de l'eau dans la région est un obstacle majeur à la durabilité de nombreuses activités de restauration. Ainsi, à travers le projet, il sera nécessaire de réhabiliter les digues et les barrages de rétention d'eau (si nécessaire) ou de construire de nouvelles digues de rétention d'eau, des puits équipés de pompes solaires pour l'approvisionnement en eau de boisson, d'irrigation et d'abreuvement des animaux, en fonction de chaque réalité.</w:t>
      </w:r>
    </w:p>
    <w:p w14:paraId="62AEF947" w14:textId="77777777" w:rsidR="00D22751" w:rsidRPr="000E53A0" w:rsidRDefault="00D22751" w:rsidP="004E0953">
      <w:pPr>
        <w:pStyle w:val="GEFQuestion"/>
        <w:shd w:val="clear" w:color="auto" w:fill="FFFFFF"/>
        <w:ind w:left="0"/>
        <w:jc w:val="both"/>
        <w:rPr>
          <w:rFonts w:asciiTheme="minorHAnsi" w:hAnsiTheme="minorHAnsi" w:cstheme="minorHAnsi"/>
          <w:sz w:val="20"/>
          <w:szCs w:val="20"/>
          <w:lang w:val="fr-FR"/>
        </w:rPr>
      </w:pPr>
    </w:p>
    <w:p w14:paraId="6D9DFB2C" w14:textId="77777777" w:rsidR="00601D9B" w:rsidRPr="000E53A0" w:rsidRDefault="000E53A0">
      <w:pPr>
        <w:pStyle w:val="GEFQuestion"/>
        <w:numPr>
          <w:ilvl w:val="0"/>
          <w:numId w:val="60"/>
        </w:numPr>
        <w:shd w:val="clear" w:color="auto" w:fill="FFFFFF"/>
        <w:jc w:val="both"/>
        <w:rPr>
          <w:rFonts w:asciiTheme="minorHAnsi" w:hAnsiTheme="minorHAnsi" w:cstheme="minorHAnsi"/>
          <w:color w:val="000000" w:themeColor="text1"/>
          <w:sz w:val="20"/>
          <w:szCs w:val="20"/>
          <w:lang w:val="fr-FR"/>
        </w:rPr>
      </w:pPr>
      <w:r w:rsidRPr="000E53A0">
        <w:rPr>
          <w:rFonts w:asciiTheme="minorHAnsi" w:hAnsiTheme="minorHAnsi" w:cstheme="minorHAnsi"/>
          <w:color w:val="000000" w:themeColor="text1"/>
          <w:sz w:val="20"/>
          <w:szCs w:val="20"/>
          <w:lang w:val="fr-FR"/>
        </w:rPr>
        <w:t>Activité 2.</w:t>
      </w:r>
      <w:r w:rsidR="00E87970" w:rsidRPr="000E53A0">
        <w:rPr>
          <w:rFonts w:asciiTheme="minorHAnsi" w:hAnsiTheme="minorHAnsi" w:cstheme="minorHAnsi"/>
          <w:color w:val="000000" w:themeColor="text1"/>
          <w:sz w:val="20"/>
          <w:szCs w:val="20"/>
          <w:lang w:val="fr-FR"/>
        </w:rPr>
        <w:t>5</w:t>
      </w:r>
      <w:r w:rsidRPr="000E53A0">
        <w:rPr>
          <w:rFonts w:asciiTheme="minorHAnsi" w:hAnsiTheme="minorHAnsi" w:cstheme="minorHAnsi"/>
          <w:color w:val="000000" w:themeColor="text1"/>
          <w:sz w:val="20"/>
          <w:szCs w:val="20"/>
          <w:lang w:val="fr-FR"/>
        </w:rPr>
        <w:t xml:space="preserve">.1 </w:t>
      </w:r>
      <w:r w:rsidR="00422800" w:rsidRPr="000E53A0">
        <w:rPr>
          <w:rFonts w:asciiTheme="minorHAnsi" w:hAnsiTheme="minorHAnsi" w:cstheme="minorHAnsi"/>
          <w:color w:val="000000" w:themeColor="text1"/>
          <w:sz w:val="20"/>
          <w:szCs w:val="20"/>
          <w:lang w:val="fr-FR"/>
        </w:rPr>
        <w:t xml:space="preserve">Étude </w:t>
      </w:r>
      <w:r w:rsidR="00AF5DA5" w:rsidRPr="000E53A0">
        <w:rPr>
          <w:rFonts w:asciiTheme="minorHAnsi" w:hAnsiTheme="minorHAnsi" w:cstheme="minorHAnsi"/>
          <w:color w:val="000000" w:themeColor="text1"/>
          <w:sz w:val="20"/>
          <w:szCs w:val="20"/>
          <w:lang w:val="fr-FR"/>
        </w:rPr>
        <w:t xml:space="preserve">diagnostique </w:t>
      </w:r>
      <w:r w:rsidR="00D820D8" w:rsidRPr="000E53A0">
        <w:rPr>
          <w:rFonts w:asciiTheme="minorHAnsi" w:hAnsiTheme="minorHAnsi" w:cstheme="minorHAnsi"/>
          <w:color w:val="000000" w:themeColor="text1"/>
          <w:sz w:val="20"/>
          <w:szCs w:val="20"/>
          <w:lang w:val="fr-FR"/>
        </w:rPr>
        <w:t xml:space="preserve">sur les </w:t>
      </w:r>
      <w:r w:rsidR="00422800" w:rsidRPr="000E53A0">
        <w:rPr>
          <w:rFonts w:asciiTheme="minorHAnsi" w:hAnsiTheme="minorHAnsi" w:cstheme="minorHAnsi"/>
          <w:color w:val="000000" w:themeColor="text1"/>
          <w:sz w:val="20"/>
          <w:szCs w:val="20"/>
          <w:lang w:val="fr-FR"/>
        </w:rPr>
        <w:t xml:space="preserve">besoins de </w:t>
      </w:r>
      <w:r w:rsidR="00D820D8" w:rsidRPr="000E53A0">
        <w:rPr>
          <w:rFonts w:asciiTheme="minorHAnsi" w:hAnsiTheme="minorHAnsi" w:cstheme="minorHAnsi"/>
          <w:color w:val="000000" w:themeColor="text1"/>
          <w:sz w:val="20"/>
          <w:szCs w:val="20"/>
          <w:lang w:val="fr-FR"/>
        </w:rPr>
        <w:t xml:space="preserve">restauration </w:t>
      </w:r>
      <w:r w:rsidR="00422800" w:rsidRPr="000E53A0">
        <w:rPr>
          <w:rFonts w:asciiTheme="minorHAnsi" w:hAnsiTheme="minorHAnsi" w:cstheme="minorHAnsi"/>
          <w:color w:val="000000" w:themeColor="text1"/>
          <w:sz w:val="20"/>
          <w:szCs w:val="20"/>
          <w:lang w:val="fr-FR"/>
        </w:rPr>
        <w:t xml:space="preserve">dans chaque </w:t>
      </w:r>
      <w:r w:rsidR="00265922" w:rsidRPr="000E53A0">
        <w:rPr>
          <w:rFonts w:asciiTheme="minorHAnsi" w:hAnsiTheme="minorHAnsi" w:cstheme="minorHAnsi"/>
          <w:color w:val="000000" w:themeColor="text1"/>
          <w:sz w:val="20"/>
          <w:szCs w:val="20"/>
          <w:lang w:val="fr-FR"/>
        </w:rPr>
        <w:t>commune</w:t>
      </w:r>
      <w:r w:rsidR="00422800" w:rsidRPr="000E53A0">
        <w:rPr>
          <w:rFonts w:asciiTheme="minorHAnsi" w:hAnsiTheme="minorHAnsi" w:cstheme="minorHAnsi"/>
          <w:color w:val="000000" w:themeColor="text1"/>
          <w:sz w:val="20"/>
          <w:szCs w:val="20"/>
          <w:lang w:val="fr-FR"/>
        </w:rPr>
        <w:t>, en tenant compte des PDSEC et des priorités identifiées par les services techniques.</w:t>
      </w:r>
    </w:p>
    <w:p w14:paraId="60B9B3C7" w14:textId="77777777" w:rsidR="00601D9B" w:rsidRPr="000E53A0" w:rsidRDefault="000E53A0">
      <w:pPr>
        <w:pStyle w:val="GEFQuestion"/>
        <w:numPr>
          <w:ilvl w:val="0"/>
          <w:numId w:val="60"/>
        </w:numPr>
        <w:shd w:val="clear" w:color="auto" w:fill="FFFFFF"/>
        <w:jc w:val="both"/>
        <w:rPr>
          <w:rFonts w:asciiTheme="minorHAnsi" w:hAnsiTheme="minorHAnsi" w:cstheme="minorHAnsi"/>
          <w:color w:val="000000" w:themeColor="text1"/>
          <w:sz w:val="20"/>
          <w:szCs w:val="20"/>
          <w:lang w:val="fr-FR"/>
        </w:rPr>
      </w:pPr>
      <w:r w:rsidRPr="000E53A0">
        <w:rPr>
          <w:rFonts w:asciiTheme="minorHAnsi" w:hAnsiTheme="minorHAnsi" w:cstheme="minorHAnsi"/>
          <w:color w:val="000000" w:themeColor="text1"/>
          <w:sz w:val="20"/>
          <w:szCs w:val="20"/>
          <w:lang w:val="fr-FR"/>
        </w:rPr>
        <w:t>Activité 2.</w:t>
      </w:r>
      <w:r w:rsidR="00E87970" w:rsidRPr="000E53A0">
        <w:rPr>
          <w:rFonts w:asciiTheme="minorHAnsi" w:hAnsiTheme="minorHAnsi" w:cstheme="minorHAnsi"/>
          <w:color w:val="000000" w:themeColor="text1"/>
          <w:sz w:val="20"/>
          <w:szCs w:val="20"/>
          <w:lang w:val="fr-FR"/>
        </w:rPr>
        <w:t>5</w:t>
      </w:r>
      <w:r w:rsidRPr="000E53A0">
        <w:rPr>
          <w:rFonts w:asciiTheme="minorHAnsi" w:hAnsiTheme="minorHAnsi" w:cstheme="minorHAnsi"/>
          <w:color w:val="000000" w:themeColor="text1"/>
          <w:sz w:val="20"/>
          <w:szCs w:val="20"/>
          <w:lang w:val="fr-FR"/>
        </w:rPr>
        <w:t>.2 Former les structures communautaires concernées (7 à 13 personnes</w:t>
      </w:r>
      <w:r w:rsidR="005F035D" w:rsidRPr="000E53A0">
        <w:rPr>
          <w:rFonts w:asciiTheme="minorHAnsi" w:hAnsiTheme="minorHAnsi" w:cstheme="minorHAnsi"/>
          <w:color w:val="000000" w:themeColor="text1"/>
          <w:sz w:val="20"/>
          <w:szCs w:val="20"/>
          <w:lang w:val="fr-FR"/>
        </w:rPr>
        <w:t>, y compris les jeunes et les personnes déplacées, par exemple les comités de gestion des ressources naturelles</w:t>
      </w:r>
      <w:r w:rsidRPr="000E53A0">
        <w:rPr>
          <w:rFonts w:asciiTheme="minorHAnsi" w:hAnsiTheme="minorHAnsi" w:cstheme="minorHAnsi"/>
          <w:color w:val="000000" w:themeColor="text1"/>
          <w:sz w:val="20"/>
          <w:szCs w:val="20"/>
          <w:lang w:val="fr-FR"/>
        </w:rPr>
        <w:t xml:space="preserve">) à </w:t>
      </w:r>
      <w:r w:rsidR="00B3732F" w:rsidRPr="000E53A0">
        <w:rPr>
          <w:rFonts w:asciiTheme="minorHAnsi" w:hAnsiTheme="minorHAnsi" w:cstheme="minorHAnsi"/>
          <w:color w:val="000000" w:themeColor="text1"/>
          <w:sz w:val="20"/>
          <w:szCs w:val="20"/>
          <w:lang w:val="fr-FR"/>
        </w:rPr>
        <w:t xml:space="preserve">leurs </w:t>
      </w:r>
      <w:r w:rsidRPr="000E53A0">
        <w:rPr>
          <w:rFonts w:asciiTheme="minorHAnsi" w:hAnsiTheme="minorHAnsi" w:cstheme="minorHAnsi"/>
          <w:color w:val="000000" w:themeColor="text1"/>
          <w:sz w:val="20"/>
          <w:szCs w:val="20"/>
          <w:lang w:val="fr-FR"/>
        </w:rPr>
        <w:t xml:space="preserve">rôles et responsabilités </w:t>
      </w:r>
      <w:r w:rsidR="00B3732F" w:rsidRPr="000E53A0">
        <w:rPr>
          <w:rFonts w:asciiTheme="minorHAnsi" w:hAnsiTheme="minorHAnsi" w:cstheme="minorHAnsi"/>
          <w:color w:val="000000" w:themeColor="text1"/>
          <w:sz w:val="20"/>
          <w:szCs w:val="20"/>
          <w:lang w:val="fr-FR"/>
        </w:rPr>
        <w:t xml:space="preserve">en ce qui concerne la </w:t>
      </w:r>
      <w:r w:rsidRPr="000E53A0">
        <w:rPr>
          <w:rFonts w:asciiTheme="minorHAnsi" w:hAnsiTheme="minorHAnsi" w:cstheme="minorHAnsi"/>
          <w:color w:val="000000" w:themeColor="text1"/>
          <w:sz w:val="20"/>
          <w:szCs w:val="20"/>
          <w:lang w:val="fr-FR"/>
        </w:rPr>
        <w:t xml:space="preserve">planification des efforts de réhabilitation </w:t>
      </w:r>
      <w:r w:rsidR="005F035D" w:rsidRPr="000E53A0">
        <w:rPr>
          <w:rFonts w:asciiTheme="minorHAnsi" w:hAnsiTheme="minorHAnsi" w:cstheme="minorHAnsi"/>
          <w:color w:val="000000" w:themeColor="text1"/>
          <w:sz w:val="20"/>
          <w:szCs w:val="20"/>
          <w:lang w:val="fr-FR"/>
        </w:rPr>
        <w:t>pour soutenir l'adaptation</w:t>
      </w:r>
      <w:r w:rsidRPr="000E53A0">
        <w:rPr>
          <w:rFonts w:asciiTheme="minorHAnsi" w:hAnsiTheme="minorHAnsi" w:cstheme="minorHAnsi"/>
          <w:color w:val="000000" w:themeColor="text1"/>
          <w:sz w:val="20"/>
          <w:szCs w:val="20"/>
          <w:lang w:val="fr-FR"/>
        </w:rPr>
        <w:t>, la mise en œuvre et le suivi.</w:t>
      </w:r>
    </w:p>
    <w:p w14:paraId="4F32CF9B" w14:textId="77777777" w:rsidR="00601D9B" w:rsidRPr="000E53A0" w:rsidRDefault="000E53A0">
      <w:pPr>
        <w:pStyle w:val="GEFQuestion"/>
        <w:numPr>
          <w:ilvl w:val="0"/>
          <w:numId w:val="60"/>
        </w:numPr>
        <w:shd w:val="clear" w:color="auto" w:fill="FFFFFF"/>
        <w:jc w:val="both"/>
        <w:rPr>
          <w:rFonts w:asciiTheme="minorHAnsi" w:hAnsiTheme="minorHAnsi" w:cstheme="minorHAnsi"/>
          <w:color w:val="000000" w:themeColor="text1"/>
          <w:sz w:val="20"/>
          <w:szCs w:val="20"/>
          <w:lang w:val="fr-FR"/>
        </w:rPr>
      </w:pPr>
      <w:r w:rsidRPr="000E53A0">
        <w:rPr>
          <w:rFonts w:asciiTheme="minorHAnsi" w:hAnsiTheme="minorHAnsi" w:cstheme="minorHAnsi"/>
          <w:color w:val="000000" w:themeColor="text1"/>
          <w:sz w:val="20"/>
          <w:szCs w:val="20"/>
          <w:lang w:val="fr-FR"/>
        </w:rPr>
        <w:t>Activité 2.</w:t>
      </w:r>
      <w:r w:rsidR="00E87970" w:rsidRPr="000E53A0">
        <w:rPr>
          <w:rFonts w:asciiTheme="minorHAnsi" w:hAnsiTheme="minorHAnsi" w:cstheme="minorHAnsi"/>
          <w:color w:val="000000" w:themeColor="text1"/>
          <w:sz w:val="20"/>
          <w:szCs w:val="20"/>
          <w:lang w:val="fr-FR"/>
        </w:rPr>
        <w:t>5</w:t>
      </w:r>
      <w:r w:rsidRPr="000E53A0">
        <w:rPr>
          <w:rFonts w:asciiTheme="minorHAnsi" w:hAnsiTheme="minorHAnsi" w:cstheme="minorHAnsi"/>
          <w:color w:val="000000" w:themeColor="text1"/>
          <w:sz w:val="20"/>
          <w:szCs w:val="20"/>
          <w:lang w:val="fr-FR"/>
        </w:rPr>
        <w:t xml:space="preserve">.3 Fournir des matériaux et des équipements </w:t>
      </w:r>
      <w:r w:rsidR="00577BAB" w:rsidRPr="000E53A0">
        <w:rPr>
          <w:rFonts w:asciiTheme="minorHAnsi" w:hAnsiTheme="minorHAnsi" w:cstheme="minorHAnsi"/>
          <w:color w:val="000000" w:themeColor="text1"/>
          <w:sz w:val="20"/>
          <w:szCs w:val="20"/>
          <w:lang w:val="fr-FR"/>
        </w:rPr>
        <w:t xml:space="preserve">aux institutions </w:t>
      </w:r>
      <w:r w:rsidRPr="000E53A0">
        <w:rPr>
          <w:rFonts w:asciiTheme="minorHAnsi" w:hAnsiTheme="minorHAnsi" w:cstheme="minorHAnsi"/>
          <w:color w:val="000000" w:themeColor="text1"/>
          <w:sz w:val="20"/>
          <w:szCs w:val="20"/>
          <w:lang w:val="fr-FR"/>
        </w:rPr>
        <w:t>communautaires concernées (par exemple, les coopératives d'éleveurs, les groupes de femmes), et établir des plantations pour la réhabilitation des pâturages et la protection des villages contre l'empiètement du sable (par exemple, techniques anti-érosion ; fixation des dunes)</w:t>
      </w:r>
    </w:p>
    <w:p w14:paraId="6B533FE1" w14:textId="77777777" w:rsidR="00601D9B" w:rsidRPr="000E53A0" w:rsidRDefault="000E53A0">
      <w:pPr>
        <w:pStyle w:val="GEFQuestion"/>
        <w:numPr>
          <w:ilvl w:val="0"/>
          <w:numId w:val="60"/>
        </w:numPr>
        <w:shd w:val="clear" w:color="auto" w:fill="FFFFFF"/>
        <w:jc w:val="both"/>
        <w:rPr>
          <w:rFonts w:asciiTheme="minorHAnsi" w:hAnsiTheme="minorHAnsi" w:cstheme="minorHAnsi"/>
          <w:color w:val="000000" w:themeColor="text1"/>
          <w:sz w:val="20"/>
          <w:szCs w:val="20"/>
          <w:lang w:val="fr-FR"/>
        </w:rPr>
      </w:pPr>
      <w:r w:rsidRPr="000E53A0">
        <w:rPr>
          <w:rFonts w:asciiTheme="minorHAnsi" w:hAnsiTheme="minorHAnsi" w:cstheme="minorHAnsi"/>
          <w:color w:val="000000" w:themeColor="text1"/>
          <w:sz w:val="20"/>
          <w:szCs w:val="20"/>
          <w:lang w:val="fr-FR"/>
        </w:rPr>
        <w:t>Activité 2.</w:t>
      </w:r>
      <w:r w:rsidR="00E87970" w:rsidRPr="000E53A0">
        <w:rPr>
          <w:rFonts w:asciiTheme="minorHAnsi" w:hAnsiTheme="minorHAnsi" w:cstheme="minorHAnsi"/>
          <w:color w:val="000000" w:themeColor="text1"/>
          <w:sz w:val="20"/>
          <w:szCs w:val="20"/>
          <w:lang w:val="fr-FR"/>
        </w:rPr>
        <w:t>5</w:t>
      </w:r>
      <w:r w:rsidRPr="000E53A0">
        <w:rPr>
          <w:rFonts w:asciiTheme="minorHAnsi" w:hAnsiTheme="minorHAnsi" w:cstheme="minorHAnsi"/>
          <w:color w:val="000000" w:themeColor="text1"/>
          <w:sz w:val="20"/>
          <w:szCs w:val="20"/>
          <w:lang w:val="fr-FR"/>
        </w:rPr>
        <w:t xml:space="preserve">.4 Équiper les </w:t>
      </w:r>
      <w:r w:rsidR="00577BAB" w:rsidRPr="000E53A0">
        <w:rPr>
          <w:rFonts w:asciiTheme="minorHAnsi" w:hAnsiTheme="minorHAnsi" w:cstheme="minorHAnsi"/>
          <w:color w:val="000000" w:themeColor="text1"/>
          <w:sz w:val="20"/>
          <w:szCs w:val="20"/>
          <w:lang w:val="fr-FR"/>
        </w:rPr>
        <w:t xml:space="preserve">institutions </w:t>
      </w:r>
      <w:r w:rsidRPr="000E53A0">
        <w:rPr>
          <w:rFonts w:asciiTheme="minorHAnsi" w:hAnsiTheme="minorHAnsi" w:cstheme="minorHAnsi"/>
          <w:color w:val="000000" w:themeColor="text1"/>
          <w:sz w:val="20"/>
          <w:szCs w:val="20"/>
          <w:lang w:val="fr-FR"/>
        </w:rPr>
        <w:t xml:space="preserve">communautaires concernées (par exemple, les coopératives d'éleveurs) pour gérer durablement et restaurer les cours d'eau (canaux, rivières, étangs) et </w:t>
      </w:r>
      <w:r w:rsidR="00577BAB" w:rsidRPr="000E53A0">
        <w:rPr>
          <w:rFonts w:asciiTheme="minorHAnsi" w:hAnsiTheme="minorHAnsi" w:cstheme="minorHAnsi"/>
          <w:color w:val="000000" w:themeColor="text1"/>
          <w:sz w:val="20"/>
          <w:szCs w:val="20"/>
          <w:lang w:val="fr-FR"/>
        </w:rPr>
        <w:t xml:space="preserve">soutenir des </w:t>
      </w:r>
      <w:r w:rsidRPr="000E53A0">
        <w:rPr>
          <w:rFonts w:asciiTheme="minorHAnsi" w:hAnsiTheme="minorHAnsi" w:cstheme="minorHAnsi"/>
          <w:color w:val="000000" w:themeColor="text1"/>
          <w:sz w:val="20"/>
          <w:szCs w:val="20"/>
          <w:lang w:val="fr-FR"/>
        </w:rPr>
        <w:t xml:space="preserve">travaux de réhabilitation </w:t>
      </w:r>
      <w:r w:rsidR="00577BAB" w:rsidRPr="000E53A0">
        <w:rPr>
          <w:rFonts w:asciiTheme="minorHAnsi" w:hAnsiTheme="minorHAnsi" w:cstheme="minorHAnsi"/>
          <w:color w:val="000000" w:themeColor="text1"/>
          <w:sz w:val="20"/>
          <w:szCs w:val="20"/>
          <w:lang w:val="fr-FR"/>
        </w:rPr>
        <w:t>efficaces.</w:t>
      </w:r>
    </w:p>
    <w:p w14:paraId="73C67B05" w14:textId="77777777" w:rsidR="00601D9B" w:rsidRPr="000E53A0" w:rsidRDefault="000E53A0">
      <w:pPr>
        <w:pStyle w:val="GEFQuestion"/>
        <w:numPr>
          <w:ilvl w:val="0"/>
          <w:numId w:val="60"/>
        </w:numPr>
        <w:shd w:val="clear" w:color="auto" w:fill="FFFFFF"/>
        <w:jc w:val="both"/>
        <w:rPr>
          <w:rFonts w:asciiTheme="minorHAnsi" w:hAnsiTheme="minorHAnsi" w:cstheme="minorHAnsi"/>
          <w:color w:val="000000" w:themeColor="text1"/>
          <w:sz w:val="20"/>
          <w:szCs w:val="20"/>
          <w:lang w:val="fr-FR"/>
        </w:rPr>
      </w:pPr>
      <w:r w:rsidRPr="000E53A0">
        <w:rPr>
          <w:rFonts w:asciiTheme="minorHAnsi" w:hAnsiTheme="minorHAnsi" w:cstheme="minorHAnsi"/>
          <w:color w:val="000000" w:themeColor="text1"/>
          <w:sz w:val="20"/>
          <w:szCs w:val="20"/>
          <w:lang w:val="fr-FR"/>
        </w:rPr>
        <w:t>Activité 2.</w:t>
      </w:r>
      <w:r w:rsidR="00E87970" w:rsidRPr="000E53A0">
        <w:rPr>
          <w:rFonts w:asciiTheme="minorHAnsi" w:hAnsiTheme="minorHAnsi" w:cstheme="minorHAnsi"/>
          <w:color w:val="000000" w:themeColor="text1"/>
          <w:sz w:val="20"/>
          <w:szCs w:val="20"/>
          <w:lang w:val="fr-FR"/>
        </w:rPr>
        <w:t>5</w:t>
      </w:r>
      <w:r w:rsidRPr="000E53A0">
        <w:rPr>
          <w:rFonts w:asciiTheme="minorHAnsi" w:hAnsiTheme="minorHAnsi" w:cstheme="minorHAnsi"/>
          <w:color w:val="000000" w:themeColor="text1"/>
          <w:sz w:val="20"/>
          <w:szCs w:val="20"/>
          <w:lang w:val="fr-FR"/>
        </w:rPr>
        <w:t xml:space="preserve">.5 Équiper les </w:t>
      </w:r>
      <w:r w:rsidR="00577BAB" w:rsidRPr="000E53A0">
        <w:rPr>
          <w:rFonts w:asciiTheme="minorHAnsi" w:hAnsiTheme="minorHAnsi" w:cstheme="minorHAnsi"/>
          <w:color w:val="000000" w:themeColor="text1"/>
          <w:sz w:val="20"/>
          <w:szCs w:val="20"/>
          <w:lang w:val="fr-FR"/>
        </w:rPr>
        <w:t xml:space="preserve">institutions </w:t>
      </w:r>
      <w:r w:rsidRPr="000E53A0">
        <w:rPr>
          <w:rFonts w:asciiTheme="minorHAnsi" w:hAnsiTheme="minorHAnsi" w:cstheme="minorHAnsi"/>
          <w:color w:val="000000" w:themeColor="text1"/>
          <w:sz w:val="20"/>
          <w:szCs w:val="20"/>
          <w:lang w:val="fr-FR"/>
        </w:rPr>
        <w:t xml:space="preserve">communautaires pertinentes (par exemple, </w:t>
      </w:r>
      <w:r w:rsidR="005F035D" w:rsidRPr="000E53A0">
        <w:rPr>
          <w:rFonts w:asciiTheme="minorHAnsi" w:hAnsiTheme="minorHAnsi" w:cstheme="minorHAnsi"/>
          <w:color w:val="000000" w:themeColor="text1"/>
          <w:sz w:val="20"/>
          <w:szCs w:val="20"/>
          <w:lang w:val="fr-FR"/>
        </w:rPr>
        <w:t xml:space="preserve">les </w:t>
      </w:r>
      <w:r w:rsidRPr="000E53A0">
        <w:rPr>
          <w:rFonts w:asciiTheme="minorHAnsi" w:hAnsiTheme="minorHAnsi" w:cstheme="minorHAnsi"/>
          <w:color w:val="000000" w:themeColor="text1"/>
          <w:sz w:val="20"/>
          <w:szCs w:val="20"/>
          <w:lang w:val="fr-FR"/>
        </w:rPr>
        <w:t>comités d'infrastructure) pour construire/réhabiliter les barrages en terre et les puits avec des pompes solaires PV pour augmenter l'approvisionnement en eau des ménages et l'irrigation.</w:t>
      </w:r>
    </w:p>
    <w:p w14:paraId="206A5865" w14:textId="77777777" w:rsidR="00422800" w:rsidRPr="000E53A0" w:rsidRDefault="00422800" w:rsidP="004E0953">
      <w:pPr>
        <w:pStyle w:val="GEFQuestion"/>
        <w:shd w:val="clear" w:color="auto" w:fill="FFFFFF"/>
        <w:jc w:val="both"/>
        <w:rPr>
          <w:rFonts w:asciiTheme="minorHAnsi" w:hAnsiTheme="minorHAnsi" w:cstheme="minorHAnsi"/>
          <w:color w:val="000000" w:themeColor="text1"/>
          <w:sz w:val="20"/>
          <w:szCs w:val="20"/>
          <w:lang w:val="fr-FR"/>
        </w:rPr>
      </w:pPr>
    </w:p>
    <w:p w14:paraId="2ACDCB9F" w14:textId="77777777" w:rsidR="00601D9B" w:rsidRPr="000E53A0" w:rsidRDefault="000E53A0">
      <w:pPr>
        <w:pStyle w:val="GEFQuestion"/>
        <w:shd w:val="clear" w:color="auto" w:fill="FFFFFF"/>
        <w:spacing w:before="120" w:line="276" w:lineRule="auto"/>
        <w:ind w:left="0"/>
        <w:jc w:val="both"/>
        <w:rPr>
          <w:rFonts w:asciiTheme="minorHAnsi" w:hAnsiTheme="minorHAnsi" w:cstheme="minorHAnsi"/>
          <w:color w:val="000000"/>
          <w:sz w:val="20"/>
          <w:szCs w:val="20"/>
          <w:lang w:val="fr-FR"/>
        </w:rPr>
      </w:pPr>
      <w:r w:rsidRPr="000E53A0">
        <w:rPr>
          <w:rFonts w:asciiTheme="minorHAnsi" w:hAnsiTheme="minorHAnsi" w:cstheme="minorHAnsi"/>
          <w:b/>
          <w:bCs/>
          <w:color w:val="000000"/>
          <w:sz w:val="20"/>
          <w:szCs w:val="20"/>
          <w:lang w:val="fr-FR"/>
        </w:rPr>
        <w:t xml:space="preserve">Composante 3 : aider les exploitations familiales, les jeunes et les femmes à innover et à adopter des moyens de subsistance résilients et durables. </w:t>
      </w:r>
    </w:p>
    <w:p w14:paraId="34095DB1" w14:textId="77777777" w:rsidR="00601D9B" w:rsidRPr="000E53A0" w:rsidRDefault="000E53A0">
      <w:pPr>
        <w:jc w:val="both"/>
        <w:rPr>
          <w:rFonts w:asciiTheme="minorHAnsi" w:hAnsiTheme="minorHAnsi" w:cstheme="minorHAnsi"/>
          <w:sz w:val="20"/>
          <w:szCs w:val="20"/>
          <w:lang w:val="fr-FR"/>
        </w:rPr>
      </w:pPr>
      <w:r w:rsidRPr="000E53A0">
        <w:rPr>
          <w:rFonts w:asciiTheme="minorHAnsi" w:hAnsiTheme="minorHAnsi" w:cstheme="minorHAnsi"/>
          <w:i/>
          <w:iCs/>
          <w:sz w:val="20"/>
          <w:szCs w:val="20"/>
          <w:lang w:val="fr-FR"/>
        </w:rPr>
        <w:t xml:space="preserve">Le </w:t>
      </w:r>
      <w:r w:rsidRPr="000E53A0">
        <w:rPr>
          <w:rFonts w:asciiTheme="minorHAnsi" w:hAnsiTheme="minorHAnsi" w:cstheme="minorHAnsi"/>
          <w:sz w:val="20"/>
          <w:szCs w:val="20"/>
          <w:lang w:val="fr-FR"/>
        </w:rPr>
        <w:t xml:space="preserve">résultat escompté de cette composante est que les </w:t>
      </w:r>
      <w:r w:rsidRPr="000E53A0">
        <w:rPr>
          <w:rFonts w:asciiTheme="minorHAnsi" w:hAnsiTheme="minorHAnsi" w:cstheme="minorHAnsi"/>
          <w:i/>
          <w:iCs/>
          <w:sz w:val="20"/>
          <w:szCs w:val="20"/>
          <w:lang w:val="fr-FR"/>
        </w:rPr>
        <w:t>ménages ruraux et les organisations communautaires améliorent leur résilience aux conflits et au changement climatique en relançant et en diversifiant les activités productives et les entreprises qui répartissent les risques pour les ménages, tout en fournissant simultanément des intrants pour une agriculture intelligente face au climat, ou en ajoutant de la valeur aux produits agricoles intelligents face au climat</w:t>
      </w:r>
      <w:r w:rsidRPr="000E53A0">
        <w:rPr>
          <w:rFonts w:asciiTheme="minorHAnsi" w:hAnsiTheme="minorHAnsi" w:cstheme="minorHAnsi"/>
          <w:sz w:val="20"/>
          <w:szCs w:val="20"/>
          <w:lang w:val="fr-FR"/>
        </w:rPr>
        <w:t xml:space="preserve">. La composante implique deux groupes de travail décrits ci-dessous - (i) soutenir le renforcement / l'établissement de petites entreprises agricoles et de coopératives au niveau du village, (sur la base de la production améliorée et diversifiée stimulée dans la composante 2) ; et (ii) relier ces entreprises aux chaînes de valeur au-delà du village par un soutien ciblé aux femmes et aux jeunes entrepreneurs. </w:t>
      </w:r>
    </w:p>
    <w:p w14:paraId="665C1B5A" w14:textId="77777777" w:rsidR="00601D9B" w:rsidRPr="000E53A0" w:rsidRDefault="000E53A0">
      <w:pPr>
        <w:jc w:val="both"/>
        <w:rPr>
          <w:rFonts w:asciiTheme="minorHAnsi" w:hAnsiTheme="minorHAnsi" w:cstheme="minorHAnsi"/>
          <w:sz w:val="20"/>
          <w:szCs w:val="20"/>
          <w:lang w:val="fr-FR"/>
        </w:rPr>
      </w:pPr>
      <w:r w:rsidRPr="000E53A0">
        <w:rPr>
          <w:rFonts w:asciiTheme="minorHAnsi" w:hAnsiTheme="minorHAnsi" w:cstheme="minorHAnsi"/>
          <w:sz w:val="20"/>
          <w:szCs w:val="20"/>
          <w:lang w:val="fr-FR"/>
        </w:rPr>
        <w:t xml:space="preserve">Dans le cadre du scénario alternatif, il est nécessaire de permettre l'accès au marché pour les produits agricoles. La vente de produits agricoles intelligents sur le plan climatique et de produits à valeur ajoutée apportera de nouvelles sources de revenus aux </w:t>
      </w:r>
      <w:r w:rsidR="00F11B8C" w:rsidRPr="000E53A0">
        <w:rPr>
          <w:rFonts w:asciiTheme="minorHAnsi" w:hAnsiTheme="minorHAnsi" w:cstheme="minorHAnsi"/>
          <w:sz w:val="20"/>
          <w:szCs w:val="20"/>
          <w:lang w:val="fr-FR"/>
        </w:rPr>
        <w:t xml:space="preserve">ménages et </w:t>
      </w:r>
      <w:r w:rsidRPr="000E53A0">
        <w:rPr>
          <w:rFonts w:asciiTheme="minorHAnsi" w:hAnsiTheme="minorHAnsi" w:cstheme="minorHAnsi"/>
          <w:sz w:val="20"/>
          <w:szCs w:val="20"/>
          <w:lang w:val="fr-FR"/>
        </w:rPr>
        <w:t xml:space="preserve">fournira des liquidités qui pourront être utilisées pour améliorer </w:t>
      </w:r>
      <w:r w:rsidRPr="000E53A0">
        <w:rPr>
          <w:rFonts w:asciiTheme="minorHAnsi" w:hAnsiTheme="minorHAnsi" w:cstheme="minorHAnsi"/>
          <w:sz w:val="20"/>
          <w:szCs w:val="20"/>
          <w:lang w:val="fr-FR"/>
        </w:rPr>
        <w:lastRenderedPageBreak/>
        <w:t>l</w:t>
      </w:r>
      <w:r w:rsidR="007561BC" w:rsidRPr="000E53A0">
        <w:rPr>
          <w:rFonts w:asciiTheme="minorHAnsi" w:hAnsiTheme="minorHAnsi" w:cstheme="minorHAnsi"/>
          <w:sz w:val="20"/>
          <w:szCs w:val="20"/>
          <w:lang w:val="fr-FR"/>
        </w:rPr>
        <w:t>'</w:t>
      </w:r>
      <w:r w:rsidRPr="000E53A0">
        <w:rPr>
          <w:rFonts w:asciiTheme="minorHAnsi" w:hAnsiTheme="minorHAnsi" w:cstheme="minorHAnsi"/>
          <w:sz w:val="20"/>
          <w:szCs w:val="20"/>
          <w:lang w:val="fr-FR"/>
        </w:rPr>
        <w:t>état nutritionnel</w:t>
      </w:r>
      <w:r w:rsidR="007561BC" w:rsidRPr="000E53A0">
        <w:rPr>
          <w:rFonts w:asciiTheme="minorHAnsi" w:hAnsiTheme="minorHAnsi" w:cstheme="minorHAnsi"/>
          <w:sz w:val="20"/>
          <w:szCs w:val="20"/>
          <w:lang w:val="fr-FR"/>
        </w:rPr>
        <w:t xml:space="preserve">. Elle peut également contribuer à </w:t>
      </w:r>
      <w:r w:rsidRPr="000E53A0">
        <w:rPr>
          <w:rFonts w:asciiTheme="minorHAnsi" w:hAnsiTheme="minorHAnsi" w:cstheme="minorHAnsi"/>
          <w:sz w:val="20"/>
          <w:szCs w:val="20"/>
          <w:lang w:val="fr-FR"/>
        </w:rPr>
        <w:t xml:space="preserve">renforcer la résilience face aux chocs et stress externes de toutes sortes - y compris les conflits civils et les risques climatiques. Dans le cadre du volet 3, une assistance technique </w:t>
      </w:r>
      <w:r w:rsidR="007561BC" w:rsidRPr="000E53A0">
        <w:rPr>
          <w:rFonts w:asciiTheme="minorHAnsi" w:hAnsiTheme="minorHAnsi" w:cstheme="minorHAnsi"/>
          <w:sz w:val="20"/>
          <w:szCs w:val="20"/>
          <w:lang w:val="fr-FR"/>
        </w:rPr>
        <w:t xml:space="preserve">sera </w:t>
      </w:r>
      <w:r w:rsidRPr="000E53A0">
        <w:rPr>
          <w:rFonts w:asciiTheme="minorHAnsi" w:hAnsiTheme="minorHAnsi" w:cstheme="minorHAnsi"/>
          <w:sz w:val="20"/>
          <w:szCs w:val="20"/>
          <w:lang w:val="fr-FR"/>
        </w:rPr>
        <w:t xml:space="preserve">fournie </w:t>
      </w:r>
      <w:r w:rsidR="007561BC" w:rsidRPr="000E53A0">
        <w:rPr>
          <w:rFonts w:asciiTheme="minorHAnsi" w:hAnsiTheme="minorHAnsi" w:cstheme="minorHAnsi"/>
          <w:sz w:val="20"/>
          <w:szCs w:val="20"/>
          <w:lang w:val="fr-FR"/>
        </w:rPr>
        <w:t xml:space="preserve">pour </w:t>
      </w:r>
      <w:r w:rsidRPr="000E53A0">
        <w:rPr>
          <w:rFonts w:asciiTheme="minorHAnsi" w:hAnsiTheme="minorHAnsi" w:cstheme="minorHAnsi"/>
          <w:sz w:val="20"/>
          <w:szCs w:val="20"/>
          <w:lang w:val="fr-FR"/>
        </w:rPr>
        <w:t>créer des entreprises coopératives impliquant des jeunes et des femmes</w:t>
      </w:r>
      <w:r w:rsidR="007561BC" w:rsidRPr="000E53A0">
        <w:rPr>
          <w:rFonts w:asciiTheme="minorHAnsi" w:hAnsiTheme="minorHAnsi" w:cstheme="minorHAnsi"/>
          <w:sz w:val="20"/>
          <w:szCs w:val="20"/>
          <w:lang w:val="fr-FR"/>
        </w:rPr>
        <w:t xml:space="preserve">, pour la production d'intrants agricoles adaptés au climat (par exemple, des </w:t>
      </w:r>
      <w:r w:rsidRPr="000E53A0">
        <w:rPr>
          <w:rFonts w:asciiTheme="minorHAnsi" w:hAnsiTheme="minorHAnsi" w:cstheme="minorHAnsi"/>
          <w:sz w:val="20"/>
          <w:szCs w:val="20"/>
          <w:lang w:val="fr-FR"/>
        </w:rPr>
        <w:t>engrais liquides ou des semis agroforestiers</w:t>
      </w:r>
      <w:r w:rsidR="007561BC" w:rsidRPr="000E53A0">
        <w:rPr>
          <w:rFonts w:asciiTheme="minorHAnsi" w:hAnsiTheme="minorHAnsi" w:cstheme="minorHAnsi"/>
          <w:sz w:val="20"/>
          <w:szCs w:val="20"/>
          <w:lang w:val="fr-FR"/>
        </w:rPr>
        <w:t xml:space="preserve">), ou se concentrant sur la transformation des produits agricoles et halieutiques (par exemple, </w:t>
      </w:r>
      <w:r w:rsidRPr="000E53A0">
        <w:rPr>
          <w:rFonts w:asciiTheme="minorHAnsi" w:hAnsiTheme="minorHAnsi" w:cstheme="minorHAnsi"/>
          <w:sz w:val="20"/>
          <w:szCs w:val="20"/>
          <w:lang w:val="fr-FR"/>
        </w:rPr>
        <w:t>la transformation primaire du millet résistant à la sécheresse, ou le séchage et le fumage du poisson (en utilisant une technologie économe en énergie), et la vente de ces produits sur les marchés locaux. Le volet 3 facilitera également l'incubation d'entreprises durables dirigées par des jeunes et susceptibles de permettre la mise en œuvre des stratégies d'adaptation du volet 2 visant à améliorer la productivité.</w:t>
      </w:r>
    </w:p>
    <w:p w14:paraId="7692338B" w14:textId="77777777" w:rsidR="00601D9B" w:rsidRPr="000E53A0" w:rsidRDefault="000E53A0">
      <w:pPr>
        <w:jc w:val="both"/>
        <w:rPr>
          <w:rFonts w:asciiTheme="minorHAnsi" w:hAnsiTheme="minorHAnsi" w:cstheme="minorHAnsi"/>
          <w:sz w:val="20"/>
          <w:szCs w:val="20"/>
          <w:lang w:val="fr-FR"/>
        </w:rPr>
      </w:pPr>
      <w:r w:rsidRPr="000E53A0">
        <w:rPr>
          <w:rFonts w:asciiTheme="minorHAnsi" w:hAnsiTheme="minorHAnsi" w:cstheme="minorHAnsi"/>
          <w:sz w:val="20"/>
          <w:szCs w:val="20"/>
          <w:lang w:val="fr-FR"/>
        </w:rPr>
        <w:t xml:space="preserve">Sans les interventions du projet, les entrepreneurs locaux continueront à faire face à des obstacles importants pour développer et lancer de nouvelles entreprises et ne disposeront pas des compétences nécessaires pour développer des entreprises durables qui prennent en compte la résilience climatique et l'impact environnemental. Certains défis sont de nature sociale, et les femmes et les jeunes </w:t>
      </w:r>
      <w:r w:rsidR="00F11B8C" w:rsidRPr="000E53A0">
        <w:rPr>
          <w:rFonts w:asciiTheme="minorHAnsi" w:hAnsiTheme="minorHAnsi" w:cstheme="minorHAnsi"/>
          <w:sz w:val="20"/>
          <w:szCs w:val="20"/>
          <w:lang w:val="fr-FR"/>
        </w:rPr>
        <w:t xml:space="preserve">peuvent </w:t>
      </w:r>
      <w:r w:rsidRPr="000E53A0">
        <w:rPr>
          <w:rFonts w:asciiTheme="minorHAnsi" w:hAnsiTheme="minorHAnsi" w:cstheme="minorHAnsi"/>
          <w:sz w:val="20"/>
          <w:szCs w:val="20"/>
          <w:lang w:val="fr-FR"/>
        </w:rPr>
        <w:t>être confrontés à des barrières culturelles et sociétales, y compris par exemple des conditions familiales hostiles au partage des moyens de production et surtout des revenus. En outre, certaines formalités administratives rendent l'entrepreneuriat inaccessible à la majorité, et malgré la volonté politique nationale, les entrepreneurs ruraux ont peu accès au financement par les banques. En effet, rares sont les entrepreneurs qui parviennent à obtenir un prêt sans garantie extérieure. Par conséquent, comme les entrepreneurs sont contraints de n'utiliser que leurs propres ressources, ils ont tendance à prendre des risques minimes : les entreprises sont créatives, mais pas audacieuses. D'autre part, la plupart des entreprises n'ajoutent pas suffisamment de valeur à leurs produits et ne sont pas très compétitives. Les initiatives isolées, le soutien épars des investisseurs et les campagnes de sensibilisation ne suffisent pas à provoquer un changement structurel profond. Il est plutôt nécessaire d'apporter un soutien systémique par le biais d'une aide à la production, de la transformation de produits bruts en produits à valeur ajoutée, d'une politique publique efficace, d'un programme de bonne gouvernance et de la garantie d'une administration des affaires efficace. Enfin, les entreprises des régions centrales du Mali, comme celles du reste du pays, ne bénéficient pas des résultats de la recherche et du développement. Leurs produits sont généralement le résultat de longs processus d'essais et d'erreurs, et restent donc à faible valeur ajoutée et de moindre qualité. Cette situation est due à la faiblesse des investissements du secteur public dans l'élévation du niveau technologique, à laquelle s'ajoute le manque de mécanismes d'échange de connaissances et de soutien à l'incubation d'entreprises.</w:t>
      </w:r>
    </w:p>
    <w:p w14:paraId="61D05241" w14:textId="77777777" w:rsidR="00A363A7" w:rsidRPr="000E53A0" w:rsidRDefault="00A363A7" w:rsidP="004E0953">
      <w:pPr>
        <w:jc w:val="both"/>
        <w:rPr>
          <w:rFonts w:asciiTheme="minorHAnsi" w:hAnsiTheme="minorHAnsi" w:cstheme="minorHAnsi"/>
          <w:sz w:val="20"/>
          <w:szCs w:val="20"/>
          <w:lang w:val="fr-FR"/>
        </w:rPr>
      </w:pPr>
    </w:p>
    <w:p w14:paraId="0FF08413" w14:textId="77777777" w:rsidR="00601D9B" w:rsidRPr="000E53A0" w:rsidRDefault="000E53A0">
      <w:pPr>
        <w:pStyle w:val="GEFQuestion"/>
        <w:shd w:val="clear" w:color="auto" w:fill="FFFFFF"/>
        <w:ind w:left="0"/>
        <w:jc w:val="both"/>
        <w:rPr>
          <w:rFonts w:asciiTheme="minorHAnsi" w:hAnsiTheme="minorHAnsi" w:cstheme="minorHAnsi"/>
          <w:sz w:val="20"/>
          <w:szCs w:val="20"/>
          <w:lang w:val="fr-FR"/>
        </w:rPr>
      </w:pPr>
      <w:r w:rsidRPr="000E53A0">
        <w:rPr>
          <w:rFonts w:asciiTheme="minorHAnsi" w:hAnsiTheme="minorHAnsi" w:cstheme="minorHAnsi"/>
          <w:i/>
          <w:iCs/>
          <w:sz w:val="20"/>
          <w:szCs w:val="20"/>
          <w:lang w:val="fr-FR"/>
        </w:rPr>
        <w:t xml:space="preserve">Produit 3.1 Création de nouvelles entreprises coopératives intelligentes face au climat, impliquant des femmes, des jeunes et des personnes déplacées </w:t>
      </w:r>
      <w:r w:rsidRPr="000E53A0">
        <w:rPr>
          <w:rFonts w:asciiTheme="minorHAnsi" w:hAnsiTheme="minorHAnsi" w:cstheme="minorHAnsi"/>
          <w:color w:val="000000" w:themeColor="text1"/>
          <w:sz w:val="20"/>
          <w:szCs w:val="20"/>
          <w:lang w:val="fr-FR"/>
        </w:rPr>
        <w:t>(</w:t>
      </w:r>
      <w:r w:rsidRPr="000E53A0">
        <w:rPr>
          <w:rFonts w:asciiTheme="minorHAnsi" w:hAnsiTheme="minorHAnsi" w:cstheme="minorHAnsi"/>
          <w:sz w:val="20"/>
          <w:szCs w:val="20"/>
          <w:lang w:val="fr-FR"/>
        </w:rPr>
        <w:t>LDCF)</w:t>
      </w:r>
    </w:p>
    <w:p w14:paraId="19077511" w14:textId="77777777" w:rsidR="00601D9B" w:rsidRPr="000E53A0" w:rsidRDefault="000E53A0">
      <w:pPr>
        <w:jc w:val="both"/>
        <w:rPr>
          <w:rFonts w:asciiTheme="minorHAnsi" w:hAnsiTheme="minorHAnsi" w:cstheme="minorHAnsi"/>
          <w:sz w:val="20"/>
          <w:szCs w:val="20"/>
          <w:lang w:val="fr-FR"/>
        </w:rPr>
      </w:pPr>
      <w:r w:rsidRPr="000E53A0">
        <w:rPr>
          <w:rFonts w:asciiTheme="minorHAnsi" w:hAnsiTheme="minorHAnsi" w:cstheme="minorHAnsi"/>
          <w:sz w:val="20"/>
          <w:szCs w:val="20"/>
          <w:lang w:val="fr-FR"/>
        </w:rPr>
        <w:t xml:space="preserve">Les femmes et les personnes déplacées sont des populations particulièrement vulnérables, tandis que les jeunes sans emploi ou sous-employés peuvent être plus susceptibles de s'engager dans des groupes violents. Les femmes veuves en particulier, qui sont présentes en plus grand nombre dans la zone d'intervention en raison du contexte sécuritaire, seront ciblées par le projet. Par conséquent, le projet propose d'abord de </w:t>
      </w:r>
      <w:r w:rsidR="00EE48B1" w:rsidRPr="000E53A0">
        <w:rPr>
          <w:rFonts w:asciiTheme="minorHAnsi" w:hAnsiTheme="minorHAnsi" w:cstheme="minorHAnsi"/>
          <w:sz w:val="20"/>
          <w:szCs w:val="20"/>
          <w:lang w:val="fr-FR"/>
        </w:rPr>
        <w:t xml:space="preserve">mener des études de la chaîne de valeur et du marché (une par commune) afin d'identifier les lacunes, les opportunités et de garantir la pertinence et le potentiel de génération de revenus des entreprises soutenues, ainsi que d'identifier les nouvelles entreprises coopératives intelligentes face au climat qui ont le plus de potentiel à être soutenues par le projet tout en adoptant une approche inclusive sur le plan social et du genre. Il est envisagé que les entreprises soutenues soient liées aux zones de production soutenues par le projet dans le cadre de la composante 2. Cela </w:t>
      </w:r>
      <w:r w:rsidR="00484676" w:rsidRPr="000E53A0">
        <w:rPr>
          <w:rFonts w:asciiTheme="minorHAnsi" w:hAnsiTheme="minorHAnsi" w:cstheme="minorHAnsi"/>
          <w:sz w:val="20"/>
          <w:szCs w:val="20"/>
          <w:lang w:val="fr-FR"/>
        </w:rPr>
        <w:t xml:space="preserve">pourrait </w:t>
      </w:r>
      <w:r w:rsidR="00EE48B1" w:rsidRPr="000E53A0">
        <w:rPr>
          <w:rFonts w:asciiTheme="minorHAnsi" w:hAnsiTheme="minorHAnsi" w:cstheme="minorHAnsi"/>
          <w:sz w:val="20"/>
          <w:szCs w:val="20"/>
          <w:lang w:val="fr-FR"/>
        </w:rPr>
        <w:t xml:space="preserve">inclure, par exemple, des entreprises impliquées dans les domaines de la transformation des cultures céréalières, du séchage et du fumage du poisson, des engrais organiques liquides, des pépinières de jeunes plants, etc. </w:t>
      </w:r>
    </w:p>
    <w:p w14:paraId="4E22CE70" w14:textId="77777777" w:rsidR="00601D9B" w:rsidRPr="000E53A0" w:rsidRDefault="00D22751">
      <w:pPr>
        <w:jc w:val="both"/>
        <w:rPr>
          <w:rFonts w:asciiTheme="minorHAnsi" w:hAnsiTheme="minorHAnsi" w:cstheme="minorHAnsi"/>
          <w:sz w:val="20"/>
          <w:szCs w:val="20"/>
          <w:lang w:val="fr-FR"/>
        </w:rPr>
      </w:pPr>
      <w:r w:rsidRPr="000E53A0">
        <w:rPr>
          <w:rFonts w:asciiTheme="minorHAnsi" w:hAnsiTheme="minorHAnsi" w:cstheme="minorHAnsi"/>
          <w:sz w:val="20"/>
          <w:szCs w:val="20"/>
          <w:lang w:val="fr-FR"/>
        </w:rPr>
        <w:t xml:space="preserve">Comme indiqué précédemment, les personnes </w:t>
      </w:r>
      <w:r w:rsidR="000E53A0" w:rsidRPr="000E53A0">
        <w:rPr>
          <w:rFonts w:asciiTheme="minorHAnsi" w:hAnsiTheme="minorHAnsi" w:cstheme="minorHAnsi"/>
          <w:sz w:val="20"/>
          <w:szCs w:val="20"/>
          <w:lang w:val="fr-FR"/>
        </w:rPr>
        <w:t xml:space="preserve">ciblées (en particulier les femmes) </w:t>
      </w:r>
      <w:r w:rsidRPr="000E53A0">
        <w:rPr>
          <w:rFonts w:asciiTheme="minorHAnsi" w:hAnsiTheme="minorHAnsi" w:cstheme="minorHAnsi"/>
          <w:sz w:val="20"/>
          <w:szCs w:val="20"/>
          <w:lang w:val="fr-FR"/>
        </w:rPr>
        <w:t xml:space="preserve">peuvent être confrontées à des obstacles culturels et sociaux pour s'engager dans ces entreprises. Pour assurer un potentiel d'engagement maximal, le projet rationalisera une approche participative qui s'appuie sur le contexte culturel local pour assurer l'adhésion des bénéficiaires ciblés et de leurs réseaux sociaux. Un forum dirigé par RECOTRADE, les chefs de village et les chefs religieux aura lieu dans chaque commune, dans le but de créer un cadre d'échanges sur les valeurs sociales et culturelles, et sur la manière de les concilier avec les objectifs des activités de développement commercial. </w:t>
      </w:r>
    </w:p>
    <w:p w14:paraId="2856808C" w14:textId="77777777" w:rsidR="00601D9B" w:rsidRPr="000E53A0" w:rsidRDefault="000E53A0">
      <w:pPr>
        <w:jc w:val="both"/>
        <w:rPr>
          <w:rFonts w:asciiTheme="minorHAnsi" w:hAnsiTheme="minorHAnsi" w:cstheme="minorHAnsi"/>
          <w:sz w:val="20"/>
          <w:szCs w:val="20"/>
          <w:lang w:val="fr-FR"/>
        </w:rPr>
      </w:pPr>
      <w:r w:rsidRPr="000E53A0">
        <w:rPr>
          <w:rFonts w:asciiTheme="minorHAnsi" w:hAnsiTheme="minorHAnsi" w:cstheme="minorHAnsi"/>
          <w:sz w:val="20"/>
          <w:szCs w:val="20"/>
          <w:lang w:val="fr-FR"/>
        </w:rPr>
        <w:t xml:space="preserve">Par la suite, le </w:t>
      </w:r>
      <w:r w:rsidR="00484676" w:rsidRPr="000E53A0">
        <w:rPr>
          <w:rFonts w:asciiTheme="minorHAnsi" w:hAnsiTheme="minorHAnsi" w:cstheme="minorHAnsi"/>
          <w:sz w:val="20"/>
          <w:szCs w:val="20"/>
          <w:lang w:val="fr-FR"/>
        </w:rPr>
        <w:t xml:space="preserve">projet soutiendra </w:t>
      </w:r>
      <w:r w:rsidRPr="000E53A0">
        <w:rPr>
          <w:rFonts w:asciiTheme="minorHAnsi" w:hAnsiTheme="minorHAnsi" w:cstheme="minorHAnsi"/>
          <w:sz w:val="20"/>
          <w:szCs w:val="20"/>
          <w:lang w:val="fr-FR"/>
        </w:rPr>
        <w:t xml:space="preserve">la structuration de ces personnes vulnérables dans de nouvelles entreprises coopératives, intelligentes sur le plan climatique, afin de soutenir la génération de revenus et l'emploi à long </w:t>
      </w:r>
      <w:r w:rsidRPr="000E53A0">
        <w:rPr>
          <w:rFonts w:asciiTheme="minorHAnsi" w:hAnsiTheme="minorHAnsi" w:cstheme="minorHAnsi"/>
          <w:sz w:val="20"/>
          <w:szCs w:val="20"/>
          <w:lang w:val="fr-FR"/>
        </w:rPr>
        <w:lastRenderedPageBreak/>
        <w:t xml:space="preserve">terme. Pour ce faire, le projet fournira une assistance technique à la création d'entreprises/coopératives pour leur enregistrement formel et une formation sur les aspects administratifs et opérationnels, abordant ainsi la première barrière au développement réussi des entreprises. </w:t>
      </w:r>
      <w:r w:rsidR="00E94870" w:rsidRPr="000E53A0">
        <w:rPr>
          <w:rFonts w:asciiTheme="minorHAnsi" w:hAnsiTheme="minorHAnsi" w:cstheme="minorHAnsi"/>
          <w:sz w:val="20"/>
          <w:szCs w:val="20"/>
          <w:lang w:val="fr-FR"/>
        </w:rPr>
        <w:t>Pour s'assurer que les nouvelles entreprises coopératives peuvent fonctionner efficacement après leur structuration initiale, le projet fournira également un soutien financier de démarrage pour la création et les coûts de fonctionnement des coopératives/associations, des entreprises et des organisations faîtières pendant les deux premières années.</w:t>
      </w:r>
    </w:p>
    <w:p w14:paraId="198E36E1" w14:textId="77777777" w:rsidR="00601D9B" w:rsidRPr="000E53A0" w:rsidRDefault="00D22751">
      <w:pPr>
        <w:jc w:val="both"/>
        <w:rPr>
          <w:rFonts w:asciiTheme="minorHAnsi" w:hAnsiTheme="minorHAnsi" w:cstheme="minorHAnsi"/>
          <w:sz w:val="20"/>
          <w:szCs w:val="20"/>
          <w:lang w:val="fr-FR"/>
        </w:rPr>
      </w:pPr>
      <w:r w:rsidRPr="000E53A0">
        <w:rPr>
          <w:rFonts w:asciiTheme="minorHAnsi" w:hAnsiTheme="minorHAnsi" w:cstheme="minorHAnsi"/>
          <w:sz w:val="20"/>
          <w:szCs w:val="20"/>
          <w:lang w:val="fr-FR"/>
        </w:rPr>
        <w:t xml:space="preserve">Le </w:t>
      </w:r>
      <w:r w:rsidR="000E53A0" w:rsidRPr="000E53A0">
        <w:rPr>
          <w:rFonts w:asciiTheme="minorHAnsi" w:hAnsiTheme="minorHAnsi" w:cstheme="minorHAnsi"/>
          <w:sz w:val="20"/>
          <w:szCs w:val="20"/>
          <w:lang w:val="fr-FR"/>
        </w:rPr>
        <w:t xml:space="preserve">projet sera sensible au contexte sécuritaire et s'assurera que les nouvelles structures commerciales ne causent pas par inadvertance une plus grande vulnérabilité aux bénéficiaires du projet. </w:t>
      </w:r>
      <w:r w:rsidRPr="000E53A0">
        <w:rPr>
          <w:rFonts w:asciiTheme="minorHAnsi" w:hAnsiTheme="minorHAnsi" w:cstheme="minorHAnsi"/>
          <w:sz w:val="20"/>
          <w:szCs w:val="20"/>
          <w:lang w:val="fr-FR"/>
        </w:rPr>
        <w:t>Par exemple, un problème central dans la zone identifiée lors de la phase PPG a été la décimation presque complète de la population de bétail, due en grande partie au vol. Ainsi, pour repeupler la région en bétail, d'autres projets ont ciblé des associations de femmes et leur ont permis d'acquérir des dizaines d'animaux en groupe. Malheureusement, cela a fait des femmes la cible de groupes criminels et les a rendues très vulnérables au vol et à la violence</w:t>
      </w:r>
      <w:r w:rsidRPr="004E0953">
        <w:rPr>
          <w:rStyle w:val="Appelnotedebasdep"/>
          <w:rFonts w:asciiTheme="minorHAnsi" w:eastAsiaTheme="majorEastAsia" w:hAnsiTheme="minorHAnsi" w:cstheme="minorHAnsi"/>
          <w:sz w:val="20"/>
          <w:szCs w:val="20"/>
        </w:rPr>
        <w:footnoteReference w:id="73"/>
      </w:r>
      <w:r w:rsidRPr="000E53A0">
        <w:rPr>
          <w:rFonts w:asciiTheme="minorHAnsi" w:hAnsiTheme="minorHAnsi" w:cstheme="minorHAnsi"/>
          <w:sz w:val="20"/>
          <w:szCs w:val="20"/>
          <w:lang w:val="fr-FR"/>
        </w:rPr>
        <w:t xml:space="preserve">. Il s'agit d'une leçon importante que ce projet intégrera, et l'approche qui sera adoptée pour traiter la question atténuera </w:t>
      </w:r>
      <w:r w:rsidR="000E53A0" w:rsidRPr="000E53A0">
        <w:rPr>
          <w:rFonts w:asciiTheme="minorHAnsi" w:hAnsiTheme="minorHAnsi" w:cstheme="minorHAnsi"/>
          <w:sz w:val="20"/>
          <w:szCs w:val="20"/>
          <w:lang w:val="fr-FR"/>
        </w:rPr>
        <w:t xml:space="preserve">ces types de </w:t>
      </w:r>
      <w:r w:rsidRPr="000E53A0">
        <w:rPr>
          <w:rFonts w:asciiTheme="minorHAnsi" w:hAnsiTheme="minorHAnsi" w:cstheme="minorHAnsi"/>
          <w:sz w:val="20"/>
          <w:szCs w:val="20"/>
          <w:lang w:val="fr-FR"/>
        </w:rPr>
        <w:t>risques</w:t>
      </w:r>
      <w:r w:rsidR="000E53A0" w:rsidRPr="000E53A0">
        <w:rPr>
          <w:rFonts w:asciiTheme="minorHAnsi" w:hAnsiTheme="minorHAnsi" w:cstheme="minorHAnsi"/>
          <w:sz w:val="20"/>
          <w:szCs w:val="20"/>
          <w:lang w:val="fr-FR"/>
        </w:rPr>
        <w:t xml:space="preserve">. Par exemple, s'il s'agit d'une chaîne de valeur prioritaire, le projet travaillera </w:t>
      </w:r>
      <w:r w:rsidRPr="000E53A0">
        <w:rPr>
          <w:rFonts w:asciiTheme="minorHAnsi" w:hAnsiTheme="minorHAnsi" w:cstheme="minorHAnsi"/>
          <w:sz w:val="20"/>
          <w:szCs w:val="20"/>
          <w:lang w:val="fr-FR"/>
        </w:rPr>
        <w:t xml:space="preserve">par le biais d'associations de femmes afin de permettre aux femmes individuelles de n'élever que quelques animaux chacune. </w:t>
      </w:r>
    </w:p>
    <w:p w14:paraId="7FDC1C2B" w14:textId="77777777" w:rsidR="00D22751" w:rsidRPr="000E53A0" w:rsidRDefault="00D22751" w:rsidP="004E0953">
      <w:pPr>
        <w:jc w:val="both"/>
        <w:rPr>
          <w:rFonts w:asciiTheme="minorHAnsi" w:hAnsiTheme="minorHAnsi" w:cstheme="minorHAnsi"/>
          <w:sz w:val="20"/>
          <w:szCs w:val="20"/>
          <w:lang w:val="fr-FR"/>
        </w:rPr>
      </w:pPr>
    </w:p>
    <w:p w14:paraId="3A3193EF" w14:textId="77777777" w:rsidR="00601D9B" w:rsidRPr="000E53A0" w:rsidRDefault="000E53A0">
      <w:pPr>
        <w:pStyle w:val="GEFQuestion"/>
        <w:numPr>
          <w:ilvl w:val="0"/>
          <w:numId w:val="59"/>
        </w:numPr>
        <w:shd w:val="clear" w:color="auto" w:fill="FFFFFF"/>
        <w:jc w:val="both"/>
        <w:rPr>
          <w:rFonts w:asciiTheme="minorHAnsi" w:hAnsiTheme="minorHAnsi" w:cstheme="minorHAnsi"/>
          <w:sz w:val="20"/>
          <w:szCs w:val="20"/>
          <w:lang w:val="fr-FR"/>
        </w:rPr>
      </w:pPr>
      <w:r w:rsidRPr="000E53A0">
        <w:rPr>
          <w:rFonts w:asciiTheme="minorHAnsi" w:hAnsiTheme="minorHAnsi" w:cstheme="minorHAnsi"/>
          <w:sz w:val="20"/>
          <w:szCs w:val="20"/>
          <w:lang w:val="fr-FR"/>
        </w:rPr>
        <w:t xml:space="preserve">Activité 3.1.1. Études de la chaîne de valeur et du marché (une par commune) pour identifier les lacunes et les opportunités pour les </w:t>
      </w:r>
      <w:r w:rsidR="00484676" w:rsidRPr="000E53A0">
        <w:rPr>
          <w:rFonts w:asciiTheme="minorHAnsi" w:hAnsiTheme="minorHAnsi" w:cstheme="minorHAnsi"/>
          <w:sz w:val="20"/>
          <w:szCs w:val="20"/>
          <w:lang w:val="fr-FR"/>
        </w:rPr>
        <w:t>secteurs intelligents du point de vue climatique.</w:t>
      </w:r>
    </w:p>
    <w:p w14:paraId="1B050A79" w14:textId="77777777" w:rsidR="00601D9B" w:rsidRPr="000E53A0" w:rsidRDefault="000E53A0">
      <w:pPr>
        <w:pStyle w:val="GEFQuestion"/>
        <w:numPr>
          <w:ilvl w:val="0"/>
          <w:numId w:val="59"/>
        </w:numPr>
        <w:shd w:val="clear" w:color="auto" w:fill="FFFFFF"/>
        <w:jc w:val="both"/>
        <w:rPr>
          <w:rFonts w:asciiTheme="minorHAnsi" w:hAnsiTheme="minorHAnsi" w:cstheme="minorHAnsi"/>
          <w:sz w:val="20"/>
          <w:szCs w:val="20"/>
          <w:lang w:val="fr-FR"/>
        </w:rPr>
      </w:pPr>
      <w:r w:rsidRPr="000E53A0">
        <w:rPr>
          <w:rFonts w:asciiTheme="minorHAnsi" w:hAnsiTheme="minorHAnsi" w:cstheme="minorHAnsi"/>
          <w:sz w:val="20"/>
          <w:szCs w:val="20"/>
          <w:lang w:val="fr-FR"/>
        </w:rPr>
        <w:t>Activité 3.1.</w:t>
      </w:r>
      <w:r w:rsidR="002120E7" w:rsidRPr="000E53A0">
        <w:rPr>
          <w:rFonts w:asciiTheme="minorHAnsi" w:hAnsiTheme="minorHAnsi" w:cstheme="minorHAnsi"/>
          <w:sz w:val="20"/>
          <w:szCs w:val="20"/>
          <w:lang w:val="fr-FR"/>
        </w:rPr>
        <w:t>2</w:t>
      </w:r>
      <w:r w:rsidRPr="000E53A0">
        <w:rPr>
          <w:rFonts w:asciiTheme="minorHAnsi" w:hAnsiTheme="minorHAnsi" w:cstheme="minorHAnsi"/>
          <w:sz w:val="20"/>
          <w:szCs w:val="20"/>
          <w:lang w:val="fr-FR"/>
        </w:rPr>
        <w:t>. Forum communautaire animé par RECOTRADE, les chefs de village et les chefs religieux pour favoriser les échanges sur les valeurs sociales et culturelles, et la manière de les concilier avec les objectifs des activités de développement des entreprises.</w:t>
      </w:r>
    </w:p>
    <w:p w14:paraId="2B6F84D9" w14:textId="77777777" w:rsidR="00601D9B" w:rsidRPr="000E53A0" w:rsidRDefault="000E53A0">
      <w:pPr>
        <w:pStyle w:val="GEFQuestion"/>
        <w:numPr>
          <w:ilvl w:val="0"/>
          <w:numId w:val="59"/>
        </w:numPr>
        <w:shd w:val="clear" w:color="auto" w:fill="FFFFFF"/>
        <w:jc w:val="both"/>
        <w:rPr>
          <w:rFonts w:asciiTheme="minorHAnsi" w:hAnsiTheme="minorHAnsi" w:cstheme="minorHAnsi"/>
          <w:sz w:val="20"/>
          <w:szCs w:val="20"/>
          <w:lang w:val="fr-FR"/>
        </w:rPr>
      </w:pPr>
      <w:r w:rsidRPr="000E53A0">
        <w:rPr>
          <w:rFonts w:asciiTheme="minorHAnsi" w:hAnsiTheme="minorHAnsi" w:cstheme="minorHAnsi"/>
          <w:sz w:val="20"/>
          <w:szCs w:val="20"/>
          <w:lang w:val="fr-FR"/>
        </w:rPr>
        <w:t>Activité 3.1.</w:t>
      </w:r>
      <w:r w:rsidR="002120E7" w:rsidRPr="000E53A0">
        <w:rPr>
          <w:rFonts w:asciiTheme="minorHAnsi" w:hAnsiTheme="minorHAnsi" w:cstheme="minorHAnsi"/>
          <w:sz w:val="20"/>
          <w:szCs w:val="20"/>
          <w:lang w:val="fr-FR"/>
        </w:rPr>
        <w:t xml:space="preserve">3. </w:t>
      </w:r>
      <w:r w:rsidR="00904E9E" w:rsidRPr="000E53A0">
        <w:rPr>
          <w:rFonts w:asciiTheme="minorHAnsi" w:hAnsiTheme="minorHAnsi" w:cstheme="minorHAnsi"/>
          <w:sz w:val="20"/>
          <w:szCs w:val="20"/>
          <w:lang w:val="fr-FR"/>
        </w:rPr>
        <w:t xml:space="preserve">Soutenir la création/structuration de </w:t>
      </w:r>
      <w:r w:rsidR="007D10CC" w:rsidRPr="000E53A0">
        <w:rPr>
          <w:rFonts w:asciiTheme="minorHAnsi" w:hAnsiTheme="minorHAnsi" w:cstheme="minorHAnsi"/>
          <w:sz w:val="20"/>
          <w:szCs w:val="20"/>
          <w:lang w:val="fr-FR"/>
        </w:rPr>
        <w:t xml:space="preserve">nouvelles entreprises </w:t>
      </w:r>
      <w:r w:rsidR="00904E9E" w:rsidRPr="000E53A0">
        <w:rPr>
          <w:rFonts w:asciiTheme="minorHAnsi" w:hAnsiTheme="minorHAnsi" w:cstheme="minorHAnsi"/>
          <w:sz w:val="20"/>
          <w:szCs w:val="20"/>
          <w:lang w:val="fr-FR"/>
        </w:rPr>
        <w:t>coopératives et climato-intelligentes.</w:t>
      </w:r>
    </w:p>
    <w:p w14:paraId="704837D8" w14:textId="77777777" w:rsidR="00601D9B" w:rsidRPr="000E53A0" w:rsidRDefault="000E53A0">
      <w:pPr>
        <w:pStyle w:val="Paragraphedeliste"/>
        <w:numPr>
          <w:ilvl w:val="0"/>
          <w:numId w:val="59"/>
        </w:numPr>
        <w:jc w:val="both"/>
        <w:rPr>
          <w:rFonts w:asciiTheme="minorHAnsi" w:hAnsiTheme="minorHAnsi" w:cstheme="minorHAnsi"/>
          <w:sz w:val="20"/>
          <w:szCs w:val="20"/>
          <w:lang w:val="fr-FR"/>
        </w:rPr>
      </w:pPr>
      <w:r w:rsidRPr="000E53A0">
        <w:rPr>
          <w:rFonts w:asciiTheme="minorHAnsi" w:hAnsiTheme="minorHAnsi" w:cstheme="minorHAnsi"/>
          <w:sz w:val="20"/>
          <w:szCs w:val="20"/>
          <w:lang w:val="fr-FR"/>
        </w:rPr>
        <w:t>Activité 3.</w:t>
      </w:r>
      <w:r w:rsidR="004153C0" w:rsidRPr="000E53A0">
        <w:rPr>
          <w:rFonts w:asciiTheme="minorHAnsi" w:hAnsiTheme="minorHAnsi" w:cstheme="minorHAnsi"/>
          <w:sz w:val="20"/>
          <w:szCs w:val="20"/>
          <w:lang w:val="fr-FR"/>
        </w:rPr>
        <w:t>1</w:t>
      </w:r>
      <w:r w:rsidRPr="000E53A0">
        <w:rPr>
          <w:rFonts w:asciiTheme="minorHAnsi" w:hAnsiTheme="minorHAnsi" w:cstheme="minorHAnsi"/>
          <w:sz w:val="20"/>
          <w:szCs w:val="20"/>
          <w:lang w:val="fr-FR"/>
        </w:rPr>
        <w:t>.</w:t>
      </w:r>
      <w:r w:rsidR="004153C0" w:rsidRPr="000E53A0">
        <w:rPr>
          <w:rFonts w:asciiTheme="minorHAnsi" w:hAnsiTheme="minorHAnsi" w:cstheme="minorHAnsi"/>
          <w:sz w:val="20"/>
          <w:szCs w:val="20"/>
          <w:lang w:val="fr-FR"/>
        </w:rPr>
        <w:t>4</w:t>
      </w:r>
      <w:r w:rsidRPr="000E53A0">
        <w:rPr>
          <w:rFonts w:asciiTheme="minorHAnsi" w:hAnsiTheme="minorHAnsi" w:cstheme="minorHAnsi"/>
          <w:sz w:val="20"/>
          <w:szCs w:val="20"/>
          <w:lang w:val="fr-FR"/>
        </w:rPr>
        <w:t xml:space="preserve">. Fournir un soutien financier de démarrage pour la création et les coûts de fonctionnement des coopératives/associations </w:t>
      </w:r>
      <w:r w:rsidR="004153C0" w:rsidRPr="000E53A0">
        <w:rPr>
          <w:rFonts w:asciiTheme="minorHAnsi" w:hAnsiTheme="minorHAnsi" w:cstheme="minorHAnsi"/>
          <w:sz w:val="20"/>
          <w:szCs w:val="20"/>
          <w:lang w:val="fr-FR"/>
        </w:rPr>
        <w:t>pendant les deux premières années.</w:t>
      </w:r>
    </w:p>
    <w:p w14:paraId="1D935075" w14:textId="77777777" w:rsidR="00E94870" w:rsidRPr="000E53A0" w:rsidRDefault="00E94870" w:rsidP="004E0953">
      <w:pPr>
        <w:jc w:val="both"/>
        <w:rPr>
          <w:rFonts w:asciiTheme="minorHAnsi" w:hAnsiTheme="minorHAnsi" w:cstheme="minorHAnsi"/>
          <w:sz w:val="20"/>
          <w:szCs w:val="20"/>
          <w:lang w:val="fr-FR"/>
        </w:rPr>
      </w:pPr>
    </w:p>
    <w:p w14:paraId="37825D10" w14:textId="77777777" w:rsidR="00D22751" w:rsidRPr="000E53A0" w:rsidRDefault="00D22751" w:rsidP="004E0953">
      <w:pPr>
        <w:pStyle w:val="GEFQuestion"/>
        <w:shd w:val="clear" w:color="auto" w:fill="FFFFFF"/>
        <w:ind w:left="0"/>
        <w:jc w:val="both"/>
        <w:rPr>
          <w:rFonts w:asciiTheme="minorHAnsi" w:hAnsiTheme="minorHAnsi" w:cstheme="minorHAnsi"/>
          <w:sz w:val="20"/>
          <w:szCs w:val="20"/>
          <w:lang w:val="fr-FR"/>
        </w:rPr>
      </w:pPr>
    </w:p>
    <w:p w14:paraId="1F39105F" w14:textId="77777777" w:rsidR="00601D9B" w:rsidRPr="000E53A0" w:rsidRDefault="000E53A0">
      <w:pPr>
        <w:pStyle w:val="GEFQuestion"/>
        <w:shd w:val="clear" w:color="auto" w:fill="FFFFFF"/>
        <w:ind w:left="0"/>
        <w:jc w:val="both"/>
        <w:rPr>
          <w:rFonts w:asciiTheme="minorHAnsi" w:hAnsiTheme="minorHAnsi" w:cstheme="minorHAnsi"/>
          <w:sz w:val="20"/>
          <w:szCs w:val="20"/>
          <w:lang w:val="fr-FR"/>
        </w:rPr>
      </w:pPr>
      <w:r w:rsidRPr="000E53A0">
        <w:rPr>
          <w:rFonts w:asciiTheme="minorHAnsi" w:hAnsiTheme="minorHAnsi" w:cstheme="minorHAnsi"/>
          <w:i/>
          <w:iCs/>
          <w:sz w:val="20"/>
          <w:szCs w:val="20"/>
          <w:lang w:val="fr-FR"/>
        </w:rPr>
        <w:t xml:space="preserve">Produit 3.2 Formation à l'entreprenariat et services d'incubation d'entreprises fournis aux femmes et aux jeunes des paysages cibles pour des idées d'entreprises liées à l'adaptation </w:t>
      </w:r>
      <w:r w:rsidRPr="000E53A0">
        <w:rPr>
          <w:rFonts w:asciiTheme="minorHAnsi" w:hAnsiTheme="minorHAnsi" w:cstheme="minorHAnsi"/>
          <w:sz w:val="20"/>
          <w:szCs w:val="20"/>
          <w:lang w:val="fr-FR"/>
        </w:rPr>
        <w:t>(LDCF)</w:t>
      </w:r>
    </w:p>
    <w:p w14:paraId="6B35D304" w14:textId="77777777" w:rsidR="00601D9B" w:rsidRPr="000E53A0" w:rsidRDefault="000E53A0">
      <w:pPr>
        <w:pStyle w:val="GEFQuestion"/>
        <w:shd w:val="clear" w:color="auto" w:fill="FFFFFF"/>
        <w:ind w:left="0"/>
        <w:jc w:val="both"/>
        <w:rPr>
          <w:rFonts w:asciiTheme="minorHAnsi" w:hAnsiTheme="minorHAnsi" w:cstheme="minorHAnsi"/>
          <w:sz w:val="20"/>
          <w:szCs w:val="20"/>
          <w:lang w:val="fr-FR"/>
        </w:rPr>
      </w:pPr>
      <w:r w:rsidRPr="000E53A0">
        <w:rPr>
          <w:rFonts w:asciiTheme="minorHAnsi" w:hAnsiTheme="minorHAnsi" w:cstheme="minorHAnsi"/>
          <w:sz w:val="20"/>
          <w:szCs w:val="20"/>
          <w:lang w:val="fr-FR"/>
        </w:rPr>
        <w:t xml:space="preserve">Ce résultat fournira une formation à l'entrepreneuriat aux membres des nouvelles entreprises coopératives de la région. </w:t>
      </w:r>
      <w:r w:rsidR="002120E7" w:rsidRPr="000E53A0">
        <w:rPr>
          <w:rFonts w:asciiTheme="minorHAnsi" w:hAnsiTheme="minorHAnsi" w:cstheme="minorHAnsi"/>
          <w:sz w:val="20"/>
          <w:szCs w:val="20"/>
          <w:lang w:val="fr-FR"/>
        </w:rPr>
        <w:t xml:space="preserve">En outre, pour s'assurer que les entreprises coopératives peuvent continuer à fonctionner sans le soutien financier direct du projet, la formulation de plans d'affaires durables sera soutenue. Les groupes seront également soutenus pendant deux ans pour accéder au marché de l'épargne et du micro-crédit. En tant que tel, le projet soutiendra la création d'une coopérative villageoise d'épargne et de crédit (CVEC) par commune, ce qui permettra de résoudre le problème de l'accès aux institutions financières pour soutenir le démarrage et le fonctionnement des entreprises. </w:t>
      </w:r>
      <w:r w:rsidR="00D22751" w:rsidRPr="000E53A0">
        <w:rPr>
          <w:rFonts w:asciiTheme="minorHAnsi" w:hAnsiTheme="minorHAnsi" w:cstheme="minorHAnsi"/>
          <w:sz w:val="20"/>
          <w:szCs w:val="20"/>
          <w:lang w:val="fr-FR"/>
        </w:rPr>
        <w:t xml:space="preserve">Le </w:t>
      </w:r>
      <w:r w:rsidR="004153C0" w:rsidRPr="000E53A0">
        <w:rPr>
          <w:rFonts w:asciiTheme="minorHAnsi" w:hAnsiTheme="minorHAnsi" w:cstheme="minorHAnsi"/>
          <w:sz w:val="20"/>
          <w:szCs w:val="20"/>
          <w:lang w:val="fr-FR"/>
        </w:rPr>
        <w:t xml:space="preserve">projet </w:t>
      </w:r>
      <w:r w:rsidR="00D22751" w:rsidRPr="000E53A0">
        <w:rPr>
          <w:rFonts w:asciiTheme="minorHAnsi" w:hAnsiTheme="minorHAnsi" w:cstheme="minorHAnsi"/>
          <w:sz w:val="20"/>
          <w:szCs w:val="20"/>
          <w:lang w:val="fr-FR"/>
        </w:rPr>
        <w:t xml:space="preserve">contribuera </w:t>
      </w:r>
      <w:r w:rsidR="004153C0" w:rsidRPr="000E53A0">
        <w:rPr>
          <w:rFonts w:asciiTheme="minorHAnsi" w:hAnsiTheme="minorHAnsi" w:cstheme="minorHAnsi"/>
          <w:sz w:val="20"/>
          <w:szCs w:val="20"/>
          <w:lang w:val="fr-FR"/>
        </w:rPr>
        <w:t xml:space="preserve">également </w:t>
      </w:r>
      <w:r w:rsidR="00D22751" w:rsidRPr="000E53A0">
        <w:rPr>
          <w:rFonts w:asciiTheme="minorHAnsi" w:hAnsiTheme="minorHAnsi" w:cstheme="minorHAnsi"/>
          <w:sz w:val="20"/>
          <w:szCs w:val="20"/>
          <w:lang w:val="fr-FR"/>
        </w:rPr>
        <w:t xml:space="preserve">à la mise en place de partenariats pertinents, en mettant en relation de jeunes entrepreneurs dotés de plans d'affaires solides avec des </w:t>
      </w:r>
      <w:r w:rsidR="004153C0" w:rsidRPr="000E53A0">
        <w:rPr>
          <w:rFonts w:asciiTheme="minorHAnsi" w:hAnsiTheme="minorHAnsi" w:cstheme="minorHAnsi"/>
          <w:sz w:val="20"/>
          <w:szCs w:val="20"/>
          <w:lang w:val="fr-FR"/>
        </w:rPr>
        <w:t xml:space="preserve">partenaires potentiels, y compris des </w:t>
      </w:r>
      <w:r w:rsidR="00D22751" w:rsidRPr="000E53A0">
        <w:rPr>
          <w:rFonts w:asciiTheme="minorHAnsi" w:hAnsiTheme="minorHAnsi" w:cstheme="minorHAnsi"/>
          <w:sz w:val="20"/>
          <w:szCs w:val="20"/>
          <w:lang w:val="fr-FR"/>
        </w:rPr>
        <w:t xml:space="preserve">institutions financières, et en fournissant une garantie bancaire dans le domaine de l'agrobusiness et des technologies climato-intelligentes. </w:t>
      </w:r>
      <w:r w:rsidR="004153C0" w:rsidRPr="000E53A0">
        <w:rPr>
          <w:rFonts w:asciiTheme="minorHAnsi" w:hAnsiTheme="minorHAnsi" w:cstheme="minorHAnsi"/>
          <w:sz w:val="20"/>
          <w:szCs w:val="20"/>
          <w:lang w:val="fr-FR"/>
        </w:rPr>
        <w:t>La plateforme de création de partenariats permettra également aux chefs d'entreprise de participer à des foires en dehors des villages, afin de favoriser la croissance et d'améliorer l'accès au marché.</w:t>
      </w:r>
    </w:p>
    <w:p w14:paraId="0AED3DBD" w14:textId="77777777" w:rsidR="00D22751" w:rsidRPr="000E53A0" w:rsidRDefault="00D22751" w:rsidP="004E0953">
      <w:pPr>
        <w:jc w:val="both"/>
        <w:rPr>
          <w:rFonts w:asciiTheme="minorHAnsi" w:hAnsiTheme="minorHAnsi" w:cstheme="minorHAnsi"/>
          <w:i/>
          <w:color w:val="000000" w:themeColor="text1"/>
          <w:sz w:val="20"/>
          <w:szCs w:val="20"/>
          <w:u w:val="single"/>
          <w:lang w:val="fr-FR"/>
        </w:rPr>
      </w:pPr>
    </w:p>
    <w:p w14:paraId="4A6623BF" w14:textId="77777777" w:rsidR="00601D9B" w:rsidRPr="000E53A0" w:rsidRDefault="000E53A0">
      <w:pPr>
        <w:pStyle w:val="GEFQuestion"/>
        <w:numPr>
          <w:ilvl w:val="0"/>
          <w:numId w:val="58"/>
        </w:numPr>
        <w:shd w:val="clear" w:color="auto" w:fill="FFFFFF"/>
        <w:jc w:val="both"/>
        <w:rPr>
          <w:rFonts w:asciiTheme="minorHAnsi" w:hAnsiTheme="minorHAnsi" w:cstheme="minorHAnsi"/>
          <w:sz w:val="20"/>
          <w:szCs w:val="20"/>
          <w:lang w:val="fr-FR"/>
        </w:rPr>
      </w:pPr>
      <w:r w:rsidRPr="000E53A0">
        <w:rPr>
          <w:rFonts w:asciiTheme="minorHAnsi" w:hAnsiTheme="minorHAnsi" w:cstheme="minorHAnsi"/>
          <w:sz w:val="20"/>
          <w:szCs w:val="20"/>
          <w:lang w:val="fr-FR"/>
        </w:rPr>
        <w:t>Activité 3.2.</w:t>
      </w:r>
      <w:r w:rsidR="00E94870" w:rsidRPr="000E53A0">
        <w:rPr>
          <w:rFonts w:asciiTheme="minorHAnsi" w:hAnsiTheme="minorHAnsi" w:cstheme="minorHAnsi"/>
          <w:sz w:val="20"/>
          <w:szCs w:val="20"/>
          <w:lang w:val="fr-FR"/>
        </w:rPr>
        <w:t xml:space="preserve">1. </w:t>
      </w:r>
      <w:r w:rsidRPr="000E53A0">
        <w:rPr>
          <w:rFonts w:asciiTheme="minorHAnsi" w:hAnsiTheme="minorHAnsi" w:cstheme="minorHAnsi"/>
          <w:sz w:val="20"/>
          <w:szCs w:val="20"/>
          <w:lang w:val="fr-FR"/>
        </w:rPr>
        <w:t>Fournir une formation à l'entreprenariat aux femmes et aux jeunes des communautés cibles par le biais des programmes d'incubation existants à Mopti et Ségou</w:t>
      </w:r>
      <w:r w:rsidR="00904E9E" w:rsidRPr="000E53A0">
        <w:rPr>
          <w:rFonts w:asciiTheme="minorHAnsi" w:hAnsiTheme="minorHAnsi" w:cstheme="minorHAnsi"/>
          <w:sz w:val="20"/>
          <w:szCs w:val="20"/>
          <w:lang w:val="fr-FR"/>
        </w:rPr>
        <w:t xml:space="preserve">, y compris des sujets tels que l'administration des affaires </w:t>
      </w:r>
      <w:r w:rsidR="000C78F5" w:rsidRPr="000E53A0">
        <w:rPr>
          <w:rFonts w:asciiTheme="minorHAnsi" w:hAnsiTheme="minorHAnsi" w:cstheme="minorHAnsi"/>
          <w:sz w:val="20"/>
          <w:szCs w:val="20"/>
          <w:lang w:val="fr-FR"/>
        </w:rPr>
        <w:t>et l'alphabétisation financière.</w:t>
      </w:r>
    </w:p>
    <w:p w14:paraId="4B76370B" w14:textId="77777777" w:rsidR="00601D9B" w:rsidRPr="000E53A0" w:rsidRDefault="000E53A0">
      <w:pPr>
        <w:pStyle w:val="GEFQuestion"/>
        <w:numPr>
          <w:ilvl w:val="0"/>
          <w:numId w:val="58"/>
        </w:numPr>
        <w:shd w:val="clear" w:color="auto" w:fill="FFFFFF"/>
        <w:jc w:val="both"/>
        <w:rPr>
          <w:rFonts w:asciiTheme="minorHAnsi" w:hAnsiTheme="minorHAnsi" w:cstheme="minorHAnsi"/>
          <w:sz w:val="20"/>
          <w:szCs w:val="20"/>
          <w:lang w:val="fr-FR"/>
        </w:rPr>
      </w:pPr>
      <w:r w:rsidRPr="000E53A0">
        <w:rPr>
          <w:rFonts w:asciiTheme="minorHAnsi" w:hAnsiTheme="minorHAnsi" w:cstheme="minorHAnsi"/>
          <w:sz w:val="20"/>
          <w:szCs w:val="20"/>
          <w:lang w:val="fr-FR"/>
        </w:rPr>
        <w:t xml:space="preserve">Activité 3.2.2. </w:t>
      </w:r>
      <w:r w:rsidR="000C78F5" w:rsidRPr="000E53A0">
        <w:rPr>
          <w:rFonts w:asciiTheme="minorHAnsi" w:hAnsiTheme="minorHAnsi" w:cstheme="minorHAnsi"/>
          <w:sz w:val="20"/>
          <w:szCs w:val="20"/>
          <w:lang w:val="fr-FR"/>
        </w:rPr>
        <w:t>Soutenir le développement de plans d'</w:t>
      </w:r>
      <w:r w:rsidR="00A363A7" w:rsidRPr="000E53A0">
        <w:rPr>
          <w:rFonts w:asciiTheme="minorHAnsi" w:hAnsiTheme="minorHAnsi" w:cstheme="minorHAnsi"/>
          <w:sz w:val="20"/>
          <w:szCs w:val="20"/>
          <w:lang w:val="fr-FR"/>
        </w:rPr>
        <w:t xml:space="preserve">affaires durables </w:t>
      </w:r>
      <w:r w:rsidR="000C78F5" w:rsidRPr="000E53A0">
        <w:rPr>
          <w:rFonts w:asciiTheme="minorHAnsi" w:hAnsiTheme="minorHAnsi" w:cstheme="minorHAnsi"/>
          <w:sz w:val="20"/>
          <w:szCs w:val="20"/>
          <w:lang w:val="fr-FR"/>
        </w:rPr>
        <w:t>pour les entreprises coopératives</w:t>
      </w:r>
    </w:p>
    <w:p w14:paraId="112A86FA" w14:textId="77777777" w:rsidR="00601D9B" w:rsidRPr="000E53A0" w:rsidRDefault="000E53A0">
      <w:pPr>
        <w:pStyle w:val="GEFQuestion"/>
        <w:numPr>
          <w:ilvl w:val="0"/>
          <w:numId w:val="58"/>
        </w:numPr>
        <w:shd w:val="clear" w:color="auto" w:fill="FFFFFF"/>
        <w:jc w:val="both"/>
        <w:rPr>
          <w:rFonts w:asciiTheme="minorHAnsi" w:hAnsiTheme="minorHAnsi" w:cstheme="minorHAnsi"/>
          <w:sz w:val="20"/>
          <w:szCs w:val="20"/>
          <w:lang w:val="fr-FR"/>
        </w:rPr>
      </w:pPr>
      <w:r w:rsidRPr="000E53A0">
        <w:rPr>
          <w:rFonts w:asciiTheme="minorHAnsi" w:hAnsiTheme="minorHAnsi" w:cstheme="minorHAnsi"/>
          <w:sz w:val="20"/>
          <w:szCs w:val="20"/>
          <w:lang w:val="fr-FR"/>
        </w:rPr>
        <w:t>Activité 3.2.</w:t>
      </w:r>
      <w:r w:rsidR="003C1D49" w:rsidRPr="000E53A0">
        <w:rPr>
          <w:rFonts w:asciiTheme="minorHAnsi" w:hAnsiTheme="minorHAnsi" w:cstheme="minorHAnsi"/>
          <w:sz w:val="20"/>
          <w:szCs w:val="20"/>
          <w:lang w:val="fr-FR"/>
        </w:rPr>
        <w:t>3</w:t>
      </w:r>
      <w:r w:rsidR="00E94870" w:rsidRPr="000E53A0">
        <w:rPr>
          <w:rFonts w:asciiTheme="minorHAnsi" w:hAnsiTheme="minorHAnsi" w:cstheme="minorHAnsi"/>
          <w:sz w:val="20"/>
          <w:szCs w:val="20"/>
          <w:lang w:val="fr-FR"/>
        </w:rPr>
        <w:t xml:space="preserve">. </w:t>
      </w:r>
      <w:r w:rsidRPr="000E53A0">
        <w:rPr>
          <w:rFonts w:asciiTheme="minorHAnsi" w:hAnsiTheme="minorHAnsi" w:cstheme="minorHAnsi"/>
          <w:sz w:val="20"/>
          <w:szCs w:val="20"/>
          <w:lang w:val="fr-FR"/>
        </w:rPr>
        <w:t>Faciliter la mise en place d'</w:t>
      </w:r>
      <w:r w:rsidR="00904E9E" w:rsidRPr="000E53A0">
        <w:rPr>
          <w:rFonts w:asciiTheme="minorHAnsi" w:hAnsiTheme="minorHAnsi" w:cstheme="minorHAnsi"/>
          <w:sz w:val="20"/>
          <w:szCs w:val="20"/>
          <w:lang w:val="fr-FR"/>
        </w:rPr>
        <w:t xml:space="preserve">une plateforme pour créer des partenariats commerciaux </w:t>
      </w:r>
      <w:r w:rsidR="00A363A7" w:rsidRPr="000E53A0">
        <w:rPr>
          <w:rFonts w:asciiTheme="minorHAnsi" w:hAnsiTheme="minorHAnsi" w:cstheme="minorHAnsi"/>
          <w:sz w:val="20"/>
          <w:szCs w:val="20"/>
          <w:lang w:val="fr-FR"/>
        </w:rPr>
        <w:t xml:space="preserve">pour les </w:t>
      </w:r>
      <w:r w:rsidR="00904E9E" w:rsidRPr="000E53A0">
        <w:rPr>
          <w:rFonts w:asciiTheme="minorHAnsi" w:hAnsiTheme="minorHAnsi" w:cstheme="minorHAnsi"/>
          <w:sz w:val="20"/>
          <w:szCs w:val="20"/>
          <w:lang w:val="fr-FR"/>
        </w:rPr>
        <w:t>entreprises coopératives dirigées par des femmes et des jeunes</w:t>
      </w:r>
      <w:r w:rsidR="00A363A7" w:rsidRPr="000E53A0">
        <w:rPr>
          <w:rFonts w:asciiTheme="minorHAnsi" w:hAnsiTheme="minorHAnsi" w:cstheme="minorHAnsi"/>
          <w:sz w:val="20"/>
          <w:szCs w:val="20"/>
          <w:lang w:val="fr-FR"/>
        </w:rPr>
        <w:t xml:space="preserve">, y compris avec des </w:t>
      </w:r>
      <w:r w:rsidRPr="000E53A0">
        <w:rPr>
          <w:rFonts w:asciiTheme="minorHAnsi" w:hAnsiTheme="minorHAnsi" w:cstheme="minorHAnsi"/>
          <w:sz w:val="20"/>
          <w:szCs w:val="20"/>
          <w:lang w:val="fr-FR"/>
        </w:rPr>
        <w:t xml:space="preserve">partenaires du secteur privé </w:t>
      </w:r>
      <w:r w:rsidR="00A363A7" w:rsidRPr="000E53A0">
        <w:rPr>
          <w:rFonts w:asciiTheme="minorHAnsi" w:hAnsiTheme="minorHAnsi" w:cstheme="minorHAnsi"/>
          <w:sz w:val="20"/>
          <w:szCs w:val="20"/>
          <w:lang w:val="fr-FR"/>
        </w:rPr>
        <w:t>(par exemple, des fournisseurs, des financiers).</w:t>
      </w:r>
    </w:p>
    <w:p w14:paraId="2788E077" w14:textId="77777777" w:rsidR="00601D9B" w:rsidRPr="000E53A0" w:rsidRDefault="000E53A0">
      <w:pPr>
        <w:pStyle w:val="Paragraphedeliste"/>
        <w:numPr>
          <w:ilvl w:val="0"/>
          <w:numId w:val="58"/>
        </w:numPr>
        <w:jc w:val="both"/>
        <w:rPr>
          <w:rFonts w:asciiTheme="minorHAnsi" w:hAnsiTheme="minorHAnsi" w:cstheme="minorHAnsi"/>
          <w:sz w:val="20"/>
          <w:szCs w:val="20"/>
          <w:lang w:val="fr-FR"/>
        </w:rPr>
      </w:pPr>
      <w:r w:rsidRPr="000E53A0">
        <w:rPr>
          <w:rFonts w:asciiTheme="minorHAnsi" w:hAnsiTheme="minorHAnsi" w:cstheme="minorHAnsi"/>
          <w:sz w:val="20"/>
          <w:szCs w:val="20"/>
          <w:lang w:val="fr-FR"/>
        </w:rPr>
        <w:lastRenderedPageBreak/>
        <w:t>Activité 3.2.4. Soutenir la création d'une coopérative villageoise d'épargne et de crédit (CVEC) par commune, afin de résoudre le problème de l'accès aux institutions financières pour soutenir la création et le fonctionnement des entreprises.</w:t>
      </w:r>
    </w:p>
    <w:p w14:paraId="4917FF2F" w14:textId="77777777" w:rsidR="00D22751" w:rsidRPr="000E53A0" w:rsidRDefault="00D22751" w:rsidP="004E0953">
      <w:pPr>
        <w:jc w:val="both"/>
        <w:rPr>
          <w:rFonts w:asciiTheme="minorHAnsi" w:hAnsiTheme="minorHAnsi" w:cstheme="minorHAnsi"/>
          <w:sz w:val="20"/>
          <w:szCs w:val="20"/>
          <w:lang w:val="fr-FR"/>
        </w:rPr>
      </w:pPr>
    </w:p>
    <w:p w14:paraId="38A592A1" w14:textId="77777777" w:rsidR="00601D9B" w:rsidRPr="000E53A0" w:rsidRDefault="000E53A0">
      <w:pPr>
        <w:pStyle w:val="GEFQuestion"/>
        <w:shd w:val="clear" w:color="auto" w:fill="FFFFFF"/>
        <w:ind w:left="0"/>
        <w:jc w:val="both"/>
        <w:rPr>
          <w:rFonts w:asciiTheme="minorHAnsi" w:hAnsiTheme="minorHAnsi" w:cstheme="minorHAnsi"/>
          <w:sz w:val="20"/>
          <w:szCs w:val="20"/>
          <w:lang w:val="fr-FR"/>
        </w:rPr>
      </w:pPr>
      <w:r w:rsidRPr="000E53A0">
        <w:rPr>
          <w:rFonts w:asciiTheme="minorHAnsi" w:hAnsiTheme="minorHAnsi" w:cstheme="minorHAnsi"/>
          <w:i/>
          <w:iCs/>
          <w:sz w:val="20"/>
          <w:szCs w:val="20"/>
          <w:lang w:val="fr-FR"/>
        </w:rPr>
        <w:t xml:space="preserve">Produit 3.3 Formation, soutien technique et équipement fournis </w:t>
      </w:r>
      <w:r w:rsidR="004153C0" w:rsidRPr="000E53A0">
        <w:rPr>
          <w:rFonts w:asciiTheme="minorHAnsi" w:hAnsiTheme="minorHAnsi" w:cstheme="minorHAnsi"/>
          <w:i/>
          <w:iCs/>
          <w:sz w:val="20"/>
          <w:szCs w:val="20"/>
          <w:lang w:val="fr-FR"/>
        </w:rPr>
        <w:t xml:space="preserve">aux </w:t>
      </w:r>
      <w:r w:rsidRPr="000E53A0">
        <w:rPr>
          <w:rFonts w:asciiTheme="minorHAnsi" w:hAnsiTheme="minorHAnsi" w:cstheme="minorHAnsi"/>
          <w:i/>
          <w:iCs/>
          <w:sz w:val="20"/>
          <w:szCs w:val="20"/>
          <w:lang w:val="fr-FR"/>
        </w:rPr>
        <w:t xml:space="preserve">entreprises coopératives intelligentes sur le plan climatique impliquant des femmes, des jeunes et des personnes déplacées </w:t>
      </w:r>
      <w:r w:rsidRPr="000E53A0">
        <w:rPr>
          <w:rFonts w:asciiTheme="minorHAnsi" w:hAnsiTheme="minorHAnsi" w:cstheme="minorHAnsi"/>
          <w:sz w:val="20"/>
          <w:szCs w:val="20"/>
          <w:lang w:val="fr-FR"/>
        </w:rPr>
        <w:t>(LDCF)</w:t>
      </w:r>
    </w:p>
    <w:p w14:paraId="42F6FB30" w14:textId="77777777" w:rsidR="00601D9B" w:rsidRPr="000E53A0" w:rsidRDefault="00D22751">
      <w:pPr>
        <w:pStyle w:val="GEFQuestion"/>
        <w:shd w:val="clear" w:color="auto" w:fill="FFFFFF"/>
        <w:ind w:left="0"/>
        <w:jc w:val="both"/>
        <w:rPr>
          <w:rFonts w:asciiTheme="minorHAnsi" w:hAnsiTheme="minorHAnsi" w:cstheme="minorHAnsi"/>
          <w:sz w:val="20"/>
          <w:szCs w:val="20"/>
          <w:lang w:val="fr-FR"/>
        </w:rPr>
      </w:pPr>
      <w:r w:rsidRPr="000E53A0">
        <w:rPr>
          <w:rFonts w:asciiTheme="minorHAnsi" w:hAnsiTheme="minorHAnsi" w:cstheme="minorHAnsi"/>
          <w:sz w:val="20"/>
          <w:szCs w:val="20"/>
          <w:lang w:val="fr-FR"/>
        </w:rPr>
        <w:t xml:space="preserve">Sur la </w:t>
      </w:r>
      <w:r w:rsidR="000E53A0" w:rsidRPr="000E53A0">
        <w:rPr>
          <w:rFonts w:asciiTheme="minorHAnsi" w:hAnsiTheme="minorHAnsi" w:cstheme="minorHAnsi"/>
          <w:sz w:val="20"/>
          <w:szCs w:val="20"/>
          <w:lang w:val="fr-FR"/>
        </w:rPr>
        <w:t xml:space="preserve">base de l'étude diagnostique menée dans le cadre du résultat 3.2, </w:t>
      </w:r>
      <w:r w:rsidRPr="000E53A0">
        <w:rPr>
          <w:rFonts w:asciiTheme="minorHAnsi" w:hAnsiTheme="minorHAnsi" w:cstheme="minorHAnsi"/>
          <w:sz w:val="20"/>
          <w:szCs w:val="20"/>
          <w:lang w:val="fr-FR"/>
        </w:rPr>
        <w:t xml:space="preserve">le projet veillera à ce que les entreprises coopératives intelligentes sur le plan climatique reçoivent un soutien technique adéquat et soient correctement équipées pour commencer leurs activités. </w:t>
      </w:r>
    </w:p>
    <w:p w14:paraId="180F2BF8" w14:textId="77777777" w:rsidR="00601D9B" w:rsidRPr="000E53A0" w:rsidRDefault="000E53A0">
      <w:pPr>
        <w:pStyle w:val="GEFQuestion"/>
        <w:shd w:val="clear" w:color="auto" w:fill="FFFFFF"/>
        <w:ind w:left="0"/>
        <w:jc w:val="both"/>
        <w:rPr>
          <w:rFonts w:asciiTheme="minorHAnsi" w:hAnsiTheme="minorHAnsi" w:cstheme="minorHAnsi"/>
          <w:sz w:val="20"/>
          <w:szCs w:val="20"/>
          <w:lang w:val="fr-FR"/>
        </w:rPr>
      </w:pPr>
      <w:r w:rsidRPr="000E53A0">
        <w:rPr>
          <w:rFonts w:asciiTheme="minorHAnsi" w:hAnsiTheme="minorHAnsi" w:cstheme="minorHAnsi"/>
          <w:sz w:val="20"/>
          <w:szCs w:val="20"/>
          <w:lang w:val="fr-FR"/>
        </w:rPr>
        <w:t xml:space="preserve">Il </w:t>
      </w:r>
      <w:r w:rsidR="004153C0" w:rsidRPr="000E53A0">
        <w:rPr>
          <w:rFonts w:asciiTheme="minorHAnsi" w:hAnsiTheme="minorHAnsi" w:cstheme="minorHAnsi"/>
          <w:sz w:val="20"/>
          <w:szCs w:val="20"/>
          <w:lang w:val="fr-FR"/>
        </w:rPr>
        <w:t>peut s'agir</w:t>
      </w:r>
      <w:r w:rsidRPr="000E53A0">
        <w:rPr>
          <w:rFonts w:asciiTheme="minorHAnsi" w:hAnsiTheme="minorHAnsi" w:cstheme="minorHAnsi"/>
          <w:sz w:val="20"/>
          <w:szCs w:val="20"/>
          <w:lang w:val="fr-FR"/>
        </w:rPr>
        <w:t xml:space="preserve">, entre autres, de soutenir la capacitation du secteur de l'aquaculture </w:t>
      </w:r>
      <w:r w:rsidR="003C1D49" w:rsidRPr="000E53A0">
        <w:rPr>
          <w:rFonts w:asciiTheme="minorHAnsi" w:hAnsiTheme="minorHAnsi" w:cstheme="minorHAnsi"/>
          <w:sz w:val="20"/>
          <w:szCs w:val="20"/>
          <w:lang w:val="fr-FR"/>
        </w:rPr>
        <w:t>qui a été identifié pendant la phase PPG comme un secteur prioritaire</w:t>
      </w:r>
      <w:r w:rsidRPr="000E53A0">
        <w:rPr>
          <w:rFonts w:asciiTheme="minorHAnsi" w:hAnsiTheme="minorHAnsi" w:cstheme="minorHAnsi"/>
          <w:sz w:val="20"/>
          <w:szCs w:val="20"/>
          <w:lang w:val="fr-FR"/>
        </w:rPr>
        <w:t xml:space="preserve">. Les interventions </w:t>
      </w:r>
      <w:r w:rsidR="003C1D49" w:rsidRPr="000E53A0">
        <w:rPr>
          <w:rFonts w:asciiTheme="minorHAnsi" w:hAnsiTheme="minorHAnsi" w:cstheme="minorHAnsi"/>
          <w:sz w:val="20"/>
          <w:szCs w:val="20"/>
          <w:lang w:val="fr-FR"/>
        </w:rPr>
        <w:t xml:space="preserve">pourraient </w:t>
      </w:r>
      <w:r w:rsidRPr="000E53A0">
        <w:rPr>
          <w:rFonts w:asciiTheme="minorHAnsi" w:hAnsiTheme="minorHAnsi" w:cstheme="minorHAnsi"/>
          <w:sz w:val="20"/>
          <w:szCs w:val="20"/>
          <w:lang w:val="fr-FR"/>
        </w:rPr>
        <w:t xml:space="preserve">inclure un soutien logistique à la station d'élevage et de production d'alevins à Mopti, ainsi qu'à la production d'alevins par des entreprises/coopératives locales intelligentes face au climat. En outre, le projet </w:t>
      </w:r>
      <w:r w:rsidR="00E446DF" w:rsidRPr="000E53A0">
        <w:rPr>
          <w:rFonts w:asciiTheme="minorHAnsi" w:hAnsiTheme="minorHAnsi" w:cstheme="minorHAnsi"/>
          <w:sz w:val="20"/>
          <w:szCs w:val="20"/>
          <w:lang w:val="fr-FR"/>
        </w:rPr>
        <w:t xml:space="preserve">pourrait </w:t>
      </w:r>
      <w:r w:rsidRPr="000E53A0">
        <w:rPr>
          <w:rFonts w:asciiTheme="minorHAnsi" w:hAnsiTheme="minorHAnsi" w:cstheme="minorHAnsi"/>
          <w:sz w:val="20"/>
          <w:szCs w:val="20"/>
          <w:lang w:val="fr-FR"/>
        </w:rPr>
        <w:t xml:space="preserve">équiper les entreprises/coopératives climato-intelligentes pour la production de poissons élevés dans des étangs ou des piscines (1 par commune). Dans le domaine des agro-entreprises, le projet </w:t>
      </w:r>
      <w:r w:rsidR="00E446DF" w:rsidRPr="000E53A0">
        <w:rPr>
          <w:rFonts w:asciiTheme="minorHAnsi" w:hAnsiTheme="minorHAnsi" w:cstheme="minorHAnsi"/>
          <w:sz w:val="20"/>
          <w:szCs w:val="20"/>
          <w:lang w:val="fr-FR"/>
        </w:rPr>
        <w:t xml:space="preserve">devrait </w:t>
      </w:r>
      <w:r w:rsidRPr="000E53A0">
        <w:rPr>
          <w:rFonts w:asciiTheme="minorHAnsi" w:hAnsiTheme="minorHAnsi" w:cstheme="minorHAnsi"/>
          <w:sz w:val="20"/>
          <w:szCs w:val="20"/>
          <w:lang w:val="fr-FR"/>
        </w:rPr>
        <w:t xml:space="preserve">assurer la formation de femmes agro-transformatrices (une par commune) et les équiper pour la transformation de produits agricoles et de produits forestiers non ligneux (PFNL) sélectionnés. Les </w:t>
      </w:r>
      <w:r w:rsidR="00E446DF" w:rsidRPr="000E53A0">
        <w:rPr>
          <w:rFonts w:asciiTheme="minorHAnsi" w:hAnsiTheme="minorHAnsi" w:cstheme="minorHAnsi"/>
          <w:sz w:val="20"/>
          <w:szCs w:val="20"/>
          <w:lang w:val="fr-FR"/>
        </w:rPr>
        <w:t xml:space="preserve">entreprises coopératives recevront </w:t>
      </w:r>
      <w:r w:rsidRPr="000E53A0">
        <w:rPr>
          <w:rFonts w:asciiTheme="minorHAnsi" w:hAnsiTheme="minorHAnsi" w:cstheme="minorHAnsi"/>
          <w:sz w:val="20"/>
          <w:szCs w:val="20"/>
          <w:lang w:val="fr-FR"/>
        </w:rPr>
        <w:t>également du matériel pour la production de plantes de pépinière.</w:t>
      </w:r>
      <w:r w:rsidR="00027316" w:rsidRPr="000E53A0">
        <w:rPr>
          <w:rFonts w:asciiTheme="minorHAnsi" w:hAnsiTheme="minorHAnsi" w:cstheme="minorHAnsi"/>
          <w:sz w:val="20"/>
          <w:szCs w:val="20"/>
          <w:lang w:val="fr-FR"/>
        </w:rPr>
        <w:t xml:space="preserve"> La formation portera à la fois sur le fonctionnement des équipements fournis et sur leur entretien, afin de s'assurer qu'il existe une capacité locale à réparer les équipements dans un contexte où l'insécurité pourrait limiter les déplacements dans la région. </w:t>
      </w:r>
      <w:r w:rsidR="000C78F5" w:rsidRPr="000E53A0">
        <w:rPr>
          <w:rFonts w:asciiTheme="minorHAnsi" w:hAnsiTheme="minorHAnsi" w:cstheme="minorHAnsi"/>
          <w:sz w:val="20"/>
          <w:szCs w:val="20"/>
          <w:lang w:val="fr-FR"/>
        </w:rPr>
        <w:t>Des bourses d'études compétitives seront également offertes aux jeunes de la région afin qu'ils puissent acquérir les compétences techniques spécialisées nécessaires pour soutenir l'esprit d'entreprise. L'organisation d'un processus compétitif sur l'entrepreneuriat et les services d'incubation d'entreprises vise à motiver les acteurs à atteindre une plus grande excellence. En partenariat avec les communautés et les médias, ce concours sera organisé par commune et rendu public.</w:t>
      </w:r>
    </w:p>
    <w:p w14:paraId="1916802B" w14:textId="77777777" w:rsidR="00D22751" w:rsidRPr="000E53A0" w:rsidRDefault="00D22751" w:rsidP="004E0953">
      <w:pPr>
        <w:pStyle w:val="GEFQuestion"/>
        <w:shd w:val="clear" w:color="auto" w:fill="FFFFFF"/>
        <w:ind w:left="0"/>
        <w:jc w:val="both"/>
        <w:rPr>
          <w:rFonts w:asciiTheme="minorHAnsi" w:hAnsiTheme="minorHAnsi" w:cstheme="minorHAnsi"/>
          <w:sz w:val="20"/>
          <w:szCs w:val="20"/>
          <w:lang w:val="fr-FR"/>
        </w:rPr>
      </w:pPr>
    </w:p>
    <w:p w14:paraId="0F3FB882" w14:textId="77777777" w:rsidR="00601D9B" w:rsidRPr="000E53A0" w:rsidRDefault="000E53A0">
      <w:pPr>
        <w:pStyle w:val="GEFQuestion"/>
        <w:numPr>
          <w:ilvl w:val="0"/>
          <w:numId w:val="57"/>
        </w:numPr>
        <w:shd w:val="clear" w:color="auto" w:fill="FFFFFF"/>
        <w:ind w:left="0"/>
        <w:jc w:val="both"/>
        <w:rPr>
          <w:rFonts w:asciiTheme="minorHAnsi" w:hAnsiTheme="minorHAnsi" w:cstheme="minorHAnsi"/>
          <w:sz w:val="20"/>
          <w:szCs w:val="20"/>
          <w:lang w:val="fr-FR"/>
        </w:rPr>
      </w:pPr>
      <w:r w:rsidRPr="000E53A0">
        <w:rPr>
          <w:rFonts w:asciiTheme="minorHAnsi" w:hAnsiTheme="minorHAnsi" w:cstheme="minorHAnsi"/>
          <w:sz w:val="20"/>
          <w:szCs w:val="20"/>
          <w:lang w:val="fr-FR"/>
        </w:rPr>
        <w:t xml:space="preserve">Activité 3.3.1 Fournir des équipements </w:t>
      </w:r>
      <w:r w:rsidR="004153C0" w:rsidRPr="000E53A0">
        <w:rPr>
          <w:rFonts w:asciiTheme="minorHAnsi" w:hAnsiTheme="minorHAnsi" w:cstheme="minorHAnsi"/>
          <w:sz w:val="20"/>
          <w:szCs w:val="20"/>
          <w:lang w:val="fr-FR"/>
        </w:rPr>
        <w:t xml:space="preserve">améliorés </w:t>
      </w:r>
      <w:r w:rsidRPr="000E53A0">
        <w:rPr>
          <w:rFonts w:asciiTheme="minorHAnsi" w:hAnsiTheme="minorHAnsi" w:cstheme="minorHAnsi"/>
          <w:sz w:val="20"/>
          <w:szCs w:val="20"/>
          <w:lang w:val="fr-FR"/>
        </w:rPr>
        <w:t>aux entreprises et aux coopératives intelligentes face au climat</w:t>
      </w:r>
    </w:p>
    <w:p w14:paraId="1A960043" w14:textId="77777777" w:rsidR="00601D9B" w:rsidRPr="000E53A0" w:rsidRDefault="000E53A0">
      <w:pPr>
        <w:pStyle w:val="GEFQuestion"/>
        <w:numPr>
          <w:ilvl w:val="0"/>
          <w:numId w:val="57"/>
        </w:numPr>
        <w:shd w:val="clear" w:color="auto" w:fill="FFFFFF"/>
        <w:ind w:left="0"/>
        <w:jc w:val="both"/>
        <w:rPr>
          <w:rFonts w:asciiTheme="minorHAnsi" w:hAnsiTheme="minorHAnsi" w:cstheme="minorHAnsi"/>
          <w:sz w:val="20"/>
          <w:szCs w:val="20"/>
          <w:lang w:val="fr-FR"/>
        </w:rPr>
      </w:pPr>
      <w:r w:rsidRPr="000E53A0">
        <w:rPr>
          <w:rFonts w:asciiTheme="minorHAnsi" w:hAnsiTheme="minorHAnsi" w:cstheme="minorHAnsi"/>
          <w:sz w:val="20"/>
          <w:szCs w:val="20"/>
          <w:lang w:val="fr-FR"/>
        </w:rPr>
        <w:t xml:space="preserve">Activité 3.3.2 Former les entreprises et coopératives climato-intelligentes aux </w:t>
      </w:r>
      <w:r w:rsidR="004153C0" w:rsidRPr="000E53A0">
        <w:rPr>
          <w:rFonts w:asciiTheme="minorHAnsi" w:hAnsiTheme="minorHAnsi" w:cstheme="minorHAnsi"/>
          <w:sz w:val="20"/>
          <w:szCs w:val="20"/>
          <w:lang w:val="fr-FR"/>
        </w:rPr>
        <w:t xml:space="preserve">techniques modernes de production, de transformation et de traitement (par exemple pour l'aquaculture, la </w:t>
      </w:r>
      <w:r w:rsidRPr="000E53A0">
        <w:rPr>
          <w:rFonts w:asciiTheme="minorHAnsi" w:hAnsiTheme="minorHAnsi" w:cstheme="minorHAnsi"/>
          <w:sz w:val="20"/>
          <w:szCs w:val="20"/>
          <w:lang w:val="fr-FR"/>
        </w:rPr>
        <w:t>production agroalimentaire</w:t>
      </w:r>
      <w:r w:rsidR="004153C0" w:rsidRPr="000E53A0">
        <w:rPr>
          <w:rFonts w:asciiTheme="minorHAnsi" w:hAnsiTheme="minorHAnsi" w:cstheme="minorHAnsi"/>
          <w:sz w:val="20"/>
          <w:szCs w:val="20"/>
          <w:lang w:val="fr-FR"/>
        </w:rPr>
        <w:t xml:space="preserve">) </w:t>
      </w:r>
    </w:p>
    <w:p w14:paraId="0794C430" w14:textId="77777777" w:rsidR="00601D9B" w:rsidRPr="000E53A0" w:rsidRDefault="000E53A0">
      <w:pPr>
        <w:pStyle w:val="GEFQuestion"/>
        <w:numPr>
          <w:ilvl w:val="0"/>
          <w:numId w:val="57"/>
        </w:numPr>
        <w:shd w:val="clear" w:color="auto" w:fill="FFFFFF"/>
        <w:ind w:left="0"/>
        <w:jc w:val="both"/>
        <w:rPr>
          <w:rFonts w:asciiTheme="minorHAnsi" w:hAnsiTheme="minorHAnsi" w:cstheme="minorHAnsi"/>
          <w:sz w:val="20"/>
          <w:szCs w:val="20"/>
          <w:lang w:val="fr-FR"/>
        </w:rPr>
      </w:pPr>
      <w:r w:rsidRPr="000E53A0">
        <w:rPr>
          <w:rFonts w:asciiTheme="minorHAnsi" w:hAnsiTheme="minorHAnsi" w:cstheme="minorHAnsi"/>
          <w:sz w:val="20"/>
          <w:szCs w:val="20"/>
          <w:lang w:val="fr-FR"/>
        </w:rPr>
        <w:t>Activité 3.</w:t>
      </w:r>
      <w:r w:rsidR="004153C0" w:rsidRPr="000E53A0">
        <w:rPr>
          <w:rFonts w:asciiTheme="minorHAnsi" w:hAnsiTheme="minorHAnsi" w:cstheme="minorHAnsi"/>
          <w:sz w:val="20"/>
          <w:szCs w:val="20"/>
          <w:lang w:val="fr-FR"/>
        </w:rPr>
        <w:t>3</w:t>
      </w:r>
      <w:r w:rsidRPr="000E53A0">
        <w:rPr>
          <w:rFonts w:asciiTheme="minorHAnsi" w:hAnsiTheme="minorHAnsi" w:cstheme="minorHAnsi"/>
          <w:sz w:val="20"/>
          <w:szCs w:val="20"/>
          <w:lang w:val="fr-FR"/>
        </w:rPr>
        <w:t>.</w:t>
      </w:r>
      <w:r w:rsidR="004153C0" w:rsidRPr="000E53A0">
        <w:rPr>
          <w:rFonts w:asciiTheme="minorHAnsi" w:hAnsiTheme="minorHAnsi" w:cstheme="minorHAnsi"/>
          <w:sz w:val="20"/>
          <w:szCs w:val="20"/>
          <w:lang w:val="fr-FR"/>
        </w:rPr>
        <w:t xml:space="preserve">3 </w:t>
      </w:r>
      <w:r w:rsidRPr="000E53A0">
        <w:rPr>
          <w:rFonts w:asciiTheme="minorHAnsi" w:hAnsiTheme="minorHAnsi" w:cstheme="minorHAnsi"/>
          <w:sz w:val="20"/>
          <w:szCs w:val="20"/>
          <w:lang w:val="fr-FR"/>
        </w:rPr>
        <w:t>Créer des bourses d'études compétitives pour les jeunes de la région afin de les former, par exemple, à la maintenance des systèmes photovoltaïques solaires (soutien aux activités d'adaptation dans le cadre du volet 2).</w:t>
      </w:r>
    </w:p>
    <w:p w14:paraId="7137219A" w14:textId="77777777" w:rsidR="00A363A7" w:rsidRPr="000E53A0" w:rsidRDefault="00A363A7" w:rsidP="004E0953">
      <w:pPr>
        <w:jc w:val="both"/>
        <w:rPr>
          <w:rFonts w:asciiTheme="minorHAnsi" w:hAnsiTheme="minorHAnsi" w:cstheme="minorHAnsi"/>
          <w:sz w:val="20"/>
          <w:szCs w:val="20"/>
          <w:lang w:val="fr-FR"/>
        </w:rPr>
      </w:pPr>
    </w:p>
    <w:p w14:paraId="6B110BAD" w14:textId="77777777" w:rsidR="00601D9B" w:rsidRPr="000E53A0" w:rsidRDefault="000E53A0">
      <w:pPr>
        <w:pStyle w:val="GEFQuestion"/>
        <w:shd w:val="clear" w:color="auto" w:fill="FFFFFF"/>
        <w:ind w:left="0"/>
        <w:jc w:val="both"/>
        <w:rPr>
          <w:rFonts w:asciiTheme="minorHAnsi" w:hAnsiTheme="minorHAnsi" w:cstheme="minorHAnsi"/>
          <w:color w:val="000000"/>
          <w:sz w:val="20"/>
          <w:szCs w:val="20"/>
          <w:lang w:val="fr-FR"/>
        </w:rPr>
      </w:pPr>
      <w:r w:rsidRPr="000E53A0">
        <w:rPr>
          <w:rFonts w:asciiTheme="minorHAnsi" w:hAnsiTheme="minorHAnsi" w:cstheme="minorHAnsi"/>
          <w:b/>
          <w:bCs/>
          <w:color w:val="000000"/>
          <w:sz w:val="20"/>
          <w:szCs w:val="20"/>
          <w:lang w:val="fr-FR"/>
        </w:rPr>
        <w:t xml:space="preserve">Composante 4 : Suivi et évaluation et gestion des connaissances pour la mise à l'échelle. </w:t>
      </w:r>
    </w:p>
    <w:p w14:paraId="07F9DA12" w14:textId="77777777" w:rsidR="00601D9B" w:rsidRPr="000E53A0" w:rsidRDefault="000E53A0">
      <w:pPr>
        <w:pStyle w:val="GEFQuestion"/>
        <w:shd w:val="clear" w:color="auto" w:fill="FFFFFF"/>
        <w:ind w:left="0"/>
        <w:jc w:val="both"/>
        <w:rPr>
          <w:rFonts w:asciiTheme="minorHAnsi" w:hAnsiTheme="minorHAnsi" w:cstheme="minorHAnsi"/>
          <w:color w:val="000000"/>
          <w:sz w:val="20"/>
          <w:szCs w:val="20"/>
          <w:lang w:val="fr-FR"/>
        </w:rPr>
      </w:pPr>
      <w:r w:rsidRPr="000E53A0">
        <w:rPr>
          <w:rFonts w:asciiTheme="minorHAnsi" w:hAnsiTheme="minorHAnsi" w:cstheme="minorHAnsi"/>
          <w:color w:val="000000"/>
          <w:sz w:val="20"/>
          <w:szCs w:val="20"/>
          <w:lang w:val="fr-FR"/>
        </w:rPr>
        <w:t xml:space="preserve">Le résultat escompté est le </w:t>
      </w:r>
      <w:r w:rsidRPr="000E53A0">
        <w:rPr>
          <w:rFonts w:asciiTheme="minorHAnsi" w:hAnsiTheme="minorHAnsi" w:cstheme="minorHAnsi"/>
          <w:i/>
          <w:iCs/>
          <w:color w:val="000000"/>
          <w:sz w:val="20"/>
          <w:szCs w:val="20"/>
          <w:lang w:val="fr-FR"/>
        </w:rPr>
        <w:t>suivi des impacts du projet et le partage de l'apprentissage pour la mise à l'échelle des résultats dans les régions sahéliennes du Mali et au-delà</w:t>
      </w:r>
      <w:r w:rsidRPr="000E53A0">
        <w:rPr>
          <w:rFonts w:asciiTheme="minorHAnsi" w:hAnsiTheme="minorHAnsi" w:cstheme="minorHAnsi"/>
          <w:color w:val="000000"/>
          <w:sz w:val="20"/>
          <w:szCs w:val="20"/>
          <w:lang w:val="fr-FR"/>
        </w:rPr>
        <w:t xml:space="preserve">. Les </w:t>
      </w:r>
      <w:r w:rsidRPr="000E53A0">
        <w:rPr>
          <w:rFonts w:asciiTheme="minorHAnsi" w:hAnsiTheme="minorHAnsi" w:cstheme="minorHAnsi"/>
          <w:sz w:val="20"/>
          <w:szCs w:val="20"/>
          <w:lang w:val="fr-FR"/>
        </w:rPr>
        <w:t>activités du projet dans la composante 4 permettront ensuite de créer des plateformes de connaissances pour la reproduction et la mise à l'échelle, facilitant l'</w:t>
      </w:r>
      <w:r w:rsidRPr="000E53A0">
        <w:rPr>
          <w:rFonts w:asciiTheme="minorHAnsi" w:hAnsiTheme="minorHAnsi" w:cstheme="minorHAnsi"/>
          <w:color w:val="000000"/>
          <w:sz w:val="20"/>
          <w:szCs w:val="20"/>
          <w:lang w:val="fr-FR"/>
        </w:rPr>
        <w:t>apprentissage au sein et au-delà des régions centrales du Mali, et le partage des leçons apprises avec d'autres pays de la zone sahélienne. Elles permettent également aux jeunes de Mopti d'apporter leur soutien au suivi agro-écologique des résultats et des impacts du projet, qui peut être réinjecté dans le plan d'action national par le biais de l'IER, en tant que projet pilote de suivi.</w:t>
      </w:r>
    </w:p>
    <w:p w14:paraId="172F9F83" w14:textId="77777777" w:rsidR="00D22751" w:rsidRPr="000E53A0" w:rsidRDefault="00D22751" w:rsidP="004E0953">
      <w:pPr>
        <w:jc w:val="both"/>
        <w:rPr>
          <w:rFonts w:asciiTheme="minorHAnsi" w:hAnsiTheme="minorHAnsi" w:cstheme="minorHAnsi"/>
          <w:sz w:val="20"/>
          <w:szCs w:val="20"/>
          <w:lang w:val="fr-FR"/>
        </w:rPr>
      </w:pPr>
    </w:p>
    <w:p w14:paraId="19071632" w14:textId="77777777" w:rsidR="00601D9B" w:rsidRPr="000E53A0" w:rsidRDefault="000E53A0">
      <w:pPr>
        <w:pStyle w:val="GEFQuestion"/>
        <w:shd w:val="clear" w:color="auto" w:fill="FFFFFF"/>
        <w:ind w:left="0"/>
        <w:jc w:val="both"/>
        <w:rPr>
          <w:rFonts w:asciiTheme="minorHAnsi" w:hAnsiTheme="minorHAnsi" w:cstheme="minorHAnsi"/>
          <w:color w:val="000000" w:themeColor="text1"/>
          <w:sz w:val="20"/>
          <w:szCs w:val="20"/>
          <w:lang w:val="fr-FR"/>
        </w:rPr>
      </w:pPr>
      <w:r w:rsidRPr="000E53A0">
        <w:rPr>
          <w:rFonts w:asciiTheme="minorHAnsi" w:hAnsiTheme="minorHAnsi" w:cstheme="minorHAnsi"/>
          <w:i/>
          <w:iCs/>
          <w:color w:val="000000"/>
          <w:sz w:val="20"/>
          <w:szCs w:val="20"/>
          <w:lang w:val="fr-FR"/>
        </w:rPr>
        <w:t xml:space="preserve">Résultat 4.1 : Plateforme de connaissances opérationnelle pour la coordination et le partage des leçons entre les parties prenantes au niveau de la commune, du cercle, de la région, du pays et de l'international </w:t>
      </w:r>
      <w:r w:rsidRPr="000E53A0">
        <w:rPr>
          <w:rFonts w:asciiTheme="minorHAnsi" w:hAnsiTheme="minorHAnsi" w:cstheme="minorHAnsi"/>
          <w:sz w:val="20"/>
          <w:szCs w:val="20"/>
          <w:lang w:val="fr-FR"/>
        </w:rPr>
        <w:t>(</w:t>
      </w:r>
      <w:r w:rsidR="00CC6300" w:rsidRPr="000E53A0">
        <w:rPr>
          <w:rFonts w:asciiTheme="minorHAnsi" w:hAnsiTheme="minorHAnsi" w:cstheme="minorHAnsi"/>
          <w:color w:val="000000" w:themeColor="text1"/>
          <w:sz w:val="20"/>
          <w:szCs w:val="20"/>
          <w:lang w:val="fr-FR"/>
        </w:rPr>
        <w:t>LDCF</w:t>
      </w:r>
      <w:r w:rsidRPr="000E53A0">
        <w:rPr>
          <w:rFonts w:asciiTheme="minorHAnsi" w:hAnsiTheme="minorHAnsi" w:cstheme="minorHAnsi"/>
          <w:color w:val="000000" w:themeColor="text1"/>
          <w:sz w:val="20"/>
          <w:szCs w:val="20"/>
          <w:lang w:val="fr-FR"/>
        </w:rPr>
        <w:t>)</w:t>
      </w:r>
    </w:p>
    <w:p w14:paraId="3FEB3915" w14:textId="77777777" w:rsidR="00601D9B" w:rsidRPr="000E53A0" w:rsidRDefault="000E53A0">
      <w:pPr>
        <w:pStyle w:val="GEFQuestion"/>
        <w:shd w:val="clear" w:color="auto" w:fill="FFFFFF"/>
        <w:ind w:left="0"/>
        <w:jc w:val="both"/>
        <w:rPr>
          <w:rFonts w:asciiTheme="minorHAnsi" w:hAnsiTheme="minorHAnsi" w:cstheme="minorHAnsi"/>
          <w:color w:val="000000"/>
          <w:sz w:val="20"/>
          <w:szCs w:val="20"/>
          <w:lang w:val="fr-FR"/>
        </w:rPr>
      </w:pPr>
      <w:r w:rsidRPr="000E53A0">
        <w:rPr>
          <w:rFonts w:asciiTheme="minorHAnsi" w:hAnsiTheme="minorHAnsi" w:cstheme="minorHAnsi"/>
          <w:color w:val="000000"/>
          <w:sz w:val="20"/>
          <w:szCs w:val="20"/>
          <w:lang w:val="fr-FR"/>
        </w:rPr>
        <w:t>Ce résultat garantira que les connaissances produites par le projet sont partagées et diffusées pour informer les initiatives futures</w:t>
      </w:r>
      <w:r w:rsidR="008A61E1" w:rsidRPr="000E53A0">
        <w:rPr>
          <w:rFonts w:asciiTheme="minorHAnsi" w:hAnsiTheme="minorHAnsi" w:cstheme="minorHAnsi"/>
          <w:color w:val="000000"/>
          <w:sz w:val="20"/>
          <w:szCs w:val="20"/>
          <w:lang w:val="fr-FR"/>
        </w:rPr>
        <w:t>, en commençant par le développement d'une stratégie de communication au niveau du projet</w:t>
      </w:r>
      <w:r w:rsidRPr="000E53A0">
        <w:rPr>
          <w:rFonts w:asciiTheme="minorHAnsi" w:hAnsiTheme="minorHAnsi" w:cstheme="minorHAnsi"/>
          <w:color w:val="000000"/>
          <w:sz w:val="20"/>
          <w:szCs w:val="20"/>
          <w:lang w:val="fr-FR"/>
        </w:rPr>
        <w:t>. La phase PPG a bien illustré le manque de coordination entre les initiatives existantes sur le terrain, et la difficulté d'accéder aux leçons tirées des projets passés. En outre, elle a identifié le besoin de mieux se connecter avec d'autres régions du Sahel et de l'Afrique, qui font face à des interactions similaires entre la dégradation des terres, le changement climatique et les conflits. Cette plateforme de connaissances sera bénéfique pour la conception et la mise en œuvre de futurs projets similaires.</w:t>
      </w:r>
    </w:p>
    <w:p w14:paraId="3DF9A7F5" w14:textId="77777777" w:rsidR="00D22751" w:rsidRPr="000E53A0" w:rsidRDefault="00D22751" w:rsidP="004E0953">
      <w:pPr>
        <w:jc w:val="both"/>
        <w:rPr>
          <w:rFonts w:asciiTheme="minorHAnsi" w:hAnsiTheme="minorHAnsi" w:cstheme="minorHAnsi"/>
          <w:sz w:val="20"/>
          <w:szCs w:val="20"/>
          <w:highlight w:val="yellow"/>
          <w:lang w:val="fr-FR"/>
        </w:rPr>
      </w:pPr>
    </w:p>
    <w:p w14:paraId="2DAD26DD" w14:textId="77777777" w:rsidR="00601D9B" w:rsidRPr="000E53A0" w:rsidRDefault="000E53A0">
      <w:pPr>
        <w:pStyle w:val="GEFQuestion"/>
        <w:numPr>
          <w:ilvl w:val="0"/>
          <w:numId w:val="55"/>
        </w:numPr>
        <w:shd w:val="clear" w:color="auto" w:fill="FFFFFF"/>
        <w:ind w:hanging="357"/>
        <w:jc w:val="both"/>
        <w:rPr>
          <w:rFonts w:asciiTheme="minorHAnsi" w:hAnsiTheme="minorHAnsi" w:cstheme="minorHAnsi"/>
          <w:color w:val="000000"/>
          <w:sz w:val="20"/>
          <w:szCs w:val="20"/>
          <w:lang w:val="fr-FR"/>
        </w:rPr>
      </w:pPr>
      <w:r w:rsidRPr="000E53A0">
        <w:rPr>
          <w:rFonts w:asciiTheme="minorHAnsi" w:hAnsiTheme="minorHAnsi" w:cstheme="minorHAnsi"/>
          <w:sz w:val="20"/>
          <w:szCs w:val="20"/>
          <w:lang w:val="fr-FR"/>
        </w:rPr>
        <w:t xml:space="preserve">Activité 4.1.1. </w:t>
      </w:r>
      <w:r w:rsidR="008A61E1" w:rsidRPr="000E53A0">
        <w:rPr>
          <w:rFonts w:asciiTheme="minorHAnsi" w:hAnsiTheme="minorHAnsi" w:cstheme="minorHAnsi"/>
          <w:sz w:val="20"/>
          <w:szCs w:val="20"/>
          <w:lang w:val="fr-FR"/>
        </w:rPr>
        <w:t>Développement d'une stratégie de communication au niveau du projet</w:t>
      </w:r>
    </w:p>
    <w:p w14:paraId="66B8C35A" w14:textId="77777777" w:rsidR="00601D9B" w:rsidRPr="000E53A0" w:rsidRDefault="000E53A0">
      <w:pPr>
        <w:pStyle w:val="GEFQuestion"/>
        <w:numPr>
          <w:ilvl w:val="0"/>
          <w:numId w:val="55"/>
        </w:numPr>
        <w:shd w:val="clear" w:color="auto" w:fill="FFFFFF"/>
        <w:ind w:hanging="357"/>
        <w:jc w:val="both"/>
        <w:rPr>
          <w:rFonts w:asciiTheme="minorHAnsi" w:hAnsiTheme="minorHAnsi" w:cstheme="minorHAnsi"/>
          <w:color w:val="000000"/>
          <w:sz w:val="20"/>
          <w:szCs w:val="20"/>
          <w:lang w:val="fr-FR"/>
        </w:rPr>
      </w:pPr>
      <w:r w:rsidRPr="000E53A0">
        <w:rPr>
          <w:rFonts w:asciiTheme="minorHAnsi" w:hAnsiTheme="minorHAnsi" w:cstheme="minorHAnsi"/>
          <w:sz w:val="20"/>
          <w:szCs w:val="20"/>
          <w:lang w:val="fr-FR"/>
        </w:rPr>
        <w:lastRenderedPageBreak/>
        <w:t xml:space="preserve">Activité 4.1.2. </w:t>
      </w:r>
      <w:r w:rsidR="00D22751" w:rsidRPr="000E53A0">
        <w:rPr>
          <w:rFonts w:asciiTheme="minorHAnsi" w:hAnsiTheme="minorHAnsi" w:cstheme="minorHAnsi"/>
          <w:color w:val="000000"/>
          <w:sz w:val="20"/>
          <w:szCs w:val="20"/>
          <w:lang w:val="fr-FR"/>
        </w:rPr>
        <w:t xml:space="preserve">Établir une plateforme de connaissances avec des éléments en ligne et en face à face, incluant les parties prenantes du projet et toutes les initiatives connexes (consolidation de la paix, adaptation, atténuation, agriculture durable, etc.) </w:t>
      </w:r>
    </w:p>
    <w:p w14:paraId="592B3015" w14:textId="77777777" w:rsidR="00601D9B" w:rsidRPr="000E53A0" w:rsidRDefault="000E53A0">
      <w:pPr>
        <w:pStyle w:val="GEFQuestion"/>
        <w:numPr>
          <w:ilvl w:val="0"/>
          <w:numId w:val="55"/>
        </w:numPr>
        <w:shd w:val="clear" w:color="auto" w:fill="FFFFFF"/>
        <w:ind w:hanging="357"/>
        <w:jc w:val="both"/>
        <w:rPr>
          <w:rFonts w:asciiTheme="minorHAnsi" w:hAnsiTheme="minorHAnsi" w:cstheme="minorHAnsi"/>
          <w:color w:val="000000"/>
          <w:sz w:val="20"/>
          <w:szCs w:val="20"/>
          <w:lang w:val="fr-FR"/>
        </w:rPr>
      </w:pPr>
      <w:r w:rsidRPr="000E53A0">
        <w:rPr>
          <w:rFonts w:asciiTheme="minorHAnsi" w:hAnsiTheme="minorHAnsi" w:cstheme="minorHAnsi"/>
          <w:sz w:val="20"/>
          <w:szCs w:val="20"/>
          <w:lang w:val="fr-FR"/>
        </w:rPr>
        <w:t>Activité 4.1.</w:t>
      </w:r>
      <w:r w:rsidR="008A61E1" w:rsidRPr="000E53A0">
        <w:rPr>
          <w:rFonts w:asciiTheme="minorHAnsi" w:hAnsiTheme="minorHAnsi" w:cstheme="minorHAnsi"/>
          <w:sz w:val="20"/>
          <w:szCs w:val="20"/>
          <w:lang w:val="fr-FR"/>
        </w:rPr>
        <w:t>3</w:t>
      </w:r>
      <w:r w:rsidRPr="000E53A0">
        <w:rPr>
          <w:rFonts w:asciiTheme="minorHAnsi" w:hAnsiTheme="minorHAnsi" w:cstheme="minorHAnsi"/>
          <w:sz w:val="20"/>
          <w:szCs w:val="20"/>
          <w:lang w:val="fr-FR"/>
        </w:rPr>
        <w:t xml:space="preserve">. </w:t>
      </w:r>
      <w:r w:rsidRPr="000E53A0">
        <w:rPr>
          <w:rFonts w:asciiTheme="minorHAnsi" w:hAnsiTheme="minorHAnsi" w:cstheme="minorHAnsi"/>
          <w:color w:val="000000"/>
          <w:sz w:val="20"/>
          <w:szCs w:val="20"/>
          <w:lang w:val="fr-FR"/>
        </w:rPr>
        <w:t xml:space="preserve">Organiser des dialogues annuels multi-acteurs à travers la plateforme dans les Cercles cibles et la région de Mopti pour aborder les défis interdépendants de la GDT, de la paix et de la sécurité climatique. </w:t>
      </w:r>
    </w:p>
    <w:p w14:paraId="68E06E0B" w14:textId="77777777" w:rsidR="00601D9B" w:rsidRPr="000E53A0" w:rsidRDefault="000E53A0">
      <w:pPr>
        <w:pStyle w:val="GEFQuestion"/>
        <w:numPr>
          <w:ilvl w:val="0"/>
          <w:numId w:val="55"/>
        </w:numPr>
        <w:shd w:val="clear" w:color="auto" w:fill="FFFFFF"/>
        <w:ind w:hanging="357"/>
        <w:jc w:val="both"/>
        <w:rPr>
          <w:rFonts w:asciiTheme="minorHAnsi" w:hAnsiTheme="minorHAnsi" w:cstheme="minorHAnsi"/>
          <w:sz w:val="20"/>
          <w:szCs w:val="20"/>
          <w:lang w:val="fr-FR"/>
        </w:rPr>
      </w:pPr>
      <w:r w:rsidRPr="000E53A0">
        <w:rPr>
          <w:rFonts w:asciiTheme="minorHAnsi" w:hAnsiTheme="minorHAnsi" w:cstheme="minorHAnsi"/>
          <w:sz w:val="20"/>
          <w:szCs w:val="20"/>
          <w:lang w:val="fr-FR"/>
        </w:rPr>
        <w:t>Activité 4.1.</w:t>
      </w:r>
      <w:r w:rsidR="008A61E1" w:rsidRPr="000E53A0">
        <w:rPr>
          <w:rFonts w:asciiTheme="minorHAnsi" w:hAnsiTheme="minorHAnsi" w:cstheme="minorHAnsi"/>
          <w:sz w:val="20"/>
          <w:szCs w:val="20"/>
          <w:lang w:val="fr-FR"/>
        </w:rPr>
        <w:t>4</w:t>
      </w:r>
      <w:r w:rsidRPr="000E53A0">
        <w:rPr>
          <w:rFonts w:asciiTheme="minorHAnsi" w:hAnsiTheme="minorHAnsi" w:cstheme="minorHAnsi"/>
          <w:sz w:val="20"/>
          <w:szCs w:val="20"/>
          <w:lang w:val="fr-FR"/>
        </w:rPr>
        <w:t xml:space="preserve">. Organiser un événement national d'apprentissage </w:t>
      </w:r>
      <w:r w:rsidRPr="004E0953">
        <w:rPr>
          <w:rStyle w:val="Appelnotedebasdep"/>
          <w:rFonts w:asciiTheme="minorHAnsi" w:eastAsiaTheme="majorEastAsia" w:hAnsiTheme="minorHAnsi" w:cstheme="minorHAnsi"/>
          <w:sz w:val="20"/>
          <w:szCs w:val="20"/>
        </w:rPr>
        <w:footnoteReference w:id="74"/>
      </w:r>
      <w:r w:rsidRPr="000E53A0">
        <w:rPr>
          <w:rFonts w:asciiTheme="minorHAnsi" w:hAnsiTheme="minorHAnsi" w:cstheme="minorHAnsi"/>
          <w:sz w:val="20"/>
          <w:szCs w:val="20"/>
          <w:lang w:val="fr-FR"/>
        </w:rPr>
        <w:t xml:space="preserve">sur la sécurité climatique et la GRN durable pour partager les enseignements du projet, en invitant la participation d'autres pays sahéliens touchés par des conflits </w:t>
      </w:r>
      <w:r w:rsidRPr="004E0953">
        <w:rPr>
          <w:rStyle w:val="Appelnotedebasdep"/>
          <w:rFonts w:asciiTheme="minorHAnsi" w:eastAsiaTheme="majorEastAsia" w:hAnsiTheme="minorHAnsi" w:cstheme="minorHAnsi"/>
          <w:sz w:val="20"/>
          <w:szCs w:val="20"/>
        </w:rPr>
        <w:footnoteReference w:id="75"/>
      </w:r>
      <w:r w:rsidRPr="000E53A0">
        <w:rPr>
          <w:rFonts w:asciiTheme="minorHAnsi" w:hAnsiTheme="minorHAnsi" w:cstheme="minorHAnsi"/>
          <w:sz w:val="20"/>
          <w:szCs w:val="20"/>
          <w:lang w:val="fr-FR"/>
        </w:rPr>
        <w:t>pour promouvoir l'engagement Sud-Sud.</w:t>
      </w:r>
    </w:p>
    <w:p w14:paraId="04EA82BA" w14:textId="77777777" w:rsidR="00601D9B" w:rsidRPr="000E53A0" w:rsidRDefault="000E53A0">
      <w:pPr>
        <w:pStyle w:val="GEFQuestion"/>
        <w:numPr>
          <w:ilvl w:val="0"/>
          <w:numId w:val="55"/>
        </w:numPr>
        <w:shd w:val="clear" w:color="auto" w:fill="FFFFFF"/>
        <w:ind w:hanging="357"/>
        <w:jc w:val="both"/>
        <w:rPr>
          <w:rFonts w:asciiTheme="minorHAnsi" w:hAnsiTheme="minorHAnsi" w:cstheme="minorHAnsi"/>
          <w:sz w:val="20"/>
          <w:szCs w:val="20"/>
          <w:lang w:val="fr-FR"/>
        </w:rPr>
      </w:pPr>
      <w:r w:rsidRPr="000E53A0">
        <w:rPr>
          <w:rFonts w:asciiTheme="minorHAnsi" w:hAnsiTheme="minorHAnsi" w:cstheme="minorHAnsi"/>
          <w:sz w:val="20"/>
          <w:szCs w:val="20"/>
          <w:lang w:val="fr-FR"/>
        </w:rPr>
        <w:t>Activité 4.1.</w:t>
      </w:r>
      <w:r w:rsidR="008A61E1" w:rsidRPr="000E53A0">
        <w:rPr>
          <w:rFonts w:asciiTheme="minorHAnsi" w:hAnsiTheme="minorHAnsi" w:cstheme="minorHAnsi"/>
          <w:sz w:val="20"/>
          <w:szCs w:val="20"/>
          <w:lang w:val="fr-FR"/>
        </w:rPr>
        <w:t>5</w:t>
      </w:r>
      <w:r w:rsidRPr="000E53A0">
        <w:rPr>
          <w:rFonts w:asciiTheme="minorHAnsi" w:hAnsiTheme="minorHAnsi" w:cstheme="minorHAnsi"/>
          <w:sz w:val="20"/>
          <w:szCs w:val="20"/>
          <w:lang w:val="fr-FR"/>
        </w:rPr>
        <w:t>. Produire une publication sur les leçons apprises et une série de courtes vidéos et les utiliser comme base pour la participation du Mali à des forums internationaux pour diffuser les leçons apprises.</w:t>
      </w:r>
    </w:p>
    <w:p w14:paraId="33A5CE2C" w14:textId="77777777" w:rsidR="00601D9B" w:rsidRPr="000E53A0" w:rsidRDefault="000E53A0">
      <w:pPr>
        <w:pStyle w:val="GEFQuestion"/>
        <w:numPr>
          <w:ilvl w:val="0"/>
          <w:numId w:val="55"/>
        </w:numPr>
        <w:shd w:val="clear" w:color="auto" w:fill="FFFFFF"/>
        <w:ind w:hanging="357"/>
        <w:jc w:val="both"/>
        <w:rPr>
          <w:rFonts w:asciiTheme="minorHAnsi" w:hAnsiTheme="minorHAnsi" w:cstheme="minorHAnsi"/>
          <w:sz w:val="20"/>
          <w:szCs w:val="20"/>
          <w:lang w:val="fr-FR"/>
        </w:rPr>
      </w:pPr>
      <w:r w:rsidRPr="000E53A0">
        <w:rPr>
          <w:rFonts w:asciiTheme="minorHAnsi" w:hAnsiTheme="minorHAnsi" w:cstheme="minorHAnsi"/>
          <w:sz w:val="20"/>
          <w:szCs w:val="20"/>
          <w:lang w:val="fr-FR"/>
        </w:rPr>
        <w:t>Activité 4.1.</w:t>
      </w:r>
      <w:r w:rsidR="008A61E1" w:rsidRPr="000E53A0">
        <w:rPr>
          <w:rFonts w:asciiTheme="minorHAnsi" w:hAnsiTheme="minorHAnsi" w:cstheme="minorHAnsi"/>
          <w:sz w:val="20"/>
          <w:szCs w:val="20"/>
          <w:lang w:val="fr-FR"/>
        </w:rPr>
        <w:t>6</w:t>
      </w:r>
      <w:r w:rsidRPr="000E53A0">
        <w:rPr>
          <w:rFonts w:asciiTheme="minorHAnsi" w:hAnsiTheme="minorHAnsi" w:cstheme="minorHAnsi"/>
          <w:sz w:val="20"/>
          <w:szCs w:val="20"/>
          <w:lang w:val="fr-FR"/>
        </w:rPr>
        <w:t>. Mettre en place des événements d'échange de connaissances avec d'autres parties du Sahel/Afrique sur le rôle de la dégradation des terres et du climat dans les conflits.</w:t>
      </w:r>
    </w:p>
    <w:p w14:paraId="7AE33517" w14:textId="77777777" w:rsidR="00D22751" w:rsidRPr="000E53A0" w:rsidRDefault="00D22751" w:rsidP="004E0953">
      <w:pPr>
        <w:jc w:val="both"/>
        <w:rPr>
          <w:rFonts w:asciiTheme="minorHAnsi" w:hAnsiTheme="minorHAnsi" w:cstheme="minorHAnsi"/>
          <w:sz w:val="20"/>
          <w:szCs w:val="20"/>
          <w:highlight w:val="yellow"/>
          <w:lang w:val="fr-FR"/>
        </w:rPr>
      </w:pPr>
    </w:p>
    <w:p w14:paraId="79789BA7" w14:textId="77777777" w:rsidR="00601D9B" w:rsidRPr="000E53A0" w:rsidRDefault="000E53A0">
      <w:pPr>
        <w:pStyle w:val="GEFQuestion"/>
        <w:shd w:val="clear" w:color="auto" w:fill="FFFFFF"/>
        <w:ind w:left="0"/>
        <w:jc w:val="both"/>
        <w:rPr>
          <w:rFonts w:asciiTheme="minorHAnsi" w:hAnsiTheme="minorHAnsi" w:cstheme="minorHAnsi"/>
          <w:sz w:val="20"/>
          <w:szCs w:val="20"/>
          <w:lang w:val="fr-FR"/>
        </w:rPr>
      </w:pPr>
      <w:r w:rsidRPr="000E53A0">
        <w:rPr>
          <w:rFonts w:asciiTheme="minorHAnsi" w:hAnsiTheme="minorHAnsi" w:cstheme="minorHAnsi"/>
          <w:i/>
          <w:iCs/>
          <w:sz w:val="20"/>
          <w:szCs w:val="20"/>
          <w:lang w:val="fr-FR"/>
        </w:rPr>
        <w:t xml:space="preserve">Résultat 4.2 : Un cadre participatif de S&amp;E et d'apprentissage est développé et mis en œuvre pour l'ensemble du projet (y compris les sites pour les activités des composantes 2 et 3) </w:t>
      </w:r>
      <w:r w:rsidRPr="000E53A0">
        <w:rPr>
          <w:rFonts w:asciiTheme="minorHAnsi" w:hAnsiTheme="minorHAnsi" w:cstheme="minorHAnsi"/>
          <w:sz w:val="20"/>
          <w:szCs w:val="20"/>
          <w:lang w:val="fr-FR"/>
        </w:rPr>
        <w:t>(GEFTF)</w:t>
      </w:r>
    </w:p>
    <w:p w14:paraId="22F84FE1" w14:textId="77777777" w:rsidR="00601D9B" w:rsidRPr="000E53A0" w:rsidRDefault="000E53A0">
      <w:pPr>
        <w:pStyle w:val="GEFQuestion"/>
        <w:shd w:val="clear" w:color="auto" w:fill="FFFFFF"/>
        <w:ind w:left="0"/>
        <w:jc w:val="both"/>
        <w:rPr>
          <w:rFonts w:asciiTheme="minorHAnsi" w:hAnsiTheme="minorHAnsi" w:cstheme="minorHAnsi"/>
          <w:color w:val="000000"/>
          <w:sz w:val="20"/>
          <w:szCs w:val="20"/>
          <w:lang w:val="fr-FR"/>
        </w:rPr>
      </w:pPr>
      <w:r w:rsidRPr="000E53A0">
        <w:rPr>
          <w:rFonts w:asciiTheme="minorHAnsi" w:hAnsiTheme="minorHAnsi" w:cstheme="minorHAnsi"/>
          <w:color w:val="000000"/>
          <w:sz w:val="20"/>
          <w:szCs w:val="20"/>
          <w:lang w:val="fr-FR"/>
        </w:rPr>
        <w:t xml:space="preserve">Ce produit permettra de s'assurer que les résultats du projet sont correctement suivis tout au long de la mise en œuvre grâce à un cadre de performance, des activités de suivi régulières et des évaluations. Cela comprendra des plans d'action pour les jeunes et les femmes dans le cadre du projet. En termes d'apprentissage, le projet </w:t>
      </w:r>
      <w:r w:rsidRPr="000E53A0">
        <w:rPr>
          <w:rFonts w:asciiTheme="minorHAnsi" w:hAnsiTheme="minorHAnsi" w:cstheme="minorHAnsi"/>
          <w:color w:val="000000" w:themeColor="text1"/>
          <w:sz w:val="20"/>
          <w:szCs w:val="20"/>
          <w:lang w:val="fr-FR"/>
        </w:rPr>
        <w:t>organisera des visites d'échange d'apprentissage pour partager les expériences en matière d'adaptation au changement climatique et de restauration agro-écologique entre les villages, les communes et les cercles cibles, afin de renforcer l'impact (lien étroit avec le volet 2).</w:t>
      </w:r>
    </w:p>
    <w:p w14:paraId="2B1D281B" w14:textId="77777777" w:rsidR="00601D9B" w:rsidRPr="000E53A0" w:rsidRDefault="000E53A0">
      <w:pPr>
        <w:pStyle w:val="GEFQuestion"/>
        <w:shd w:val="clear" w:color="auto" w:fill="FFFFFF"/>
        <w:ind w:left="0"/>
        <w:jc w:val="both"/>
        <w:rPr>
          <w:rFonts w:asciiTheme="minorHAnsi" w:hAnsiTheme="minorHAnsi" w:cstheme="minorHAnsi"/>
          <w:color w:val="000000"/>
          <w:sz w:val="20"/>
          <w:szCs w:val="20"/>
          <w:lang w:val="fr-FR"/>
        </w:rPr>
      </w:pPr>
      <w:r w:rsidRPr="000E53A0">
        <w:rPr>
          <w:rFonts w:asciiTheme="minorHAnsi" w:hAnsiTheme="minorHAnsi" w:cstheme="minorHAnsi"/>
          <w:color w:val="000000"/>
          <w:sz w:val="20"/>
          <w:szCs w:val="20"/>
          <w:lang w:val="fr-FR"/>
        </w:rPr>
        <w:t>En outre, il servira de pilote pour le système de suivi du plan d'action LDN et intégrera des méthodologies pertinentes pour assurer l'alignement avec le cadre conceptuel LDN</w:t>
      </w:r>
      <w:r w:rsidRPr="004E0953">
        <w:rPr>
          <w:rStyle w:val="Appelnotedebasdep"/>
          <w:rFonts w:asciiTheme="minorHAnsi" w:eastAsiaTheme="majorEastAsia" w:hAnsiTheme="minorHAnsi" w:cstheme="minorHAnsi"/>
          <w:color w:val="000000"/>
          <w:sz w:val="20"/>
          <w:szCs w:val="20"/>
        </w:rPr>
        <w:footnoteReference w:id="76"/>
      </w:r>
      <w:r w:rsidRPr="000E53A0">
        <w:rPr>
          <w:rFonts w:asciiTheme="minorHAnsi" w:hAnsiTheme="minorHAnsi" w:cstheme="minorHAnsi"/>
          <w:color w:val="000000"/>
          <w:sz w:val="20"/>
          <w:szCs w:val="20"/>
          <w:lang w:val="fr-FR"/>
        </w:rPr>
        <w:t>. Les formations suivront une approche de "formation des formateurs" afin de multiplier le renforcement des capacités (cette approche est appliquée de manière générale dans le projet). Le programme de formation se concentrera sur la collecte de données géoréférencées pour les jeunes moniteurs au niveau du paysage, tandis que les formations du personnel de l'IER couvriront tous les travaux d'évaluation liés à LDN : (i) la télédétection pour déterminer l'utilisation des terres, les changements d'utilisation des terres et le niveau de productivité (couvrant les paramètres LDN correspondants, vérifiant et mettant à jour les données nationales LDN) ; (ii) une évaluation simplifiée de la dégradation des terres (utilisant les résultats de la télédétection pour identifier les principaux facteurs de dégradation par utilisation des terres) ; (iii) l'évaluation de la résilience basée sur des tablettes, géoréférencée et représentative (moniteurs jeunes au niveau des ménages) ; (iv) l'évaluation de base du carbone et de la biodiversité ; et (v) la cartographie du carbone organique du sol. L'utilisation de Trends.Earth, une plateforme de Conservation International pour le suivi du changement des terres à l'aide d'observations terrestres, sera explorée pendant la mise en œuvre du projet</w:t>
      </w:r>
      <w:r w:rsidRPr="004E0953">
        <w:rPr>
          <w:rStyle w:val="Appelnotedebasdep"/>
          <w:rFonts w:asciiTheme="minorHAnsi" w:eastAsiaTheme="majorEastAsia" w:hAnsiTheme="minorHAnsi" w:cstheme="minorHAnsi"/>
          <w:color w:val="000000"/>
          <w:sz w:val="20"/>
          <w:szCs w:val="20"/>
        </w:rPr>
        <w:footnoteReference w:id="77"/>
      </w:r>
      <w:r w:rsidRPr="000E53A0">
        <w:rPr>
          <w:rFonts w:asciiTheme="minorHAnsi" w:hAnsiTheme="minorHAnsi" w:cstheme="minorHAnsi"/>
          <w:color w:val="000000"/>
          <w:sz w:val="20"/>
          <w:szCs w:val="20"/>
          <w:lang w:val="fr-FR"/>
        </w:rPr>
        <w:t>.</w:t>
      </w:r>
    </w:p>
    <w:p w14:paraId="18986496" w14:textId="77777777" w:rsidR="00D22751" w:rsidRPr="000E53A0" w:rsidRDefault="00D22751" w:rsidP="004E0953">
      <w:pPr>
        <w:pStyle w:val="GEFQuestion"/>
        <w:shd w:val="clear" w:color="auto" w:fill="FFFFFF"/>
        <w:ind w:left="0"/>
        <w:jc w:val="both"/>
        <w:rPr>
          <w:rFonts w:asciiTheme="minorHAnsi" w:hAnsiTheme="minorHAnsi" w:cstheme="minorHAnsi"/>
          <w:color w:val="000000"/>
          <w:sz w:val="20"/>
          <w:szCs w:val="20"/>
          <w:lang w:val="fr-FR"/>
        </w:rPr>
      </w:pPr>
    </w:p>
    <w:p w14:paraId="29577AA0" w14:textId="77777777" w:rsidR="00601D9B" w:rsidRPr="000E53A0" w:rsidRDefault="000E53A0">
      <w:pPr>
        <w:pStyle w:val="GEFQuestion"/>
        <w:numPr>
          <w:ilvl w:val="0"/>
          <w:numId w:val="56"/>
        </w:numPr>
        <w:shd w:val="clear" w:color="auto" w:fill="FFFFFF"/>
        <w:ind w:hanging="357"/>
        <w:jc w:val="both"/>
        <w:rPr>
          <w:rFonts w:asciiTheme="minorHAnsi" w:hAnsiTheme="minorHAnsi" w:cstheme="minorHAnsi"/>
          <w:sz w:val="20"/>
          <w:szCs w:val="20"/>
          <w:lang w:val="fr-FR"/>
        </w:rPr>
      </w:pPr>
      <w:r w:rsidRPr="000E53A0">
        <w:rPr>
          <w:rFonts w:asciiTheme="minorHAnsi" w:hAnsiTheme="minorHAnsi" w:cstheme="minorHAnsi"/>
          <w:sz w:val="20"/>
          <w:szCs w:val="20"/>
          <w:lang w:val="fr-FR"/>
        </w:rPr>
        <w:t>Activité 4.2.1. Développer, mettre en œuvre et suivre les plans d'action pour la jeunesse et le genre dans le cadre du projet.</w:t>
      </w:r>
    </w:p>
    <w:p w14:paraId="1C082571" w14:textId="77777777" w:rsidR="00601D9B" w:rsidRPr="000E53A0" w:rsidRDefault="000E53A0">
      <w:pPr>
        <w:pStyle w:val="GEFQuestion"/>
        <w:numPr>
          <w:ilvl w:val="0"/>
          <w:numId w:val="56"/>
        </w:numPr>
        <w:shd w:val="clear" w:color="auto" w:fill="FFFFFF"/>
        <w:ind w:hanging="357"/>
        <w:jc w:val="both"/>
        <w:rPr>
          <w:rFonts w:asciiTheme="minorHAnsi" w:hAnsiTheme="minorHAnsi" w:cstheme="minorHAnsi"/>
          <w:color w:val="000000" w:themeColor="text1"/>
          <w:sz w:val="20"/>
          <w:szCs w:val="20"/>
          <w:lang w:val="fr-FR"/>
        </w:rPr>
      </w:pPr>
      <w:r w:rsidRPr="000E53A0">
        <w:rPr>
          <w:rFonts w:asciiTheme="minorHAnsi" w:hAnsiTheme="minorHAnsi" w:cstheme="minorHAnsi"/>
          <w:sz w:val="20"/>
          <w:szCs w:val="20"/>
          <w:lang w:val="fr-FR"/>
        </w:rPr>
        <w:t xml:space="preserve">Activité 4.2.2. </w:t>
      </w:r>
      <w:r w:rsidRPr="000E53A0">
        <w:rPr>
          <w:rFonts w:asciiTheme="minorHAnsi" w:hAnsiTheme="minorHAnsi" w:cstheme="minorHAnsi"/>
          <w:color w:val="000000" w:themeColor="text1"/>
          <w:sz w:val="20"/>
          <w:szCs w:val="20"/>
          <w:lang w:val="fr-FR"/>
        </w:rPr>
        <w:t>Organiser des visites d'échange d'apprentissage pour partager les expériences en matière d'adaptation au changement climatique et de restauration agro-écologique entre les villages, communes et cercles cibles.</w:t>
      </w:r>
    </w:p>
    <w:p w14:paraId="7F91274E" w14:textId="77777777" w:rsidR="00601D9B" w:rsidRPr="000E53A0" w:rsidRDefault="000E53A0">
      <w:pPr>
        <w:pStyle w:val="GEFQuestion"/>
        <w:numPr>
          <w:ilvl w:val="0"/>
          <w:numId w:val="56"/>
        </w:numPr>
        <w:shd w:val="clear" w:color="auto" w:fill="FFFFFF"/>
        <w:ind w:hanging="357"/>
        <w:jc w:val="both"/>
        <w:rPr>
          <w:rFonts w:asciiTheme="minorHAnsi" w:hAnsiTheme="minorHAnsi" w:cstheme="minorHAnsi"/>
          <w:color w:val="000000"/>
          <w:sz w:val="20"/>
          <w:szCs w:val="20"/>
          <w:lang w:val="fr-FR"/>
        </w:rPr>
      </w:pPr>
      <w:r w:rsidRPr="000E53A0">
        <w:rPr>
          <w:rFonts w:asciiTheme="minorHAnsi" w:hAnsiTheme="minorHAnsi" w:cstheme="minorHAnsi"/>
          <w:sz w:val="20"/>
          <w:szCs w:val="20"/>
          <w:lang w:val="fr-FR"/>
        </w:rPr>
        <w:t xml:space="preserve">Activité 4.2.3. </w:t>
      </w:r>
      <w:r w:rsidRPr="000E53A0">
        <w:rPr>
          <w:rFonts w:asciiTheme="minorHAnsi" w:hAnsiTheme="minorHAnsi" w:cstheme="minorHAnsi"/>
          <w:color w:val="000000"/>
          <w:sz w:val="20"/>
          <w:szCs w:val="20"/>
          <w:lang w:val="fr-FR"/>
        </w:rPr>
        <w:t xml:space="preserve">Rendre opérationnel le mécanisme de suivi de l'évolution de l'état des écosystèmes agro-écologiques, de la capacité d'adaptation et de la résilience dans les régions centrales, y compris la formation et </w:t>
      </w:r>
      <w:r w:rsidRPr="000E53A0">
        <w:rPr>
          <w:rFonts w:asciiTheme="minorHAnsi" w:hAnsiTheme="minorHAnsi" w:cstheme="minorHAnsi"/>
          <w:color w:val="000000"/>
          <w:sz w:val="20"/>
          <w:szCs w:val="20"/>
          <w:lang w:val="fr-FR"/>
        </w:rPr>
        <w:lastRenderedPageBreak/>
        <w:t xml:space="preserve">l'équipement des jeunes moniteurs qui font remonter les données via l'Institut d'économie rurale vers le plan d'action national LDN. </w:t>
      </w:r>
    </w:p>
    <w:p w14:paraId="7E9DD192" w14:textId="77777777" w:rsidR="00BC3F98" w:rsidRPr="000E53A0" w:rsidRDefault="00BC3F98" w:rsidP="004E0953">
      <w:pPr>
        <w:pStyle w:val="Paragraphedeliste"/>
        <w:ind w:left="0"/>
        <w:jc w:val="both"/>
        <w:rPr>
          <w:rFonts w:asciiTheme="minorHAnsi" w:hAnsiTheme="minorHAnsi" w:cstheme="minorHAnsi"/>
          <w:bCs/>
          <w:i/>
          <w:sz w:val="20"/>
          <w:szCs w:val="20"/>
          <w:lang w:val="fr-FR"/>
        </w:rPr>
      </w:pPr>
    </w:p>
    <w:p w14:paraId="077DC029" w14:textId="77777777" w:rsidR="00BC3F98" w:rsidRPr="000E53A0" w:rsidRDefault="00BC3F98" w:rsidP="004E0953">
      <w:pPr>
        <w:pStyle w:val="Paragraphedeliste"/>
        <w:ind w:left="0"/>
        <w:jc w:val="both"/>
        <w:rPr>
          <w:rFonts w:asciiTheme="minorHAnsi" w:hAnsiTheme="minorHAnsi" w:cstheme="minorHAnsi"/>
          <w:bCs/>
          <w:i/>
          <w:sz w:val="20"/>
          <w:szCs w:val="20"/>
          <w:lang w:val="fr-FR"/>
        </w:rPr>
      </w:pPr>
    </w:p>
    <w:p w14:paraId="7E418A94" w14:textId="77777777" w:rsidR="00601D9B" w:rsidRPr="000E53A0" w:rsidRDefault="00C644BD">
      <w:pPr>
        <w:jc w:val="both"/>
        <w:rPr>
          <w:rFonts w:asciiTheme="minorHAnsi" w:hAnsiTheme="minorHAnsi" w:cstheme="minorHAnsi"/>
          <w:sz w:val="20"/>
          <w:szCs w:val="20"/>
          <w:lang w:val="fr-FR"/>
        </w:rPr>
      </w:pPr>
      <w:r w:rsidRPr="000E53A0">
        <w:rPr>
          <w:rFonts w:asciiTheme="minorHAnsi" w:hAnsiTheme="minorHAnsi" w:cstheme="minorHAnsi"/>
          <w:sz w:val="20"/>
          <w:szCs w:val="20"/>
          <w:u w:val="single"/>
          <w:lang w:val="fr-FR"/>
        </w:rPr>
        <w:t xml:space="preserve">Partenariats </w:t>
      </w:r>
      <w:r w:rsidRPr="000E53A0">
        <w:rPr>
          <w:rFonts w:asciiTheme="minorHAnsi" w:hAnsiTheme="minorHAnsi" w:cstheme="minorHAnsi"/>
          <w:sz w:val="20"/>
          <w:szCs w:val="20"/>
          <w:lang w:val="fr-FR"/>
        </w:rPr>
        <w:t xml:space="preserve">: Le </w:t>
      </w:r>
      <w:r w:rsidR="00B8613F" w:rsidRPr="000E53A0">
        <w:rPr>
          <w:rFonts w:asciiTheme="minorHAnsi" w:hAnsiTheme="minorHAnsi" w:cstheme="minorHAnsi"/>
          <w:sz w:val="20"/>
          <w:szCs w:val="20"/>
          <w:lang w:val="fr-FR"/>
        </w:rPr>
        <w:t>projet tirera parti des partenariats avec l'IER, l'IGM et MALI METEO, entre autres, pour la fourniture de formations et la mise en œuvre d'activités, ainsi que pour la fourniture d'informations géographiques, météorologiques et climatiques essentielles à la planification de l'adaptation. Dans le cadre de la composante 3, le projet contribuera également à la création de partenariats commerciaux solides entre les entreprises coopératives bénéficiaires et les acteurs du secteur privé, et s'attaquera à certains des principaux obstacles à l'engagement local dans les entreprises vertes, tels que le manque de ressources financières.</w:t>
      </w:r>
    </w:p>
    <w:p w14:paraId="336E5DFB" w14:textId="77777777" w:rsidR="00601D9B" w:rsidRPr="000E53A0" w:rsidRDefault="000E53A0">
      <w:pPr>
        <w:jc w:val="both"/>
        <w:rPr>
          <w:rFonts w:asciiTheme="minorHAnsi" w:hAnsiTheme="minorHAnsi" w:cstheme="minorHAnsi"/>
          <w:sz w:val="20"/>
          <w:szCs w:val="20"/>
          <w:lang w:val="fr-FR"/>
        </w:rPr>
      </w:pPr>
      <w:r w:rsidRPr="000E53A0">
        <w:rPr>
          <w:rFonts w:asciiTheme="minorHAnsi" w:hAnsiTheme="minorHAnsi" w:cstheme="minorHAnsi"/>
          <w:iCs/>
          <w:sz w:val="20"/>
          <w:szCs w:val="20"/>
          <w:lang w:val="fr-FR"/>
        </w:rPr>
        <w:t xml:space="preserve">En outre, le projet cherchera à travailler en collaboration avec d'autres initiatives en cours. </w:t>
      </w:r>
      <w:r w:rsidR="009F25C4" w:rsidRPr="000E53A0">
        <w:rPr>
          <w:rFonts w:asciiTheme="minorHAnsi" w:hAnsiTheme="minorHAnsi" w:cstheme="minorHAnsi"/>
          <w:sz w:val="20"/>
          <w:szCs w:val="20"/>
          <w:lang w:val="fr-FR"/>
        </w:rPr>
        <w:t xml:space="preserve">Vous trouverez ci-dessous une liste de </w:t>
      </w:r>
      <w:r w:rsidR="00762C7E" w:rsidRPr="000E53A0">
        <w:rPr>
          <w:rFonts w:asciiTheme="minorHAnsi" w:hAnsiTheme="minorHAnsi" w:cstheme="minorHAnsi"/>
          <w:sz w:val="20"/>
          <w:szCs w:val="20"/>
          <w:lang w:val="fr-FR"/>
        </w:rPr>
        <w:t xml:space="preserve">projets </w:t>
      </w:r>
      <w:r w:rsidR="009F25C4" w:rsidRPr="000E53A0">
        <w:rPr>
          <w:rFonts w:asciiTheme="minorHAnsi" w:hAnsiTheme="minorHAnsi" w:cstheme="minorHAnsi"/>
          <w:sz w:val="20"/>
          <w:szCs w:val="20"/>
          <w:lang w:val="fr-FR"/>
        </w:rPr>
        <w:t xml:space="preserve">avec lesquels le projet cherchera à se coordonner pendant sa mise en œuvre, afin de soutenir la réalisation de ses objectifs tout en évitant la duplication des efforts : </w:t>
      </w:r>
    </w:p>
    <w:p w14:paraId="2C1836BC" w14:textId="77777777" w:rsidR="009F25C4" w:rsidRPr="000E53A0" w:rsidRDefault="009F25C4" w:rsidP="004E0953">
      <w:pPr>
        <w:jc w:val="both"/>
        <w:rPr>
          <w:rFonts w:asciiTheme="minorHAnsi" w:hAnsiTheme="minorHAnsi" w:cstheme="minorHAnsi"/>
          <w:b/>
          <w:bCs/>
          <w:sz w:val="20"/>
          <w:szCs w:val="20"/>
          <w:lang w:val="fr-FR"/>
        </w:rPr>
      </w:pPr>
    </w:p>
    <w:p w14:paraId="37F887E4" w14:textId="77777777" w:rsidR="00601D9B" w:rsidRPr="000E53A0" w:rsidRDefault="000E53A0">
      <w:pPr>
        <w:pStyle w:val="Paragraphedeliste"/>
        <w:numPr>
          <w:ilvl w:val="0"/>
          <w:numId w:val="65"/>
        </w:numPr>
        <w:spacing w:before="20" w:after="20"/>
        <w:ind w:left="0"/>
        <w:contextualSpacing/>
        <w:jc w:val="both"/>
        <w:rPr>
          <w:rFonts w:asciiTheme="minorHAnsi" w:hAnsiTheme="minorHAnsi" w:cstheme="minorHAnsi"/>
          <w:b/>
          <w:bCs/>
          <w:color w:val="000000" w:themeColor="text1"/>
          <w:sz w:val="20"/>
          <w:szCs w:val="20"/>
          <w:lang w:val="fr-FR"/>
        </w:rPr>
      </w:pPr>
      <w:r w:rsidRPr="000E53A0">
        <w:rPr>
          <w:rFonts w:asciiTheme="minorHAnsi" w:hAnsiTheme="minorHAnsi" w:cstheme="minorHAnsi"/>
          <w:b/>
          <w:bCs/>
          <w:color w:val="000000" w:themeColor="text1"/>
          <w:sz w:val="20"/>
          <w:szCs w:val="20"/>
          <w:lang w:val="fr-FR"/>
        </w:rPr>
        <w:t>Gestion communautaire des ressources naturelles permettant de résoudre les conflits, d'améliorer les moyens de subsistance et de restaurer les écosystèmes dans l'ensemble de l'aire de répartition des éléphants.</w:t>
      </w:r>
    </w:p>
    <w:p w14:paraId="5481F524" w14:textId="77777777" w:rsidR="00601D9B" w:rsidRPr="000E53A0" w:rsidRDefault="000E53A0">
      <w:pPr>
        <w:spacing w:before="20" w:after="20"/>
        <w:jc w:val="both"/>
        <w:rPr>
          <w:rFonts w:asciiTheme="minorHAnsi" w:hAnsiTheme="minorHAnsi" w:cstheme="minorHAnsi"/>
          <w:b/>
          <w:bCs/>
          <w:i/>
          <w:iCs/>
          <w:color w:val="000000" w:themeColor="text1"/>
          <w:sz w:val="20"/>
          <w:szCs w:val="20"/>
          <w:lang w:val="fr-FR"/>
        </w:rPr>
      </w:pPr>
      <w:r w:rsidRPr="000E53A0">
        <w:rPr>
          <w:rFonts w:asciiTheme="minorHAnsi" w:hAnsiTheme="minorHAnsi" w:cstheme="minorHAnsi"/>
          <w:i/>
          <w:iCs/>
          <w:color w:val="000000" w:themeColor="text1"/>
          <w:sz w:val="20"/>
          <w:szCs w:val="20"/>
          <w:lang w:val="fr-FR"/>
        </w:rPr>
        <w:t>(Fonds pour l'environnement mondial, PNUD, En partenariat avec Mali Elephant Project, Wild Foundation, 2018-2024</w:t>
      </w:r>
      <w:r w:rsidRPr="000E53A0">
        <w:rPr>
          <w:rFonts w:asciiTheme="minorHAnsi" w:hAnsiTheme="minorHAnsi" w:cstheme="minorHAnsi"/>
          <w:i/>
          <w:iCs/>
          <w:color w:val="000000" w:themeColor="text1"/>
          <w:sz w:val="20"/>
          <w:szCs w:val="20"/>
          <w:shd w:val="clear" w:color="auto" w:fill="FFFFFF"/>
          <w:lang w:val="fr-FR"/>
        </w:rPr>
        <w:t xml:space="preserve">, </w:t>
      </w:r>
      <w:r w:rsidRPr="000E53A0">
        <w:rPr>
          <w:rFonts w:asciiTheme="minorHAnsi" w:hAnsiTheme="minorHAnsi" w:cstheme="minorHAnsi"/>
          <w:i/>
          <w:iCs/>
          <w:color w:val="000000" w:themeColor="text1"/>
          <w:sz w:val="20"/>
          <w:szCs w:val="20"/>
          <w:lang w:val="fr-FR"/>
        </w:rPr>
        <w:t>4,3m : Fonds fiduciaire du FEM (4,1 millions de dollars) et PNUD (200 000 dollars)).</w:t>
      </w:r>
    </w:p>
    <w:p w14:paraId="18A65294" w14:textId="77777777" w:rsidR="00601D9B" w:rsidRPr="000E53A0" w:rsidRDefault="000E53A0">
      <w:pPr>
        <w:spacing w:before="20" w:after="20"/>
        <w:jc w:val="both"/>
        <w:rPr>
          <w:rFonts w:asciiTheme="minorHAnsi" w:hAnsiTheme="minorHAnsi" w:cstheme="minorHAnsi"/>
          <w:sz w:val="20"/>
          <w:szCs w:val="20"/>
          <w:lang w:val="fr-FR"/>
        </w:rPr>
      </w:pPr>
      <w:r w:rsidRPr="000E53A0">
        <w:rPr>
          <w:rFonts w:asciiTheme="minorHAnsi" w:hAnsiTheme="minorHAnsi" w:cstheme="minorHAnsi"/>
          <w:sz w:val="20"/>
          <w:szCs w:val="20"/>
          <w:lang w:val="fr-FR"/>
        </w:rPr>
        <w:t xml:space="preserve">Ce projet vise à protéger les éléphants du Mali </w:t>
      </w:r>
      <w:r w:rsidRPr="000E53A0">
        <w:rPr>
          <w:rFonts w:asciiTheme="minorHAnsi" w:hAnsiTheme="minorHAnsi" w:cstheme="minorHAnsi"/>
          <w:bCs/>
          <w:sz w:val="20"/>
          <w:szCs w:val="20"/>
          <w:lang w:val="fr-FR"/>
        </w:rPr>
        <w:t>dans la région du Gourma, au milieu du nord-est du Mali, notamment en ce qui concerne le commerce illégal d'espèces sauvages, la gestion des ressources naturelles et les conflits entre l'homme et l'éléphant</w:t>
      </w:r>
      <w:r w:rsidRPr="000E53A0">
        <w:rPr>
          <w:rFonts w:asciiTheme="minorHAnsi" w:hAnsiTheme="minorHAnsi" w:cstheme="minorHAnsi"/>
          <w:sz w:val="20"/>
          <w:szCs w:val="20"/>
          <w:lang w:val="fr-FR"/>
        </w:rPr>
        <w:t xml:space="preserve">. L'objectif du projet est de protéger les éléphants du Mali dans des sites clés et d'améliorer les moyens de subsistance des communautés locales qui vivent le long de la route de migration afin de réduire les conflits hommes-éléphants. Le projet comporte </w:t>
      </w:r>
      <w:r w:rsidRPr="000E53A0">
        <w:rPr>
          <w:rFonts w:asciiTheme="minorHAnsi" w:hAnsiTheme="minorHAnsi" w:cstheme="minorHAnsi"/>
          <w:bCs/>
          <w:sz w:val="20"/>
          <w:szCs w:val="20"/>
          <w:lang w:val="fr-FR"/>
        </w:rPr>
        <w:t xml:space="preserve">quatre composantes : (i) le renforcement du cadre législatif et de la capacité nationale à lutter contre la criminalité liée à la faune sauvage ; (ii) la protection des éléphants du Gourma contre le braconnage et la sécurisation des routes de migration saisonnière et de l'habitat clé ; (iii) la gestion communautaire des ressources naturelles (CBNRM) dans l'habitat de l'éléphant du Gourma </w:t>
      </w:r>
      <w:r w:rsidRPr="000E53A0">
        <w:rPr>
          <w:rFonts w:asciiTheme="minorHAnsi" w:hAnsiTheme="minorHAnsi" w:cstheme="minorHAnsi"/>
          <w:bCs/>
          <w:noProof/>
          <w:sz w:val="20"/>
          <w:szCs w:val="20"/>
          <w:lang w:val="fr-FR"/>
        </w:rPr>
        <w:t xml:space="preserve">; et (iv) l'intégration du genre, la gestion des connaissances et le suivi et l'évaluation. Le projet proposé dans le cadre du FPMA s'appuiera sur ces interventions et renforcera l'engagement communautaire afin d'améliorer les plans de gestion des ressources naturelles et les capacités de gestion durable des ressources naturelles. </w:t>
      </w:r>
    </w:p>
    <w:p w14:paraId="3FBAABD7" w14:textId="77777777" w:rsidR="00601D9B" w:rsidRPr="000E53A0" w:rsidRDefault="000E53A0">
      <w:pPr>
        <w:pStyle w:val="Paragraphedeliste"/>
        <w:numPr>
          <w:ilvl w:val="0"/>
          <w:numId w:val="65"/>
        </w:numPr>
        <w:spacing w:before="20" w:after="20"/>
        <w:ind w:left="0"/>
        <w:contextualSpacing/>
        <w:jc w:val="both"/>
        <w:rPr>
          <w:rFonts w:asciiTheme="minorHAnsi" w:hAnsiTheme="minorHAnsi" w:cstheme="minorHAnsi"/>
          <w:b/>
          <w:bCs/>
          <w:color w:val="000000" w:themeColor="text1"/>
          <w:sz w:val="20"/>
          <w:szCs w:val="20"/>
          <w:lang w:val="fr-FR"/>
        </w:rPr>
      </w:pPr>
      <w:r w:rsidRPr="000E53A0">
        <w:rPr>
          <w:rFonts w:asciiTheme="minorHAnsi" w:hAnsiTheme="minorHAnsi" w:cstheme="minorHAnsi"/>
          <w:b/>
          <w:bCs/>
          <w:color w:val="000000" w:themeColor="text1"/>
          <w:sz w:val="20"/>
          <w:szCs w:val="20"/>
          <w:lang w:val="fr-FR"/>
        </w:rPr>
        <w:t xml:space="preserve">La participation des femmes au processus de paix, de sécurité et de relèvement au Mali </w:t>
      </w:r>
      <w:r w:rsidRPr="004E0953">
        <w:rPr>
          <w:rStyle w:val="Appelnotedebasdep"/>
          <w:rFonts w:asciiTheme="minorHAnsi" w:hAnsiTheme="minorHAnsi" w:cstheme="minorHAnsi"/>
          <w:b/>
          <w:bCs/>
          <w:color w:val="000000" w:themeColor="text1"/>
          <w:sz w:val="20"/>
          <w:szCs w:val="20"/>
        </w:rPr>
        <w:footnoteReference w:id="78"/>
      </w:r>
    </w:p>
    <w:p w14:paraId="775F3A28" w14:textId="77777777" w:rsidR="00601D9B" w:rsidRPr="000E53A0" w:rsidRDefault="000E53A0">
      <w:pPr>
        <w:spacing w:before="20" w:after="20"/>
        <w:jc w:val="both"/>
        <w:rPr>
          <w:rFonts w:asciiTheme="minorHAnsi" w:hAnsiTheme="minorHAnsi" w:cstheme="minorHAnsi"/>
          <w:color w:val="000000" w:themeColor="text1"/>
          <w:sz w:val="20"/>
          <w:szCs w:val="20"/>
          <w:lang w:val="fr-FR"/>
        </w:rPr>
      </w:pPr>
      <w:r w:rsidRPr="000E53A0">
        <w:rPr>
          <w:rFonts w:asciiTheme="minorHAnsi" w:hAnsiTheme="minorHAnsi" w:cstheme="minorHAnsi"/>
          <w:color w:val="000000" w:themeColor="text1"/>
          <w:sz w:val="20"/>
          <w:szCs w:val="20"/>
          <w:lang w:val="fr-FR"/>
        </w:rPr>
        <w:t>(Coopération suisse, 2023-2031, 6 250 000 CHF)</w:t>
      </w:r>
    </w:p>
    <w:p w14:paraId="1B4715AE" w14:textId="77777777" w:rsidR="00601D9B" w:rsidRPr="000E53A0" w:rsidRDefault="000E53A0">
      <w:pPr>
        <w:spacing w:before="20" w:after="20"/>
        <w:jc w:val="both"/>
        <w:rPr>
          <w:rFonts w:asciiTheme="minorHAnsi" w:hAnsiTheme="minorHAnsi" w:cstheme="minorHAnsi"/>
          <w:color w:val="000000" w:themeColor="text1"/>
          <w:sz w:val="20"/>
          <w:szCs w:val="20"/>
          <w:lang w:val="fr-FR"/>
        </w:rPr>
      </w:pPr>
      <w:r w:rsidRPr="000E53A0">
        <w:rPr>
          <w:rFonts w:asciiTheme="minorHAnsi" w:hAnsiTheme="minorHAnsi" w:cstheme="minorHAnsi"/>
          <w:color w:val="000000" w:themeColor="text1"/>
          <w:sz w:val="20"/>
          <w:szCs w:val="20"/>
          <w:lang w:val="fr-FR"/>
        </w:rPr>
        <w:t xml:space="preserve">L'objectif de ce projet est de renforcer la participation des femmes en tant qu'actrices et bénéficiaires des processus de paix, de sécurité et de relèvement au Mali. Il vise à soutenir la mise en œuvre du Plan d'Action National (PAN) pour la mise en œuvre de la Résolution 1325 du Conseil de Sécurité des Nations Unies sur les femmes, la paix et la sécurité. Par conséquent, le projet proposé par le FPMA s'appuiera sur cette intervention et renforcera l'engagement des femmes dans les processus de prise de décision et de redressement économique, en particulier dans la mise en œuvre des composantes 2 et 3. </w:t>
      </w:r>
    </w:p>
    <w:p w14:paraId="11178583" w14:textId="77777777" w:rsidR="00601D9B" w:rsidRPr="000E53A0" w:rsidRDefault="000E53A0">
      <w:pPr>
        <w:pStyle w:val="Paragraphedeliste"/>
        <w:numPr>
          <w:ilvl w:val="0"/>
          <w:numId w:val="65"/>
        </w:numPr>
        <w:spacing w:before="20" w:after="20"/>
        <w:ind w:left="0"/>
        <w:contextualSpacing/>
        <w:jc w:val="both"/>
        <w:rPr>
          <w:rFonts w:asciiTheme="minorHAnsi" w:hAnsiTheme="minorHAnsi" w:cstheme="minorHAnsi"/>
          <w:b/>
          <w:bCs/>
          <w:color w:val="000000" w:themeColor="text1"/>
          <w:sz w:val="20"/>
          <w:szCs w:val="20"/>
          <w:lang w:val="fr-FR"/>
        </w:rPr>
      </w:pPr>
      <w:r w:rsidRPr="000E53A0">
        <w:rPr>
          <w:rFonts w:asciiTheme="minorHAnsi" w:hAnsiTheme="minorHAnsi" w:cstheme="minorHAnsi"/>
          <w:b/>
          <w:bCs/>
          <w:color w:val="000000" w:themeColor="text1"/>
          <w:sz w:val="20"/>
          <w:szCs w:val="20"/>
          <w:lang w:val="fr-FR"/>
        </w:rPr>
        <w:t xml:space="preserve">Promotion du financement agricole pour les entreprises agro-industrielles dans les zones rurales </w:t>
      </w:r>
      <w:r w:rsidRPr="004E0953">
        <w:rPr>
          <w:rStyle w:val="Appelnotedebasdep"/>
          <w:rFonts w:asciiTheme="minorHAnsi" w:hAnsiTheme="minorHAnsi" w:cstheme="minorHAnsi"/>
          <w:b/>
          <w:bCs/>
          <w:color w:val="000000" w:themeColor="text1"/>
          <w:sz w:val="20"/>
          <w:szCs w:val="20"/>
        </w:rPr>
        <w:footnoteReference w:id="79"/>
      </w:r>
    </w:p>
    <w:p w14:paraId="4E69A923" w14:textId="77777777" w:rsidR="00601D9B" w:rsidRPr="000E53A0" w:rsidRDefault="000E53A0">
      <w:pPr>
        <w:spacing w:before="20" w:after="20"/>
        <w:jc w:val="both"/>
        <w:rPr>
          <w:rFonts w:asciiTheme="minorHAnsi" w:hAnsiTheme="minorHAnsi" w:cstheme="minorHAnsi"/>
          <w:color w:val="000000" w:themeColor="text1"/>
          <w:sz w:val="20"/>
          <w:szCs w:val="20"/>
          <w:lang w:val="fr-FR"/>
        </w:rPr>
      </w:pPr>
      <w:r w:rsidRPr="000E53A0">
        <w:rPr>
          <w:rFonts w:asciiTheme="minorHAnsi" w:hAnsiTheme="minorHAnsi" w:cstheme="minorHAnsi"/>
          <w:color w:val="000000" w:themeColor="text1"/>
          <w:sz w:val="20"/>
          <w:szCs w:val="20"/>
          <w:lang w:val="fr-FR"/>
        </w:rPr>
        <w:t>(GIZ, 2016-2025)</w:t>
      </w:r>
    </w:p>
    <w:p w14:paraId="468A868C" w14:textId="77777777" w:rsidR="00601D9B" w:rsidRPr="000E53A0" w:rsidRDefault="000E53A0">
      <w:pPr>
        <w:jc w:val="both"/>
        <w:rPr>
          <w:rFonts w:asciiTheme="minorHAnsi" w:hAnsiTheme="minorHAnsi" w:cstheme="minorHAnsi"/>
          <w:i/>
          <w:sz w:val="20"/>
          <w:szCs w:val="20"/>
          <w:lang w:val="fr-FR"/>
        </w:rPr>
      </w:pPr>
      <w:r w:rsidRPr="000E53A0">
        <w:rPr>
          <w:rFonts w:asciiTheme="minorHAnsi" w:hAnsiTheme="minorHAnsi" w:cstheme="minorHAnsi"/>
          <w:sz w:val="20"/>
          <w:szCs w:val="20"/>
          <w:lang w:val="fr-FR"/>
        </w:rPr>
        <w:t xml:space="preserve">Le projet, qui fait partie de l'initiative "Un seul monde - Pas de faim", vise à améliorer la fourniture de services financiers aux entreprises agricoles et agro-industrielles dans les zones rurales, en accordant une attention particulière aux besoins des entreprises détenues par des femmes et des jeunes. Le projet soutient également l'expansion des institutions financières dans le secteur agricole et propose des formations aux entreprises de ce secteur. En conséquence, en 2020, 23 500 petits agriculteurs et entreprises rurales agro-industrielles de cinq pays avaient bénéficié de services financiers adaptés à leurs besoins et fournis par les institutions financières partenaires du projet, et plus de 29 000 chefs d'entreprise agricole avaient amélioré leurs compétences en matière de gestion d'entreprise. Ce projet capitalisera sur le soutien apporté aux groupes ruraux vulnérables dans le domaine de la gestion d'entreprise, des formations et de l'apprentissage des compétences financières. Le projet </w:t>
      </w:r>
      <w:r w:rsidRPr="000E53A0">
        <w:rPr>
          <w:rFonts w:asciiTheme="minorHAnsi" w:hAnsiTheme="minorHAnsi" w:cstheme="minorHAnsi"/>
          <w:sz w:val="20"/>
          <w:szCs w:val="20"/>
          <w:lang w:val="fr-FR"/>
        </w:rPr>
        <w:lastRenderedPageBreak/>
        <w:t>proposé par le FPMA, en particulier pour la composante 2 et la composante 3 (résultat 2.3, et résultats 3.1, 3.2 et 3.3) s'appuiera sur les leçons tirées de ce projet.</w:t>
      </w:r>
    </w:p>
    <w:p w14:paraId="4B5872BD" w14:textId="77777777" w:rsidR="00925D33" w:rsidRPr="000E53A0" w:rsidRDefault="00925D33" w:rsidP="004E0953">
      <w:pPr>
        <w:jc w:val="both"/>
        <w:rPr>
          <w:rFonts w:asciiTheme="minorHAnsi" w:hAnsiTheme="minorHAnsi" w:cstheme="minorHAnsi"/>
          <w:sz w:val="20"/>
          <w:szCs w:val="20"/>
          <w:u w:val="single"/>
          <w:lang w:val="fr-FR"/>
        </w:rPr>
      </w:pPr>
    </w:p>
    <w:p w14:paraId="1B369A40" w14:textId="77777777" w:rsidR="00601D9B" w:rsidRPr="000E53A0" w:rsidRDefault="00677513">
      <w:pPr>
        <w:spacing w:before="240"/>
        <w:jc w:val="both"/>
        <w:rPr>
          <w:rFonts w:asciiTheme="minorHAnsi" w:hAnsiTheme="minorHAnsi" w:cstheme="minorHAnsi"/>
          <w:bCs/>
          <w:iCs/>
          <w:sz w:val="20"/>
          <w:szCs w:val="20"/>
          <w:lang w:val="fr-FR"/>
        </w:rPr>
      </w:pPr>
      <w:r w:rsidRPr="000E53A0">
        <w:rPr>
          <w:rFonts w:asciiTheme="minorHAnsi" w:hAnsiTheme="minorHAnsi" w:cstheme="minorHAnsi"/>
          <w:sz w:val="20"/>
          <w:szCs w:val="20"/>
          <w:u w:val="single"/>
          <w:lang w:val="fr-FR"/>
        </w:rPr>
        <w:t xml:space="preserve">Risques </w:t>
      </w:r>
      <w:r w:rsidRPr="000E53A0">
        <w:rPr>
          <w:rFonts w:asciiTheme="minorHAnsi" w:hAnsiTheme="minorHAnsi" w:cstheme="minorHAnsi"/>
          <w:i/>
          <w:sz w:val="20"/>
          <w:szCs w:val="20"/>
          <w:lang w:val="fr-FR"/>
        </w:rPr>
        <w:t xml:space="preserve">: </w:t>
      </w:r>
      <w:r w:rsidR="00835EE0" w:rsidRPr="000E53A0">
        <w:rPr>
          <w:rFonts w:asciiTheme="minorHAnsi" w:hAnsiTheme="minorHAnsi" w:cstheme="minorHAnsi"/>
          <w:bCs/>
          <w:iCs/>
          <w:sz w:val="20"/>
          <w:szCs w:val="20"/>
          <w:lang w:val="fr-FR"/>
        </w:rPr>
        <w:t xml:space="preserve">Le risque global du projet est élevé, conformément au PES présenté à l'annexe 6. Le projet est considéré comme étant à haut risque en raison des risques substantiels </w:t>
      </w:r>
      <w:r w:rsidR="00F410C3" w:rsidRPr="000E53A0">
        <w:rPr>
          <w:rFonts w:asciiTheme="minorHAnsi" w:hAnsiTheme="minorHAnsi" w:cstheme="minorHAnsi"/>
          <w:bCs/>
          <w:iCs/>
          <w:sz w:val="20"/>
          <w:szCs w:val="20"/>
          <w:lang w:val="fr-FR"/>
        </w:rPr>
        <w:t xml:space="preserve">identifiés comme suit : </w:t>
      </w:r>
      <w:r w:rsidR="00835EE0" w:rsidRPr="000E53A0">
        <w:rPr>
          <w:rFonts w:asciiTheme="minorHAnsi" w:hAnsiTheme="minorHAnsi" w:cstheme="minorHAnsi"/>
          <w:bCs/>
          <w:iCs/>
          <w:sz w:val="20"/>
          <w:szCs w:val="20"/>
          <w:lang w:val="fr-FR"/>
        </w:rPr>
        <w:t xml:space="preserve">(i) Accès restreint aux terres et aux ressources naturelles ; (ii) Préoccupations soulevées ou griefs non traités correctement ; (iii) Problèmes de sécurité ; et (iv) Extraction excessive des eaux souterraines. En plus du SESP, un ESMF (Annexe 10), un plan d'engagement des parties prenantes (Annexe 9), une analyse de genre et un plan d'action de genre (Annexe </w:t>
      </w:r>
      <w:r w:rsidR="00EC0A1A" w:rsidRPr="000E53A0">
        <w:rPr>
          <w:rFonts w:asciiTheme="minorHAnsi" w:hAnsiTheme="minorHAnsi" w:cstheme="minorHAnsi"/>
          <w:bCs/>
          <w:iCs/>
          <w:sz w:val="20"/>
          <w:szCs w:val="20"/>
          <w:lang w:val="fr-FR"/>
        </w:rPr>
        <w:t>11)</w:t>
      </w:r>
      <w:r w:rsidR="00835EE0" w:rsidRPr="000E53A0">
        <w:rPr>
          <w:rFonts w:asciiTheme="minorHAnsi" w:hAnsiTheme="minorHAnsi" w:cstheme="minorHAnsi"/>
          <w:bCs/>
          <w:iCs/>
          <w:sz w:val="20"/>
          <w:szCs w:val="20"/>
          <w:lang w:val="fr-FR"/>
        </w:rPr>
        <w:t xml:space="preserve">, des consultations initiales du FPIC </w:t>
      </w:r>
      <w:r w:rsidR="00EC0A1A" w:rsidRPr="000E53A0">
        <w:rPr>
          <w:rFonts w:asciiTheme="minorHAnsi" w:hAnsiTheme="minorHAnsi" w:cstheme="minorHAnsi"/>
          <w:bCs/>
          <w:iCs/>
          <w:sz w:val="20"/>
          <w:szCs w:val="20"/>
          <w:lang w:val="fr-FR"/>
        </w:rPr>
        <w:t xml:space="preserve">(Annexe </w:t>
      </w:r>
      <w:r w:rsidR="00EC0A1A" w:rsidRPr="000E53A0">
        <w:rPr>
          <w:rFonts w:asciiTheme="minorHAnsi" w:hAnsiTheme="minorHAnsi" w:cstheme="minorHAnsi"/>
          <w:bCs/>
          <w:iCs/>
          <w:sz w:val="20"/>
          <w:szCs w:val="20"/>
          <w:highlight w:val="red"/>
          <w:lang w:val="fr-FR"/>
        </w:rPr>
        <w:t>ZZ</w:t>
      </w:r>
      <w:r w:rsidR="00EC0A1A" w:rsidRPr="000E53A0">
        <w:rPr>
          <w:rFonts w:asciiTheme="minorHAnsi" w:hAnsiTheme="minorHAnsi" w:cstheme="minorHAnsi"/>
          <w:bCs/>
          <w:iCs/>
          <w:sz w:val="20"/>
          <w:szCs w:val="20"/>
          <w:lang w:val="fr-FR"/>
        </w:rPr>
        <w:t>)</w:t>
      </w:r>
      <w:r w:rsidR="00835EE0" w:rsidRPr="000E53A0">
        <w:rPr>
          <w:rFonts w:asciiTheme="minorHAnsi" w:hAnsiTheme="minorHAnsi" w:cstheme="minorHAnsi"/>
          <w:bCs/>
          <w:iCs/>
          <w:sz w:val="20"/>
          <w:szCs w:val="20"/>
          <w:lang w:val="fr-FR"/>
        </w:rPr>
        <w:t xml:space="preserve">, un plan de sécurité </w:t>
      </w:r>
      <w:r w:rsidR="00EC0A1A" w:rsidRPr="000E53A0">
        <w:rPr>
          <w:rFonts w:asciiTheme="minorHAnsi" w:hAnsiTheme="minorHAnsi" w:cstheme="minorHAnsi"/>
          <w:bCs/>
          <w:iCs/>
          <w:sz w:val="20"/>
          <w:szCs w:val="20"/>
          <w:lang w:val="fr-FR"/>
        </w:rPr>
        <w:t xml:space="preserve">(Annexe </w:t>
      </w:r>
      <w:r w:rsidR="00EC0A1A" w:rsidRPr="000E53A0">
        <w:rPr>
          <w:rFonts w:asciiTheme="minorHAnsi" w:hAnsiTheme="minorHAnsi" w:cstheme="minorHAnsi"/>
          <w:bCs/>
          <w:iCs/>
          <w:sz w:val="20"/>
          <w:szCs w:val="20"/>
          <w:highlight w:val="red"/>
          <w:lang w:val="fr-FR"/>
        </w:rPr>
        <w:t>ZZ</w:t>
      </w:r>
      <w:r w:rsidR="00EC0A1A" w:rsidRPr="000E53A0">
        <w:rPr>
          <w:rFonts w:asciiTheme="minorHAnsi" w:hAnsiTheme="minorHAnsi" w:cstheme="minorHAnsi"/>
          <w:bCs/>
          <w:iCs/>
          <w:sz w:val="20"/>
          <w:szCs w:val="20"/>
          <w:lang w:val="fr-FR"/>
        </w:rPr>
        <w:t>)</w:t>
      </w:r>
      <w:r w:rsidR="00835EE0" w:rsidRPr="000E53A0">
        <w:rPr>
          <w:rFonts w:asciiTheme="minorHAnsi" w:hAnsiTheme="minorHAnsi" w:cstheme="minorHAnsi"/>
          <w:bCs/>
          <w:iCs/>
          <w:sz w:val="20"/>
          <w:szCs w:val="20"/>
          <w:lang w:val="fr-FR"/>
        </w:rPr>
        <w:t>, et un mécanisme de réparation des griefs au niveau du projet (</w:t>
      </w:r>
      <w:r w:rsidR="00F410C3" w:rsidRPr="000E53A0">
        <w:rPr>
          <w:rFonts w:asciiTheme="minorHAnsi" w:hAnsiTheme="minorHAnsi" w:cstheme="minorHAnsi"/>
          <w:bCs/>
          <w:iCs/>
          <w:sz w:val="20"/>
          <w:szCs w:val="20"/>
          <w:lang w:val="fr-FR"/>
        </w:rPr>
        <w:t>projet de TdR - Annexe 3 de l'ESMF</w:t>
      </w:r>
      <w:r w:rsidR="00835EE0" w:rsidRPr="000E53A0">
        <w:rPr>
          <w:rFonts w:asciiTheme="minorHAnsi" w:hAnsiTheme="minorHAnsi" w:cstheme="minorHAnsi"/>
          <w:bCs/>
          <w:iCs/>
          <w:sz w:val="20"/>
          <w:szCs w:val="20"/>
          <w:lang w:val="fr-FR"/>
        </w:rPr>
        <w:t xml:space="preserve">). Au cours de la première phase de mise en œuvre, le </w:t>
      </w:r>
      <w:r w:rsidR="00F410C3" w:rsidRPr="000E53A0">
        <w:rPr>
          <w:rFonts w:asciiTheme="minorHAnsi" w:hAnsiTheme="minorHAnsi" w:cstheme="minorHAnsi"/>
          <w:bCs/>
          <w:iCs/>
          <w:sz w:val="20"/>
          <w:szCs w:val="20"/>
          <w:lang w:val="fr-FR"/>
        </w:rPr>
        <w:t>GRM sera développé, ainsi qu'</w:t>
      </w:r>
      <w:r w:rsidR="00835EE0" w:rsidRPr="000E53A0">
        <w:rPr>
          <w:rFonts w:asciiTheme="minorHAnsi" w:hAnsiTheme="minorHAnsi" w:cstheme="minorHAnsi"/>
          <w:bCs/>
          <w:iCs/>
          <w:sz w:val="20"/>
          <w:szCs w:val="20"/>
          <w:lang w:val="fr-FR"/>
        </w:rPr>
        <w:t xml:space="preserve">un </w:t>
      </w:r>
      <w:commentRangeStart w:id="37"/>
      <w:r w:rsidR="00835EE0" w:rsidRPr="000E53A0">
        <w:rPr>
          <w:rFonts w:asciiTheme="minorHAnsi" w:hAnsiTheme="minorHAnsi" w:cstheme="minorHAnsi"/>
          <w:bCs/>
          <w:iCs/>
          <w:sz w:val="20"/>
          <w:szCs w:val="20"/>
          <w:lang w:val="fr-FR"/>
        </w:rPr>
        <w:t xml:space="preserve">plan d'inclusion sociale (équivalent d'un </w:t>
      </w:r>
      <w:r w:rsidR="00F410C3" w:rsidRPr="000E53A0">
        <w:rPr>
          <w:rFonts w:asciiTheme="minorHAnsi" w:hAnsiTheme="minorHAnsi" w:cstheme="minorHAnsi"/>
          <w:bCs/>
          <w:iCs/>
          <w:sz w:val="20"/>
          <w:szCs w:val="20"/>
          <w:lang w:val="fr-FR"/>
        </w:rPr>
        <w:t xml:space="preserve">cadre de planification des </w:t>
      </w:r>
      <w:r w:rsidR="00835EE0" w:rsidRPr="000E53A0">
        <w:rPr>
          <w:rFonts w:asciiTheme="minorHAnsi" w:hAnsiTheme="minorHAnsi" w:cstheme="minorHAnsi"/>
          <w:bCs/>
          <w:iCs/>
          <w:sz w:val="20"/>
          <w:szCs w:val="20"/>
          <w:lang w:val="fr-FR"/>
        </w:rPr>
        <w:t>populations autochtones</w:t>
      </w:r>
      <w:r w:rsidR="00F410C3" w:rsidRPr="000E53A0">
        <w:rPr>
          <w:rFonts w:asciiTheme="minorHAnsi" w:hAnsiTheme="minorHAnsi" w:cstheme="minorHAnsi"/>
          <w:bCs/>
          <w:iCs/>
          <w:sz w:val="20"/>
          <w:szCs w:val="20"/>
          <w:lang w:val="fr-FR"/>
        </w:rPr>
        <w:t>)</w:t>
      </w:r>
      <w:r w:rsidR="00835EE0" w:rsidRPr="000E53A0">
        <w:rPr>
          <w:rFonts w:asciiTheme="minorHAnsi" w:hAnsiTheme="minorHAnsi" w:cstheme="minorHAnsi"/>
          <w:bCs/>
          <w:iCs/>
          <w:sz w:val="20"/>
          <w:szCs w:val="20"/>
          <w:lang w:val="fr-FR"/>
        </w:rPr>
        <w:t xml:space="preserve"> </w:t>
      </w:r>
      <w:commentRangeEnd w:id="37"/>
      <w:r w:rsidR="00F410C3" w:rsidRPr="004E0953">
        <w:rPr>
          <w:rStyle w:val="Marquedecommentaire"/>
          <w:rFonts w:asciiTheme="minorHAnsi" w:hAnsiTheme="minorHAnsi" w:cstheme="minorHAnsi"/>
          <w:sz w:val="20"/>
          <w:szCs w:val="20"/>
        </w:rPr>
        <w:commentReference w:id="37"/>
      </w:r>
      <w:r w:rsidR="00F410C3" w:rsidRPr="000E53A0">
        <w:rPr>
          <w:rFonts w:asciiTheme="minorHAnsi" w:hAnsiTheme="minorHAnsi" w:cstheme="minorHAnsi"/>
          <w:bCs/>
          <w:iCs/>
          <w:sz w:val="20"/>
          <w:szCs w:val="20"/>
          <w:lang w:val="fr-FR"/>
        </w:rPr>
        <w:t xml:space="preserve">qui fera </w:t>
      </w:r>
      <w:r w:rsidR="00835EE0" w:rsidRPr="000E53A0">
        <w:rPr>
          <w:rFonts w:asciiTheme="minorHAnsi" w:hAnsiTheme="minorHAnsi" w:cstheme="minorHAnsi"/>
          <w:bCs/>
          <w:iCs/>
          <w:sz w:val="20"/>
          <w:szCs w:val="20"/>
          <w:lang w:val="fr-FR"/>
        </w:rPr>
        <w:t xml:space="preserve">partie de l'ESIA/ESMP. </w:t>
      </w:r>
    </w:p>
    <w:p w14:paraId="18C837B5" w14:textId="77777777" w:rsidR="00FB24F0" w:rsidRPr="000E53A0" w:rsidRDefault="00FB24F0" w:rsidP="004E0953">
      <w:pPr>
        <w:jc w:val="both"/>
        <w:rPr>
          <w:rFonts w:asciiTheme="minorHAnsi" w:hAnsiTheme="minorHAnsi" w:cstheme="minorHAnsi"/>
          <w:sz w:val="20"/>
          <w:szCs w:val="20"/>
          <w:u w:val="single"/>
          <w:lang w:val="fr-FR"/>
        </w:rPr>
      </w:pPr>
    </w:p>
    <w:p w14:paraId="540DE5E8" w14:textId="77777777" w:rsidR="00601D9B" w:rsidRPr="000E53A0" w:rsidRDefault="000E53A0">
      <w:pPr>
        <w:jc w:val="both"/>
        <w:rPr>
          <w:rFonts w:asciiTheme="minorHAnsi" w:hAnsiTheme="minorHAnsi" w:cstheme="minorHAnsi"/>
          <w:i/>
          <w:sz w:val="20"/>
          <w:szCs w:val="20"/>
          <w:lang w:val="fr-FR"/>
        </w:rPr>
      </w:pPr>
      <w:commentRangeStart w:id="38"/>
      <w:r w:rsidRPr="000E53A0">
        <w:rPr>
          <w:rFonts w:asciiTheme="minorHAnsi" w:hAnsiTheme="minorHAnsi" w:cstheme="minorHAnsi"/>
          <w:sz w:val="20"/>
          <w:szCs w:val="20"/>
          <w:u w:val="single"/>
          <w:lang w:val="fr-FR"/>
        </w:rPr>
        <w:t xml:space="preserve">Engagement des parties prenantes </w:t>
      </w:r>
      <w:r w:rsidR="00222B46" w:rsidRPr="000E53A0">
        <w:rPr>
          <w:rFonts w:asciiTheme="minorHAnsi" w:hAnsiTheme="minorHAnsi" w:cstheme="minorHAnsi"/>
          <w:sz w:val="20"/>
          <w:szCs w:val="20"/>
          <w:u w:val="single"/>
          <w:lang w:val="fr-FR"/>
        </w:rPr>
        <w:t>et coopération sud-sud</w:t>
      </w:r>
      <w:commentRangeEnd w:id="38"/>
      <w:r w:rsidR="00D22751" w:rsidRPr="004E0953">
        <w:rPr>
          <w:rStyle w:val="Marquedecommentaire"/>
          <w:rFonts w:asciiTheme="minorHAnsi" w:hAnsiTheme="minorHAnsi" w:cstheme="minorHAnsi"/>
          <w:sz w:val="20"/>
          <w:szCs w:val="20"/>
        </w:rPr>
        <w:commentReference w:id="38"/>
      </w:r>
      <w:r w:rsidR="00763EFB" w:rsidRPr="000E53A0">
        <w:rPr>
          <w:rFonts w:asciiTheme="minorHAnsi" w:hAnsiTheme="minorHAnsi" w:cstheme="minorHAnsi"/>
          <w:i/>
          <w:sz w:val="20"/>
          <w:szCs w:val="20"/>
          <w:lang w:val="fr-FR"/>
        </w:rPr>
        <w:t xml:space="preserve"> </w:t>
      </w:r>
      <w:r w:rsidR="00707A93" w:rsidRPr="000E53A0">
        <w:rPr>
          <w:rFonts w:asciiTheme="minorHAnsi" w:hAnsiTheme="minorHAnsi" w:cstheme="minorHAnsi"/>
          <w:sz w:val="20"/>
          <w:szCs w:val="20"/>
          <w:lang w:val="fr-FR"/>
        </w:rPr>
        <w:t xml:space="preserve">: </w:t>
      </w:r>
      <w:r w:rsidR="000B582A" w:rsidRPr="000E53A0">
        <w:rPr>
          <w:rFonts w:asciiTheme="minorHAnsi" w:hAnsiTheme="minorHAnsi" w:cstheme="minorHAnsi"/>
          <w:i/>
          <w:sz w:val="20"/>
          <w:szCs w:val="20"/>
          <w:highlight w:val="yellow"/>
          <w:lang w:val="fr-FR"/>
        </w:rPr>
        <w:t xml:space="preserve">Se référer au </w:t>
      </w:r>
      <w:hyperlink r:id="rId22" w:history="1">
        <w:r w:rsidR="009469AA" w:rsidRPr="000E53A0">
          <w:rPr>
            <w:rStyle w:val="Lienhypertexte"/>
            <w:rFonts w:asciiTheme="minorHAnsi" w:hAnsiTheme="minorHAnsi" w:cstheme="minorHAnsi"/>
            <w:i/>
            <w:sz w:val="20"/>
            <w:szCs w:val="20"/>
            <w:highlight w:val="yellow"/>
            <w:lang w:val="fr-FR"/>
          </w:rPr>
          <w:t xml:space="preserve">plan </w:t>
        </w:r>
      </w:hyperlink>
      <w:r w:rsidR="000B582A" w:rsidRPr="000E53A0">
        <w:rPr>
          <w:rFonts w:asciiTheme="minorHAnsi" w:hAnsiTheme="minorHAnsi" w:cstheme="minorHAnsi"/>
          <w:i/>
          <w:sz w:val="20"/>
          <w:szCs w:val="20"/>
          <w:highlight w:val="yellow"/>
          <w:lang w:val="fr-FR"/>
        </w:rPr>
        <w:t xml:space="preserve">détaillé </w:t>
      </w:r>
      <w:hyperlink r:id="rId23" w:history="1">
        <w:r w:rsidR="009469AA" w:rsidRPr="000E53A0">
          <w:rPr>
            <w:rStyle w:val="Lienhypertexte"/>
            <w:rFonts w:asciiTheme="minorHAnsi" w:hAnsiTheme="minorHAnsi" w:cstheme="minorHAnsi"/>
            <w:i/>
            <w:sz w:val="20"/>
            <w:szCs w:val="20"/>
            <w:highlight w:val="yellow"/>
            <w:lang w:val="fr-FR"/>
          </w:rPr>
          <w:t xml:space="preserve">d'engagement des parties prenantes </w:t>
        </w:r>
      </w:hyperlink>
      <w:r w:rsidR="009469AA" w:rsidRPr="000E53A0">
        <w:rPr>
          <w:rFonts w:asciiTheme="minorHAnsi" w:hAnsiTheme="minorHAnsi" w:cstheme="minorHAnsi"/>
          <w:i/>
          <w:sz w:val="20"/>
          <w:szCs w:val="20"/>
          <w:highlight w:val="yellow"/>
          <w:lang w:val="fr-FR"/>
        </w:rPr>
        <w:t>inclus dans l'annexe</w:t>
      </w:r>
      <w:r w:rsidR="000B582A" w:rsidRPr="000E53A0">
        <w:rPr>
          <w:rFonts w:asciiTheme="minorHAnsi" w:hAnsiTheme="minorHAnsi" w:cstheme="minorHAnsi"/>
          <w:i/>
          <w:sz w:val="20"/>
          <w:szCs w:val="20"/>
          <w:highlight w:val="yellow"/>
          <w:lang w:val="fr-FR"/>
        </w:rPr>
        <w:t xml:space="preserve">. </w:t>
      </w:r>
      <w:r w:rsidR="00311BD3" w:rsidRPr="000E53A0">
        <w:rPr>
          <w:rFonts w:asciiTheme="minorHAnsi" w:hAnsiTheme="minorHAnsi" w:cstheme="minorHAnsi"/>
          <w:i/>
          <w:sz w:val="20"/>
          <w:szCs w:val="20"/>
          <w:highlight w:val="yellow"/>
          <w:lang w:val="fr-FR"/>
        </w:rPr>
        <w:t xml:space="preserve">Résumez </w:t>
      </w:r>
      <w:r w:rsidR="00C21796" w:rsidRPr="000E53A0">
        <w:rPr>
          <w:rFonts w:asciiTheme="minorHAnsi" w:hAnsiTheme="minorHAnsi" w:cstheme="minorHAnsi"/>
          <w:i/>
          <w:sz w:val="20"/>
          <w:szCs w:val="20"/>
          <w:highlight w:val="yellow"/>
          <w:lang w:val="fr-FR"/>
        </w:rPr>
        <w:t xml:space="preserve">les </w:t>
      </w:r>
      <w:r w:rsidR="00311BD3" w:rsidRPr="000E53A0">
        <w:rPr>
          <w:rFonts w:asciiTheme="minorHAnsi" w:hAnsiTheme="minorHAnsi" w:cstheme="minorHAnsi"/>
          <w:i/>
          <w:sz w:val="20"/>
          <w:szCs w:val="20"/>
          <w:highlight w:val="yellow"/>
          <w:lang w:val="fr-FR"/>
        </w:rPr>
        <w:t xml:space="preserve">principales </w:t>
      </w:r>
      <w:r w:rsidR="00C21796" w:rsidRPr="000E53A0">
        <w:rPr>
          <w:rFonts w:asciiTheme="minorHAnsi" w:hAnsiTheme="minorHAnsi" w:cstheme="minorHAnsi"/>
          <w:i/>
          <w:sz w:val="20"/>
          <w:szCs w:val="20"/>
          <w:highlight w:val="yellow"/>
          <w:lang w:val="fr-FR"/>
        </w:rPr>
        <w:t>stratégies d'engagement qui seront nécessaires pour assurer l'</w:t>
      </w:r>
      <w:r w:rsidR="008A2938" w:rsidRPr="000E53A0">
        <w:rPr>
          <w:rFonts w:asciiTheme="minorHAnsi" w:hAnsiTheme="minorHAnsi" w:cstheme="minorHAnsi"/>
          <w:i/>
          <w:sz w:val="20"/>
          <w:szCs w:val="20"/>
          <w:highlight w:val="yellow"/>
          <w:lang w:val="fr-FR"/>
        </w:rPr>
        <w:t>engagement des</w:t>
      </w:r>
      <w:r w:rsidR="00C21796" w:rsidRPr="000E53A0">
        <w:rPr>
          <w:rFonts w:asciiTheme="minorHAnsi" w:hAnsiTheme="minorHAnsi" w:cstheme="minorHAnsi"/>
          <w:i/>
          <w:sz w:val="20"/>
          <w:szCs w:val="20"/>
          <w:highlight w:val="yellow"/>
          <w:lang w:val="fr-FR"/>
        </w:rPr>
        <w:t xml:space="preserve"> parties prenantes </w:t>
      </w:r>
      <w:r w:rsidR="008A2938" w:rsidRPr="000E53A0">
        <w:rPr>
          <w:rFonts w:asciiTheme="minorHAnsi" w:hAnsiTheme="minorHAnsi" w:cstheme="minorHAnsi"/>
          <w:i/>
          <w:sz w:val="20"/>
          <w:szCs w:val="20"/>
          <w:highlight w:val="yellow"/>
          <w:lang w:val="fr-FR"/>
        </w:rPr>
        <w:t xml:space="preserve">pendant toute la durée du projet. </w:t>
      </w:r>
      <w:r w:rsidR="00763EFB" w:rsidRPr="000E53A0">
        <w:rPr>
          <w:rFonts w:asciiTheme="minorHAnsi" w:hAnsiTheme="minorHAnsi" w:cstheme="minorHAnsi"/>
          <w:i/>
          <w:sz w:val="20"/>
          <w:szCs w:val="20"/>
          <w:lang w:val="fr-FR"/>
        </w:rPr>
        <w:t>Si le consentement libre, préalable et éclairé (CLIP) est requis, assurez-vous que cela est clairement stipulé, avec une référence aux activités spécifiques du projet pour lesquelles il est requis.</w:t>
      </w:r>
    </w:p>
    <w:p w14:paraId="3439D63D" w14:textId="77777777" w:rsidR="00601D9B" w:rsidRPr="000E53A0" w:rsidRDefault="000E53A0">
      <w:pPr>
        <w:jc w:val="both"/>
        <w:rPr>
          <w:rFonts w:asciiTheme="minorHAnsi" w:hAnsiTheme="minorHAnsi" w:cstheme="minorHAnsi"/>
          <w:i/>
          <w:sz w:val="20"/>
          <w:szCs w:val="20"/>
          <w:lang w:val="fr-FR"/>
        </w:rPr>
      </w:pPr>
      <w:r w:rsidRPr="000E53A0">
        <w:rPr>
          <w:rFonts w:asciiTheme="minorHAnsi" w:hAnsiTheme="minorHAnsi" w:cstheme="minorHAnsi"/>
          <w:i/>
          <w:sz w:val="20"/>
          <w:szCs w:val="20"/>
          <w:highlight w:val="yellow"/>
          <w:lang w:val="fr-FR"/>
        </w:rPr>
        <w:t xml:space="preserve">Mettre en évidence ici des actions spécifiques sur la </w:t>
      </w:r>
      <w:r w:rsidR="009D6244" w:rsidRPr="000E53A0">
        <w:rPr>
          <w:rFonts w:asciiTheme="minorHAnsi" w:hAnsiTheme="minorHAnsi" w:cstheme="minorHAnsi"/>
          <w:i/>
          <w:sz w:val="20"/>
          <w:szCs w:val="20"/>
          <w:highlight w:val="yellow"/>
          <w:lang w:val="fr-FR"/>
        </w:rPr>
        <w:t xml:space="preserve">coopération sud-sud et triangulaire </w:t>
      </w:r>
      <w:r w:rsidR="004B719F" w:rsidRPr="000E53A0">
        <w:rPr>
          <w:rFonts w:asciiTheme="minorHAnsi" w:hAnsiTheme="minorHAnsi" w:cstheme="minorHAnsi"/>
          <w:i/>
          <w:sz w:val="20"/>
          <w:szCs w:val="20"/>
          <w:highlight w:val="yellow"/>
          <w:lang w:val="fr-FR"/>
        </w:rPr>
        <w:t xml:space="preserve">afin de présenter des possibilités de reproduction dans d'autres pays, et </w:t>
      </w:r>
      <w:r w:rsidR="0073194E" w:rsidRPr="000E53A0">
        <w:rPr>
          <w:rFonts w:asciiTheme="minorHAnsi" w:hAnsiTheme="minorHAnsi" w:cstheme="minorHAnsi"/>
          <w:i/>
          <w:sz w:val="20"/>
          <w:szCs w:val="20"/>
          <w:highlight w:val="yellow"/>
          <w:lang w:val="fr-FR"/>
        </w:rPr>
        <w:t xml:space="preserve">de </w:t>
      </w:r>
      <w:r w:rsidR="004B719F" w:rsidRPr="000E53A0">
        <w:rPr>
          <w:rFonts w:asciiTheme="minorHAnsi" w:hAnsiTheme="minorHAnsi" w:cstheme="minorHAnsi"/>
          <w:i/>
          <w:sz w:val="20"/>
          <w:szCs w:val="20"/>
          <w:highlight w:val="yellow"/>
          <w:lang w:val="fr-FR"/>
        </w:rPr>
        <w:t>faciliter la diffusion par le biais de plates-formes mondiales et Sud-Sud en cours, telles que la plate-forme Solutions Afrique, la plate-forme de partage des connaissances Galaxy Sud-Sud des Nations unies et PANORAMA</w:t>
      </w:r>
      <w:r w:rsidR="004B719F" w:rsidRPr="004E0953">
        <w:rPr>
          <w:rFonts w:asciiTheme="minorHAnsi" w:hAnsiTheme="minorHAnsi" w:cstheme="minorHAnsi"/>
          <w:i/>
          <w:sz w:val="20"/>
          <w:szCs w:val="20"/>
          <w:highlight w:val="yellow"/>
          <w:vertAlign w:val="superscript"/>
          <w:lang w:val="en-GB"/>
        </w:rPr>
        <w:footnoteReference w:id="80"/>
      </w:r>
      <w:r w:rsidR="00F04492" w:rsidRPr="000E53A0">
        <w:rPr>
          <w:rFonts w:asciiTheme="minorHAnsi" w:hAnsiTheme="minorHAnsi" w:cstheme="minorHAnsi"/>
          <w:sz w:val="20"/>
          <w:szCs w:val="20"/>
          <w:lang w:val="fr-FR"/>
        </w:rPr>
        <w:t xml:space="preserve"> </w:t>
      </w:r>
      <w:r w:rsidR="004B719F" w:rsidRPr="000E53A0">
        <w:rPr>
          <w:rFonts w:asciiTheme="minorHAnsi" w:hAnsiTheme="minorHAnsi" w:cstheme="minorHAnsi"/>
          <w:i/>
          <w:sz w:val="20"/>
          <w:szCs w:val="20"/>
          <w:highlight w:val="yellow"/>
          <w:lang w:val="fr-FR"/>
        </w:rPr>
        <w:t xml:space="preserve">. </w:t>
      </w:r>
      <w:r w:rsidR="00F04492" w:rsidRPr="000E53A0">
        <w:rPr>
          <w:rFonts w:asciiTheme="minorHAnsi" w:hAnsiTheme="minorHAnsi" w:cstheme="minorHAnsi"/>
          <w:sz w:val="20"/>
          <w:szCs w:val="20"/>
          <w:lang w:val="fr-FR"/>
        </w:rPr>
        <w:t>En outre, pour faire entendre la voix de [</w:t>
      </w:r>
      <w:r w:rsidR="00F04492" w:rsidRPr="000E53A0">
        <w:rPr>
          <w:rFonts w:asciiTheme="minorHAnsi" w:hAnsiTheme="minorHAnsi" w:cstheme="minorHAnsi"/>
          <w:i/>
          <w:sz w:val="20"/>
          <w:szCs w:val="20"/>
          <w:highlight w:val="yellow"/>
          <w:lang w:val="fr-FR"/>
        </w:rPr>
        <w:t>insérer le pays xxxx</w:t>
      </w:r>
      <w:r w:rsidR="00F04492" w:rsidRPr="000E53A0">
        <w:rPr>
          <w:rFonts w:asciiTheme="minorHAnsi" w:hAnsiTheme="minorHAnsi" w:cstheme="minorHAnsi"/>
          <w:sz w:val="20"/>
          <w:szCs w:val="20"/>
          <w:lang w:val="fr-FR"/>
        </w:rPr>
        <w:t xml:space="preserve">] dans les forums mondiaux et régionaux, le projet explorera les possibilités de participation significative à des événements spécifiques où le PNUD pourrait soutenir l'engagement avec le discours mondial sur le développement sur </w:t>
      </w:r>
      <w:r w:rsidR="00F04492" w:rsidRPr="000E53A0">
        <w:rPr>
          <w:rFonts w:asciiTheme="minorHAnsi" w:hAnsiTheme="minorHAnsi" w:cstheme="minorHAnsi"/>
          <w:sz w:val="20"/>
          <w:szCs w:val="20"/>
          <w:highlight w:val="yellow"/>
          <w:lang w:val="fr-FR"/>
        </w:rPr>
        <w:t xml:space="preserve">[insérer le sujet xxxxx]. Le </w:t>
      </w:r>
      <w:r w:rsidR="00F04492" w:rsidRPr="000E53A0">
        <w:rPr>
          <w:rFonts w:asciiTheme="minorHAnsi" w:hAnsiTheme="minorHAnsi" w:cstheme="minorHAnsi"/>
          <w:sz w:val="20"/>
          <w:szCs w:val="20"/>
          <w:lang w:val="fr-FR"/>
        </w:rPr>
        <w:t xml:space="preserve">projet offrira en outre des possibilités de coopération régionale avec les pays qui mettent en œuvre des initiatives sur </w:t>
      </w:r>
      <w:r w:rsidR="00F04492" w:rsidRPr="000E53A0">
        <w:rPr>
          <w:rFonts w:asciiTheme="minorHAnsi" w:hAnsiTheme="minorHAnsi" w:cstheme="minorHAnsi"/>
          <w:i/>
          <w:sz w:val="20"/>
          <w:szCs w:val="20"/>
          <w:highlight w:val="yellow"/>
          <w:lang w:val="fr-FR"/>
        </w:rPr>
        <w:t xml:space="preserve">[insérer le thème xxxxx] </w:t>
      </w:r>
      <w:r w:rsidR="00F04492" w:rsidRPr="000E53A0">
        <w:rPr>
          <w:rFonts w:asciiTheme="minorHAnsi" w:hAnsiTheme="minorHAnsi" w:cstheme="minorHAnsi"/>
          <w:sz w:val="20"/>
          <w:szCs w:val="20"/>
          <w:lang w:val="fr-FR"/>
        </w:rPr>
        <w:t xml:space="preserve">dans des contextes géopolitiques, sociaux et environnementaux pertinents pour le projet proposé dans </w:t>
      </w:r>
      <w:r w:rsidR="00F04492" w:rsidRPr="000E53A0">
        <w:rPr>
          <w:rFonts w:asciiTheme="minorHAnsi" w:hAnsiTheme="minorHAnsi" w:cstheme="minorHAnsi"/>
          <w:i/>
          <w:sz w:val="20"/>
          <w:szCs w:val="20"/>
          <w:highlight w:val="yellow"/>
          <w:lang w:val="fr-FR"/>
        </w:rPr>
        <w:t>[insérer le pays xxx].</w:t>
      </w:r>
    </w:p>
    <w:p w14:paraId="29DCBDA6" w14:textId="77777777" w:rsidR="00393350" w:rsidRPr="000E53A0" w:rsidRDefault="00393350" w:rsidP="004E0953">
      <w:pPr>
        <w:jc w:val="both"/>
        <w:rPr>
          <w:rFonts w:asciiTheme="minorHAnsi" w:hAnsiTheme="minorHAnsi" w:cstheme="minorHAnsi"/>
          <w:i/>
          <w:color w:val="000000"/>
          <w:sz w:val="20"/>
          <w:szCs w:val="20"/>
          <w:lang w:val="fr-FR"/>
        </w:rPr>
      </w:pPr>
    </w:p>
    <w:p w14:paraId="14645AD4" w14:textId="77777777" w:rsidR="00601D9B" w:rsidRPr="000E53A0" w:rsidRDefault="00E21FF2">
      <w:pPr>
        <w:jc w:val="both"/>
        <w:rPr>
          <w:rFonts w:asciiTheme="minorHAnsi" w:hAnsiTheme="minorHAnsi" w:cstheme="minorHAnsi"/>
          <w:sz w:val="20"/>
          <w:szCs w:val="20"/>
          <w:lang w:val="fr-FR"/>
        </w:rPr>
      </w:pPr>
      <w:r w:rsidRPr="000E53A0">
        <w:rPr>
          <w:rFonts w:asciiTheme="minorHAnsi" w:eastAsia="MS Mincho" w:hAnsiTheme="minorHAnsi" w:cstheme="minorHAnsi"/>
          <w:sz w:val="20"/>
          <w:szCs w:val="20"/>
          <w:lang w:val="fr-FR"/>
        </w:rPr>
        <w:t>L'</w:t>
      </w:r>
      <w:r w:rsidR="000E53A0" w:rsidRPr="000E53A0">
        <w:rPr>
          <w:rFonts w:asciiTheme="minorHAnsi" w:hAnsiTheme="minorHAnsi" w:cstheme="minorHAnsi"/>
          <w:sz w:val="20"/>
          <w:szCs w:val="20"/>
          <w:u w:val="single"/>
          <w:lang w:val="fr-FR"/>
        </w:rPr>
        <w:t xml:space="preserve">égalité des sexes et l'autonomisation des femmes </w:t>
      </w:r>
      <w:r w:rsidR="000E53A0" w:rsidRPr="000E53A0">
        <w:rPr>
          <w:rFonts w:asciiTheme="minorHAnsi" w:hAnsiTheme="minorHAnsi" w:cstheme="minorHAnsi"/>
          <w:sz w:val="20"/>
          <w:szCs w:val="20"/>
          <w:lang w:val="fr-FR"/>
        </w:rPr>
        <w:t xml:space="preserve">: </w:t>
      </w:r>
      <w:r w:rsidR="00FA5563" w:rsidRPr="000E53A0">
        <w:rPr>
          <w:rFonts w:asciiTheme="minorHAnsi" w:hAnsiTheme="minorHAnsi" w:cstheme="minorHAnsi"/>
          <w:sz w:val="20"/>
          <w:szCs w:val="20"/>
          <w:lang w:val="fr-FR"/>
        </w:rPr>
        <w:t xml:space="preserve">Une analyse de genre et un plan d'action de genre (Annexe 11) ont été développés pendant la phase PPG. Les </w:t>
      </w:r>
      <w:r w:rsidR="00E650A7" w:rsidRPr="000E53A0">
        <w:rPr>
          <w:rFonts w:asciiTheme="minorHAnsi" w:hAnsiTheme="minorHAnsi" w:cstheme="minorHAnsi"/>
          <w:sz w:val="20"/>
          <w:szCs w:val="20"/>
          <w:lang w:val="fr-FR"/>
        </w:rPr>
        <w:t>résultats de l'analyse ont été pris en compte dans la conception du projet, et informent la stratégie adoptée pour s'attaquer à la réduction des écarts entre les sexes dans l'</w:t>
      </w:r>
      <w:r w:rsidR="00E650A7" w:rsidRPr="000E53A0">
        <w:rPr>
          <w:rFonts w:asciiTheme="minorHAnsi" w:eastAsia="MS Mincho" w:hAnsiTheme="minorHAnsi" w:cstheme="minorHAnsi"/>
          <w:sz w:val="20"/>
          <w:szCs w:val="20"/>
          <w:lang w:val="fr-FR"/>
        </w:rPr>
        <w:t>accès et le contrôle des ressources naturelles, à l'</w:t>
      </w:r>
      <w:r w:rsidR="00E650A7" w:rsidRPr="000E53A0">
        <w:rPr>
          <w:rFonts w:asciiTheme="minorHAnsi" w:hAnsiTheme="minorHAnsi" w:cstheme="minorHAnsi"/>
          <w:sz w:val="20"/>
          <w:szCs w:val="20"/>
          <w:lang w:val="fr-FR"/>
        </w:rPr>
        <w:t xml:space="preserve">amélioration de la </w:t>
      </w:r>
      <w:r w:rsidR="00E650A7" w:rsidRPr="000E53A0">
        <w:rPr>
          <w:rFonts w:asciiTheme="minorHAnsi" w:eastAsia="MS Mincho" w:hAnsiTheme="minorHAnsi" w:cstheme="minorHAnsi"/>
          <w:sz w:val="20"/>
          <w:szCs w:val="20"/>
          <w:lang w:val="fr-FR"/>
        </w:rPr>
        <w:t xml:space="preserve">participation et de la prise de décision </w:t>
      </w:r>
      <w:r w:rsidR="00E650A7" w:rsidRPr="000E53A0">
        <w:rPr>
          <w:rFonts w:asciiTheme="minorHAnsi" w:hAnsiTheme="minorHAnsi" w:cstheme="minorHAnsi"/>
          <w:sz w:val="20"/>
          <w:szCs w:val="20"/>
          <w:lang w:val="fr-FR"/>
        </w:rPr>
        <w:t>des femmes</w:t>
      </w:r>
      <w:r w:rsidR="00E650A7" w:rsidRPr="000E53A0">
        <w:rPr>
          <w:rFonts w:asciiTheme="minorHAnsi" w:eastAsia="MS Mincho" w:hAnsiTheme="minorHAnsi" w:cstheme="minorHAnsi"/>
          <w:sz w:val="20"/>
          <w:szCs w:val="20"/>
          <w:lang w:val="fr-FR"/>
        </w:rPr>
        <w:t xml:space="preserve">, et à la </w:t>
      </w:r>
      <w:r w:rsidR="00E650A7" w:rsidRPr="000E53A0">
        <w:rPr>
          <w:rFonts w:asciiTheme="minorHAnsi" w:hAnsiTheme="minorHAnsi" w:cstheme="minorHAnsi"/>
          <w:sz w:val="20"/>
          <w:szCs w:val="20"/>
          <w:lang w:val="fr-FR"/>
        </w:rPr>
        <w:t>génération d'</w:t>
      </w:r>
      <w:r w:rsidR="00E650A7" w:rsidRPr="000E53A0">
        <w:rPr>
          <w:rFonts w:asciiTheme="minorHAnsi" w:eastAsia="MS Mincho" w:hAnsiTheme="minorHAnsi" w:cstheme="minorHAnsi"/>
          <w:sz w:val="20"/>
          <w:szCs w:val="20"/>
          <w:lang w:val="fr-FR"/>
        </w:rPr>
        <w:t xml:space="preserve">avantages ou de services </w:t>
      </w:r>
      <w:r w:rsidR="00E650A7" w:rsidRPr="000E53A0">
        <w:rPr>
          <w:rFonts w:asciiTheme="minorHAnsi" w:hAnsiTheme="minorHAnsi" w:cstheme="minorHAnsi"/>
          <w:sz w:val="20"/>
          <w:szCs w:val="20"/>
          <w:lang w:val="fr-FR"/>
        </w:rPr>
        <w:t xml:space="preserve">socio-économiques </w:t>
      </w:r>
      <w:r w:rsidR="00E650A7" w:rsidRPr="000E53A0">
        <w:rPr>
          <w:rFonts w:asciiTheme="minorHAnsi" w:eastAsia="MS Mincho" w:hAnsiTheme="minorHAnsi" w:cstheme="minorHAnsi"/>
          <w:sz w:val="20"/>
          <w:szCs w:val="20"/>
          <w:lang w:val="fr-FR"/>
        </w:rPr>
        <w:t>pour les femmes. Ainsi, le projet cherchera à accroître la participation des femmes dans les mécanismes de prévention des conflits liés aux ressources naturelles (composante 2)</w:t>
      </w:r>
      <w:r w:rsidR="007025D1" w:rsidRPr="000E53A0">
        <w:rPr>
          <w:rFonts w:asciiTheme="minorHAnsi" w:eastAsia="MS Mincho" w:hAnsiTheme="minorHAnsi" w:cstheme="minorHAnsi"/>
          <w:sz w:val="20"/>
          <w:szCs w:val="20"/>
          <w:lang w:val="fr-FR"/>
        </w:rPr>
        <w:t>, et mettra l'</w:t>
      </w:r>
      <w:r w:rsidRPr="000E53A0">
        <w:rPr>
          <w:rFonts w:asciiTheme="minorHAnsi" w:eastAsia="MS Mincho" w:hAnsiTheme="minorHAnsi" w:cstheme="minorHAnsi"/>
          <w:sz w:val="20"/>
          <w:szCs w:val="20"/>
          <w:lang w:val="fr-FR"/>
        </w:rPr>
        <w:t>accent sur le soutien aux entreprises détenues par des femmes en tenant compte non seulement des obstacles techniques (par exemple, le manque d'accès au crédit, à l'équipement, au savoir-faire commercial), mais aussi des obstacles socioculturels qui limitent l'implication des femmes dans les activités commerciales ou qui peuvent augmenter le risque de violence liée au sexe lorsque les femmes acquièrent une plus grande indépendance financière (composante 3).</w:t>
      </w:r>
    </w:p>
    <w:p w14:paraId="68FD4277" w14:textId="77777777" w:rsidR="005F6003" w:rsidRPr="000E53A0" w:rsidRDefault="005F6003" w:rsidP="004E0953">
      <w:pPr>
        <w:jc w:val="both"/>
        <w:rPr>
          <w:rFonts w:asciiTheme="minorHAnsi" w:hAnsiTheme="minorHAnsi" w:cstheme="minorHAnsi"/>
          <w:i/>
          <w:sz w:val="20"/>
          <w:szCs w:val="20"/>
          <w:lang w:val="fr-FR"/>
        </w:rPr>
      </w:pPr>
    </w:p>
    <w:p w14:paraId="56EBCC0F" w14:textId="77777777" w:rsidR="00601D9B" w:rsidRPr="000E53A0" w:rsidRDefault="000E53A0">
      <w:pPr>
        <w:jc w:val="both"/>
        <w:rPr>
          <w:rFonts w:asciiTheme="minorHAnsi" w:hAnsiTheme="minorHAnsi" w:cstheme="minorHAnsi"/>
          <w:iCs/>
          <w:sz w:val="20"/>
          <w:szCs w:val="20"/>
          <w:lang w:val="fr-FR"/>
        </w:rPr>
      </w:pPr>
      <w:r w:rsidRPr="000E53A0">
        <w:rPr>
          <w:rFonts w:asciiTheme="minorHAnsi" w:hAnsiTheme="minorHAnsi" w:cstheme="minorHAnsi"/>
          <w:sz w:val="20"/>
          <w:szCs w:val="20"/>
          <w:u w:val="single"/>
          <w:lang w:val="fr-FR"/>
        </w:rPr>
        <w:t xml:space="preserve">Caractère innovant, </w:t>
      </w:r>
      <w:r w:rsidR="00075FD8" w:rsidRPr="000E53A0">
        <w:rPr>
          <w:rFonts w:asciiTheme="minorHAnsi" w:hAnsiTheme="minorHAnsi" w:cstheme="minorHAnsi"/>
          <w:sz w:val="20"/>
          <w:szCs w:val="20"/>
          <w:u w:val="single"/>
          <w:lang w:val="fr-FR"/>
        </w:rPr>
        <w:t xml:space="preserve">durabilité et </w:t>
      </w:r>
      <w:r w:rsidRPr="000E53A0">
        <w:rPr>
          <w:rFonts w:asciiTheme="minorHAnsi" w:hAnsiTheme="minorHAnsi" w:cstheme="minorHAnsi"/>
          <w:sz w:val="20"/>
          <w:szCs w:val="20"/>
          <w:u w:val="single"/>
          <w:lang w:val="fr-FR"/>
        </w:rPr>
        <w:t xml:space="preserve">potentiel de </w:t>
      </w:r>
      <w:r w:rsidR="00075FD8" w:rsidRPr="000E53A0">
        <w:rPr>
          <w:rFonts w:asciiTheme="minorHAnsi" w:hAnsiTheme="minorHAnsi" w:cstheme="minorHAnsi"/>
          <w:sz w:val="20"/>
          <w:szCs w:val="20"/>
          <w:u w:val="single"/>
          <w:lang w:val="fr-FR"/>
        </w:rPr>
        <w:t xml:space="preserve">mise à l'échelle </w:t>
      </w:r>
      <w:r w:rsidR="00591D26" w:rsidRPr="000E53A0">
        <w:rPr>
          <w:rFonts w:asciiTheme="minorHAnsi" w:hAnsiTheme="minorHAnsi" w:cstheme="minorHAnsi"/>
          <w:sz w:val="20"/>
          <w:szCs w:val="20"/>
          <w:lang w:val="fr-FR"/>
        </w:rPr>
        <w:t xml:space="preserve">: </w:t>
      </w:r>
      <w:r w:rsidR="00AE27B6" w:rsidRPr="000E53A0">
        <w:rPr>
          <w:rFonts w:asciiTheme="minorHAnsi" w:hAnsiTheme="minorHAnsi" w:cstheme="minorHAnsi"/>
          <w:sz w:val="20"/>
          <w:szCs w:val="20"/>
          <w:lang w:val="fr-FR"/>
        </w:rPr>
        <w:t xml:space="preserve">Le projet est innovant à plusieurs égards. Premièrement, il adopte une approche systémique pour relever les défis complexes auxquels sont confrontées les régions centrales du Mali. Parmi les activités clés du projet, le projet développera une méthodologie commune pour les évaluations de la vulnérabilité climatique, fournissant un cadre pour le suivi continu des risques climatiques et la priorisation des stratégies d'adaptation. De plus, il s'agira de soutenir les comités de gestion des ressources naturelles avec des rôles élargis, incluant la prévention des conflits en plus de la surveillance et du suivi. Si les comités de gestion des conflits au niveau des villages sont courants, leur rôle se limite souvent à la résolution des conflits plutôt qu'à leur prévention, une lacune essentielle que le projet cherche à combler. Les femmes seront </w:t>
      </w:r>
      <w:r w:rsidR="00AE27B6" w:rsidRPr="000E53A0">
        <w:rPr>
          <w:rFonts w:asciiTheme="minorHAnsi" w:hAnsiTheme="minorHAnsi" w:cstheme="minorHAnsi"/>
          <w:sz w:val="20"/>
          <w:szCs w:val="20"/>
          <w:lang w:val="fr-FR"/>
        </w:rPr>
        <w:lastRenderedPageBreak/>
        <w:t xml:space="preserve">également soutenues pour obtenir un rôle central dans ces structures, ce qui leur permettra de contribuer activement aux efforts de consolidation de la paix, un domaine où elles sont généralement exclues. En </w:t>
      </w:r>
      <w:r w:rsidR="00AE27B6" w:rsidRPr="000E53A0">
        <w:rPr>
          <w:rFonts w:asciiTheme="minorHAnsi" w:hAnsiTheme="minorHAnsi" w:cstheme="minorHAnsi"/>
          <w:iCs/>
          <w:sz w:val="20"/>
          <w:szCs w:val="20"/>
          <w:lang w:val="fr-FR"/>
        </w:rPr>
        <w:t xml:space="preserve">outre, </w:t>
      </w:r>
      <w:r w:rsidR="00E21FF2" w:rsidRPr="000E53A0">
        <w:rPr>
          <w:rFonts w:asciiTheme="minorHAnsi" w:hAnsiTheme="minorHAnsi" w:cstheme="minorHAnsi"/>
          <w:iCs/>
          <w:sz w:val="20"/>
          <w:szCs w:val="20"/>
          <w:lang w:val="fr-FR"/>
        </w:rPr>
        <w:t xml:space="preserve">le projet adopte également une approche innovante pour relever le défi de la construction de moyens de subsistance résilients au climat - en promouvant des opportunités dans la composante 3 pour les jeunes des communautés cibles afin de recevoir une formation à l'entrepreneuriat dans les programmes d'incubateurs existants dans la ville de Mopti - pour les entreprises dans l'agro-transformation et les technologies intelligentes face au climat ; et en les soutenant ainsi que les coopératives de femmes pour accéder à la micro-finance et aux garanties de prêt. </w:t>
      </w:r>
      <w:r w:rsidR="00066426" w:rsidRPr="000E53A0">
        <w:rPr>
          <w:rFonts w:asciiTheme="minorHAnsi" w:hAnsiTheme="minorHAnsi" w:cstheme="minorHAnsi"/>
          <w:iCs/>
          <w:sz w:val="20"/>
          <w:szCs w:val="20"/>
          <w:lang w:val="fr-FR"/>
        </w:rPr>
        <w:t xml:space="preserve">En outre, le projet adoptera une approche socialement inclusive qui aborde dès le départ les barrières socioculturelles en même temps que les besoins techniques. </w:t>
      </w:r>
      <w:r w:rsidR="00E21FF2" w:rsidRPr="000E53A0">
        <w:rPr>
          <w:rFonts w:asciiTheme="minorHAnsi" w:hAnsiTheme="minorHAnsi" w:cstheme="minorHAnsi"/>
          <w:iCs/>
          <w:sz w:val="20"/>
          <w:szCs w:val="20"/>
          <w:lang w:val="fr-FR"/>
        </w:rPr>
        <w:t>Une approche innovante est également adoptée pour le développement du capital humain afin de renforcer la capacité d'adaptation - en créant des bourses d'études pour les jeunes de la région afin qu'ils soient formés, par exemple, à la maintenance des systèmes photovoltaïques (soutenant les activités d'adaptation) - voir le résultat 3.2. Une telle formation, en abordant l'exploitation et la maintenance à long terme, favorise également la durabilité et atténue le risque que les équipements de haute technologie deviennent obsolètes après la fin du projet.</w:t>
      </w:r>
    </w:p>
    <w:p w14:paraId="2F004CD1" w14:textId="77777777" w:rsidR="00601D9B" w:rsidRPr="000E53A0" w:rsidRDefault="000E53A0">
      <w:pPr>
        <w:jc w:val="both"/>
        <w:rPr>
          <w:rFonts w:asciiTheme="minorHAnsi" w:hAnsiTheme="minorHAnsi" w:cstheme="minorHAnsi"/>
          <w:iCs/>
          <w:sz w:val="20"/>
          <w:szCs w:val="20"/>
          <w:lang w:val="fr-FR"/>
        </w:rPr>
      </w:pPr>
      <w:r w:rsidRPr="000E53A0">
        <w:rPr>
          <w:rFonts w:asciiTheme="minorHAnsi" w:hAnsiTheme="minorHAnsi" w:cstheme="minorHAnsi"/>
          <w:iCs/>
          <w:sz w:val="20"/>
          <w:szCs w:val="20"/>
          <w:lang w:val="fr-FR"/>
        </w:rPr>
        <w:t>L'</w:t>
      </w:r>
      <w:r w:rsidR="00066426" w:rsidRPr="000E53A0">
        <w:rPr>
          <w:rFonts w:asciiTheme="minorHAnsi" w:hAnsiTheme="minorHAnsi" w:cstheme="minorHAnsi"/>
          <w:iCs/>
          <w:sz w:val="20"/>
          <w:szCs w:val="20"/>
          <w:lang w:val="fr-FR"/>
        </w:rPr>
        <w:t>approche de la gestion des connaissances adoptée par le projet, y compris l'accent mis sur l'</w:t>
      </w:r>
      <w:r w:rsidRPr="000E53A0">
        <w:rPr>
          <w:rFonts w:asciiTheme="minorHAnsi" w:hAnsiTheme="minorHAnsi" w:cstheme="minorHAnsi"/>
          <w:iCs/>
          <w:sz w:val="20"/>
          <w:szCs w:val="20"/>
          <w:lang w:val="fr-FR"/>
        </w:rPr>
        <w:t xml:space="preserve">intégration intersectorielle et les processus de planification </w:t>
      </w:r>
      <w:r w:rsidR="00066426" w:rsidRPr="000E53A0">
        <w:rPr>
          <w:rFonts w:asciiTheme="minorHAnsi" w:hAnsiTheme="minorHAnsi" w:cstheme="minorHAnsi"/>
          <w:iCs/>
          <w:sz w:val="20"/>
          <w:szCs w:val="20"/>
          <w:lang w:val="fr-FR"/>
        </w:rPr>
        <w:t>pour le RLD et l'</w:t>
      </w:r>
      <w:r w:rsidRPr="000E53A0">
        <w:rPr>
          <w:rFonts w:asciiTheme="minorHAnsi" w:hAnsiTheme="minorHAnsi" w:cstheme="minorHAnsi"/>
          <w:iCs/>
          <w:sz w:val="20"/>
          <w:szCs w:val="20"/>
          <w:lang w:val="fr-FR"/>
        </w:rPr>
        <w:t>adaptation au changement climatique</w:t>
      </w:r>
      <w:r w:rsidR="00066426" w:rsidRPr="000E53A0">
        <w:rPr>
          <w:rFonts w:asciiTheme="minorHAnsi" w:hAnsiTheme="minorHAnsi" w:cstheme="minorHAnsi"/>
          <w:iCs/>
          <w:sz w:val="20"/>
          <w:szCs w:val="20"/>
          <w:lang w:val="fr-FR"/>
        </w:rPr>
        <w:t>, ainsi que les méthodologies de suivi de leurs résultats</w:t>
      </w:r>
      <w:r w:rsidRPr="000E53A0">
        <w:rPr>
          <w:rFonts w:asciiTheme="minorHAnsi" w:hAnsiTheme="minorHAnsi" w:cstheme="minorHAnsi"/>
          <w:iCs/>
          <w:sz w:val="20"/>
          <w:szCs w:val="20"/>
          <w:lang w:val="fr-FR"/>
        </w:rPr>
        <w:t xml:space="preserve">, le </w:t>
      </w:r>
      <w:r w:rsidR="00066426" w:rsidRPr="000E53A0">
        <w:rPr>
          <w:rFonts w:asciiTheme="minorHAnsi" w:hAnsiTheme="minorHAnsi" w:cstheme="minorHAnsi"/>
          <w:iCs/>
          <w:sz w:val="20"/>
          <w:szCs w:val="20"/>
          <w:lang w:val="fr-FR"/>
        </w:rPr>
        <w:t xml:space="preserve">développement précoce d'une forte stratégie de communication impliquant un échange de connaissances à la fois local, régional et international, </w:t>
      </w:r>
      <w:r w:rsidRPr="000E53A0">
        <w:rPr>
          <w:rFonts w:asciiTheme="minorHAnsi" w:hAnsiTheme="minorHAnsi" w:cstheme="minorHAnsi"/>
          <w:iCs/>
          <w:sz w:val="20"/>
          <w:szCs w:val="20"/>
          <w:lang w:val="fr-FR"/>
        </w:rPr>
        <w:t xml:space="preserve">permettront </w:t>
      </w:r>
      <w:r w:rsidR="00066426" w:rsidRPr="000E53A0">
        <w:rPr>
          <w:rFonts w:asciiTheme="minorHAnsi" w:hAnsiTheme="minorHAnsi" w:cstheme="minorHAnsi"/>
          <w:iCs/>
          <w:sz w:val="20"/>
          <w:szCs w:val="20"/>
          <w:lang w:val="fr-FR"/>
        </w:rPr>
        <w:t xml:space="preserve">tous </w:t>
      </w:r>
      <w:r w:rsidRPr="000E53A0">
        <w:rPr>
          <w:rFonts w:asciiTheme="minorHAnsi" w:hAnsiTheme="minorHAnsi" w:cstheme="minorHAnsi"/>
          <w:iCs/>
          <w:sz w:val="20"/>
          <w:szCs w:val="20"/>
          <w:lang w:val="fr-FR"/>
        </w:rPr>
        <w:t xml:space="preserve">d'étendre les meilleures pratiques </w:t>
      </w:r>
      <w:r w:rsidR="00066426" w:rsidRPr="000E53A0">
        <w:rPr>
          <w:rFonts w:asciiTheme="minorHAnsi" w:hAnsiTheme="minorHAnsi" w:cstheme="minorHAnsi"/>
          <w:iCs/>
          <w:sz w:val="20"/>
          <w:szCs w:val="20"/>
          <w:lang w:val="fr-FR"/>
        </w:rPr>
        <w:t>et de soutenir la réalisation des objectifs du RLD et des CDN</w:t>
      </w:r>
      <w:r w:rsidRPr="000E53A0">
        <w:rPr>
          <w:rFonts w:asciiTheme="minorHAnsi" w:hAnsiTheme="minorHAnsi" w:cstheme="minorHAnsi"/>
          <w:iCs/>
          <w:sz w:val="20"/>
          <w:szCs w:val="20"/>
          <w:lang w:val="fr-FR"/>
        </w:rPr>
        <w:t xml:space="preserve">. </w:t>
      </w:r>
    </w:p>
    <w:p w14:paraId="398FC0F2" w14:textId="77777777" w:rsidR="00601D9B" w:rsidRPr="000E53A0" w:rsidRDefault="000E53A0">
      <w:pPr>
        <w:jc w:val="both"/>
        <w:rPr>
          <w:rFonts w:asciiTheme="minorHAnsi" w:hAnsiTheme="minorHAnsi" w:cstheme="minorHAnsi"/>
          <w:iCs/>
          <w:sz w:val="20"/>
          <w:szCs w:val="20"/>
          <w:lang w:val="fr-FR"/>
        </w:rPr>
      </w:pPr>
      <w:r w:rsidRPr="000E53A0">
        <w:rPr>
          <w:rFonts w:asciiTheme="minorHAnsi" w:hAnsiTheme="minorHAnsi" w:cstheme="minorHAnsi"/>
          <w:iCs/>
          <w:sz w:val="20"/>
          <w:szCs w:val="20"/>
          <w:lang w:val="fr-FR"/>
        </w:rPr>
        <w:t xml:space="preserve">La durabilité des résultats du projet au niveau du gouvernement local sera favorisée par le développement de la capacité des conseils communaux à intégrer l'adaptation au changement climatique dans leurs plans de développement économique, social et culturel (voir le résultat 2.1). L'intégration des mesures d'adaptation dans la planification future du gouvernement local contribuera à assurer leur durabilité après le projet. De même, un impact à long terme sur le gouvernement </w:t>
      </w:r>
      <w:r w:rsidR="00C374F5" w:rsidRPr="000E53A0">
        <w:rPr>
          <w:rFonts w:asciiTheme="minorHAnsi" w:hAnsiTheme="minorHAnsi" w:cstheme="minorHAnsi"/>
          <w:iCs/>
          <w:sz w:val="20"/>
          <w:szCs w:val="20"/>
          <w:lang w:val="fr-FR"/>
        </w:rPr>
        <w:t xml:space="preserve">local </w:t>
      </w:r>
      <w:r w:rsidRPr="000E53A0">
        <w:rPr>
          <w:rFonts w:asciiTheme="minorHAnsi" w:hAnsiTheme="minorHAnsi" w:cstheme="minorHAnsi"/>
          <w:iCs/>
          <w:sz w:val="20"/>
          <w:szCs w:val="20"/>
          <w:lang w:val="fr-FR"/>
        </w:rPr>
        <w:t xml:space="preserve">sera soutenu par l'utilisation du projet pour développer la capacité à mener une évaluation et une cartographie de la vulnérabilité climatique.  </w:t>
      </w:r>
    </w:p>
    <w:p w14:paraId="5AE9E7A4" w14:textId="77777777" w:rsidR="00C258C3" w:rsidRPr="000E53A0" w:rsidRDefault="00C258C3" w:rsidP="001354E3">
      <w:pPr>
        <w:rPr>
          <w:rStyle w:val="Lienhypertexte"/>
          <w:i/>
          <w:color w:val="auto"/>
          <w:szCs w:val="20"/>
          <w:u w:val="none"/>
          <w:lang w:val="fr-FR"/>
        </w:rPr>
      </w:pPr>
    </w:p>
    <w:p w14:paraId="5A6875B6" w14:textId="77777777" w:rsidR="00C258C3" w:rsidRPr="000E53A0" w:rsidRDefault="00C258C3" w:rsidP="001354E3">
      <w:pPr>
        <w:rPr>
          <w:rStyle w:val="Lienhypertexte"/>
          <w:i/>
          <w:color w:val="auto"/>
          <w:szCs w:val="20"/>
          <w:u w:val="none"/>
          <w:lang w:val="fr-FR"/>
        </w:rPr>
      </w:pPr>
    </w:p>
    <w:p w14:paraId="7478BFF9" w14:textId="77777777" w:rsidR="009F19D4" w:rsidRPr="000E53A0" w:rsidRDefault="009F19D4" w:rsidP="001354E3">
      <w:pPr>
        <w:pStyle w:val="Titre1"/>
        <w:numPr>
          <w:ilvl w:val="0"/>
          <w:numId w:val="0"/>
        </w:numPr>
        <w:spacing w:before="0" w:after="0"/>
        <w:rPr>
          <w:rFonts w:cs="Segoe UI"/>
          <w:color w:val="000000"/>
          <w:lang w:val="fr-FR"/>
        </w:rPr>
        <w:sectPr w:rsidR="009F19D4" w:rsidRPr="000E53A0" w:rsidSect="000B3D4F">
          <w:pgSz w:w="12240" w:h="15840" w:code="1"/>
          <w:pgMar w:top="1440" w:right="1440" w:bottom="1440" w:left="1440" w:header="720" w:footer="432" w:gutter="0"/>
          <w:cols w:space="708"/>
          <w:titlePg/>
          <w:docGrid w:linePitch="360"/>
        </w:sectPr>
      </w:pPr>
      <w:bookmarkStart w:id="39" w:name="_Toc207800912"/>
    </w:p>
    <w:p w14:paraId="5769B322" w14:textId="77777777" w:rsidR="00601D9B" w:rsidRDefault="000E53A0">
      <w:pPr>
        <w:pStyle w:val="Titre1"/>
        <w:spacing w:before="0" w:after="60"/>
        <w:rPr>
          <w:rFonts w:ascii="Calibri" w:hAnsi="Calibri"/>
          <w:szCs w:val="28"/>
        </w:rPr>
      </w:pPr>
      <w:bookmarkStart w:id="40" w:name="_Toc46749080"/>
      <w:r w:rsidRPr="0003763F">
        <w:rPr>
          <w:rFonts w:ascii="Calibri" w:hAnsi="Calibri"/>
          <w:szCs w:val="28"/>
        </w:rPr>
        <w:lastRenderedPageBreak/>
        <w:t xml:space="preserve">Cadre des résultats du projet </w:t>
      </w:r>
      <w:bookmarkEnd w:id="40"/>
    </w:p>
    <w:p w14:paraId="0D0A0CFA" w14:textId="77777777" w:rsidR="000A013F" w:rsidRDefault="000A013F" w:rsidP="00FD449E">
      <w:pPr>
        <w:rPr>
          <w:rFonts w:asciiTheme="minorHAnsi" w:hAnsiTheme="minorHAnsi" w:cstheme="minorHAnsi"/>
          <w:i/>
          <w:szCs w:val="20"/>
        </w:rPr>
      </w:pPr>
    </w:p>
    <w:p w14:paraId="55A07C54" w14:textId="77777777" w:rsidR="00D357B9" w:rsidRPr="00FD449E" w:rsidRDefault="00D357B9" w:rsidP="00D357B9">
      <w:pPr>
        <w:rPr>
          <w:rFonts w:asciiTheme="minorHAnsi" w:hAnsiTheme="minorHAnsi" w:cstheme="minorHAnsi"/>
          <w:i/>
          <w:szCs w:val="20"/>
        </w:rPr>
      </w:pPr>
      <w:bookmarkStart w:id="41" w:name="_Hlk82677629"/>
    </w:p>
    <w:tbl>
      <w:tblPr>
        <w:tblW w:w="14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5"/>
        <w:gridCol w:w="4230"/>
        <w:gridCol w:w="2160"/>
        <w:gridCol w:w="2520"/>
        <w:gridCol w:w="2903"/>
      </w:tblGrid>
      <w:tr w:rsidR="00D357B9" w:rsidRPr="000E53A0" w14:paraId="479B5AE3" w14:textId="77777777" w:rsidTr="000E53A0">
        <w:trPr>
          <w:trHeight w:val="305"/>
        </w:trPr>
        <w:tc>
          <w:tcPr>
            <w:tcW w:w="14418" w:type="dxa"/>
            <w:gridSpan w:val="5"/>
            <w:shd w:val="pct12" w:color="auto" w:fill="auto"/>
          </w:tcPr>
          <w:p w14:paraId="08CE947C" w14:textId="77777777" w:rsidR="00601D9B" w:rsidRPr="000E53A0" w:rsidRDefault="000E53A0">
            <w:pPr>
              <w:rPr>
                <w:i/>
                <w:sz w:val="18"/>
                <w:szCs w:val="18"/>
                <w:lang w:val="fr-FR"/>
              </w:rPr>
            </w:pPr>
            <w:r w:rsidRPr="000E53A0">
              <w:rPr>
                <w:b/>
                <w:sz w:val="18"/>
                <w:szCs w:val="18"/>
                <w:lang w:val="fr-FR"/>
              </w:rPr>
              <w:t xml:space="preserve">Ce projet contribuera à l'objectif de développement durable suivant : </w:t>
            </w:r>
          </w:p>
          <w:p w14:paraId="78231716" w14:textId="77777777" w:rsidR="00601D9B" w:rsidRPr="000E53A0" w:rsidRDefault="000E53A0">
            <w:pPr>
              <w:pStyle w:val="Paragraphedeliste"/>
              <w:numPr>
                <w:ilvl w:val="0"/>
                <w:numId w:val="68"/>
              </w:numPr>
              <w:jc w:val="both"/>
              <w:rPr>
                <w:rFonts w:asciiTheme="minorHAnsi" w:hAnsiTheme="minorHAnsi" w:cstheme="minorHAnsi"/>
                <w:bCs/>
                <w:sz w:val="18"/>
                <w:szCs w:val="18"/>
                <w:lang w:val="fr-FR"/>
              </w:rPr>
            </w:pPr>
            <w:r w:rsidRPr="000E53A0">
              <w:rPr>
                <w:rFonts w:asciiTheme="minorHAnsi" w:hAnsiTheme="minorHAnsi" w:cstheme="minorHAnsi"/>
                <w:bCs/>
                <w:sz w:val="18"/>
                <w:szCs w:val="18"/>
                <w:lang w:val="fr-FR"/>
              </w:rPr>
              <w:t xml:space="preserve">ODD1 : Mettre fin à la pauvreté sous toutes ses formes et partout dans le monde. </w:t>
            </w:r>
          </w:p>
          <w:p w14:paraId="7539901D" w14:textId="77777777" w:rsidR="00601D9B" w:rsidRPr="000E53A0" w:rsidRDefault="000E53A0">
            <w:pPr>
              <w:pStyle w:val="Paragraphedeliste"/>
              <w:numPr>
                <w:ilvl w:val="0"/>
                <w:numId w:val="68"/>
              </w:numPr>
              <w:jc w:val="both"/>
              <w:rPr>
                <w:rFonts w:asciiTheme="minorHAnsi" w:hAnsiTheme="minorHAnsi" w:cstheme="minorHAnsi"/>
                <w:bCs/>
                <w:sz w:val="18"/>
                <w:szCs w:val="18"/>
                <w:lang w:val="fr-FR"/>
              </w:rPr>
            </w:pPr>
            <w:r w:rsidRPr="000E53A0">
              <w:rPr>
                <w:rFonts w:asciiTheme="minorHAnsi" w:hAnsiTheme="minorHAnsi" w:cstheme="minorHAnsi"/>
                <w:bCs/>
                <w:sz w:val="18"/>
                <w:szCs w:val="18"/>
                <w:lang w:val="fr-FR"/>
              </w:rPr>
              <w:t>ODD 5 : Assurer l'égalité des sexes et l'autonomisation de toutes les femmes et les filles</w:t>
            </w:r>
          </w:p>
          <w:p w14:paraId="3C5AA2BE" w14:textId="77777777" w:rsidR="00601D9B" w:rsidRPr="000E53A0" w:rsidRDefault="000E53A0">
            <w:pPr>
              <w:pStyle w:val="Paragraphedeliste"/>
              <w:numPr>
                <w:ilvl w:val="0"/>
                <w:numId w:val="68"/>
              </w:numPr>
              <w:jc w:val="both"/>
              <w:rPr>
                <w:rFonts w:asciiTheme="minorHAnsi" w:hAnsiTheme="minorHAnsi" w:cstheme="minorHAnsi"/>
                <w:bCs/>
                <w:sz w:val="18"/>
                <w:szCs w:val="18"/>
                <w:lang w:val="fr-FR"/>
              </w:rPr>
            </w:pPr>
            <w:r w:rsidRPr="000E53A0">
              <w:rPr>
                <w:rFonts w:asciiTheme="minorHAnsi" w:hAnsiTheme="minorHAnsi" w:cstheme="minorHAnsi"/>
                <w:bCs/>
                <w:sz w:val="18"/>
                <w:szCs w:val="18"/>
                <w:lang w:val="fr-FR"/>
              </w:rPr>
              <w:t>SDG13 : Prendre des mesures urgentes pour lutter contre le changement climatique et ses impacts</w:t>
            </w:r>
          </w:p>
          <w:p w14:paraId="7C2236C0" w14:textId="77777777" w:rsidR="00601D9B" w:rsidRPr="000E53A0" w:rsidRDefault="000E53A0">
            <w:pPr>
              <w:pStyle w:val="Paragraphedeliste"/>
              <w:numPr>
                <w:ilvl w:val="0"/>
                <w:numId w:val="68"/>
              </w:numPr>
              <w:jc w:val="both"/>
              <w:rPr>
                <w:rFonts w:asciiTheme="minorHAnsi" w:hAnsiTheme="minorHAnsi" w:cstheme="minorHAnsi"/>
                <w:bCs/>
                <w:sz w:val="18"/>
                <w:szCs w:val="18"/>
                <w:lang w:val="fr-FR"/>
              </w:rPr>
            </w:pPr>
            <w:r w:rsidRPr="000E53A0">
              <w:rPr>
                <w:rFonts w:asciiTheme="minorHAnsi" w:hAnsiTheme="minorHAnsi" w:cstheme="minorHAnsi"/>
                <w:bCs/>
                <w:sz w:val="18"/>
                <w:szCs w:val="18"/>
                <w:lang w:val="fr-FR"/>
              </w:rPr>
              <w:t>ODD 15 : Protéger, restaurer et promouvoir l'utilisation durable des écosystèmes terrestres, gérer durablement les forêts, lutter contre la désertification, et stopper et inverser la dégradation des terres et mettre fin à la perte de biodiversité (Cible 15.3 : D'ici 2030, lutter contre la désertification, restaurer les terres et les sols dégradés, y compris les terres touchées par la désertification, la sécheresse et les inondations, et s'efforcer de parvenir à un monde sans dégradation des terres).</w:t>
            </w:r>
          </w:p>
        </w:tc>
      </w:tr>
      <w:tr w:rsidR="00D357B9" w:rsidRPr="000E53A0" w14:paraId="7F6ADE6B" w14:textId="77777777" w:rsidTr="000E53A0">
        <w:trPr>
          <w:trHeight w:val="287"/>
        </w:trPr>
        <w:tc>
          <w:tcPr>
            <w:tcW w:w="14418" w:type="dxa"/>
            <w:gridSpan w:val="5"/>
            <w:shd w:val="pct12" w:color="auto" w:fill="auto"/>
          </w:tcPr>
          <w:p w14:paraId="2DFA891D" w14:textId="77777777" w:rsidR="00601D9B" w:rsidRPr="000E53A0" w:rsidRDefault="000E53A0">
            <w:pPr>
              <w:rPr>
                <w:b/>
                <w:szCs w:val="20"/>
                <w:lang w:val="fr-FR"/>
              </w:rPr>
            </w:pPr>
            <w:r w:rsidRPr="000E53A0">
              <w:rPr>
                <w:b/>
                <w:bCs/>
                <w:sz w:val="18"/>
                <w:szCs w:val="18"/>
                <w:lang w:val="fr-FR"/>
              </w:rPr>
              <w:t xml:space="preserve">Ce projet contribuera à l'objectif national suivant (UNDAF/CPD, RPD, GPD) : </w:t>
            </w:r>
            <w:r w:rsidRPr="000E53A0">
              <w:rPr>
                <w:bCs/>
                <w:i/>
                <w:sz w:val="18"/>
                <w:szCs w:val="18"/>
                <w:highlight w:val="yellow"/>
                <w:lang w:val="fr-FR"/>
              </w:rPr>
              <w:t>copiez l'objectif pertinent ici.</w:t>
            </w:r>
          </w:p>
        </w:tc>
      </w:tr>
      <w:tr w:rsidR="00D357B9" w:rsidRPr="000E53A0" w14:paraId="3EF37D8E" w14:textId="77777777" w:rsidTr="000E53A0">
        <w:trPr>
          <w:trHeight w:val="544"/>
        </w:trPr>
        <w:tc>
          <w:tcPr>
            <w:tcW w:w="2605" w:type="dxa"/>
            <w:shd w:val="pct12" w:color="auto" w:fill="auto"/>
          </w:tcPr>
          <w:p w14:paraId="41E3BA9D" w14:textId="77777777" w:rsidR="00D357B9" w:rsidRPr="000E53A0" w:rsidRDefault="00D357B9" w:rsidP="000E53A0">
            <w:pPr>
              <w:jc w:val="center"/>
              <w:rPr>
                <w:b/>
                <w:bCs/>
                <w:sz w:val="18"/>
                <w:szCs w:val="18"/>
                <w:lang w:val="fr-FR"/>
              </w:rPr>
            </w:pPr>
          </w:p>
        </w:tc>
        <w:tc>
          <w:tcPr>
            <w:tcW w:w="4230" w:type="dxa"/>
            <w:shd w:val="pct12" w:color="auto" w:fill="auto"/>
          </w:tcPr>
          <w:p w14:paraId="587AE9BB" w14:textId="77777777" w:rsidR="00601D9B" w:rsidRPr="000E53A0" w:rsidRDefault="000E53A0">
            <w:pPr>
              <w:jc w:val="center"/>
              <w:rPr>
                <w:b/>
                <w:bCs/>
                <w:sz w:val="18"/>
                <w:szCs w:val="18"/>
                <w:lang w:val="fr-FR"/>
              </w:rPr>
            </w:pPr>
            <w:r w:rsidRPr="000E53A0">
              <w:rPr>
                <w:b/>
                <w:bCs/>
                <w:sz w:val="18"/>
                <w:szCs w:val="18"/>
                <w:lang w:val="fr-FR"/>
              </w:rPr>
              <w:t>Indicateurs d'objectifs et de résultats</w:t>
            </w:r>
          </w:p>
          <w:p w14:paraId="7E659CD2" w14:textId="77777777" w:rsidR="00601D9B" w:rsidRPr="000E53A0" w:rsidRDefault="000E53A0">
            <w:pPr>
              <w:jc w:val="center"/>
              <w:rPr>
                <w:b/>
                <w:bCs/>
                <w:sz w:val="18"/>
                <w:szCs w:val="18"/>
                <w:lang w:val="fr-FR"/>
              </w:rPr>
            </w:pPr>
            <w:r w:rsidRPr="000E53A0">
              <w:rPr>
                <w:b/>
                <w:bCs/>
                <w:sz w:val="18"/>
                <w:szCs w:val="18"/>
                <w:lang w:val="fr-FR"/>
              </w:rPr>
              <w:t>(pas plus de 20 indicateurs au total)</w:t>
            </w:r>
          </w:p>
        </w:tc>
        <w:tc>
          <w:tcPr>
            <w:tcW w:w="2160" w:type="dxa"/>
            <w:shd w:val="pct12" w:color="auto" w:fill="auto"/>
          </w:tcPr>
          <w:p w14:paraId="1B3E2817" w14:textId="77777777" w:rsidR="00601D9B" w:rsidRDefault="000E53A0">
            <w:pPr>
              <w:jc w:val="center"/>
              <w:rPr>
                <w:b/>
                <w:bCs/>
                <w:sz w:val="18"/>
                <w:szCs w:val="18"/>
              </w:rPr>
            </w:pPr>
            <w:r w:rsidRPr="00520A61">
              <w:rPr>
                <w:b/>
                <w:bCs/>
                <w:sz w:val="18"/>
                <w:szCs w:val="18"/>
              </w:rPr>
              <w:t xml:space="preserve">Ligne de base </w:t>
            </w:r>
          </w:p>
        </w:tc>
        <w:tc>
          <w:tcPr>
            <w:tcW w:w="2520" w:type="dxa"/>
            <w:shd w:val="pct12" w:color="auto" w:fill="auto"/>
          </w:tcPr>
          <w:p w14:paraId="3A94C150" w14:textId="77777777" w:rsidR="00601D9B" w:rsidRDefault="000E53A0">
            <w:pPr>
              <w:jc w:val="center"/>
              <w:rPr>
                <w:b/>
                <w:bCs/>
                <w:sz w:val="18"/>
                <w:szCs w:val="18"/>
              </w:rPr>
            </w:pPr>
            <w:r w:rsidRPr="00520A61">
              <w:rPr>
                <w:b/>
                <w:bCs/>
                <w:sz w:val="18"/>
                <w:szCs w:val="18"/>
              </w:rPr>
              <w:t>Objectif à moyen terme</w:t>
            </w:r>
          </w:p>
          <w:p w14:paraId="77C8F46C" w14:textId="77777777" w:rsidR="00D357B9" w:rsidRPr="00520A61" w:rsidRDefault="00D357B9" w:rsidP="00D357B9">
            <w:pPr>
              <w:jc w:val="both"/>
              <w:rPr>
                <w:b/>
                <w:bCs/>
                <w:sz w:val="18"/>
                <w:szCs w:val="18"/>
              </w:rPr>
            </w:pPr>
          </w:p>
        </w:tc>
        <w:tc>
          <w:tcPr>
            <w:tcW w:w="2903" w:type="dxa"/>
            <w:shd w:val="pct12" w:color="auto" w:fill="auto"/>
          </w:tcPr>
          <w:p w14:paraId="7355D5AF" w14:textId="77777777" w:rsidR="00601D9B" w:rsidRPr="000E53A0" w:rsidRDefault="000E53A0">
            <w:pPr>
              <w:jc w:val="center"/>
              <w:rPr>
                <w:b/>
                <w:bCs/>
                <w:sz w:val="18"/>
                <w:szCs w:val="18"/>
                <w:lang w:val="fr-FR"/>
              </w:rPr>
            </w:pPr>
            <w:r w:rsidRPr="000E53A0">
              <w:rPr>
                <w:b/>
                <w:bCs/>
                <w:sz w:val="18"/>
                <w:szCs w:val="18"/>
                <w:lang w:val="fr-FR"/>
              </w:rPr>
              <w:t>Objectif de fin de projet</w:t>
            </w:r>
          </w:p>
        </w:tc>
      </w:tr>
      <w:tr w:rsidR="00234CD6" w:rsidRPr="000E53A0" w14:paraId="69EA59C9" w14:textId="77777777" w:rsidTr="000E53A0">
        <w:trPr>
          <w:trHeight w:val="665"/>
        </w:trPr>
        <w:tc>
          <w:tcPr>
            <w:tcW w:w="2605" w:type="dxa"/>
            <w:vMerge w:val="restart"/>
            <w:shd w:val="pct12" w:color="auto" w:fill="auto"/>
          </w:tcPr>
          <w:p w14:paraId="1E24887B" w14:textId="77777777" w:rsidR="00601D9B" w:rsidRDefault="000E53A0">
            <w:pPr>
              <w:rPr>
                <w:b/>
                <w:bCs/>
                <w:sz w:val="18"/>
                <w:szCs w:val="18"/>
              </w:rPr>
            </w:pPr>
            <w:r w:rsidRPr="0003763F">
              <w:rPr>
                <w:b/>
                <w:bCs/>
                <w:sz w:val="18"/>
                <w:szCs w:val="18"/>
              </w:rPr>
              <w:t>Objectif du projet :</w:t>
            </w:r>
          </w:p>
          <w:p w14:paraId="7A948CA1" w14:textId="77777777" w:rsidR="00234CD6" w:rsidRPr="0003763F" w:rsidRDefault="00234CD6" w:rsidP="00234CD6">
            <w:pPr>
              <w:rPr>
                <w:b/>
                <w:bCs/>
                <w:i/>
                <w:sz w:val="18"/>
                <w:szCs w:val="18"/>
              </w:rPr>
            </w:pPr>
          </w:p>
        </w:tc>
        <w:tc>
          <w:tcPr>
            <w:tcW w:w="4230" w:type="dxa"/>
          </w:tcPr>
          <w:p w14:paraId="2FE3F44D" w14:textId="77777777" w:rsidR="00601D9B" w:rsidRPr="000E53A0" w:rsidRDefault="000E53A0">
            <w:pPr>
              <w:rPr>
                <w:bCs/>
                <w:i/>
                <w:sz w:val="18"/>
                <w:szCs w:val="18"/>
                <w:lang w:val="fr-FR"/>
              </w:rPr>
            </w:pPr>
            <w:r w:rsidRPr="000E53A0">
              <w:rPr>
                <w:bCs/>
                <w:sz w:val="18"/>
                <w:szCs w:val="18"/>
                <w:u w:val="single"/>
                <w:lang w:val="fr-FR"/>
              </w:rPr>
              <w:t xml:space="preserve">Indicateur </w:t>
            </w:r>
            <w:r w:rsidRPr="000E53A0">
              <w:rPr>
                <w:b/>
                <w:bCs/>
                <w:sz w:val="18"/>
                <w:szCs w:val="18"/>
                <w:u w:val="single"/>
                <w:lang w:val="fr-FR"/>
              </w:rPr>
              <w:t xml:space="preserve">obligatoire </w:t>
            </w:r>
            <w:r w:rsidRPr="000E53A0">
              <w:rPr>
                <w:bCs/>
                <w:sz w:val="18"/>
                <w:szCs w:val="18"/>
                <w:u w:val="single"/>
                <w:lang w:val="fr-FR"/>
              </w:rPr>
              <w:t xml:space="preserve">1 : </w:t>
            </w:r>
            <w:r w:rsidRPr="000E53A0">
              <w:rPr>
                <w:bCs/>
                <w:sz w:val="18"/>
                <w:szCs w:val="18"/>
                <w:lang w:val="fr-FR"/>
              </w:rPr>
              <w:t>nombre de bénéficiaires directs du projet ventilés par sexe (personnes individuelles)</w:t>
            </w:r>
          </w:p>
        </w:tc>
        <w:tc>
          <w:tcPr>
            <w:tcW w:w="2160" w:type="dxa"/>
          </w:tcPr>
          <w:p w14:paraId="571FF288" w14:textId="77777777" w:rsidR="00601D9B" w:rsidRDefault="000E53A0">
            <w:pPr>
              <w:rPr>
                <w:bCs/>
                <w:i/>
                <w:sz w:val="18"/>
                <w:szCs w:val="18"/>
              </w:rPr>
            </w:pPr>
            <w:r w:rsidRPr="00D805EA">
              <w:rPr>
                <w:bCs/>
                <w:i/>
                <w:sz w:val="18"/>
                <w:szCs w:val="18"/>
              </w:rPr>
              <w:t>0</w:t>
            </w:r>
          </w:p>
        </w:tc>
        <w:tc>
          <w:tcPr>
            <w:tcW w:w="2520" w:type="dxa"/>
          </w:tcPr>
          <w:p w14:paraId="7FA82CF6" w14:textId="77777777" w:rsidR="00601D9B" w:rsidRDefault="000E53A0">
            <w:pPr>
              <w:rPr>
                <w:bCs/>
                <w:iCs/>
                <w:sz w:val="18"/>
                <w:szCs w:val="18"/>
              </w:rPr>
            </w:pPr>
            <w:r w:rsidRPr="00024B2A">
              <w:rPr>
                <w:bCs/>
                <w:iCs/>
                <w:sz w:val="18"/>
                <w:szCs w:val="18"/>
              </w:rPr>
              <w:t>8 100 femmes</w:t>
            </w:r>
          </w:p>
          <w:p w14:paraId="71D1C63C" w14:textId="77777777" w:rsidR="00601D9B" w:rsidRDefault="000E53A0">
            <w:pPr>
              <w:rPr>
                <w:bCs/>
                <w:iCs/>
                <w:sz w:val="18"/>
                <w:szCs w:val="18"/>
                <w:highlight w:val="yellow"/>
              </w:rPr>
            </w:pPr>
            <w:r w:rsidRPr="00024B2A">
              <w:rPr>
                <w:bCs/>
                <w:iCs/>
                <w:sz w:val="18"/>
                <w:szCs w:val="18"/>
              </w:rPr>
              <w:t>5 400 hommes</w:t>
            </w:r>
          </w:p>
        </w:tc>
        <w:tc>
          <w:tcPr>
            <w:tcW w:w="2903" w:type="dxa"/>
          </w:tcPr>
          <w:p w14:paraId="17AEE928" w14:textId="77777777" w:rsidR="00601D9B" w:rsidRPr="000E53A0" w:rsidRDefault="000E53A0">
            <w:pPr>
              <w:rPr>
                <w:bCs/>
                <w:iCs/>
                <w:sz w:val="18"/>
                <w:szCs w:val="18"/>
                <w:lang w:val="fr-FR"/>
              </w:rPr>
            </w:pPr>
            <w:r w:rsidRPr="000E53A0">
              <w:rPr>
                <w:bCs/>
                <w:iCs/>
                <w:sz w:val="18"/>
                <w:szCs w:val="18"/>
                <w:lang w:val="fr-FR"/>
              </w:rPr>
              <w:t xml:space="preserve">27.000 </w:t>
            </w:r>
            <w:r w:rsidR="00234CD6" w:rsidRPr="000E53A0">
              <w:rPr>
                <w:bCs/>
                <w:iCs/>
                <w:sz w:val="18"/>
                <w:szCs w:val="18"/>
                <w:lang w:val="fr-FR"/>
              </w:rPr>
              <w:t xml:space="preserve">dont 60% de </w:t>
            </w:r>
            <w:commentRangeStart w:id="42"/>
            <w:r w:rsidR="00234CD6" w:rsidRPr="000E53A0">
              <w:rPr>
                <w:bCs/>
                <w:iCs/>
                <w:sz w:val="18"/>
                <w:szCs w:val="18"/>
                <w:lang w:val="fr-FR"/>
              </w:rPr>
              <w:t xml:space="preserve">femmes </w:t>
            </w:r>
            <w:commentRangeEnd w:id="42"/>
            <w:r w:rsidR="00234CD6" w:rsidRPr="00024B2A">
              <w:rPr>
                <w:rStyle w:val="Marquedecommentaire"/>
                <w:iCs/>
              </w:rPr>
              <w:commentReference w:id="42"/>
            </w:r>
          </w:p>
          <w:p w14:paraId="2C3352AA" w14:textId="77777777" w:rsidR="00601D9B" w:rsidRPr="000E53A0" w:rsidRDefault="000E53A0">
            <w:pPr>
              <w:rPr>
                <w:bCs/>
                <w:iCs/>
                <w:sz w:val="18"/>
                <w:szCs w:val="18"/>
                <w:lang w:val="fr-FR"/>
              </w:rPr>
            </w:pPr>
            <w:r w:rsidRPr="000E53A0">
              <w:rPr>
                <w:bCs/>
                <w:iCs/>
                <w:sz w:val="18"/>
                <w:szCs w:val="18"/>
                <w:lang w:val="fr-FR"/>
              </w:rPr>
              <w:t>16 200 femmes</w:t>
            </w:r>
          </w:p>
          <w:p w14:paraId="47F700E6" w14:textId="77777777" w:rsidR="00601D9B" w:rsidRPr="000E53A0" w:rsidRDefault="000E53A0">
            <w:pPr>
              <w:rPr>
                <w:bCs/>
                <w:iCs/>
                <w:sz w:val="18"/>
                <w:szCs w:val="18"/>
                <w:highlight w:val="yellow"/>
                <w:lang w:val="fr-FR"/>
              </w:rPr>
            </w:pPr>
            <w:r w:rsidRPr="000E53A0">
              <w:rPr>
                <w:bCs/>
                <w:iCs/>
                <w:sz w:val="18"/>
                <w:szCs w:val="18"/>
                <w:lang w:val="fr-FR"/>
              </w:rPr>
              <w:t>10 800 hommes</w:t>
            </w:r>
          </w:p>
        </w:tc>
      </w:tr>
      <w:tr w:rsidR="000B0278" w:rsidRPr="0003763F" w14:paraId="6ED6B64C" w14:textId="77777777" w:rsidTr="000E53A0">
        <w:trPr>
          <w:trHeight w:val="1457"/>
        </w:trPr>
        <w:tc>
          <w:tcPr>
            <w:tcW w:w="2605" w:type="dxa"/>
            <w:vMerge/>
            <w:shd w:val="pct12" w:color="auto" w:fill="auto"/>
          </w:tcPr>
          <w:p w14:paraId="5E8352E1" w14:textId="77777777" w:rsidR="000B0278" w:rsidRPr="000E53A0" w:rsidRDefault="000B0278" w:rsidP="000B0278">
            <w:pPr>
              <w:rPr>
                <w:b/>
                <w:bCs/>
                <w:sz w:val="18"/>
                <w:szCs w:val="18"/>
                <w:lang w:val="fr-FR"/>
              </w:rPr>
            </w:pPr>
          </w:p>
        </w:tc>
        <w:tc>
          <w:tcPr>
            <w:tcW w:w="4230" w:type="dxa"/>
          </w:tcPr>
          <w:p w14:paraId="6F0F59ED" w14:textId="77777777" w:rsidR="00601D9B" w:rsidRPr="000E53A0" w:rsidRDefault="000E53A0">
            <w:pPr>
              <w:rPr>
                <w:rFonts w:asciiTheme="minorHAnsi" w:hAnsiTheme="minorHAnsi" w:cstheme="minorHAnsi"/>
                <w:sz w:val="18"/>
                <w:szCs w:val="18"/>
                <w:u w:val="single"/>
                <w:lang w:val="fr-FR"/>
              </w:rPr>
            </w:pPr>
            <w:r w:rsidRPr="000E53A0">
              <w:rPr>
                <w:rFonts w:asciiTheme="minorHAnsi" w:hAnsiTheme="minorHAnsi" w:cstheme="minorHAnsi"/>
                <w:bCs/>
                <w:sz w:val="18"/>
                <w:szCs w:val="18"/>
                <w:u w:val="single"/>
                <w:lang w:val="fr-FR"/>
              </w:rPr>
              <w:t xml:space="preserve">Indicateur </w:t>
            </w:r>
            <w:r w:rsidRPr="000E53A0">
              <w:rPr>
                <w:rFonts w:asciiTheme="minorHAnsi" w:hAnsiTheme="minorHAnsi" w:cstheme="minorHAnsi"/>
                <w:b/>
                <w:bCs/>
                <w:sz w:val="18"/>
                <w:szCs w:val="18"/>
                <w:u w:val="single"/>
                <w:lang w:val="fr-FR"/>
              </w:rPr>
              <w:t xml:space="preserve">obligatoire </w:t>
            </w:r>
            <w:r w:rsidRPr="000E53A0">
              <w:rPr>
                <w:rFonts w:asciiTheme="minorHAnsi" w:hAnsiTheme="minorHAnsi" w:cstheme="minorHAnsi"/>
                <w:bCs/>
                <w:sz w:val="18"/>
                <w:szCs w:val="18"/>
                <w:u w:val="single"/>
                <w:lang w:val="fr-FR"/>
              </w:rPr>
              <w:t xml:space="preserve">2 </w:t>
            </w:r>
            <w:r w:rsidRPr="000E53A0">
              <w:rPr>
                <w:rFonts w:asciiTheme="minorHAnsi" w:hAnsiTheme="minorHAnsi" w:cstheme="minorHAnsi"/>
                <w:bCs/>
                <w:sz w:val="18"/>
                <w:szCs w:val="18"/>
                <w:lang w:val="fr-FR"/>
              </w:rPr>
              <w:t>: nombre de bénéficiaires indirects du projet ventilés par sexe (personnes individuelles)</w:t>
            </w:r>
          </w:p>
        </w:tc>
        <w:tc>
          <w:tcPr>
            <w:tcW w:w="2160" w:type="dxa"/>
          </w:tcPr>
          <w:p w14:paraId="3AF9D149" w14:textId="77777777" w:rsidR="00601D9B" w:rsidRDefault="000E53A0">
            <w:pPr>
              <w:rPr>
                <w:bCs/>
                <w:i/>
                <w:sz w:val="18"/>
                <w:szCs w:val="18"/>
              </w:rPr>
            </w:pPr>
            <w:r w:rsidRPr="00D805EA">
              <w:rPr>
                <w:rFonts w:asciiTheme="minorHAnsi" w:hAnsiTheme="minorHAnsi" w:cstheme="minorHAnsi"/>
                <w:bCs/>
                <w:sz w:val="18"/>
                <w:szCs w:val="18"/>
              </w:rPr>
              <w:t>0</w:t>
            </w:r>
          </w:p>
        </w:tc>
        <w:tc>
          <w:tcPr>
            <w:tcW w:w="2520" w:type="dxa"/>
          </w:tcPr>
          <w:p w14:paraId="1CDE9E7C" w14:textId="77777777" w:rsidR="00601D9B" w:rsidRDefault="000E53A0">
            <w:pPr>
              <w:rPr>
                <w:rFonts w:asciiTheme="minorHAnsi" w:hAnsiTheme="minorHAnsi" w:cstheme="minorHAnsi"/>
                <w:bCs/>
                <w:sz w:val="18"/>
                <w:szCs w:val="18"/>
              </w:rPr>
            </w:pPr>
            <w:r>
              <w:rPr>
                <w:rFonts w:asciiTheme="minorHAnsi" w:hAnsiTheme="minorHAnsi" w:cstheme="minorHAnsi"/>
                <w:bCs/>
                <w:sz w:val="18"/>
                <w:szCs w:val="18"/>
              </w:rPr>
              <w:t xml:space="preserve">18 </w:t>
            </w:r>
            <w:r w:rsidRPr="00AE2E57">
              <w:rPr>
                <w:rFonts w:asciiTheme="minorHAnsi" w:hAnsiTheme="minorHAnsi" w:cstheme="minorHAnsi"/>
                <w:bCs/>
                <w:sz w:val="18"/>
                <w:szCs w:val="18"/>
              </w:rPr>
              <w:t xml:space="preserve">250 </w:t>
            </w:r>
            <w:r>
              <w:rPr>
                <w:rFonts w:asciiTheme="minorHAnsi" w:hAnsiTheme="minorHAnsi" w:cstheme="minorHAnsi"/>
                <w:bCs/>
                <w:sz w:val="18"/>
                <w:szCs w:val="18"/>
              </w:rPr>
              <w:t>hommes</w:t>
            </w:r>
          </w:p>
          <w:p w14:paraId="2372C108" w14:textId="77777777" w:rsidR="00601D9B" w:rsidRDefault="000E53A0">
            <w:pPr>
              <w:rPr>
                <w:bCs/>
                <w:i/>
                <w:sz w:val="18"/>
                <w:szCs w:val="18"/>
                <w:lang w:val="fr-FR"/>
              </w:rPr>
            </w:pPr>
            <w:r>
              <w:rPr>
                <w:rFonts w:asciiTheme="minorHAnsi" w:hAnsiTheme="minorHAnsi" w:cstheme="minorHAnsi"/>
                <w:bCs/>
                <w:sz w:val="18"/>
                <w:szCs w:val="18"/>
              </w:rPr>
              <w:t xml:space="preserve">18 </w:t>
            </w:r>
            <w:r w:rsidRPr="00AE2E57">
              <w:rPr>
                <w:rFonts w:asciiTheme="minorHAnsi" w:hAnsiTheme="minorHAnsi" w:cstheme="minorHAnsi"/>
                <w:bCs/>
                <w:sz w:val="18"/>
                <w:szCs w:val="18"/>
              </w:rPr>
              <w:t xml:space="preserve">250 </w:t>
            </w:r>
            <w:r>
              <w:rPr>
                <w:rFonts w:asciiTheme="minorHAnsi" w:hAnsiTheme="minorHAnsi" w:cstheme="minorHAnsi"/>
                <w:bCs/>
                <w:sz w:val="18"/>
                <w:szCs w:val="18"/>
              </w:rPr>
              <w:t>femmes</w:t>
            </w:r>
          </w:p>
        </w:tc>
        <w:tc>
          <w:tcPr>
            <w:tcW w:w="2903" w:type="dxa"/>
          </w:tcPr>
          <w:p w14:paraId="04641C69" w14:textId="77777777" w:rsidR="00601D9B" w:rsidRDefault="000E53A0">
            <w:pPr>
              <w:rPr>
                <w:rFonts w:asciiTheme="minorHAnsi" w:hAnsiTheme="minorHAnsi" w:cstheme="minorHAnsi"/>
                <w:bCs/>
                <w:sz w:val="18"/>
                <w:szCs w:val="18"/>
              </w:rPr>
            </w:pPr>
            <w:r>
              <w:rPr>
                <w:rFonts w:asciiTheme="minorHAnsi" w:hAnsiTheme="minorHAnsi" w:cstheme="minorHAnsi"/>
                <w:bCs/>
                <w:sz w:val="18"/>
                <w:szCs w:val="18"/>
              </w:rPr>
              <w:t xml:space="preserve">36 </w:t>
            </w:r>
            <w:r w:rsidRPr="00AE2E57">
              <w:rPr>
                <w:rFonts w:asciiTheme="minorHAnsi" w:hAnsiTheme="minorHAnsi" w:cstheme="minorHAnsi"/>
                <w:bCs/>
                <w:sz w:val="18"/>
                <w:szCs w:val="18"/>
              </w:rPr>
              <w:t xml:space="preserve">500 </w:t>
            </w:r>
            <w:r>
              <w:rPr>
                <w:rFonts w:asciiTheme="minorHAnsi" w:hAnsiTheme="minorHAnsi" w:cstheme="minorHAnsi"/>
                <w:bCs/>
                <w:sz w:val="18"/>
                <w:szCs w:val="18"/>
              </w:rPr>
              <w:t>hommes</w:t>
            </w:r>
          </w:p>
          <w:p w14:paraId="0FA2AD15" w14:textId="77777777" w:rsidR="00601D9B" w:rsidRDefault="000E53A0">
            <w:pPr>
              <w:rPr>
                <w:bCs/>
                <w:i/>
                <w:sz w:val="18"/>
                <w:szCs w:val="18"/>
                <w:lang w:val="fr-FR"/>
              </w:rPr>
            </w:pPr>
            <w:r>
              <w:rPr>
                <w:rFonts w:asciiTheme="minorHAnsi" w:hAnsiTheme="minorHAnsi" w:cstheme="minorHAnsi"/>
                <w:bCs/>
                <w:sz w:val="18"/>
                <w:szCs w:val="18"/>
              </w:rPr>
              <w:t xml:space="preserve">36 </w:t>
            </w:r>
            <w:r w:rsidRPr="00AE2E57">
              <w:rPr>
                <w:rFonts w:asciiTheme="minorHAnsi" w:hAnsiTheme="minorHAnsi" w:cstheme="minorHAnsi"/>
                <w:bCs/>
                <w:sz w:val="18"/>
                <w:szCs w:val="18"/>
              </w:rPr>
              <w:t xml:space="preserve">500 </w:t>
            </w:r>
            <w:r>
              <w:rPr>
                <w:rFonts w:asciiTheme="minorHAnsi" w:hAnsiTheme="minorHAnsi" w:cstheme="minorHAnsi"/>
                <w:bCs/>
                <w:sz w:val="18"/>
                <w:szCs w:val="18"/>
              </w:rPr>
              <w:t>femmes</w:t>
            </w:r>
          </w:p>
        </w:tc>
      </w:tr>
      <w:tr w:rsidR="000B0278" w:rsidRPr="0003763F" w14:paraId="6199B217" w14:textId="77777777" w:rsidTr="000E53A0">
        <w:trPr>
          <w:trHeight w:val="1457"/>
        </w:trPr>
        <w:tc>
          <w:tcPr>
            <w:tcW w:w="2605" w:type="dxa"/>
            <w:vMerge/>
            <w:shd w:val="pct12" w:color="auto" w:fill="auto"/>
          </w:tcPr>
          <w:p w14:paraId="3E1C803D" w14:textId="77777777" w:rsidR="000B0278" w:rsidRPr="0003763F" w:rsidRDefault="000B0278" w:rsidP="000B0278">
            <w:pPr>
              <w:rPr>
                <w:b/>
                <w:bCs/>
                <w:sz w:val="18"/>
                <w:szCs w:val="18"/>
              </w:rPr>
            </w:pPr>
          </w:p>
        </w:tc>
        <w:tc>
          <w:tcPr>
            <w:tcW w:w="4230" w:type="dxa"/>
          </w:tcPr>
          <w:p w14:paraId="66707D19" w14:textId="77777777" w:rsidR="00601D9B" w:rsidRPr="000E53A0" w:rsidRDefault="000E53A0">
            <w:pPr>
              <w:rPr>
                <w:rFonts w:asciiTheme="minorHAnsi" w:hAnsiTheme="minorHAnsi" w:cstheme="minorHAnsi"/>
                <w:sz w:val="18"/>
                <w:szCs w:val="18"/>
                <w:u w:val="single"/>
                <w:lang w:val="fr-FR"/>
              </w:rPr>
            </w:pPr>
            <w:r w:rsidRPr="000E53A0">
              <w:rPr>
                <w:rFonts w:asciiTheme="minorHAnsi" w:hAnsiTheme="minorHAnsi" w:cstheme="minorHAnsi"/>
                <w:sz w:val="18"/>
                <w:szCs w:val="18"/>
                <w:u w:val="single"/>
                <w:lang w:val="fr-FR"/>
              </w:rPr>
              <w:t xml:space="preserve">Indicateurs de base obligatoires du FEM : </w:t>
            </w:r>
          </w:p>
          <w:p w14:paraId="047C193A" w14:textId="77777777" w:rsidR="00601D9B" w:rsidRPr="000E53A0" w:rsidRDefault="000E53A0">
            <w:pPr>
              <w:rPr>
                <w:rFonts w:asciiTheme="minorHAnsi" w:hAnsiTheme="minorHAnsi" w:cstheme="minorHAnsi"/>
                <w:sz w:val="18"/>
                <w:szCs w:val="18"/>
                <w:u w:val="single"/>
                <w:lang w:val="fr-FR"/>
              </w:rPr>
            </w:pPr>
            <w:r w:rsidRPr="000E53A0">
              <w:rPr>
                <w:rFonts w:asciiTheme="minorHAnsi" w:hAnsiTheme="minorHAnsi" w:cstheme="minorHAnsi"/>
                <w:sz w:val="18"/>
                <w:szCs w:val="18"/>
                <w:lang w:val="fr-FR"/>
              </w:rPr>
              <w:t>Superficie des terres restaurées (</w:t>
            </w:r>
            <w:r w:rsidRPr="000E53A0">
              <w:rPr>
                <w:rFonts w:asciiTheme="minorHAnsi" w:hAnsiTheme="minorHAnsi" w:cstheme="minorHAnsi"/>
                <w:color w:val="000000"/>
                <w:sz w:val="18"/>
                <w:szCs w:val="18"/>
                <w:lang w:val="fr-FR"/>
              </w:rPr>
              <w:t>Hectares)</w:t>
            </w:r>
          </w:p>
          <w:p w14:paraId="27E08430" w14:textId="77777777" w:rsidR="00601D9B" w:rsidRPr="000E53A0" w:rsidRDefault="000E53A0">
            <w:pPr>
              <w:pStyle w:val="Paragraphedeliste"/>
              <w:numPr>
                <w:ilvl w:val="1"/>
                <w:numId w:val="65"/>
              </w:numPr>
              <w:rPr>
                <w:rFonts w:asciiTheme="minorHAnsi" w:hAnsiTheme="minorHAnsi" w:cstheme="minorHAnsi"/>
                <w:i/>
                <w:iCs/>
                <w:color w:val="000000" w:themeColor="text1"/>
                <w:sz w:val="18"/>
                <w:szCs w:val="18"/>
                <w:lang w:val="fr-FR"/>
              </w:rPr>
            </w:pPr>
            <w:r w:rsidRPr="000E53A0">
              <w:rPr>
                <w:rFonts w:asciiTheme="minorHAnsi" w:hAnsiTheme="minorHAnsi" w:cstheme="minorHAnsi"/>
                <w:i/>
                <w:iCs/>
                <w:color w:val="000000" w:themeColor="text1"/>
                <w:sz w:val="18"/>
                <w:szCs w:val="18"/>
                <w:lang w:val="fr-FR"/>
              </w:rPr>
              <w:t>Superficie des terres agricoles dégradées restaurées</w:t>
            </w:r>
          </w:p>
          <w:p w14:paraId="6B3BEF2A" w14:textId="77777777" w:rsidR="00601D9B" w:rsidRPr="000E53A0" w:rsidRDefault="000E53A0">
            <w:pPr>
              <w:rPr>
                <w:rFonts w:asciiTheme="minorHAnsi" w:hAnsiTheme="minorHAnsi" w:cstheme="minorHAnsi"/>
                <w:i/>
                <w:sz w:val="18"/>
                <w:szCs w:val="18"/>
                <w:highlight w:val="yellow"/>
                <w:lang w:val="fr-FR"/>
              </w:rPr>
            </w:pPr>
            <w:r w:rsidRPr="000E53A0">
              <w:rPr>
                <w:rFonts w:asciiTheme="minorHAnsi" w:hAnsiTheme="minorHAnsi" w:cstheme="minorHAnsi"/>
                <w:i/>
                <w:iCs/>
                <w:color w:val="000000" w:themeColor="text1"/>
                <w:sz w:val="18"/>
                <w:szCs w:val="18"/>
                <w:lang w:val="fr-FR"/>
              </w:rPr>
              <w:t>3.2 Superficie des forêts et des terres forestières restaurées</w:t>
            </w:r>
          </w:p>
        </w:tc>
        <w:tc>
          <w:tcPr>
            <w:tcW w:w="2160" w:type="dxa"/>
          </w:tcPr>
          <w:p w14:paraId="75531444" w14:textId="77777777" w:rsidR="00601D9B" w:rsidRDefault="000E53A0">
            <w:pPr>
              <w:rPr>
                <w:bCs/>
                <w:i/>
                <w:sz w:val="18"/>
                <w:szCs w:val="18"/>
              </w:rPr>
            </w:pPr>
            <w:r w:rsidRPr="00D805EA">
              <w:rPr>
                <w:bCs/>
                <w:i/>
                <w:sz w:val="18"/>
                <w:szCs w:val="18"/>
              </w:rPr>
              <w:t>0</w:t>
            </w:r>
          </w:p>
        </w:tc>
        <w:tc>
          <w:tcPr>
            <w:tcW w:w="2520" w:type="dxa"/>
          </w:tcPr>
          <w:p w14:paraId="0F3D7835" w14:textId="77777777" w:rsidR="00601D9B" w:rsidRDefault="000E53A0">
            <w:pPr>
              <w:rPr>
                <w:bCs/>
                <w:i/>
                <w:sz w:val="18"/>
                <w:szCs w:val="18"/>
                <w:highlight w:val="yellow"/>
              </w:rPr>
            </w:pPr>
            <w:r w:rsidRPr="00351D02">
              <w:rPr>
                <w:bCs/>
                <w:i/>
                <w:sz w:val="18"/>
                <w:szCs w:val="18"/>
                <w:lang w:val="fr-FR"/>
              </w:rPr>
              <w:t>14,000</w:t>
            </w:r>
          </w:p>
        </w:tc>
        <w:tc>
          <w:tcPr>
            <w:tcW w:w="2903" w:type="dxa"/>
          </w:tcPr>
          <w:p w14:paraId="44393456" w14:textId="77777777" w:rsidR="00601D9B" w:rsidRDefault="000E53A0">
            <w:pPr>
              <w:rPr>
                <w:bCs/>
                <w:i/>
                <w:sz w:val="18"/>
                <w:szCs w:val="18"/>
                <w:highlight w:val="yellow"/>
              </w:rPr>
            </w:pPr>
            <w:r w:rsidRPr="00351D02">
              <w:rPr>
                <w:bCs/>
                <w:i/>
                <w:sz w:val="18"/>
                <w:szCs w:val="18"/>
                <w:lang w:val="fr-FR"/>
              </w:rPr>
              <w:t>21,000</w:t>
            </w:r>
          </w:p>
        </w:tc>
      </w:tr>
      <w:tr w:rsidR="000B0278" w:rsidRPr="0003763F" w14:paraId="1BD82F26" w14:textId="77777777" w:rsidTr="000E53A0">
        <w:trPr>
          <w:trHeight w:val="305"/>
        </w:trPr>
        <w:tc>
          <w:tcPr>
            <w:tcW w:w="2605" w:type="dxa"/>
            <w:vMerge/>
            <w:shd w:val="pct12" w:color="auto" w:fill="auto"/>
          </w:tcPr>
          <w:p w14:paraId="6051F6F1" w14:textId="77777777" w:rsidR="000B0278" w:rsidRPr="0003763F" w:rsidRDefault="000B0278" w:rsidP="000B0278">
            <w:pPr>
              <w:rPr>
                <w:b/>
                <w:bCs/>
                <w:sz w:val="18"/>
                <w:szCs w:val="18"/>
              </w:rPr>
            </w:pPr>
          </w:p>
        </w:tc>
        <w:tc>
          <w:tcPr>
            <w:tcW w:w="4230" w:type="dxa"/>
          </w:tcPr>
          <w:p w14:paraId="437B6C8B" w14:textId="77777777" w:rsidR="00601D9B" w:rsidRPr="000E53A0" w:rsidRDefault="000E53A0">
            <w:pPr>
              <w:rPr>
                <w:rFonts w:asciiTheme="minorHAnsi" w:hAnsiTheme="minorHAnsi" w:cstheme="minorHAnsi"/>
                <w:color w:val="000000"/>
                <w:sz w:val="18"/>
                <w:szCs w:val="18"/>
                <w:lang w:val="fr-FR"/>
              </w:rPr>
            </w:pPr>
            <w:r w:rsidRPr="000E53A0">
              <w:rPr>
                <w:rFonts w:asciiTheme="minorHAnsi" w:hAnsiTheme="minorHAnsi" w:cstheme="minorHAnsi"/>
                <w:sz w:val="18"/>
                <w:szCs w:val="18"/>
                <w:lang w:val="fr-FR"/>
              </w:rPr>
              <w:t xml:space="preserve">Superficie des paysages faisant l'objet de pratiques améliorées (à l'exclusion des zones </w:t>
            </w:r>
            <w:proofErr w:type="gramStart"/>
            <w:r w:rsidRPr="000E53A0">
              <w:rPr>
                <w:rFonts w:asciiTheme="minorHAnsi" w:hAnsiTheme="minorHAnsi" w:cstheme="minorHAnsi"/>
                <w:sz w:val="18"/>
                <w:szCs w:val="18"/>
                <w:lang w:val="fr-FR"/>
              </w:rPr>
              <w:t>protégées)(</w:t>
            </w:r>
            <w:proofErr w:type="gramEnd"/>
            <w:r w:rsidRPr="000E53A0">
              <w:rPr>
                <w:rFonts w:asciiTheme="minorHAnsi" w:hAnsiTheme="minorHAnsi" w:cstheme="minorHAnsi"/>
                <w:color w:val="000000"/>
                <w:sz w:val="18"/>
                <w:szCs w:val="18"/>
                <w:lang w:val="fr-FR"/>
              </w:rPr>
              <w:t>Hectares)</w:t>
            </w:r>
          </w:p>
          <w:p w14:paraId="70FFE709" w14:textId="77777777" w:rsidR="00601D9B" w:rsidRPr="000E53A0" w:rsidRDefault="000E53A0">
            <w:pPr>
              <w:spacing w:before="20" w:after="20"/>
              <w:rPr>
                <w:rFonts w:asciiTheme="minorHAnsi" w:hAnsiTheme="minorHAnsi" w:cstheme="minorHAnsi"/>
                <w:i/>
                <w:iCs/>
                <w:color w:val="000000" w:themeColor="text1"/>
                <w:sz w:val="18"/>
                <w:szCs w:val="18"/>
                <w:lang w:val="fr-FR"/>
              </w:rPr>
            </w:pPr>
            <w:r w:rsidRPr="000E53A0">
              <w:rPr>
                <w:rFonts w:asciiTheme="minorHAnsi" w:hAnsiTheme="minorHAnsi" w:cstheme="minorHAnsi"/>
                <w:i/>
                <w:iCs/>
                <w:color w:val="000000" w:themeColor="text1"/>
                <w:sz w:val="18"/>
                <w:szCs w:val="18"/>
                <w:lang w:val="fr-FR"/>
              </w:rPr>
              <w:t>4.3 Superficie des paysages faisant l'objet d'une gestion durable des terres dans les systèmes de production</w:t>
            </w:r>
          </w:p>
          <w:p w14:paraId="244F3C9B" w14:textId="77777777" w:rsidR="000B0278" w:rsidRPr="000E53A0" w:rsidRDefault="000B0278" w:rsidP="000B0278">
            <w:pPr>
              <w:rPr>
                <w:rFonts w:asciiTheme="minorHAnsi" w:hAnsiTheme="minorHAnsi" w:cstheme="minorHAnsi"/>
                <w:sz w:val="18"/>
                <w:szCs w:val="18"/>
                <w:lang w:val="fr-FR"/>
              </w:rPr>
            </w:pPr>
          </w:p>
        </w:tc>
        <w:tc>
          <w:tcPr>
            <w:tcW w:w="2160" w:type="dxa"/>
          </w:tcPr>
          <w:p w14:paraId="0ED4D55C" w14:textId="77777777" w:rsidR="00601D9B" w:rsidRDefault="000E53A0">
            <w:pPr>
              <w:rPr>
                <w:bCs/>
                <w:i/>
                <w:sz w:val="18"/>
                <w:szCs w:val="18"/>
              </w:rPr>
            </w:pPr>
            <w:r w:rsidRPr="00D805EA">
              <w:rPr>
                <w:bCs/>
                <w:i/>
                <w:sz w:val="18"/>
                <w:szCs w:val="18"/>
              </w:rPr>
              <w:t>0</w:t>
            </w:r>
          </w:p>
        </w:tc>
        <w:tc>
          <w:tcPr>
            <w:tcW w:w="2520" w:type="dxa"/>
          </w:tcPr>
          <w:p w14:paraId="1609F61A" w14:textId="77777777" w:rsidR="00601D9B" w:rsidRDefault="000E53A0">
            <w:pPr>
              <w:rPr>
                <w:bCs/>
                <w:i/>
                <w:sz w:val="18"/>
                <w:szCs w:val="18"/>
                <w:highlight w:val="yellow"/>
              </w:rPr>
            </w:pPr>
            <w:r w:rsidRPr="00351D02">
              <w:rPr>
                <w:bCs/>
                <w:i/>
                <w:sz w:val="18"/>
                <w:szCs w:val="18"/>
                <w:lang w:val="fr-FR"/>
              </w:rPr>
              <w:t>10,000</w:t>
            </w:r>
          </w:p>
        </w:tc>
        <w:tc>
          <w:tcPr>
            <w:tcW w:w="2903" w:type="dxa"/>
          </w:tcPr>
          <w:p w14:paraId="17330875" w14:textId="77777777" w:rsidR="00601D9B" w:rsidRDefault="000E53A0">
            <w:pPr>
              <w:rPr>
                <w:bCs/>
                <w:i/>
                <w:sz w:val="18"/>
                <w:szCs w:val="18"/>
                <w:highlight w:val="yellow"/>
              </w:rPr>
            </w:pPr>
            <w:commentRangeStart w:id="43"/>
            <w:r w:rsidRPr="00351D02">
              <w:rPr>
                <w:bCs/>
                <w:i/>
                <w:sz w:val="18"/>
                <w:szCs w:val="18"/>
                <w:lang w:val="fr-FR"/>
              </w:rPr>
              <w:t xml:space="preserve">15,000 </w:t>
            </w:r>
            <w:commentRangeEnd w:id="43"/>
            <w:r w:rsidR="00C06398">
              <w:rPr>
                <w:rStyle w:val="Marquedecommentaire"/>
              </w:rPr>
              <w:commentReference w:id="43"/>
            </w:r>
          </w:p>
        </w:tc>
      </w:tr>
      <w:tr w:rsidR="000B0278" w:rsidRPr="0003763F" w14:paraId="36653B8A" w14:textId="77777777" w:rsidTr="000E53A0">
        <w:trPr>
          <w:trHeight w:val="350"/>
        </w:trPr>
        <w:tc>
          <w:tcPr>
            <w:tcW w:w="2605" w:type="dxa"/>
            <w:vMerge/>
            <w:shd w:val="pct12" w:color="auto" w:fill="auto"/>
          </w:tcPr>
          <w:p w14:paraId="4F957296" w14:textId="77777777" w:rsidR="000B0278" w:rsidRPr="0003763F" w:rsidRDefault="000B0278" w:rsidP="000B0278">
            <w:pPr>
              <w:rPr>
                <w:b/>
                <w:bCs/>
                <w:sz w:val="18"/>
                <w:szCs w:val="18"/>
              </w:rPr>
            </w:pPr>
          </w:p>
        </w:tc>
        <w:tc>
          <w:tcPr>
            <w:tcW w:w="4230" w:type="dxa"/>
          </w:tcPr>
          <w:p w14:paraId="3359BDA8" w14:textId="77777777" w:rsidR="00601D9B" w:rsidRPr="000E53A0" w:rsidRDefault="000E53A0">
            <w:pPr>
              <w:rPr>
                <w:rFonts w:asciiTheme="minorHAnsi" w:hAnsiTheme="minorHAnsi" w:cstheme="minorHAnsi"/>
                <w:sz w:val="18"/>
                <w:szCs w:val="18"/>
                <w:lang w:val="fr-FR"/>
              </w:rPr>
            </w:pPr>
            <w:r w:rsidRPr="000E53A0">
              <w:rPr>
                <w:rFonts w:asciiTheme="minorHAnsi" w:hAnsiTheme="minorHAnsi" w:cstheme="minorHAnsi"/>
                <w:sz w:val="18"/>
                <w:szCs w:val="18"/>
                <w:lang w:val="fr-FR"/>
              </w:rPr>
              <w:t xml:space="preserve">Émissions de gaz à effet de serre atténuées (tonnes métriques de </w:t>
            </w:r>
            <w:r w:rsidRPr="000E53A0">
              <w:rPr>
                <w:rFonts w:asciiTheme="minorHAnsi" w:hAnsiTheme="minorHAnsi" w:cstheme="minorHAnsi"/>
                <w:sz w:val="18"/>
                <w:szCs w:val="18"/>
                <w:vertAlign w:val="subscript"/>
                <w:lang w:val="fr-FR"/>
              </w:rPr>
              <w:t>CO2-equ</w:t>
            </w:r>
            <w:r w:rsidRPr="000E53A0">
              <w:rPr>
                <w:rFonts w:asciiTheme="minorHAnsi" w:hAnsiTheme="minorHAnsi" w:cstheme="minorHAnsi"/>
                <w:sz w:val="18"/>
                <w:szCs w:val="18"/>
                <w:lang w:val="fr-FR"/>
              </w:rPr>
              <w:t xml:space="preserve">)  </w:t>
            </w:r>
          </w:p>
          <w:p w14:paraId="14CDB5B8" w14:textId="77777777" w:rsidR="00601D9B" w:rsidRPr="000E53A0" w:rsidRDefault="000E53A0">
            <w:pPr>
              <w:rPr>
                <w:rFonts w:asciiTheme="minorHAnsi" w:hAnsiTheme="minorHAnsi" w:cstheme="minorHAnsi"/>
                <w:i/>
                <w:iCs/>
                <w:sz w:val="18"/>
                <w:szCs w:val="18"/>
                <w:lang w:val="fr-FR"/>
              </w:rPr>
            </w:pPr>
            <w:r w:rsidRPr="000E53A0">
              <w:rPr>
                <w:rFonts w:asciiTheme="minorHAnsi" w:hAnsiTheme="minorHAnsi" w:cstheme="minorHAnsi"/>
                <w:i/>
                <w:iCs/>
                <w:color w:val="000000" w:themeColor="text1"/>
                <w:sz w:val="18"/>
                <w:szCs w:val="18"/>
                <w:lang w:val="fr-FR"/>
              </w:rPr>
              <w:t>6.1 Carbone piégé ou émissions évitées dans le secteur de l'agriculture, de la sylviculture et des autres utilisations des terres.</w:t>
            </w:r>
          </w:p>
        </w:tc>
        <w:tc>
          <w:tcPr>
            <w:tcW w:w="2160" w:type="dxa"/>
          </w:tcPr>
          <w:p w14:paraId="32C10599" w14:textId="77777777" w:rsidR="00601D9B" w:rsidRPr="000E53A0" w:rsidRDefault="000E53A0">
            <w:pPr>
              <w:rPr>
                <w:bCs/>
                <w:i/>
                <w:sz w:val="18"/>
                <w:szCs w:val="18"/>
                <w:lang w:val="fr-FR"/>
              </w:rPr>
            </w:pPr>
            <w:commentRangeStart w:id="44"/>
            <w:commentRangeEnd w:id="44"/>
            <w:r w:rsidRPr="00D805EA">
              <w:rPr>
                <w:rStyle w:val="Marquedecommentaire"/>
              </w:rPr>
              <w:commentReference w:id="44"/>
            </w:r>
          </w:p>
        </w:tc>
        <w:tc>
          <w:tcPr>
            <w:tcW w:w="2520" w:type="dxa"/>
          </w:tcPr>
          <w:p w14:paraId="32008970" w14:textId="77777777" w:rsidR="00601D9B" w:rsidRDefault="000E53A0">
            <w:pPr>
              <w:rPr>
                <w:bCs/>
                <w:i/>
                <w:sz w:val="18"/>
                <w:szCs w:val="18"/>
                <w:highlight w:val="yellow"/>
              </w:rPr>
            </w:pPr>
            <w:r w:rsidRPr="00351D02">
              <w:rPr>
                <w:bCs/>
                <w:i/>
                <w:sz w:val="18"/>
                <w:szCs w:val="18"/>
                <w:lang w:val="fr-FR"/>
              </w:rPr>
              <w:t>600,000</w:t>
            </w:r>
          </w:p>
        </w:tc>
        <w:tc>
          <w:tcPr>
            <w:tcW w:w="2903" w:type="dxa"/>
          </w:tcPr>
          <w:p w14:paraId="59A552C5" w14:textId="77777777" w:rsidR="00601D9B" w:rsidRDefault="000E53A0">
            <w:pPr>
              <w:rPr>
                <w:bCs/>
                <w:i/>
                <w:sz w:val="18"/>
                <w:szCs w:val="18"/>
                <w:highlight w:val="yellow"/>
              </w:rPr>
            </w:pPr>
            <w:r w:rsidRPr="00351D02">
              <w:rPr>
                <w:bCs/>
                <w:i/>
                <w:sz w:val="18"/>
                <w:szCs w:val="18"/>
                <w:lang w:val="fr-FR"/>
              </w:rPr>
              <w:t>900,000</w:t>
            </w:r>
          </w:p>
        </w:tc>
      </w:tr>
      <w:tr w:rsidR="000B0278" w:rsidRPr="000E53A0" w14:paraId="0D5C1BB4" w14:textId="77777777" w:rsidTr="000E53A0">
        <w:trPr>
          <w:trHeight w:val="575"/>
        </w:trPr>
        <w:tc>
          <w:tcPr>
            <w:tcW w:w="2605" w:type="dxa"/>
            <w:shd w:val="clear" w:color="auto" w:fill="E7E6E6" w:themeFill="background2"/>
          </w:tcPr>
          <w:p w14:paraId="64A9ED28" w14:textId="77777777" w:rsidR="00601D9B" w:rsidRDefault="000E53A0">
            <w:pPr>
              <w:rPr>
                <w:b/>
                <w:bCs/>
                <w:i/>
                <w:sz w:val="18"/>
                <w:szCs w:val="18"/>
              </w:rPr>
            </w:pPr>
            <w:r>
              <w:rPr>
                <w:b/>
                <w:bCs/>
                <w:sz w:val="18"/>
                <w:szCs w:val="18"/>
              </w:rPr>
              <w:lastRenderedPageBreak/>
              <w:t xml:space="preserve">Composante 1 du projet </w:t>
            </w:r>
          </w:p>
        </w:tc>
        <w:tc>
          <w:tcPr>
            <w:tcW w:w="11813" w:type="dxa"/>
            <w:gridSpan w:val="4"/>
            <w:shd w:val="clear" w:color="auto" w:fill="E7E6E6" w:themeFill="background2"/>
          </w:tcPr>
          <w:p w14:paraId="65FBF112" w14:textId="77777777" w:rsidR="00601D9B" w:rsidRPr="000E53A0" w:rsidRDefault="000E53A0">
            <w:pPr>
              <w:rPr>
                <w:bCs/>
                <w:i/>
                <w:sz w:val="18"/>
                <w:szCs w:val="18"/>
                <w:highlight w:val="yellow"/>
                <w:lang w:val="fr-FR"/>
              </w:rPr>
            </w:pPr>
            <w:r w:rsidRPr="000E53A0">
              <w:rPr>
                <w:sz w:val="18"/>
                <w:szCs w:val="18"/>
                <w:lang w:val="fr-FR"/>
              </w:rPr>
              <w:t>Renforcer la coordination et le suivi pour la neutralité de la dégradation des terres et la sécurité climatique</w:t>
            </w:r>
          </w:p>
        </w:tc>
      </w:tr>
      <w:tr w:rsidR="0061120A" w:rsidRPr="000E53A0" w14:paraId="1BC411D7" w14:textId="77777777" w:rsidTr="000E53A0">
        <w:trPr>
          <w:trHeight w:val="575"/>
        </w:trPr>
        <w:tc>
          <w:tcPr>
            <w:tcW w:w="2605" w:type="dxa"/>
            <w:shd w:val="clear" w:color="auto" w:fill="D9D9D9" w:themeFill="background1" w:themeFillShade="D9"/>
          </w:tcPr>
          <w:p w14:paraId="219F8BE7" w14:textId="77777777" w:rsidR="00601D9B" w:rsidRPr="000E53A0" w:rsidRDefault="000E53A0">
            <w:pPr>
              <w:rPr>
                <w:b/>
                <w:bCs/>
                <w:sz w:val="18"/>
                <w:szCs w:val="18"/>
                <w:lang w:val="fr-FR"/>
              </w:rPr>
            </w:pPr>
            <w:r w:rsidRPr="000E53A0">
              <w:rPr>
                <w:b/>
                <w:bCs/>
                <w:sz w:val="18"/>
                <w:szCs w:val="18"/>
                <w:lang w:val="fr-FR"/>
              </w:rPr>
              <w:t>Résultat du projet 1</w:t>
            </w:r>
          </w:p>
          <w:p w14:paraId="00C6E9A6" w14:textId="77777777" w:rsidR="00601D9B" w:rsidRPr="000E53A0" w:rsidRDefault="000E53A0">
            <w:pPr>
              <w:rPr>
                <w:rFonts w:asciiTheme="minorHAnsi" w:hAnsiTheme="minorHAnsi" w:cstheme="minorHAnsi"/>
                <w:sz w:val="18"/>
                <w:szCs w:val="18"/>
                <w:lang w:val="fr-FR"/>
              </w:rPr>
            </w:pPr>
            <w:r w:rsidRPr="000E53A0">
              <w:rPr>
                <w:rFonts w:asciiTheme="minorHAnsi" w:hAnsiTheme="minorHAnsi" w:cstheme="minorHAnsi"/>
                <w:sz w:val="18"/>
                <w:szCs w:val="18"/>
                <w:lang w:val="fr-FR"/>
              </w:rPr>
              <w:t>Amélioration des capacités de coordination et de suivi au niveau national, pour atteindre les objectifs de neutralité en matière de dégradation des sols et s'adapter au changement climatique.</w:t>
            </w:r>
          </w:p>
          <w:p w14:paraId="69FE38C7" w14:textId="77777777" w:rsidR="0061120A" w:rsidRPr="000E53A0" w:rsidRDefault="0061120A" w:rsidP="0061120A">
            <w:pPr>
              <w:rPr>
                <w:bCs/>
                <w:i/>
                <w:sz w:val="18"/>
                <w:szCs w:val="18"/>
                <w:lang w:val="fr-FR"/>
              </w:rPr>
            </w:pPr>
          </w:p>
        </w:tc>
        <w:tc>
          <w:tcPr>
            <w:tcW w:w="4230" w:type="dxa"/>
            <w:shd w:val="clear" w:color="auto" w:fill="FFFFFF" w:themeFill="background1"/>
          </w:tcPr>
          <w:p w14:paraId="58D52254" w14:textId="77777777" w:rsidR="00601D9B" w:rsidRPr="000E53A0" w:rsidRDefault="000E53A0">
            <w:pPr>
              <w:rPr>
                <w:rFonts w:asciiTheme="minorHAnsi" w:hAnsiTheme="minorHAnsi" w:cstheme="minorHAnsi"/>
                <w:b/>
                <w:bCs/>
                <w:sz w:val="18"/>
                <w:szCs w:val="18"/>
                <w:u w:val="single"/>
                <w:lang w:val="fr-FR"/>
              </w:rPr>
            </w:pPr>
            <w:r w:rsidRPr="000E53A0">
              <w:rPr>
                <w:rFonts w:asciiTheme="minorHAnsi" w:hAnsiTheme="minorHAnsi" w:cstheme="minorHAnsi"/>
                <w:b/>
                <w:bCs/>
                <w:sz w:val="18"/>
                <w:szCs w:val="18"/>
                <w:u w:val="single"/>
                <w:lang w:val="fr-FR"/>
              </w:rPr>
              <w:t xml:space="preserve">Indicateur 1 : </w:t>
            </w:r>
          </w:p>
          <w:p w14:paraId="0392D560" w14:textId="77777777" w:rsidR="00601D9B" w:rsidRPr="000E53A0" w:rsidRDefault="000E53A0">
            <w:pPr>
              <w:rPr>
                <w:bCs/>
                <w:iCs/>
                <w:sz w:val="18"/>
                <w:szCs w:val="18"/>
                <w:lang w:val="fr-FR"/>
              </w:rPr>
            </w:pPr>
            <w:r w:rsidRPr="000E53A0">
              <w:rPr>
                <w:bCs/>
                <w:iCs/>
                <w:sz w:val="18"/>
                <w:szCs w:val="18"/>
                <w:lang w:val="fr-FR"/>
              </w:rPr>
              <w:t xml:space="preserve">Degré de renforcement de la capacité des institutions ciblées à </w:t>
            </w:r>
            <w:r w:rsidR="0048395D" w:rsidRPr="000E53A0">
              <w:rPr>
                <w:bCs/>
                <w:iCs/>
                <w:sz w:val="18"/>
                <w:szCs w:val="18"/>
                <w:lang w:val="fr-FR"/>
              </w:rPr>
              <w:t xml:space="preserve">coordonner et à </w:t>
            </w:r>
            <w:r w:rsidRPr="000E53A0">
              <w:rPr>
                <w:bCs/>
                <w:iCs/>
                <w:sz w:val="18"/>
                <w:szCs w:val="18"/>
                <w:lang w:val="fr-FR"/>
              </w:rPr>
              <w:t xml:space="preserve">suivre les </w:t>
            </w:r>
            <w:r w:rsidR="0048395D" w:rsidRPr="000E53A0">
              <w:rPr>
                <w:bCs/>
                <w:iCs/>
                <w:sz w:val="18"/>
                <w:szCs w:val="18"/>
                <w:lang w:val="fr-FR"/>
              </w:rPr>
              <w:t xml:space="preserve">objectifs du RLD et les </w:t>
            </w:r>
            <w:r w:rsidRPr="000E53A0">
              <w:rPr>
                <w:bCs/>
                <w:iCs/>
                <w:sz w:val="18"/>
                <w:szCs w:val="18"/>
                <w:lang w:val="fr-FR"/>
              </w:rPr>
              <w:t>interventions d'adaptation.</w:t>
            </w:r>
          </w:p>
          <w:p w14:paraId="331063B8" w14:textId="77777777" w:rsidR="0061120A" w:rsidRPr="000E53A0" w:rsidRDefault="0061120A" w:rsidP="0061120A">
            <w:pPr>
              <w:rPr>
                <w:bCs/>
                <w:iCs/>
                <w:sz w:val="18"/>
                <w:szCs w:val="18"/>
                <w:lang w:val="fr-FR"/>
              </w:rPr>
            </w:pPr>
          </w:p>
          <w:p w14:paraId="16CE6B41" w14:textId="77777777" w:rsidR="00601D9B" w:rsidRPr="000E53A0" w:rsidRDefault="000E53A0">
            <w:pPr>
              <w:rPr>
                <w:bCs/>
                <w:i/>
                <w:sz w:val="18"/>
                <w:szCs w:val="18"/>
                <w:highlight w:val="yellow"/>
                <w:lang w:val="fr-FR"/>
              </w:rPr>
            </w:pPr>
            <w:r w:rsidRPr="000E53A0">
              <w:rPr>
                <w:bCs/>
                <w:i/>
                <w:iCs/>
                <w:sz w:val="18"/>
                <w:szCs w:val="18"/>
                <w:lang w:val="fr-FR"/>
              </w:rPr>
              <w:t>(mesurée à l'aide d'une méthode de notation de la capacité)</w:t>
            </w:r>
          </w:p>
        </w:tc>
        <w:tc>
          <w:tcPr>
            <w:tcW w:w="2160" w:type="dxa"/>
            <w:shd w:val="clear" w:color="auto" w:fill="FFFFFF" w:themeFill="background1"/>
          </w:tcPr>
          <w:p w14:paraId="07F55530" w14:textId="77777777" w:rsidR="00601D9B" w:rsidRPr="000E53A0" w:rsidRDefault="000E53A0">
            <w:pPr>
              <w:ind w:left="39" w:right="-106"/>
              <w:rPr>
                <w:bCs/>
                <w:i/>
                <w:sz w:val="18"/>
                <w:szCs w:val="18"/>
                <w:highlight w:val="yellow"/>
                <w:lang w:val="fr-FR"/>
              </w:rPr>
            </w:pPr>
            <w:r w:rsidRPr="000E53A0">
              <w:rPr>
                <w:iCs/>
                <w:sz w:val="18"/>
                <w:szCs w:val="18"/>
                <w:lang w:val="fr-FR"/>
              </w:rPr>
              <w:t xml:space="preserve">Une étude de base doit être menée au début du projet pour définir le niveau de base de la capacité des institutions ciblées </w:t>
            </w:r>
            <w:r w:rsidR="0048395D" w:rsidRPr="000E53A0">
              <w:rPr>
                <w:bCs/>
                <w:iCs/>
                <w:sz w:val="18"/>
                <w:szCs w:val="18"/>
                <w:lang w:val="fr-FR"/>
              </w:rPr>
              <w:t>à coordonner et à surveiller les objectifs du RLD et les interventions d'adaptation.</w:t>
            </w:r>
          </w:p>
        </w:tc>
        <w:tc>
          <w:tcPr>
            <w:tcW w:w="2520" w:type="dxa"/>
            <w:shd w:val="clear" w:color="auto" w:fill="FFFFFF" w:themeFill="background1"/>
          </w:tcPr>
          <w:p w14:paraId="69D1CB3B" w14:textId="77777777" w:rsidR="00601D9B" w:rsidRPr="000E53A0" w:rsidRDefault="000E53A0">
            <w:pPr>
              <w:rPr>
                <w:bCs/>
                <w:i/>
                <w:sz w:val="18"/>
                <w:szCs w:val="18"/>
                <w:highlight w:val="yellow"/>
                <w:lang w:val="fr-FR"/>
              </w:rPr>
            </w:pPr>
            <w:r w:rsidRPr="000E53A0">
              <w:rPr>
                <w:bCs/>
                <w:iCs/>
                <w:sz w:val="18"/>
                <w:szCs w:val="18"/>
                <w:lang w:val="fr-FR"/>
              </w:rPr>
              <w:t xml:space="preserve">Augmentation de </w:t>
            </w:r>
            <w:r w:rsidRPr="000E53A0">
              <w:rPr>
                <w:bCs/>
                <w:iCs/>
                <w:sz w:val="18"/>
                <w:szCs w:val="18"/>
                <w:highlight w:val="yellow"/>
                <w:lang w:val="fr-FR"/>
              </w:rPr>
              <w:t xml:space="preserve">5 </w:t>
            </w:r>
            <w:r w:rsidRPr="000E53A0">
              <w:rPr>
                <w:bCs/>
                <w:iCs/>
                <w:sz w:val="18"/>
                <w:szCs w:val="18"/>
                <w:lang w:val="fr-FR"/>
              </w:rPr>
              <w:t xml:space="preserve">du score de capacité de chaque institution </w:t>
            </w:r>
            <w:r w:rsidR="003E5BD1" w:rsidRPr="000E53A0">
              <w:rPr>
                <w:bCs/>
                <w:iCs/>
                <w:sz w:val="18"/>
                <w:szCs w:val="18"/>
                <w:lang w:val="fr-FR"/>
              </w:rPr>
              <w:t>(sur un maximum de 10)</w:t>
            </w:r>
          </w:p>
        </w:tc>
        <w:tc>
          <w:tcPr>
            <w:tcW w:w="2903" w:type="dxa"/>
            <w:shd w:val="clear" w:color="auto" w:fill="FFFFFF" w:themeFill="background1"/>
          </w:tcPr>
          <w:p w14:paraId="306E8A80" w14:textId="77777777" w:rsidR="00601D9B" w:rsidRPr="000E53A0" w:rsidRDefault="000E53A0">
            <w:pPr>
              <w:rPr>
                <w:i/>
                <w:sz w:val="18"/>
                <w:szCs w:val="18"/>
                <w:highlight w:val="yellow"/>
                <w:lang w:val="fr-FR"/>
              </w:rPr>
            </w:pPr>
            <w:r w:rsidRPr="000E53A0">
              <w:rPr>
                <w:bCs/>
                <w:iCs/>
                <w:sz w:val="18"/>
                <w:szCs w:val="18"/>
                <w:lang w:val="fr-FR"/>
              </w:rPr>
              <w:t xml:space="preserve">Augmentation de </w:t>
            </w:r>
            <w:r w:rsidRPr="000E53A0">
              <w:rPr>
                <w:bCs/>
                <w:iCs/>
                <w:sz w:val="18"/>
                <w:szCs w:val="18"/>
                <w:highlight w:val="yellow"/>
                <w:lang w:val="fr-FR"/>
              </w:rPr>
              <w:t xml:space="preserve">5 </w:t>
            </w:r>
            <w:r w:rsidRPr="000E53A0">
              <w:rPr>
                <w:bCs/>
                <w:iCs/>
                <w:sz w:val="18"/>
                <w:szCs w:val="18"/>
                <w:lang w:val="fr-FR"/>
              </w:rPr>
              <w:t xml:space="preserve">du score de capacité de chaque institution </w:t>
            </w:r>
            <w:r w:rsidR="003E5BD1" w:rsidRPr="000E53A0">
              <w:rPr>
                <w:bCs/>
                <w:iCs/>
                <w:sz w:val="18"/>
                <w:szCs w:val="18"/>
                <w:lang w:val="fr-FR"/>
              </w:rPr>
              <w:t>(sur un maximum de 10)</w:t>
            </w:r>
          </w:p>
        </w:tc>
      </w:tr>
      <w:tr w:rsidR="0061120A" w:rsidRPr="000E53A0" w14:paraId="04919525" w14:textId="77777777" w:rsidTr="000E53A0">
        <w:trPr>
          <w:trHeight w:val="620"/>
        </w:trPr>
        <w:tc>
          <w:tcPr>
            <w:tcW w:w="2605" w:type="dxa"/>
            <w:shd w:val="clear" w:color="auto" w:fill="D9D9D9" w:themeFill="background1" w:themeFillShade="D9"/>
          </w:tcPr>
          <w:p w14:paraId="4BED2791" w14:textId="77777777" w:rsidR="00601D9B" w:rsidRPr="000E53A0" w:rsidRDefault="000E53A0">
            <w:pPr>
              <w:rPr>
                <w:b/>
                <w:bCs/>
                <w:sz w:val="18"/>
                <w:szCs w:val="18"/>
                <w:lang w:val="fr-FR"/>
              </w:rPr>
            </w:pPr>
            <w:r w:rsidRPr="000E53A0">
              <w:rPr>
                <w:b/>
                <w:bCs/>
                <w:sz w:val="18"/>
                <w:szCs w:val="18"/>
                <w:lang w:val="fr-FR"/>
              </w:rPr>
              <w:t>Produits pour atteindre le résultat 1</w:t>
            </w:r>
          </w:p>
        </w:tc>
        <w:tc>
          <w:tcPr>
            <w:tcW w:w="11813" w:type="dxa"/>
            <w:gridSpan w:val="4"/>
            <w:shd w:val="clear" w:color="auto" w:fill="FFFFFF" w:themeFill="background1"/>
          </w:tcPr>
          <w:p w14:paraId="6413C3EF" w14:textId="77777777" w:rsidR="00601D9B" w:rsidRPr="000E53A0" w:rsidRDefault="000E53A0">
            <w:pPr>
              <w:spacing w:after="60"/>
              <w:rPr>
                <w:bCs/>
                <w:iCs/>
                <w:sz w:val="18"/>
                <w:szCs w:val="18"/>
                <w:lang w:val="fr-FR"/>
              </w:rPr>
            </w:pPr>
            <w:r w:rsidRPr="000E53A0">
              <w:rPr>
                <w:rFonts w:eastAsiaTheme="minorEastAsia"/>
                <w:bCs/>
                <w:iCs/>
                <w:sz w:val="18"/>
                <w:szCs w:val="18"/>
                <w:lang w:val="fr-FR"/>
              </w:rPr>
              <w:t xml:space="preserve">Output 1.1 Comité national LDN revitalisé et renforcé pour une meilleure coordination de la prise de décision intersectorielle pour le LDN. </w:t>
            </w:r>
          </w:p>
          <w:p w14:paraId="655094FE" w14:textId="77777777" w:rsidR="00601D9B" w:rsidRPr="000E53A0" w:rsidRDefault="000E53A0">
            <w:pPr>
              <w:spacing w:after="60"/>
              <w:rPr>
                <w:bCs/>
                <w:iCs/>
                <w:sz w:val="18"/>
                <w:szCs w:val="18"/>
                <w:lang w:val="fr-FR"/>
              </w:rPr>
            </w:pPr>
            <w:r w:rsidRPr="000E53A0">
              <w:rPr>
                <w:rFonts w:eastAsiaTheme="minorEastAsia"/>
                <w:bCs/>
                <w:iCs/>
                <w:sz w:val="18"/>
                <w:szCs w:val="18"/>
                <w:lang w:val="fr-FR"/>
              </w:rPr>
              <w:t>Output 1.2 Plan d'action pour la réalisation et le suivi des objectifs de neutralité en matière de dégradation des terres.</w:t>
            </w:r>
          </w:p>
          <w:p w14:paraId="5F70C710" w14:textId="77777777" w:rsidR="00601D9B" w:rsidRPr="000E53A0" w:rsidRDefault="000E53A0">
            <w:pPr>
              <w:rPr>
                <w:bCs/>
                <w:iCs/>
                <w:sz w:val="18"/>
                <w:szCs w:val="18"/>
                <w:lang w:val="fr-FR"/>
              </w:rPr>
            </w:pPr>
            <w:r w:rsidRPr="000E53A0">
              <w:rPr>
                <w:rFonts w:eastAsiaTheme="minorEastAsia"/>
                <w:bCs/>
                <w:iCs/>
                <w:sz w:val="18"/>
                <w:szCs w:val="18"/>
                <w:lang w:val="fr-FR"/>
              </w:rPr>
              <w:t>Extrant 1.3 Élaboration de cartes et d'évaluations régionales des risques et des vulnérabilités climatiques, avec application du cadre de sensibilité à la sécurité.</w:t>
            </w:r>
          </w:p>
        </w:tc>
      </w:tr>
      <w:tr w:rsidR="0061120A" w:rsidRPr="000E53A0" w14:paraId="0AB84541" w14:textId="77777777" w:rsidTr="000E53A0">
        <w:trPr>
          <w:trHeight w:val="620"/>
        </w:trPr>
        <w:tc>
          <w:tcPr>
            <w:tcW w:w="2605" w:type="dxa"/>
            <w:shd w:val="clear" w:color="auto" w:fill="E7E6E6" w:themeFill="background2"/>
          </w:tcPr>
          <w:p w14:paraId="6013683C" w14:textId="77777777" w:rsidR="00601D9B" w:rsidRDefault="000E53A0">
            <w:pPr>
              <w:rPr>
                <w:b/>
                <w:bCs/>
                <w:i/>
                <w:sz w:val="18"/>
                <w:szCs w:val="18"/>
              </w:rPr>
            </w:pPr>
            <w:r>
              <w:rPr>
                <w:b/>
                <w:bCs/>
                <w:sz w:val="18"/>
                <w:szCs w:val="18"/>
              </w:rPr>
              <w:t xml:space="preserve">Composante 2 du projet </w:t>
            </w:r>
          </w:p>
        </w:tc>
        <w:tc>
          <w:tcPr>
            <w:tcW w:w="11813" w:type="dxa"/>
            <w:gridSpan w:val="4"/>
            <w:shd w:val="clear" w:color="auto" w:fill="E7E6E6" w:themeFill="background2"/>
          </w:tcPr>
          <w:p w14:paraId="63929DB0" w14:textId="77777777" w:rsidR="00601D9B" w:rsidRPr="000E53A0" w:rsidRDefault="000E53A0">
            <w:pPr>
              <w:rPr>
                <w:bCs/>
                <w:iCs/>
                <w:sz w:val="18"/>
                <w:szCs w:val="18"/>
                <w:highlight w:val="yellow"/>
                <w:lang w:val="fr-FR"/>
              </w:rPr>
            </w:pPr>
            <w:r w:rsidRPr="000E53A0">
              <w:rPr>
                <w:bCs/>
                <w:iCs/>
                <w:sz w:val="18"/>
                <w:szCs w:val="18"/>
                <w:lang w:val="fr-FR"/>
              </w:rPr>
              <w:t>Renforcer la résilience des paysages de production dégradés avec des communautés vulnérables au changement climatique</w:t>
            </w:r>
          </w:p>
        </w:tc>
      </w:tr>
      <w:tr w:rsidR="00F94D05" w:rsidRPr="0003763F" w14:paraId="591B5224" w14:textId="77777777" w:rsidTr="000E53A0">
        <w:trPr>
          <w:trHeight w:val="413"/>
        </w:trPr>
        <w:tc>
          <w:tcPr>
            <w:tcW w:w="2605" w:type="dxa"/>
            <w:shd w:val="pct12" w:color="auto" w:fill="auto"/>
          </w:tcPr>
          <w:p w14:paraId="5A4579B2" w14:textId="77777777" w:rsidR="00601D9B" w:rsidRPr="000E53A0" w:rsidRDefault="000E53A0">
            <w:pPr>
              <w:rPr>
                <w:b/>
                <w:bCs/>
                <w:sz w:val="18"/>
                <w:szCs w:val="18"/>
                <w:lang w:val="fr-FR"/>
              </w:rPr>
            </w:pPr>
            <w:r w:rsidRPr="000E53A0">
              <w:rPr>
                <w:b/>
                <w:bCs/>
                <w:sz w:val="18"/>
                <w:szCs w:val="18"/>
                <w:lang w:val="fr-FR"/>
              </w:rPr>
              <w:t>Résultat 2</w:t>
            </w:r>
          </w:p>
          <w:p w14:paraId="365A8C83" w14:textId="77777777" w:rsidR="00601D9B" w:rsidRPr="000E53A0" w:rsidRDefault="000E53A0">
            <w:pPr>
              <w:rPr>
                <w:b/>
                <w:bCs/>
                <w:sz w:val="18"/>
                <w:szCs w:val="18"/>
                <w:lang w:val="fr-FR"/>
              </w:rPr>
            </w:pPr>
            <w:r w:rsidRPr="000E53A0">
              <w:rPr>
                <w:rFonts w:asciiTheme="minorHAnsi" w:hAnsiTheme="minorHAnsi" w:cstheme="minorHAnsi"/>
                <w:sz w:val="18"/>
                <w:szCs w:val="18"/>
                <w:lang w:val="fr-FR"/>
              </w:rPr>
              <w:t>La productivité est restaurée et les rendements sont augmentés dans les paysages vulnérables de pâturage, d'agriculture et de pêche grâce à une gestion communautaire efficace dans les régions centrales du Mali.</w:t>
            </w:r>
          </w:p>
        </w:tc>
        <w:tc>
          <w:tcPr>
            <w:tcW w:w="4230" w:type="dxa"/>
          </w:tcPr>
          <w:p w14:paraId="4ACD582E" w14:textId="77777777" w:rsidR="00601D9B" w:rsidRPr="000E53A0" w:rsidRDefault="000E53A0">
            <w:pPr>
              <w:rPr>
                <w:rFonts w:asciiTheme="minorHAnsi" w:hAnsiTheme="minorHAnsi" w:cstheme="minorHAnsi"/>
                <w:b/>
                <w:bCs/>
                <w:sz w:val="18"/>
                <w:szCs w:val="18"/>
                <w:u w:val="single"/>
                <w:lang w:val="fr-FR"/>
              </w:rPr>
            </w:pPr>
            <w:r w:rsidRPr="000E53A0">
              <w:rPr>
                <w:rFonts w:asciiTheme="minorHAnsi" w:hAnsiTheme="minorHAnsi" w:cstheme="minorHAnsi"/>
                <w:b/>
                <w:bCs/>
                <w:sz w:val="18"/>
                <w:szCs w:val="18"/>
                <w:u w:val="single"/>
                <w:lang w:val="fr-FR"/>
              </w:rPr>
              <w:t xml:space="preserve">Indicateur </w:t>
            </w:r>
            <w:r w:rsidR="003E5BD1" w:rsidRPr="000E53A0">
              <w:rPr>
                <w:rFonts w:asciiTheme="minorHAnsi" w:hAnsiTheme="minorHAnsi" w:cstheme="minorHAnsi"/>
                <w:b/>
                <w:bCs/>
                <w:sz w:val="18"/>
                <w:szCs w:val="18"/>
                <w:u w:val="single"/>
                <w:lang w:val="fr-FR"/>
              </w:rPr>
              <w:t xml:space="preserve">2 : </w:t>
            </w:r>
          </w:p>
          <w:p w14:paraId="42BCA757" w14:textId="77777777" w:rsidR="00601D9B" w:rsidRPr="000E53A0" w:rsidRDefault="000E53A0">
            <w:pPr>
              <w:rPr>
                <w:rFonts w:asciiTheme="minorHAnsi" w:hAnsiTheme="minorHAnsi" w:cstheme="minorHAnsi"/>
                <w:bCs/>
                <w:i/>
                <w:sz w:val="18"/>
                <w:szCs w:val="18"/>
                <w:highlight w:val="yellow"/>
                <w:lang w:val="fr-FR"/>
              </w:rPr>
            </w:pPr>
            <w:r w:rsidRPr="000E53A0">
              <w:rPr>
                <w:rFonts w:asciiTheme="minorHAnsi" w:hAnsiTheme="minorHAnsi" w:cstheme="minorHAnsi"/>
                <w:bCs/>
                <w:iCs/>
                <w:sz w:val="18"/>
                <w:szCs w:val="18"/>
                <w:lang w:val="fr-FR"/>
              </w:rPr>
              <w:t xml:space="preserve">Niveau de </w:t>
            </w:r>
            <w:r w:rsidR="00F94D05" w:rsidRPr="000E53A0">
              <w:rPr>
                <w:rFonts w:asciiTheme="minorHAnsi" w:hAnsiTheme="minorHAnsi" w:cstheme="minorHAnsi"/>
                <w:bCs/>
                <w:iCs/>
                <w:sz w:val="18"/>
                <w:szCs w:val="18"/>
                <w:lang w:val="fr-FR"/>
              </w:rPr>
              <w:t xml:space="preserve">revenu </w:t>
            </w:r>
            <w:r w:rsidRPr="000E53A0">
              <w:rPr>
                <w:rFonts w:asciiTheme="minorHAnsi" w:hAnsiTheme="minorHAnsi" w:cstheme="minorHAnsi"/>
                <w:bCs/>
                <w:iCs/>
                <w:sz w:val="18"/>
                <w:szCs w:val="18"/>
                <w:lang w:val="fr-FR"/>
              </w:rPr>
              <w:t xml:space="preserve">moyen </w:t>
            </w:r>
            <w:r w:rsidR="00F94D05" w:rsidRPr="000E53A0">
              <w:rPr>
                <w:rFonts w:asciiTheme="minorHAnsi" w:hAnsiTheme="minorHAnsi" w:cstheme="minorHAnsi"/>
                <w:bCs/>
                <w:iCs/>
                <w:sz w:val="18"/>
                <w:szCs w:val="18"/>
                <w:lang w:val="fr-FR"/>
              </w:rPr>
              <w:t xml:space="preserve">des pasteurs, agriculteurs et pêcheurs </w:t>
            </w:r>
            <w:r w:rsidRPr="000E53A0">
              <w:rPr>
                <w:rFonts w:asciiTheme="minorHAnsi" w:hAnsiTheme="minorHAnsi" w:cstheme="minorHAnsi"/>
                <w:bCs/>
                <w:iCs/>
                <w:sz w:val="18"/>
                <w:szCs w:val="18"/>
                <w:lang w:val="fr-FR"/>
              </w:rPr>
              <w:t xml:space="preserve">des </w:t>
            </w:r>
            <w:r w:rsidR="00F94D05" w:rsidRPr="000E53A0">
              <w:rPr>
                <w:rFonts w:asciiTheme="minorHAnsi" w:hAnsiTheme="minorHAnsi" w:cstheme="minorHAnsi"/>
                <w:bCs/>
                <w:iCs/>
                <w:sz w:val="18"/>
                <w:szCs w:val="18"/>
                <w:lang w:val="fr-FR"/>
              </w:rPr>
              <w:t xml:space="preserve">paysages </w:t>
            </w:r>
            <w:r w:rsidRPr="000E53A0">
              <w:rPr>
                <w:rFonts w:asciiTheme="minorHAnsi" w:hAnsiTheme="minorHAnsi" w:cstheme="minorHAnsi"/>
                <w:bCs/>
                <w:iCs/>
                <w:sz w:val="18"/>
                <w:szCs w:val="18"/>
                <w:lang w:val="fr-FR"/>
              </w:rPr>
              <w:t xml:space="preserve">productifs </w:t>
            </w:r>
            <w:r w:rsidR="00F94D05" w:rsidRPr="000E53A0">
              <w:rPr>
                <w:rFonts w:asciiTheme="minorHAnsi" w:hAnsiTheme="minorHAnsi" w:cstheme="minorHAnsi"/>
                <w:bCs/>
                <w:iCs/>
                <w:sz w:val="18"/>
                <w:szCs w:val="18"/>
                <w:lang w:val="fr-FR"/>
              </w:rPr>
              <w:t>(ventilé par sexe)</w:t>
            </w:r>
          </w:p>
        </w:tc>
        <w:tc>
          <w:tcPr>
            <w:tcW w:w="2160" w:type="dxa"/>
          </w:tcPr>
          <w:p w14:paraId="5A6C8B25" w14:textId="77777777" w:rsidR="00601D9B" w:rsidRPr="000E53A0" w:rsidRDefault="000E53A0">
            <w:pPr>
              <w:rPr>
                <w:bCs/>
                <w:i/>
                <w:sz w:val="18"/>
                <w:szCs w:val="18"/>
                <w:highlight w:val="yellow"/>
                <w:lang w:val="fr-FR"/>
              </w:rPr>
            </w:pPr>
            <w:r w:rsidRPr="000E53A0">
              <w:rPr>
                <w:bCs/>
                <w:i/>
                <w:sz w:val="18"/>
                <w:szCs w:val="18"/>
                <w:highlight w:val="yellow"/>
                <w:lang w:val="fr-FR"/>
              </w:rPr>
              <w:t>Le revenu de base sera évalué par une enquête au début de la mise en œuvre du projet.</w:t>
            </w:r>
          </w:p>
        </w:tc>
        <w:tc>
          <w:tcPr>
            <w:tcW w:w="2520" w:type="dxa"/>
          </w:tcPr>
          <w:p w14:paraId="112302C8" w14:textId="77777777" w:rsidR="00601D9B" w:rsidRPr="000E53A0" w:rsidRDefault="000E53A0">
            <w:pPr>
              <w:rPr>
                <w:bCs/>
                <w:iCs/>
                <w:sz w:val="18"/>
                <w:szCs w:val="18"/>
                <w:lang w:val="fr-FR"/>
              </w:rPr>
            </w:pPr>
            <w:r w:rsidRPr="000E53A0">
              <w:rPr>
                <w:bCs/>
                <w:iCs/>
                <w:sz w:val="18"/>
                <w:szCs w:val="18"/>
                <w:lang w:val="fr-FR"/>
              </w:rPr>
              <w:t xml:space="preserve">Les revenus ont augmenté d'au moins 10 % en raison de l'augmentation de la productivité </w:t>
            </w:r>
            <w:r w:rsidR="00D805EA" w:rsidRPr="000E53A0">
              <w:rPr>
                <w:bCs/>
                <w:iCs/>
                <w:sz w:val="18"/>
                <w:szCs w:val="18"/>
                <w:lang w:val="fr-FR"/>
              </w:rPr>
              <w:t xml:space="preserve">des paysages </w:t>
            </w:r>
            <w:r w:rsidRPr="000E53A0">
              <w:rPr>
                <w:bCs/>
                <w:iCs/>
                <w:sz w:val="18"/>
                <w:szCs w:val="18"/>
                <w:lang w:val="fr-FR"/>
              </w:rPr>
              <w:t>:</w:t>
            </w:r>
          </w:p>
          <w:p w14:paraId="072E5B32" w14:textId="77777777" w:rsidR="00601D9B" w:rsidRDefault="000E53A0">
            <w:pPr>
              <w:rPr>
                <w:bCs/>
                <w:iCs/>
                <w:sz w:val="18"/>
                <w:szCs w:val="18"/>
              </w:rPr>
            </w:pPr>
            <w:r>
              <w:rPr>
                <w:bCs/>
                <w:iCs/>
                <w:sz w:val="18"/>
                <w:szCs w:val="18"/>
              </w:rPr>
              <w:t xml:space="preserve">2 </w:t>
            </w:r>
            <w:r w:rsidR="00F94D05">
              <w:rPr>
                <w:bCs/>
                <w:iCs/>
                <w:sz w:val="18"/>
                <w:szCs w:val="18"/>
              </w:rPr>
              <w:t xml:space="preserve">000 </w:t>
            </w:r>
            <w:r w:rsidR="00F94D05" w:rsidRPr="00024B2A">
              <w:rPr>
                <w:bCs/>
                <w:iCs/>
                <w:sz w:val="18"/>
                <w:szCs w:val="18"/>
              </w:rPr>
              <w:t>femmes</w:t>
            </w:r>
          </w:p>
          <w:p w14:paraId="186D4AE8" w14:textId="77777777" w:rsidR="00601D9B" w:rsidRDefault="000E53A0">
            <w:pPr>
              <w:rPr>
                <w:bCs/>
                <w:i/>
                <w:sz w:val="18"/>
                <w:szCs w:val="18"/>
                <w:highlight w:val="yellow"/>
              </w:rPr>
            </w:pPr>
            <w:r>
              <w:rPr>
                <w:bCs/>
                <w:iCs/>
                <w:sz w:val="18"/>
                <w:szCs w:val="18"/>
              </w:rPr>
              <w:t xml:space="preserve">8 </w:t>
            </w:r>
            <w:r w:rsidR="00F94D05" w:rsidRPr="00024B2A">
              <w:rPr>
                <w:bCs/>
                <w:iCs/>
                <w:sz w:val="18"/>
                <w:szCs w:val="18"/>
              </w:rPr>
              <w:t>000 hommes</w:t>
            </w:r>
          </w:p>
        </w:tc>
        <w:tc>
          <w:tcPr>
            <w:tcW w:w="2903" w:type="dxa"/>
          </w:tcPr>
          <w:p w14:paraId="33DF7389" w14:textId="77777777" w:rsidR="00601D9B" w:rsidRPr="000E53A0" w:rsidRDefault="000E53A0">
            <w:pPr>
              <w:rPr>
                <w:bCs/>
                <w:iCs/>
                <w:sz w:val="18"/>
                <w:szCs w:val="18"/>
                <w:lang w:val="fr-FR"/>
              </w:rPr>
            </w:pPr>
            <w:r w:rsidRPr="000E53A0">
              <w:rPr>
                <w:bCs/>
                <w:iCs/>
                <w:sz w:val="18"/>
                <w:szCs w:val="18"/>
                <w:lang w:val="fr-FR"/>
              </w:rPr>
              <w:t xml:space="preserve">Les revenus ont augmenté d'au moins 10 % en raison de l'augmentation de la productivité </w:t>
            </w:r>
            <w:r w:rsidR="00D805EA" w:rsidRPr="000E53A0">
              <w:rPr>
                <w:bCs/>
                <w:iCs/>
                <w:sz w:val="18"/>
                <w:szCs w:val="18"/>
                <w:lang w:val="fr-FR"/>
              </w:rPr>
              <w:t xml:space="preserve">des paysages </w:t>
            </w:r>
            <w:r w:rsidRPr="000E53A0">
              <w:rPr>
                <w:bCs/>
                <w:iCs/>
                <w:sz w:val="18"/>
                <w:szCs w:val="18"/>
                <w:lang w:val="fr-FR"/>
              </w:rPr>
              <w:t>:</w:t>
            </w:r>
          </w:p>
          <w:p w14:paraId="1E600CAA" w14:textId="77777777" w:rsidR="00601D9B" w:rsidRDefault="000E53A0">
            <w:pPr>
              <w:rPr>
                <w:bCs/>
                <w:iCs/>
                <w:sz w:val="18"/>
                <w:szCs w:val="18"/>
              </w:rPr>
            </w:pPr>
            <w:r>
              <w:rPr>
                <w:bCs/>
                <w:iCs/>
                <w:sz w:val="18"/>
                <w:szCs w:val="18"/>
              </w:rPr>
              <w:t xml:space="preserve">4 </w:t>
            </w:r>
            <w:r w:rsidR="00F94D05">
              <w:rPr>
                <w:bCs/>
                <w:iCs/>
                <w:sz w:val="18"/>
                <w:szCs w:val="18"/>
              </w:rPr>
              <w:t xml:space="preserve">000 </w:t>
            </w:r>
            <w:r w:rsidR="00F94D05" w:rsidRPr="00024B2A">
              <w:rPr>
                <w:bCs/>
                <w:iCs/>
                <w:sz w:val="18"/>
                <w:szCs w:val="18"/>
              </w:rPr>
              <w:t>femmes</w:t>
            </w:r>
          </w:p>
          <w:p w14:paraId="65D28A95" w14:textId="77777777" w:rsidR="00601D9B" w:rsidRDefault="000E53A0">
            <w:pPr>
              <w:rPr>
                <w:i/>
                <w:highlight w:val="yellow"/>
              </w:rPr>
            </w:pPr>
            <w:r>
              <w:rPr>
                <w:bCs/>
                <w:iCs/>
                <w:sz w:val="18"/>
                <w:szCs w:val="18"/>
              </w:rPr>
              <w:t xml:space="preserve">16 </w:t>
            </w:r>
            <w:r w:rsidR="00F94D05">
              <w:rPr>
                <w:bCs/>
                <w:iCs/>
                <w:sz w:val="18"/>
                <w:szCs w:val="18"/>
              </w:rPr>
              <w:t xml:space="preserve">000 </w:t>
            </w:r>
            <w:r w:rsidR="00F94D05" w:rsidRPr="00024B2A">
              <w:rPr>
                <w:bCs/>
                <w:iCs/>
                <w:sz w:val="18"/>
                <w:szCs w:val="18"/>
              </w:rPr>
              <w:t>hommes</w:t>
            </w:r>
          </w:p>
        </w:tc>
      </w:tr>
      <w:tr w:rsidR="00F94D05" w:rsidRPr="000E53A0" w14:paraId="4EEE2BCC" w14:textId="77777777" w:rsidTr="000E53A0">
        <w:trPr>
          <w:trHeight w:val="530"/>
        </w:trPr>
        <w:tc>
          <w:tcPr>
            <w:tcW w:w="2605" w:type="dxa"/>
            <w:shd w:val="pct12" w:color="auto" w:fill="auto"/>
          </w:tcPr>
          <w:p w14:paraId="082B0B05" w14:textId="77777777" w:rsidR="00601D9B" w:rsidRPr="000E53A0" w:rsidRDefault="000E53A0">
            <w:pPr>
              <w:rPr>
                <w:b/>
                <w:bCs/>
                <w:sz w:val="18"/>
                <w:szCs w:val="18"/>
                <w:lang w:val="fr-FR"/>
              </w:rPr>
            </w:pPr>
            <w:r w:rsidRPr="000E53A0">
              <w:rPr>
                <w:b/>
                <w:bCs/>
                <w:sz w:val="18"/>
                <w:szCs w:val="18"/>
                <w:lang w:val="fr-FR"/>
              </w:rPr>
              <w:t>Produits pour atteindre le résultat 2</w:t>
            </w:r>
          </w:p>
        </w:tc>
        <w:tc>
          <w:tcPr>
            <w:tcW w:w="11813" w:type="dxa"/>
            <w:gridSpan w:val="4"/>
          </w:tcPr>
          <w:p w14:paraId="76526D6B" w14:textId="77777777" w:rsidR="00601D9B" w:rsidRPr="000E53A0" w:rsidRDefault="000E53A0">
            <w:pPr>
              <w:spacing w:after="60"/>
              <w:rPr>
                <w:bCs/>
                <w:iCs/>
                <w:sz w:val="18"/>
                <w:szCs w:val="18"/>
                <w:lang w:val="fr-FR"/>
              </w:rPr>
            </w:pPr>
            <w:r w:rsidRPr="000E53A0">
              <w:rPr>
                <w:rFonts w:eastAsiaTheme="minorEastAsia"/>
                <w:bCs/>
                <w:iCs/>
                <w:sz w:val="18"/>
                <w:szCs w:val="18"/>
                <w:lang w:val="fr-FR"/>
              </w:rPr>
              <w:t>Résultat 2.1 : Des comités communautaires de gestion des ressources naturelles, socialement et sexuellement inclusifs, sont créés/revitalisés et soutenus pour servir de plateformes de négociation et de résolution des conflits liés aux ressources naturelles entre les groupes d'utilisateurs.</w:t>
            </w:r>
          </w:p>
          <w:p w14:paraId="533CA153" w14:textId="77777777" w:rsidR="00601D9B" w:rsidRPr="000E53A0" w:rsidRDefault="000E53A0">
            <w:pPr>
              <w:spacing w:after="60"/>
              <w:rPr>
                <w:bCs/>
                <w:iCs/>
                <w:sz w:val="18"/>
                <w:szCs w:val="18"/>
                <w:lang w:val="fr-FR"/>
              </w:rPr>
            </w:pPr>
            <w:r w:rsidRPr="000E53A0">
              <w:rPr>
                <w:rFonts w:eastAsiaTheme="minorEastAsia"/>
                <w:bCs/>
                <w:iCs/>
                <w:sz w:val="18"/>
                <w:szCs w:val="18"/>
                <w:lang w:val="fr-FR"/>
              </w:rPr>
              <w:t>Produit 2.2 Les mesures d'adaptation sont intégrées dans les plans de développement locaux</w:t>
            </w:r>
          </w:p>
          <w:p w14:paraId="5805C5F1" w14:textId="77777777" w:rsidR="00601D9B" w:rsidRPr="000E53A0" w:rsidRDefault="000E53A0">
            <w:pPr>
              <w:spacing w:after="60"/>
              <w:rPr>
                <w:bCs/>
                <w:iCs/>
                <w:sz w:val="18"/>
                <w:szCs w:val="18"/>
                <w:lang w:val="fr-FR"/>
              </w:rPr>
            </w:pPr>
            <w:r w:rsidRPr="000E53A0">
              <w:rPr>
                <w:rFonts w:eastAsiaTheme="minorEastAsia"/>
                <w:bCs/>
                <w:iCs/>
                <w:sz w:val="18"/>
                <w:szCs w:val="18"/>
                <w:lang w:val="fr-FR"/>
              </w:rPr>
              <w:t>Produit 2.3 Formation et intrants fournis aux agriculteurs et aux éleveurs dans 15 communes cibles de Mopti et Ségou pour le reverdissement du paysage, sur la base des connaissances et des solutions traditionnelles/locales.</w:t>
            </w:r>
          </w:p>
          <w:p w14:paraId="708791C1" w14:textId="77777777" w:rsidR="00601D9B" w:rsidRPr="000E53A0" w:rsidRDefault="000E53A0">
            <w:pPr>
              <w:spacing w:after="60"/>
              <w:rPr>
                <w:bCs/>
                <w:iCs/>
                <w:sz w:val="18"/>
                <w:szCs w:val="18"/>
                <w:lang w:val="fr-FR"/>
              </w:rPr>
            </w:pPr>
            <w:r w:rsidRPr="000E53A0">
              <w:rPr>
                <w:rFonts w:eastAsiaTheme="minorEastAsia"/>
                <w:bCs/>
                <w:iCs/>
                <w:sz w:val="18"/>
                <w:szCs w:val="18"/>
                <w:lang w:val="fr-FR"/>
              </w:rPr>
              <w:t xml:space="preserve">Produit 2.4 Programme de développement des capacités pour l'agriculture intelligente face au climat dans les communes cibles </w:t>
            </w:r>
          </w:p>
          <w:p w14:paraId="1BEF85D6" w14:textId="77777777" w:rsidR="00601D9B" w:rsidRPr="000E53A0" w:rsidRDefault="000E53A0">
            <w:pPr>
              <w:rPr>
                <w:bCs/>
                <w:i/>
                <w:sz w:val="18"/>
                <w:szCs w:val="18"/>
                <w:highlight w:val="yellow"/>
                <w:lang w:val="fr-FR"/>
              </w:rPr>
            </w:pPr>
            <w:r w:rsidRPr="000E53A0">
              <w:rPr>
                <w:rFonts w:eastAsiaTheme="minorEastAsia"/>
                <w:bCs/>
                <w:iCs/>
                <w:sz w:val="18"/>
                <w:szCs w:val="18"/>
                <w:lang w:val="fr-FR"/>
              </w:rPr>
              <w:t>2.5 Restauration de 21 000 hectares de prairies/arbustes et de zones humides dégradées</w:t>
            </w:r>
          </w:p>
        </w:tc>
      </w:tr>
      <w:tr w:rsidR="00F94D05" w:rsidRPr="000E53A0" w14:paraId="0831A518" w14:textId="77777777" w:rsidTr="000E53A0">
        <w:trPr>
          <w:trHeight w:val="620"/>
        </w:trPr>
        <w:tc>
          <w:tcPr>
            <w:tcW w:w="2605" w:type="dxa"/>
            <w:shd w:val="clear" w:color="auto" w:fill="E7E6E6" w:themeFill="background2"/>
          </w:tcPr>
          <w:p w14:paraId="22130EC6" w14:textId="77777777" w:rsidR="00601D9B" w:rsidRDefault="000E53A0">
            <w:pPr>
              <w:rPr>
                <w:b/>
                <w:bCs/>
                <w:sz w:val="18"/>
                <w:szCs w:val="18"/>
              </w:rPr>
            </w:pPr>
            <w:r>
              <w:rPr>
                <w:b/>
                <w:bCs/>
                <w:sz w:val="18"/>
                <w:szCs w:val="18"/>
              </w:rPr>
              <w:t xml:space="preserve">Composante 3 du projet </w:t>
            </w:r>
          </w:p>
        </w:tc>
        <w:tc>
          <w:tcPr>
            <w:tcW w:w="11813" w:type="dxa"/>
            <w:gridSpan w:val="4"/>
            <w:shd w:val="clear" w:color="auto" w:fill="E7E6E6" w:themeFill="background2"/>
          </w:tcPr>
          <w:p w14:paraId="502A775A" w14:textId="77777777" w:rsidR="00601D9B" w:rsidRPr="000E53A0" w:rsidRDefault="000E53A0">
            <w:pPr>
              <w:rPr>
                <w:bCs/>
                <w:i/>
                <w:sz w:val="18"/>
                <w:szCs w:val="18"/>
                <w:highlight w:val="yellow"/>
                <w:lang w:val="fr-FR"/>
              </w:rPr>
            </w:pPr>
            <w:r w:rsidRPr="000E53A0">
              <w:rPr>
                <w:color w:val="000000"/>
                <w:sz w:val="18"/>
                <w:szCs w:val="18"/>
                <w:lang w:val="fr-FR"/>
              </w:rPr>
              <w:t>Soutenir les exploitations familiales, les jeunes et les femmes pour qu'ils innovent et adoptent des moyens de subsistance résilients et durables.</w:t>
            </w:r>
          </w:p>
        </w:tc>
      </w:tr>
      <w:tr w:rsidR="00F94D05" w:rsidRPr="0048395D" w14:paraId="17E163B4" w14:textId="77777777" w:rsidTr="000E53A0">
        <w:trPr>
          <w:trHeight w:val="620"/>
        </w:trPr>
        <w:tc>
          <w:tcPr>
            <w:tcW w:w="2605" w:type="dxa"/>
            <w:shd w:val="pct12" w:color="auto" w:fill="auto"/>
          </w:tcPr>
          <w:p w14:paraId="739744AF" w14:textId="77777777" w:rsidR="00601D9B" w:rsidRPr="000E53A0" w:rsidRDefault="000E53A0">
            <w:pPr>
              <w:rPr>
                <w:b/>
                <w:bCs/>
                <w:sz w:val="18"/>
                <w:szCs w:val="18"/>
                <w:lang w:val="fr-FR"/>
              </w:rPr>
            </w:pPr>
            <w:r w:rsidRPr="000E53A0">
              <w:rPr>
                <w:b/>
                <w:bCs/>
                <w:sz w:val="18"/>
                <w:szCs w:val="18"/>
                <w:lang w:val="fr-FR"/>
              </w:rPr>
              <w:t>Résultat 3</w:t>
            </w:r>
          </w:p>
          <w:p w14:paraId="0D32EBE8" w14:textId="77777777" w:rsidR="00601D9B" w:rsidRPr="000E53A0" w:rsidRDefault="000E53A0">
            <w:pPr>
              <w:rPr>
                <w:b/>
                <w:bCs/>
                <w:sz w:val="18"/>
                <w:szCs w:val="18"/>
                <w:lang w:val="fr-FR"/>
              </w:rPr>
            </w:pPr>
            <w:r w:rsidRPr="000E53A0">
              <w:rPr>
                <w:rFonts w:asciiTheme="minorHAnsi" w:hAnsiTheme="minorHAnsi" w:cstheme="minorHAnsi"/>
                <w:sz w:val="18"/>
                <w:szCs w:val="18"/>
                <w:lang w:val="fr-FR"/>
              </w:rPr>
              <w:t xml:space="preserve">Les ménages ruraux et les organisations communautaires renforcent leur résilience face aux conflits, au changement climatique et à la dégradation des sols en relançant et en </w:t>
            </w:r>
            <w:r w:rsidRPr="000E53A0">
              <w:rPr>
                <w:rFonts w:asciiTheme="minorHAnsi" w:hAnsiTheme="minorHAnsi" w:cstheme="minorHAnsi"/>
                <w:sz w:val="18"/>
                <w:szCs w:val="18"/>
                <w:lang w:val="fr-FR"/>
              </w:rPr>
              <w:lastRenderedPageBreak/>
              <w:t>diversifiant leurs activités productives.</w:t>
            </w:r>
          </w:p>
        </w:tc>
        <w:tc>
          <w:tcPr>
            <w:tcW w:w="4230" w:type="dxa"/>
          </w:tcPr>
          <w:p w14:paraId="7590E058" w14:textId="77777777" w:rsidR="00601D9B" w:rsidRPr="000E53A0" w:rsidRDefault="000E53A0">
            <w:pPr>
              <w:rPr>
                <w:rFonts w:asciiTheme="minorHAnsi" w:hAnsiTheme="minorHAnsi" w:cstheme="minorHAnsi"/>
                <w:b/>
                <w:bCs/>
                <w:sz w:val="18"/>
                <w:szCs w:val="18"/>
                <w:u w:val="single"/>
                <w:lang w:val="fr-FR"/>
              </w:rPr>
            </w:pPr>
            <w:r w:rsidRPr="000E53A0">
              <w:rPr>
                <w:rFonts w:asciiTheme="minorHAnsi" w:hAnsiTheme="minorHAnsi" w:cstheme="minorHAnsi"/>
                <w:b/>
                <w:bCs/>
                <w:sz w:val="18"/>
                <w:szCs w:val="18"/>
                <w:u w:val="single"/>
                <w:lang w:val="fr-FR"/>
              </w:rPr>
              <w:lastRenderedPageBreak/>
              <w:t xml:space="preserve">Indicateur </w:t>
            </w:r>
            <w:r w:rsidR="003E5BD1" w:rsidRPr="000E53A0">
              <w:rPr>
                <w:rFonts w:asciiTheme="minorHAnsi" w:hAnsiTheme="minorHAnsi" w:cstheme="minorHAnsi"/>
                <w:b/>
                <w:bCs/>
                <w:sz w:val="18"/>
                <w:szCs w:val="18"/>
                <w:u w:val="single"/>
                <w:lang w:val="fr-FR"/>
              </w:rPr>
              <w:t xml:space="preserve">3 : </w:t>
            </w:r>
          </w:p>
          <w:p w14:paraId="51FB9198" w14:textId="77777777" w:rsidR="00601D9B" w:rsidRPr="000E53A0" w:rsidRDefault="000E53A0">
            <w:pPr>
              <w:spacing w:line="256" w:lineRule="auto"/>
              <w:rPr>
                <w:rFonts w:asciiTheme="minorHAnsi" w:hAnsiTheme="minorHAnsi" w:cstheme="minorHAnsi"/>
                <w:color w:val="000000"/>
                <w:sz w:val="18"/>
                <w:szCs w:val="18"/>
                <w:lang w:val="fr-FR"/>
              </w:rPr>
            </w:pPr>
            <w:r w:rsidRPr="000E53A0">
              <w:rPr>
                <w:rFonts w:asciiTheme="minorHAnsi" w:hAnsiTheme="minorHAnsi" w:cstheme="minorHAnsi"/>
                <w:bCs/>
                <w:sz w:val="18"/>
                <w:szCs w:val="18"/>
                <w:lang w:val="fr-FR"/>
              </w:rPr>
              <w:t>Nombre d'</w:t>
            </w:r>
            <w:r w:rsidR="00432EBA" w:rsidRPr="000E53A0">
              <w:rPr>
                <w:rFonts w:asciiTheme="minorHAnsi" w:hAnsiTheme="minorHAnsi" w:cstheme="minorHAnsi"/>
                <w:bCs/>
                <w:sz w:val="18"/>
                <w:szCs w:val="18"/>
                <w:lang w:val="fr-FR"/>
              </w:rPr>
              <w:t xml:space="preserve">individus bénéficiant de </w:t>
            </w:r>
            <w:r w:rsidRPr="000E53A0">
              <w:rPr>
                <w:rFonts w:asciiTheme="minorHAnsi" w:hAnsiTheme="minorHAnsi" w:cstheme="minorHAnsi"/>
                <w:bCs/>
                <w:sz w:val="18"/>
                <w:szCs w:val="18"/>
                <w:lang w:val="fr-FR"/>
              </w:rPr>
              <w:t>flux de revenus améliorés (ventilés par sexe) suite au redémarrage et à la diversification des activités productives.</w:t>
            </w:r>
          </w:p>
          <w:p w14:paraId="3B0D5759" w14:textId="77777777" w:rsidR="00F94D05" w:rsidRPr="000E53A0" w:rsidRDefault="00F94D05" w:rsidP="00F94D05">
            <w:pPr>
              <w:rPr>
                <w:rFonts w:asciiTheme="minorHAnsi" w:hAnsiTheme="minorHAnsi" w:cstheme="minorHAnsi"/>
                <w:bCs/>
                <w:sz w:val="18"/>
                <w:szCs w:val="18"/>
                <w:highlight w:val="yellow"/>
                <w:lang w:val="fr-FR"/>
              </w:rPr>
            </w:pPr>
          </w:p>
        </w:tc>
        <w:tc>
          <w:tcPr>
            <w:tcW w:w="2160" w:type="dxa"/>
          </w:tcPr>
          <w:p w14:paraId="09DCD717" w14:textId="77777777" w:rsidR="00601D9B" w:rsidRPr="000E53A0" w:rsidRDefault="000E53A0">
            <w:pPr>
              <w:rPr>
                <w:rFonts w:asciiTheme="minorHAnsi" w:hAnsiTheme="minorHAnsi" w:cstheme="minorHAnsi"/>
                <w:bCs/>
                <w:sz w:val="18"/>
                <w:szCs w:val="18"/>
                <w:lang w:val="fr-FR"/>
              </w:rPr>
            </w:pPr>
            <w:r w:rsidRPr="000E53A0">
              <w:rPr>
                <w:bCs/>
                <w:i/>
                <w:sz w:val="18"/>
                <w:szCs w:val="18"/>
                <w:highlight w:val="yellow"/>
                <w:lang w:val="fr-FR"/>
              </w:rPr>
              <w:t>Les flux de revenus de base doivent être identifiés par une enquête auprès des ménages au début de la mise en œuvre du projet.</w:t>
            </w:r>
          </w:p>
        </w:tc>
        <w:tc>
          <w:tcPr>
            <w:tcW w:w="2520" w:type="dxa"/>
          </w:tcPr>
          <w:p w14:paraId="78343417" w14:textId="77777777" w:rsidR="00601D9B" w:rsidRDefault="000E53A0">
            <w:pPr>
              <w:rPr>
                <w:rFonts w:asciiTheme="minorHAnsi" w:hAnsiTheme="minorHAnsi" w:cstheme="minorHAnsi"/>
                <w:bCs/>
                <w:sz w:val="18"/>
                <w:szCs w:val="18"/>
              </w:rPr>
            </w:pPr>
            <w:r w:rsidRPr="00F8195E">
              <w:rPr>
                <w:rFonts w:asciiTheme="minorHAnsi" w:hAnsiTheme="minorHAnsi" w:cstheme="minorHAnsi"/>
                <w:bCs/>
                <w:sz w:val="18"/>
                <w:szCs w:val="18"/>
              </w:rPr>
              <w:t xml:space="preserve">10 000 </w:t>
            </w:r>
            <w:r w:rsidR="00432EBA">
              <w:rPr>
                <w:rFonts w:asciiTheme="minorHAnsi" w:hAnsiTheme="minorHAnsi" w:cstheme="minorHAnsi"/>
                <w:bCs/>
                <w:sz w:val="18"/>
                <w:szCs w:val="18"/>
              </w:rPr>
              <w:t>personnes</w:t>
            </w:r>
            <w:r w:rsidRPr="00F8195E">
              <w:rPr>
                <w:rFonts w:asciiTheme="minorHAnsi" w:hAnsiTheme="minorHAnsi" w:cstheme="minorHAnsi"/>
                <w:bCs/>
                <w:sz w:val="18"/>
                <w:szCs w:val="18"/>
              </w:rPr>
              <w:t xml:space="preserve">, dont 60 % de </w:t>
            </w:r>
            <w:r w:rsidR="00432EBA">
              <w:rPr>
                <w:rFonts w:asciiTheme="minorHAnsi" w:hAnsiTheme="minorHAnsi" w:cstheme="minorHAnsi"/>
                <w:bCs/>
                <w:sz w:val="18"/>
                <w:szCs w:val="18"/>
              </w:rPr>
              <w:t>femmes</w:t>
            </w:r>
          </w:p>
        </w:tc>
        <w:tc>
          <w:tcPr>
            <w:tcW w:w="2903" w:type="dxa"/>
          </w:tcPr>
          <w:p w14:paraId="05BF530A" w14:textId="77777777" w:rsidR="00601D9B" w:rsidRDefault="000E53A0">
            <w:pPr>
              <w:rPr>
                <w:rFonts w:asciiTheme="minorHAnsi" w:hAnsiTheme="minorHAnsi" w:cstheme="minorHAnsi"/>
                <w:sz w:val="18"/>
                <w:szCs w:val="18"/>
                <w:lang w:val="en-US"/>
              </w:rPr>
            </w:pPr>
            <w:r w:rsidRPr="00F8195E">
              <w:rPr>
                <w:rFonts w:asciiTheme="minorHAnsi" w:hAnsiTheme="minorHAnsi" w:cstheme="minorHAnsi"/>
                <w:sz w:val="18"/>
                <w:szCs w:val="18"/>
                <w:lang w:val="en-US"/>
              </w:rPr>
              <w:t xml:space="preserve">17 000 </w:t>
            </w:r>
            <w:r w:rsidR="00432EBA">
              <w:rPr>
                <w:rFonts w:asciiTheme="minorHAnsi" w:hAnsiTheme="minorHAnsi" w:cstheme="minorHAnsi"/>
                <w:bCs/>
                <w:sz w:val="18"/>
                <w:szCs w:val="18"/>
              </w:rPr>
              <w:t>personnes</w:t>
            </w:r>
            <w:r w:rsidR="00432EBA" w:rsidRPr="00F8195E">
              <w:rPr>
                <w:rFonts w:asciiTheme="minorHAnsi" w:hAnsiTheme="minorHAnsi" w:cstheme="minorHAnsi"/>
                <w:bCs/>
                <w:sz w:val="18"/>
                <w:szCs w:val="18"/>
              </w:rPr>
              <w:t xml:space="preserve">, dont 60 % de </w:t>
            </w:r>
            <w:r w:rsidR="00432EBA">
              <w:rPr>
                <w:rFonts w:asciiTheme="minorHAnsi" w:hAnsiTheme="minorHAnsi" w:cstheme="minorHAnsi"/>
                <w:bCs/>
                <w:sz w:val="18"/>
                <w:szCs w:val="18"/>
              </w:rPr>
              <w:t>femmes</w:t>
            </w:r>
          </w:p>
        </w:tc>
      </w:tr>
      <w:tr w:rsidR="00F94D05" w:rsidRPr="000E53A0" w14:paraId="055264F4" w14:textId="77777777" w:rsidTr="000E53A0">
        <w:trPr>
          <w:trHeight w:val="350"/>
        </w:trPr>
        <w:tc>
          <w:tcPr>
            <w:tcW w:w="2605" w:type="dxa"/>
            <w:shd w:val="pct12" w:color="auto" w:fill="auto"/>
          </w:tcPr>
          <w:p w14:paraId="3CBAA54A" w14:textId="77777777" w:rsidR="00601D9B" w:rsidRPr="000E53A0" w:rsidRDefault="000E53A0">
            <w:pPr>
              <w:rPr>
                <w:b/>
                <w:bCs/>
                <w:sz w:val="18"/>
                <w:szCs w:val="18"/>
                <w:lang w:val="fr-FR"/>
              </w:rPr>
            </w:pPr>
            <w:r w:rsidRPr="000E53A0">
              <w:rPr>
                <w:b/>
                <w:bCs/>
                <w:sz w:val="18"/>
                <w:szCs w:val="18"/>
                <w:lang w:val="fr-FR"/>
              </w:rPr>
              <w:t>Produits pour atteindre le résultat 3</w:t>
            </w:r>
          </w:p>
        </w:tc>
        <w:tc>
          <w:tcPr>
            <w:tcW w:w="11813" w:type="dxa"/>
            <w:gridSpan w:val="4"/>
          </w:tcPr>
          <w:p w14:paraId="5F63EADD" w14:textId="77777777" w:rsidR="00601D9B" w:rsidRPr="000E53A0" w:rsidRDefault="000E53A0">
            <w:pPr>
              <w:spacing w:after="60"/>
              <w:rPr>
                <w:bCs/>
                <w:iCs/>
                <w:sz w:val="18"/>
                <w:szCs w:val="18"/>
                <w:lang w:val="fr-FR"/>
              </w:rPr>
            </w:pPr>
            <w:r w:rsidRPr="000E53A0">
              <w:rPr>
                <w:rFonts w:eastAsiaTheme="minorEastAsia"/>
                <w:bCs/>
                <w:iCs/>
                <w:sz w:val="18"/>
                <w:szCs w:val="18"/>
                <w:lang w:val="fr-FR"/>
              </w:rPr>
              <w:t>Produit 3.1 Création de nouvelles entreprises coopératives intelligentes du point de vue climatique, impliquant des femmes, des jeunes et des personnes déplacées.</w:t>
            </w:r>
          </w:p>
          <w:p w14:paraId="1735F81B" w14:textId="77777777" w:rsidR="00601D9B" w:rsidRPr="000E53A0" w:rsidRDefault="000E53A0">
            <w:pPr>
              <w:spacing w:after="60"/>
              <w:rPr>
                <w:bCs/>
                <w:iCs/>
                <w:sz w:val="18"/>
                <w:szCs w:val="18"/>
                <w:lang w:val="fr-FR"/>
              </w:rPr>
            </w:pPr>
            <w:r w:rsidRPr="000E53A0">
              <w:rPr>
                <w:rFonts w:eastAsiaTheme="minorEastAsia"/>
                <w:bCs/>
                <w:iCs/>
                <w:sz w:val="18"/>
                <w:szCs w:val="18"/>
                <w:lang w:val="fr-FR"/>
              </w:rPr>
              <w:t>Produit 3.2 Formation à l'entreprenariat et services d'incubation d'entreprises fournis aux femmes et aux jeunes des paysages cibles pour des idées d'entreprises liées à l'adaptation.</w:t>
            </w:r>
          </w:p>
          <w:p w14:paraId="0C7BD2CB" w14:textId="77777777" w:rsidR="00601D9B" w:rsidRPr="000E53A0" w:rsidRDefault="000E53A0">
            <w:pPr>
              <w:rPr>
                <w:bCs/>
                <w:i/>
                <w:sz w:val="18"/>
                <w:szCs w:val="18"/>
                <w:highlight w:val="yellow"/>
                <w:lang w:val="fr-FR"/>
              </w:rPr>
            </w:pPr>
            <w:r w:rsidRPr="000E53A0">
              <w:rPr>
                <w:rFonts w:eastAsiaTheme="minorEastAsia"/>
                <w:bCs/>
                <w:iCs/>
                <w:sz w:val="18"/>
                <w:szCs w:val="18"/>
                <w:lang w:val="fr-FR"/>
              </w:rPr>
              <w:t xml:space="preserve">Produit 3.3 Formation, soutien technique et équipement fournis pour renforcer les capacités des entreprises coopératives intelligentes face au climat, impliquant des femmes, des jeunes et des personnes déplacées. </w:t>
            </w:r>
          </w:p>
        </w:tc>
      </w:tr>
      <w:tr w:rsidR="00F94D05" w:rsidRPr="000E53A0" w14:paraId="42C23146" w14:textId="77777777" w:rsidTr="000E53A0">
        <w:trPr>
          <w:trHeight w:val="620"/>
        </w:trPr>
        <w:tc>
          <w:tcPr>
            <w:tcW w:w="2605" w:type="dxa"/>
            <w:shd w:val="clear" w:color="auto" w:fill="E7E6E6" w:themeFill="background2"/>
          </w:tcPr>
          <w:p w14:paraId="44F7A8C0" w14:textId="77777777" w:rsidR="00601D9B" w:rsidRDefault="000E53A0">
            <w:pPr>
              <w:rPr>
                <w:b/>
                <w:bCs/>
                <w:sz w:val="18"/>
                <w:szCs w:val="18"/>
              </w:rPr>
            </w:pPr>
            <w:r>
              <w:rPr>
                <w:b/>
                <w:bCs/>
                <w:sz w:val="18"/>
                <w:szCs w:val="18"/>
              </w:rPr>
              <w:t xml:space="preserve">Composante 4 du projet </w:t>
            </w:r>
          </w:p>
        </w:tc>
        <w:tc>
          <w:tcPr>
            <w:tcW w:w="11813" w:type="dxa"/>
            <w:gridSpan w:val="4"/>
            <w:shd w:val="clear" w:color="auto" w:fill="E7E6E6" w:themeFill="background2"/>
          </w:tcPr>
          <w:p w14:paraId="6C11ABDC" w14:textId="77777777" w:rsidR="00601D9B" w:rsidRPr="000E53A0" w:rsidRDefault="000E53A0">
            <w:pPr>
              <w:rPr>
                <w:b/>
                <w:bCs/>
                <w:sz w:val="18"/>
                <w:szCs w:val="18"/>
                <w:lang w:val="fr-FR"/>
              </w:rPr>
            </w:pPr>
            <w:r w:rsidRPr="000E53A0">
              <w:rPr>
                <w:b/>
                <w:bCs/>
                <w:sz w:val="18"/>
                <w:szCs w:val="18"/>
                <w:lang w:val="fr-FR"/>
              </w:rPr>
              <w:t xml:space="preserve">Gestion des connaissances et S&amp;E </w:t>
            </w:r>
          </w:p>
          <w:p w14:paraId="7CFAF627" w14:textId="77777777" w:rsidR="00601D9B" w:rsidRPr="000E53A0" w:rsidRDefault="000E53A0">
            <w:pPr>
              <w:rPr>
                <w:bCs/>
                <w:i/>
                <w:sz w:val="18"/>
                <w:szCs w:val="18"/>
                <w:highlight w:val="yellow"/>
                <w:lang w:val="fr-FR"/>
              </w:rPr>
            </w:pPr>
            <w:r w:rsidRPr="000E53A0">
              <w:rPr>
                <w:color w:val="000000"/>
                <w:sz w:val="20"/>
                <w:szCs w:val="20"/>
                <w:lang w:val="fr-FR"/>
              </w:rPr>
              <w:t>Suivi et évaluation et gestion des connaissances pour le passage à l'échelle supérieure</w:t>
            </w:r>
          </w:p>
        </w:tc>
      </w:tr>
      <w:tr w:rsidR="00F94D05" w:rsidRPr="0003763F" w14:paraId="6D8ADE88" w14:textId="77777777" w:rsidTr="000E53A0">
        <w:trPr>
          <w:trHeight w:val="440"/>
        </w:trPr>
        <w:tc>
          <w:tcPr>
            <w:tcW w:w="2605" w:type="dxa"/>
            <w:shd w:val="pct12" w:color="auto" w:fill="auto"/>
          </w:tcPr>
          <w:p w14:paraId="2EE9350E" w14:textId="77777777" w:rsidR="00601D9B" w:rsidRPr="000E53A0" w:rsidRDefault="000E53A0">
            <w:pPr>
              <w:rPr>
                <w:b/>
                <w:bCs/>
                <w:sz w:val="18"/>
                <w:szCs w:val="18"/>
                <w:lang w:val="fr-FR"/>
              </w:rPr>
            </w:pPr>
            <w:r w:rsidRPr="000E53A0">
              <w:rPr>
                <w:b/>
                <w:bCs/>
                <w:sz w:val="18"/>
                <w:szCs w:val="18"/>
                <w:lang w:val="fr-FR"/>
              </w:rPr>
              <w:t>Résultat 4</w:t>
            </w:r>
          </w:p>
          <w:p w14:paraId="43A51FC5" w14:textId="77777777" w:rsidR="00601D9B" w:rsidRPr="000E53A0" w:rsidRDefault="000E53A0">
            <w:pPr>
              <w:rPr>
                <w:rFonts w:asciiTheme="minorHAnsi" w:hAnsiTheme="minorHAnsi" w:cstheme="minorHAnsi"/>
                <w:sz w:val="18"/>
                <w:szCs w:val="18"/>
                <w:lang w:val="fr-FR"/>
              </w:rPr>
            </w:pPr>
            <w:r w:rsidRPr="000E53A0">
              <w:rPr>
                <w:rFonts w:asciiTheme="minorHAnsi" w:hAnsiTheme="minorHAnsi" w:cstheme="minorHAnsi"/>
                <w:sz w:val="18"/>
                <w:szCs w:val="18"/>
                <w:lang w:val="fr-FR"/>
              </w:rPr>
              <w:t>Les impacts du projet sont suivis et les enseignements sont partagés afin d'étendre les résultats à l'ensemble des régions du Sahel au Mali.</w:t>
            </w:r>
          </w:p>
        </w:tc>
        <w:tc>
          <w:tcPr>
            <w:tcW w:w="4230" w:type="dxa"/>
          </w:tcPr>
          <w:p w14:paraId="30C09F8F" w14:textId="77777777" w:rsidR="00601D9B" w:rsidRPr="000E53A0" w:rsidRDefault="000E53A0">
            <w:pPr>
              <w:rPr>
                <w:rFonts w:asciiTheme="minorHAnsi" w:hAnsiTheme="minorHAnsi" w:cstheme="minorHAnsi"/>
                <w:b/>
                <w:bCs/>
                <w:sz w:val="18"/>
                <w:szCs w:val="18"/>
                <w:u w:val="single"/>
                <w:lang w:val="fr-FR"/>
              </w:rPr>
            </w:pPr>
            <w:r w:rsidRPr="000E53A0">
              <w:rPr>
                <w:rFonts w:asciiTheme="minorHAnsi" w:hAnsiTheme="minorHAnsi" w:cstheme="minorHAnsi"/>
                <w:b/>
                <w:bCs/>
                <w:sz w:val="18"/>
                <w:szCs w:val="18"/>
                <w:u w:val="single"/>
                <w:lang w:val="fr-FR"/>
              </w:rPr>
              <w:t xml:space="preserve">Indicateur </w:t>
            </w:r>
            <w:r w:rsidR="003E5BD1" w:rsidRPr="000E53A0">
              <w:rPr>
                <w:rFonts w:asciiTheme="minorHAnsi" w:hAnsiTheme="minorHAnsi" w:cstheme="minorHAnsi"/>
                <w:b/>
                <w:bCs/>
                <w:sz w:val="18"/>
                <w:szCs w:val="18"/>
                <w:u w:val="single"/>
                <w:lang w:val="fr-FR"/>
              </w:rPr>
              <w:t xml:space="preserve">4 : </w:t>
            </w:r>
          </w:p>
          <w:p w14:paraId="68B6065E" w14:textId="77777777" w:rsidR="00601D9B" w:rsidRPr="000E53A0" w:rsidRDefault="000E53A0">
            <w:pPr>
              <w:rPr>
                <w:rFonts w:asciiTheme="minorHAnsi" w:hAnsiTheme="minorHAnsi" w:cstheme="minorHAnsi"/>
                <w:bCs/>
                <w:iCs/>
                <w:sz w:val="18"/>
                <w:szCs w:val="18"/>
                <w:lang w:val="fr-FR"/>
              </w:rPr>
            </w:pPr>
            <w:r w:rsidRPr="000E53A0">
              <w:rPr>
                <w:rFonts w:asciiTheme="minorHAnsi" w:hAnsiTheme="minorHAnsi" w:cstheme="minorHAnsi"/>
                <w:bCs/>
                <w:iCs/>
                <w:sz w:val="18"/>
                <w:szCs w:val="18"/>
                <w:lang w:val="fr-FR"/>
              </w:rPr>
              <w:t>Nombre de personnes reproduisant les bonnes pratiques (en matière de suivi, de communication, de genre, de gestion des conflits, de restauration des paysages, d'adaptation) sur la base des enseignements tirés des activités du projet.</w:t>
            </w:r>
          </w:p>
          <w:p w14:paraId="2A1F20B0" w14:textId="77777777" w:rsidR="00F94D05" w:rsidRPr="000E53A0" w:rsidRDefault="00F94D05" w:rsidP="00F94D05">
            <w:pPr>
              <w:rPr>
                <w:rFonts w:asciiTheme="minorHAnsi" w:hAnsiTheme="minorHAnsi" w:cstheme="minorHAnsi"/>
                <w:bCs/>
                <w:i/>
                <w:sz w:val="18"/>
                <w:szCs w:val="18"/>
                <w:highlight w:val="yellow"/>
                <w:lang w:val="fr-FR"/>
              </w:rPr>
            </w:pPr>
          </w:p>
        </w:tc>
        <w:tc>
          <w:tcPr>
            <w:tcW w:w="2160" w:type="dxa"/>
          </w:tcPr>
          <w:p w14:paraId="0735BFEE" w14:textId="77777777" w:rsidR="00601D9B" w:rsidRDefault="000E53A0">
            <w:pPr>
              <w:rPr>
                <w:rFonts w:asciiTheme="minorHAnsi" w:hAnsiTheme="minorHAnsi" w:cstheme="minorHAnsi"/>
                <w:bCs/>
                <w:i/>
                <w:sz w:val="18"/>
                <w:szCs w:val="18"/>
                <w:highlight w:val="yellow"/>
              </w:rPr>
            </w:pPr>
            <w:r w:rsidRPr="003E5BD1">
              <w:rPr>
                <w:rFonts w:asciiTheme="minorHAnsi" w:hAnsiTheme="minorHAnsi" w:cstheme="minorHAnsi"/>
                <w:bCs/>
                <w:i/>
                <w:sz w:val="18"/>
                <w:szCs w:val="18"/>
                <w:highlight w:val="yellow"/>
              </w:rPr>
              <w:t>0</w:t>
            </w:r>
          </w:p>
        </w:tc>
        <w:tc>
          <w:tcPr>
            <w:tcW w:w="2520" w:type="dxa"/>
          </w:tcPr>
          <w:p w14:paraId="3410C595" w14:textId="77777777" w:rsidR="00601D9B" w:rsidRDefault="000E53A0">
            <w:pPr>
              <w:rPr>
                <w:rFonts w:asciiTheme="minorHAnsi" w:hAnsiTheme="minorHAnsi" w:cstheme="minorHAnsi"/>
                <w:bCs/>
                <w:i/>
                <w:sz w:val="18"/>
                <w:szCs w:val="18"/>
                <w:highlight w:val="yellow"/>
              </w:rPr>
            </w:pPr>
            <w:r w:rsidRPr="003E5BD1">
              <w:rPr>
                <w:rFonts w:asciiTheme="minorHAnsi" w:hAnsiTheme="minorHAnsi" w:cstheme="minorHAnsi"/>
                <w:bCs/>
                <w:i/>
                <w:sz w:val="18"/>
                <w:szCs w:val="18"/>
                <w:highlight w:val="yellow"/>
              </w:rPr>
              <w:t>500</w:t>
            </w:r>
          </w:p>
        </w:tc>
        <w:tc>
          <w:tcPr>
            <w:tcW w:w="2903" w:type="dxa"/>
          </w:tcPr>
          <w:p w14:paraId="0278C0D8" w14:textId="77777777" w:rsidR="00601D9B" w:rsidRDefault="000E53A0">
            <w:pPr>
              <w:rPr>
                <w:rFonts w:asciiTheme="minorHAnsi" w:hAnsiTheme="minorHAnsi" w:cstheme="minorHAnsi"/>
                <w:i/>
                <w:sz w:val="18"/>
                <w:szCs w:val="18"/>
                <w:highlight w:val="yellow"/>
              </w:rPr>
            </w:pPr>
            <w:r w:rsidRPr="003E5BD1">
              <w:rPr>
                <w:rFonts w:asciiTheme="minorHAnsi" w:hAnsiTheme="minorHAnsi" w:cstheme="minorHAnsi"/>
                <w:i/>
                <w:sz w:val="18"/>
                <w:szCs w:val="18"/>
                <w:highlight w:val="yellow"/>
              </w:rPr>
              <w:t>2,500</w:t>
            </w:r>
          </w:p>
        </w:tc>
      </w:tr>
      <w:tr w:rsidR="00F94D05" w:rsidRPr="000E53A0" w14:paraId="56A6CF95" w14:textId="77777777" w:rsidTr="000E53A0">
        <w:trPr>
          <w:trHeight w:val="683"/>
        </w:trPr>
        <w:tc>
          <w:tcPr>
            <w:tcW w:w="2605" w:type="dxa"/>
            <w:shd w:val="pct12" w:color="auto" w:fill="auto"/>
          </w:tcPr>
          <w:p w14:paraId="0387ECDE" w14:textId="77777777" w:rsidR="00601D9B" w:rsidRPr="000E53A0" w:rsidRDefault="000E53A0">
            <w:pPr>
              <w:rPr>
                <w:b/>
                <w:bCs/>
                <w:sz w:val="18"/>
                <w:szCs w:val="18"/>
                <w:lang w:val="fr-FR"/>
              </w:rPr>
            </w:pPr>
            <w:r w:rsidRPr="000E53A0">
              <w:rPr>
                <w:b/>
                <w:bCs/>
                <w:sz w:val="18"/>
                <w:szCs w:val="18"/>
                <w:lang w:val="fr-FR"/>
              </w:rPr>
              <w:t>Produits pour atteindre le résultat 4</w:t>
            </w:r>
          </w:p>
        </w:tc>
        <w:tc>
          <w:tcPr>
            <w:tcW w:w="11813" w:type="dxa"/>
            <w:gridSpan w:val="4"/>
          </w:tcPr>
          <w:p w14:paraId="1096A298" w14:textId="77777777" w:rsidR="00601D9B" w:rsidRPr="000E53A0" w:rsidRDefault="000E53A0">
            <w:pPr>
              <w:spacing w:after="60"/>
              <w:rPr>
                <w:bCs/>
                <w:iCs/>
                <w:sz w:val="18"/>
                <w:szCs w:val="18"/>
                <w:lang w:val="fr-FR"/>
              </w:rPr>
            </w:pPr>
            <w:r w:rsidRPr="000E53A0">
              <w:rPr>
                <w:rFonts w:eastAsiaTheme="minorEastAsia"/>
                <w:bCs/>
                <w:iCs/>
                <w:sz w:val="18"/>
                <w:szCs w:val="18"/>
                <w:lang w:val="fr-FR"/>
              </w:rPr>
              <w:t>Produit 4.1 Plateforme de connaissances opérationnelle pour la coordination et le partage des leçons entre les parties prenantes aux niveaux de la commune, du cercle, de la région, du pays et de l'international.</w:t>
            </w:r>
          </w:p>
          <w:p w14:paraId="7DE85F8E" w14:textId="77777777" w:rsidR="00601D9B" w:rsidRPr="000E53A0" w:rsidRDefault="000E53A0">
            <w:pPr>
              <w:rPr>
                <w:bCs/>
                <w:i/>
                <w:sz w:val="18"/>
                <w:szCs w:val="18"/>
                <w:highlight w:val="yellow"/>
                <w:lang w:val="fr-FR"/>
              </w:rPr>
            </w:pPr>
            <w:r w:rsidRPr="000E53A0">
              <w:rPr>
                <w:rFonts w:eastAsiaTheme="minorEastAsia"/>
                <w:bCs/>
                <w:iCs/>
                <w:sz w:val="18"/>
                <w:szCs w:val="18"/>
                <w:lang w:val="fr-FR"/>
              </w:rPr>
              <w:t>Résultat 4.2 Un cadre participatif de suivi et d'apprentissage est élaboré et mis en œuvre pour l'ensemble du projet (y compris les sites pour les activités des composantes 2 et 3).</w:t>
            </w:r>
          </w:p>
        </w:tc>
      </w:tr>
    </w:tbl>
    <w:p w14:paraId="587670DA" w14:textId="77777777" w:rsidR="00D357B9" w:rsidRPr="000E53A0" w:rsidRDefault="00D357B9" w:rsidP="00D357B9">
      <w:pPr>
        <w:rPr>
          <w:lang w:val="fr-FR"/>
        </w:rPr>
      </w:pPr>
    </w:p>
    <w:bookmarkEnd w:id="41"/>
    <w:p w14:paraId="52D44059" w14:textId="77777777" w:rsidR="000A013F" w:rsidRPr="000E53A0" w:rsidRDefault="000A013F" w:rsidP="00FD449E">
      <w:pPr>
        <w:rPr>
          <w:rFonts w:asciiTheme="minorHAnsi" w:hAnsiTheme="minorHAnsi" w:cstheme="minorHAnsi"/>
          <w:i/>
          <w:szCs w:val="20"/>
          <w:lang w:val="fr-FR"/>
        </w:rPr>
      </w:pPr>
    </w:p>
    <w:p w14:paraId="33B5786A" w14:textId="77777777" w:rsidR="00C87177" w:rsidRPr="000E53A0" w:rsidRDefault="00C87177" w:rsidP="00C87177">
      <w:pPr>
        <w:rPr>
          <w:lang w:val="fr-FR"/>
        </w:rPr>
      </w:pPr>
    </w:p>
    <w:p w14:paraId="53D94B6E" w14:textId="77777777" w:rsidR="0053408E" w:rsidRPr="000E53A0" w:rsidRDefault="0053408E" w:rsidP="00C87177">
      <w:pPr>
        <w:rPr>
          <w:lang w:val="fr-FR"/>
        </w:rPr>
        <w:sectPr w:rsidR="0053408E" w:rsidRPr="000E53A0" w:rsidSect="009F19D4">
          <w:pgSz w:w="15840" w:h="12240" w:orient="landscape" w:code="1"/>
          <w:pgMar w:top="720" w:right="720" w:bottom="720" w:left="720" w:header="720" w:footer="432" w:gutter="0"/>
          <w:cols w:space="708"/>
          <w:titlePg/>
          <w:docGrid w:linePitch="360"/>
        </w:sectPr>
      </w:pPr>
    </w:p>
    <w:p w14:paraId="522F9B65" w14:textId="77777777" w:rsidR="00601D9B" w:rsidRPr="000E53A0" w:rsidRDefault="000E53A0">
      <w:pPr>
        <w:pStyle w:val="Titre1"/>
        <w:spacing w:before="0" w:after="60"/>
        <w:rPr>
          <w:rFonts w:ascii="Calibri" w:hAnsi="Calibri"/>
          <w:szCs w:val="28"/>
          <w:lang w:val="fr-FR"/>
        </w:rPr>
      </w:pPr>
      <w:bookmarkStart w:id="45" w:name="_Toc46749081"/>
      <w:bookmarkStart w:id="46" w:name="_Hlk82677807"/>
      <w:bookmarkStart w:id="47" w:name="_Toc207800914"/>
      <w:bookmarkStart w:id="48" w:name="_Toc407785522"/>
      <w:bookmarkEnd w:id="39"/>
      <w:r w:rsidRPr="000E53A0">
        <w:rPr>
          <w:rFonts w:ascii="Calibri" w:hAnsi="Calibri"/>
          <w:szCs w:val="28"/>
          <w:lang w:val="fr-FR"/>
        </w:rPr>
        <w:lastRenderedPageBreak/>
        <w:t xml:space="preserve">Plan de suivi et d'évaluation (S&amp;E) </w:t>
      </w:r>
      <w:bookmarkEnd w:id="45"/>
    </w:p>
    <w:p w14:paraId="076942C5" w14:textId="77777777" w:rsidR="00601D9B" w:rsidRPr="000E53A0" w:rsidRDefault="000E53A0">
      <w:pPr>
        <w:rPr>
          <w:rFonts w:asciiTheme="minorHAnsi" w:hAnsiTheme="minorHAnsi" w:cstheme="minorHAnsi"/>
          <w:sz w:val="20"/>
          <w:szCs w:val="20"/>
          <w:lang w:val="fr-FR"/>
        </w:rPr>
      </w:pPr>
      <w:r w:rsidRPr="000E53A0">
        <w:rPr>
          <w:rFonts w:asciiTheme="minorHAnsi" w:hAnsiTheme="minorHAnsi" w:cstheme="minorHAnsi"/>
          <w:sz w:val="20"/>
          <w:szCs w:val="20"/>
          <w:lang w:val="fr-FR"/>
        </w:rPr>
        <w:t xml:space="preserve">Les résultats du projet, les indicateurs correspondants et les objectifs à mi-parcours et de fin de projet dans le cadre des résultats du projet seront contrôlés annuellement et évalués périodiquement pendant la mise en œuvre du projet. Si les données de base pour certains des indicateurs de résultats ne sont pas encore disponibles, elles seront collectées au cours de la première année de mise en œuvre du projet. Le plan de suivi inclus en annexe détaille les rôles, les responsabilités et la fréquence du suivi des résultats du projet. </w:t>
      </w:r>
    </w:p>
    <w:p w14:paraId="6C332135" w14:textId="77777777" w:rsidR="00F80F79" w:rsidRPr="000E53A0" w:rsidRDefault="00F80F79" w:rsidP="00F80F79">
      <w:pPr>
        <w:rPr>
          <w:rFonts w:asciiTheme="minorHAnsi" w:hAnsiTheme="minorHAnsi" w:cstheme="minorHAnsi"/>
          <w:sz w:val="20"/>
          <w:szCs w:val="20"/>
          <w:lang w:val="fr-FR"/>
        </w:rPr>
      </w:pPr>
    </w:p>
    <w:p w14:paraId="008DDD74" w14:textId="77777777" w:rsidR="00601D9B" w:rsidRPr="000E53A0" w:rsidRDefault="000E53A0">
      <w:pPr>
        <w:rPr>
          <w:rStyle w:val="Lienhypertexte"/>
          <w:rFonts w:asciiTheme="minorHAnsi" w:hAnsiTheme="minorHAnsi" w:cstheme="minorHAnsi"/>
          <w:color w:val="auto"/>
          <w:sz w:val="20"/>
          <w:szCs w:val="20"/>
          <w:u w:val="none"/>
          <w:lang w:val="fr-FR"/>
        </w:rPr>
      </w:pPr>
      <w:r w:rsidRPr="000E53A0">
        <w:rPr>
          <w:rStyle w:val="Lienhypertexte"/>
          <w:rFonts w:asciiTheme="minorHAnsi" w:hAnsiTheme="minorHAnsi" w:cstheme="minorHAnsi"/>
          <w:color w:val="auto"/>
          <w:sz w:val="20"/>
          <w:szCs w:val="20"/>
          <w:u w:val="none"/>
          <w:lang w:val="fr-FR"/>
        </w:rPr>
        <w:t xml:space="preserve">Le </w:t>
      </w:r>
      <w:r w:rsidRPr="000E53A0">
        <w:rPr>
          <w:rFonts w:asciiTheme="minorHAnsi" w:hAnsiTheme="minorHAnsi" w:cstheme="minorHAnsi"/>
          <w:sz w:val="20"/>
          <w:szCs w:val="20"/>
          <w:lang w:val="fr-FR"/>
        </w:rPr>
        <w:t xml:space="preserve">suivi et l'évaluation au niveau du projet seront entrepris conformément aux exigences du PNUD telles que décrites dans le </w:t>
      </w:r>
      <w:hyperlink r:id="rId24" w:history="1">
        <w:r w:rsidRPr="000E53A0">
          <w:rPr>
            <w:rStyle w:val="Lienhypertexte"/>
            <w:rFonts w:asciiTheme="minorHAnsi" w:hAnsiTheme="minorHAnsi" w:cstheme="minorHAnsi"/>
            <w:sz w:val="20"/>
            <w:szCs w:val="20"/>
            <w:lang w:val="fr-FR"/>
          </w:rPr>
          <w:t xml:space="preserve">POPP du PNUD </w:t>
        </w:r>
      </w:hyperlink>
      <w:r w:rsidRPr="000E53A0">
        <w:rPr>
          <w:rStyle w:val="Lienhypertexte"/>
          <w:rFonts w:asciiTheme="minorHAnsi" w:hAnsiTheme="minorHAnsi" w:cstheme="minorHAnsi"/>
          <w:color w:val="auto"/>
          <w:sz w:val="20"/>
          <w:szCs w:val="20"/>
          <w:u w:val="none"/>
          <w:lang w:val="fr-FR"/>
        </w:rPr>
        <w:t xml:space="preserve">et la </w:t>
      </w:r>
      <w:hyperlink r:id="rId25" w:history="1">
        <w:r w:rsidRPr="000E53A0">
          <w:rPr>
            <w:rStyle w:val="Lienhypertexte"/>
            <w:rFonts w:asciiTheme="minorHAnsi" w:hAnsiTheme="minorHAnsi" w:cstheme="minorHAnsi"/>
            <w:sz w:val="20"/>
            <w:szCs w:val="20"/>
            <w:lang w:val="fr-FR"/>
          </w:rPr>
          <w:t>politique d'évaluation du PNUD</w:t>
        </w:r>
      </w:hyperlink>
      <w:r w:rsidRPr="000E53A0">
        <w:rPr>
          <w:rStyle w:val="Lienhypertexte"/>
          <w:rFonts w:asciiTheme="minorHAnsi" w:hAnsiTheme="minorHAnsi" w:cstheme="minorHAnsi"/>
          <w:sz w:val="20"/>
          <w:szCs w:val="20"/>
          <w:u w:val="none"/>
          <w:lang w:val="fr-FR"/>
        </w:rPr>
        <w:t xml:space="preserve">. </w:t>
      </w:r>
      <w:r w:rsidRPr="000E53A0">
        <w:rPr>
          <w:rStyle w:val="Lienhypertexte"/>
          <w:rFonts w:asciiTheme="minorHAnsi" w:hAnsiTheme="minorHAnsi" w:cstheme="minorHAnsi"/>
          <w:color w:val="auto"/>
          <w:sz w:val="20"/>
          <w:szCs w:val="20"/>
          <w:u w:val="none"/>
          <w:lang w:val="fr-FR"/>
        </w:rPr>
        <w:t xml:space="preserve">Le bureau de pays du PNUD est chargé de veiller au respect total de toutes les exigences du PNUD en matière de suivi, d'assurance qualité, de gestion des risques et d'évaluation des projets. </w:t>
      </w:r>
    </w:p>
    <w:p w14:paraId="5D754D88" w14:textId="77777777" w:rsidR="00F80F79" w:rsidRPr="000E53A0" w:rsidRDefault="00F80F79" w:rsidP="00F80F79">
      <w:pPr>
        <w:rPr>
          <w:rFonts w:asciiTheme="minorHAnsi" w:hAnsiTheme="minorHAnsi" w:cstheme="minorHAnsi"/>
          <w:sz w:val="20"/>
          <w:szCs w:val="20"/>
          <w:lang w:val="fr-FR"/>
        </w:rPr>
      </w:pPr>
    </w:p>
    <w:p w14:paraId="782C428E" w14:textId="77777777" w:rsidR="00601D9B" w:rsidRPr="000E53A0" w:rsidRDefault="000E53A0">
      <w:pPr>
        <w:rPr>
          <w:rFonts w:asciiTheme="minorHAnsi" w:hAnsiTheme="minorHAnsi" w:cstheme="minorHAnsi"/>
          <w:sz w:val="20"/>
          <w:szCs w:val="20"/>
          <w:lang w:val="fr-FR"/>
        </w:rPr>
      </w:pPr>
      <w:r w:rsidRPr="000E53A0">
        <w:rPr>
          <w:rFonts w:asciiTheme="minorHAnsi" w:hAnsiTheme="minorHAnsi" w:cstheme="minorHAnsi"/>
          <w:sz w:val="20"/>
          <w:szCs w:val="20"/>
          <w:lang w:val="fr-FR"/>
        </w:rPr>
        <w:t xml:space="preserve">Les autres exigences obligatoires de suivi et d'évaluation propres au FEM seront mises en œuvre conformément à la </w:t>
      </w:r>
      <w:hyperlink r:id="rId26" w:history="1">
        <w:r w:rsidRPr="000E53A0">
          <w:rPr>
            <w:rStyle w:val="Lienhypertexte"/>
            <w:rFonts w:asciiTheme="minorHAnsi" w:hAnsiTheme="minorHAnsi" w:cstheme="minorHAnsi"/>
            <w:sz w:val="20"/>
            <w:szCs w:val="20"/>
            <w:lang w:val="fr-FR"/>
          </w:rPr>
          <w:t xml:space="preserve">Politique de suivi </w:t>
        </w:r>
      </w:hyperlink>
      <w:r w:rsidRPr="000E53A0">
        <w:rPr>
          <w:rFonts w:asciiTheme="minorHAnsi" w:hAnsiTheme="minorHAnsi" w:cstheme="minorHAnsi"/>
          <w:sz w:val="20"/>
          <w:szCs w:val="20"/>
          <w:lang w:val="fr-FR"/>
        </w:rPr>
        <w:t>et d'</w:t>
      </w:r>
      <w:hyperlink r:id="rId27" w:history="1">
        <w:r w:rsidRPr="000E53A0">
          <w:rPr>
            <w:rStyle w:val="Lienhypertexte"/>
            <w:rFonts w:asciiTheme="minorHAnsi" w:hAnsiTheme="minorHAnsi" w:cstheme="minorHAnsi"/>
            <w:sz w:val="20"/>
            <w:szCs w:val="20"/>
            <w:lang w:val="fr-FR"/>
          </w:rPr>
          <w:t xml:space="preserve">évaluation du </w:t>
        </w:r>
      </w:hyperlink>
      <w:hyperlink r:id="rId28" w:history="1">
        <w:r w:rsidRPr="000E53A0">
          <w:rPr>
            <w:rStyle w:val="Lienhypertexte"/>
            <w:rFonts w:asciiTheme="minorHAnsi" w:hAnsiTheme="minorHAnsi" w:cstheme="minorHAnsi"/>
            <w:sz w:val="20"/>
            <w:szCs w:val="20"/>
            <w:lang w:val="fr-FR"/>
          </w:rPr>
          <w:t xml:space="preserve">FEM </w:t>
        </w:r>
      </w:hyperlink>
      <w:r w:rsidRPr="000E53A0">
        <w:rPr>
          <w:rFonts w:asciiTheme="minorHAnsi" w:hAnsiTheme="minorHAnsi" w:cstheme="minorHAnsi"/>
          <w:sz w:val="20"/>
          <w:szCs w:val="20"/>
          <w:lang w:val="fr-FR"/>
        </w:rPr>
        <w:t xml:space="preserve">et aux autres </w:t>
      </w:r>
      <w:hyperlink r:id="rId29" w:history="1">
        <w:r w:rsidRPr="000E53A0">
          <w:rPr>
            <w:rStyle w:val="Lienhypertexte"/>
            <w:rFonts w:asciiTheme="minorHAnsi" w:hAnsiTheme="minorHAnsi" w:cstheme="minorHAnsi"/>
            <w:sz w:val="20"/>
            <w:szCs w:val="20"/>
            <w:lang w:val="fr-FR"/>
          </w:rPr>
          <w:t>politiques pertinentes du FEM</w:t>
        </w:r>
      </w:hyperlink>
      <w:r w:rsidRPr="00F80F79">
        <w:rPr>
          <w:rStyle w:val="Appelnotedebasdep"/>
          <w:rFonts w:asciiTheme="minorHAnsi" w:hAnsiTheme="minorHAnsi" w:cstheme="minorHAnsi"/>
          <w:sz w:val="20"/>
          <w:szCs w:val="20"/>
        </w:rPr>
        <w:footnoteReference w:id="81"/>
      </w:r>
      <w:hyperlink r:id="rId30" w:history="1"/>
      <w:r w:rsidRPr="000E53A0">
        <w:rPr>
          <w:rFonts w:asciiTheme="minorHAnsi" w:hAnsiTheme="minorHAnsi" w:cstheme="minorHAnsi"/>
          <w:sz w:val="20"/>
          <w:szCs w:val="20"/>
          <w:lang w:val="fr-FR"/>
        </w:rPr>
        <w:t>. Le plan de suivi et d'évaluation chiffré présenté ci-dessous, ainsi que le plan de suivi présenté en annexe, guideront les activités de suivi et d'évaluation spécifiques au FEM qui seront entreprises dans le cadre de ce projet.</w:t>
      </w:r>
    </w:p>
    <w:p w14:paraId="55023952" w14:textId="77777777" w:rsidR="00F80F79" w:rsidRPr="000E53A0" w:rsidRDefault="00F80F79" w:rsidP="00F80F79">
      <w:pPr>
        <w:rPr>
          <w:rFonts w:asciiTheme="minorHAnsi" w:hAnsiTheme="minorHAnsi" w:cstheme="minorHAnsi"/>
          <w:sz w:val="20"/>
          <w:szCs w:val="20"/>
          <w:lang w:val="fr-FR"/>
        </w:rPr>
      </w:pPr>
    </w:p>
    <w:p w14:paraId="515DE2D1" w14:textId="77777777" w:rsidR="00601D9B" w:rsidRPr="000E53A0" w:rsidRDefault="000E53A0">
      <w:pPr>
        <w:rPr>
          <w:rFonts w:asciiTheme="minorHAnsi" w:hAnsiTheme="minorHAnsi" w:cstheme="minorHAnsi"/>
          <w:sz w:val="20"/>
          <w:szCs w:val="20"/>
          <w:lang w:val="fr-FR"/>
        </w:rPr>
      </w:pPr>
      <w:r w:rsidRPr="000E53A0">
        <w:rPr>
          <w:rFonts w:asciiTheme="minorHAnsi" w:hAnsiTheme="minorHAnsi" w:cstheme="minorHAnsi"/>
          <w:sz w:val="20"/>
          <w:szCs w:val="20"/>
          <w:lang w:val="fr-FR"/>
        </w:rPr>
        <w:t xml:space="preserve">En plus de ces exigences obligatoires de S&amp;E du PNUD et du FEM, d'autres activités de S&amp;E jugées nécessaires pour soutenir la gestion adaptative au niveau du projet seront convenues lors de l'atelier de lancement du projet et seront détaillées dans le rapport de lancement. </w:t>
      </w:r>
    </w:p>
    <w:p w14:paraId="19D35893" w14:textId="77777777" w:rsidR="00F80F79" w:rsidRPr="000E53A0" w:rsidRDefault="00F80F79" w:rsidP="00F80F79">
      <w:pPr>
        <w:rPr>
          <w:rFonts w:asciiTheme="minorHAnsi" w:hAnsiTheme="minorHAnsi" w:cstheme="minorHAnsi"/>
          <w:sz w:val="20"/>
          <w:szCs w:val="20"/>
          <w:lang w:val="fr-FR"/>
        </w:rPr>
      </w:pPr>
    </w:p>
    <w:p w14:paraId="5BF9C16A" w14:textId="77777777" w:rsidR="00601D9B" w:rsidRPr="000E53A0" w:rsidRDefault="000E53A0">
      <w:pPr>
        <w:rPr>
          <w:rFonts w:asciiTheme="minorHAnsi" w:hAnsiTheme="minorHAnsi" w:cstheme="minorHAnsi"/>
          <w:i/>
          <w:sz w:val="20"/>
          <w:szCs w:val="20"/>
          <w:lang w:val="fr-FR"/>
        </w:rPr>
      </w:pPr>
      <w:r w:rsidRPr="000E53A0">
        <w:rPr>
          <w:rFonts w:asciiTheme="minorHAnsi" w:hAnsiTheme="minorHAnsi" w:cstheme="minorHAnsi"/>
          <w:b/>
          <w:sz w:val="20"/>
          <w:szCs w:val="20"/>
          <w:lang w:val="fr-FR"/>
        </w:rPr>
        <w:t xml:space="preserve">Exigences supplémentaires du FEM en matière de suivi et de rapports : </w:t>
      </w:r>
    </w:p>
    <w:p w14:paraId="177DDA53" w14:textId="77777777" w:rsidR="00F80F79" w:rsidRPr="000E53A0" w:rsidRDefault="00F80F79" w:rsidP="00F80F79">
      <w:pPr>
        <w:rPr>
          <w:rFonts w:asciiTheme="minorHAnsi" w:hAnsiTheme="minorHAnsi" w:cstheme="minorHAnsi"/>
          <w:sz w:val="20"/>
          <w:szCs w:val="20"/>
          <w:u w:val="single"/>
          <w:lang w:val="fr-FR"/>
        </w:rPr>
      </w:pPr>
    </w:p>
    <w:p w14:paraId="522D5B52" w14:textId="77777777" w:rsidR="00601D9B" w:rsidRPr="000E53A0" w:rsidRDefault="000E53A0">
      <w:pPr>
        <w:rPr>
          <w:rFonts w:asciiTheme="minorHAnsi" w:hAnsiTheme="minorHAnsi" w:cstheme="minorHAnsi"/>
          <w:sz w:val="20"/>
          <w:szCs w:val="20"/>
          <w:lang w:val="fr-FR"/>
        </w:rPr>
      </w:pPr>
      <w:r w:rsidRPr="000E53A0">
        <w:rPr>
          <w:rFonts w:asciiTheme="minorHAnsi" w:hAnsiTheme="minorHAnsi" w:cstheme="minorHAnsi"/>
          <w:sz w:val="20"/>
          <w:szCs w:val="20"/>
          <w:u w:val="single"/>
          <w:lang w:val="fr-FR"/>
        </w:rPr>
        <w:t xml:space="preserve">Atelier de lancement et rapport </w:t>
      </w:r>
      <w:r w:rsidRPr="000E53A0">
        <w:rPr>
          <w:rFonts w:asciiTheme="minorHAnsi" w:hAnsiTheme="minorHAnsi" w:cstheme="minorHAnsi"/>
          <w:sz w:val="20"/>
          <w:szCs w:val="20"/>
          <w:lang w:val="fr-FR"/>
        </w:rPr>
        <w:t xml:space="preserve">:  Un atelier de démarrage du projet sera organisé dans les 60 jours suivant l'approbation du CEO du projet, dans le but de : </w:t>
      </w:r>
    </w:p>
    <w:p w14:paraId="31154955" w14:textId="77777777" w:rsidR="00601D9B" w:rsidRPr="000E53A0" w:rsidRDefault="000E53A0">
      <w:pPr>
        <w:pStyle w:val="Paragraphedeliste"/>
        <w:numPr>
          <w:ilvl w:val="0"/>
          <w:numId w:val="36"/>
        </w:numPr>
        <w:rPr>
          <w:rFonts w:asciiTheme="minorHAnsi" w:hAnsiTheme="minorHAnsi" w:cstheme="minorHAnsi"/>
          <w:sz w:val="20"/>
          <w:szCs w:val="20"/>
          <w:lang w:val="fr-FR"/>
        </w:rPr>
      </w:pPr>
      <w:r w:rsidRPr="000E53A0">
        <w:rPr>
          <w:rFonts w:asciiTheme="minorHAnsi" w:hAnsiTheme="minorHAnsi" w:cstheme="minorHAnsi"/>
          <w:sz w:val="20"/>
          <w:szCs w:val="20"/>
          <w:lang w:val="fr-FR"/>
        </w:rPr>
        <w:t xml:space="preserve">Familiarisez les principales parties prenantes avec la stratégie détaillée du projet et discutez de tous les changements qui ont pu avoir lieu dans le contexte global depuis la conceptualisation initiale de l'idée du projet et qui peuvent influencer sa stratégie et sa mise en œuvre. </w:t>
      </w:r>
    </w:p>
    <w:p w14:paraId="18AB14FA" w14:textId="77777777" w:rsidR="00601D9B" w:rsidRPr="000E53A0" w:rsidRDefault="000E53A0">
      <w:pPr>
        <w:pStyle w:val="Paragraphedeliste"/>
        <w:numPr>
          <w:ilvl w:val="0"/>
          <w:numId w:val="36"/>
        </w:numPr>
        <w:rPr>
          <w:rFonts w:asciiTheme="minorHAnsi" w:hAnsiTheme="minorHAnsi" w:cstheme="minorHAnsi"/>
          <w:sz w:val="20"/>
          <w:szCs w:val="20"/>
          <w:lang w:val="fr-FR"/>
        </w:rPr>
      </w:pPr>
      <w:r w:rsidRPr="000E53A0">
        <w:rPr>
          <w:rFonts w:asciiTheme="minorHAnsi" w:hAnsiTheme="minorHAnsi" w:cstheme="minorHAnsi"/>
          <w:sz w:val="20"/>
          <w:szCs w:val="20"/>
          <w:lang w:val="fr-FR"/>
        </w:rPr>
        <w:t xml:space="preserve">Discutez des rôles et des responsabilités de l'équipe de projet, y compris les lignes hiérarchiques, les stratégies d'engagement des parties prenantes et les mécanismes de résolution des conflits. </w:t>
      </w:r>
    </w:p>
    <w:p w14:paraId="76507F27" w14:textId="77777777" w:rsidR="00601D9B" w:rsidRPr="000E53A0" w:rsidRDefault="000E53A0">
      <w:pPr>
        <w:pStyle w:val="Paragraphedeliste"/>
        <w:numPr>
          <w:ilvl w:val="0"/>
          <w:numId w:val="36"/>
        </w:numPr>
        <w:rPr>
          <w:rFonts w:asciiTheme="minorHAnsi" w:hAnsiTheme="minorHAnsi" w:cstheme="minorHAnsi"/>
          <w:sz w:val="20"/>
          <w:szCs w:val="20"/>
          <w:lang w:val="fr-FR"/>
        </w:rPr>
      </w:pPr>
      <w:r w:rsidRPr="000E53A0">
        <w:rPr>
          <w:rFonts w:asciiTheme="minorHAnsi" w:hAnsiTheme="minorHAnsi" w:cstheme="minorHAnsi"/>
          <w:sz w:val="20"/>
          <w:szCs w:val="20"/>
          <w:lang w:val="fr-FR"/>
        </w:rPr>
        <w:t xml:space="preserve">Examiner le cadre de résultats et le plan de suivi. </w:t>
      </w:r>
    </w:p>
    <w:p w14:paraId="092AEE30" w14:textId="77777777" w:rsidR="00601D9B" w:rsidRPr="000E53A0" w:rsidRDefault="000E53A0">
      <w:pPr>
        <w:pStyle w:val="Paragraphedeliste"/>
        <w:numPr>
          <w:ilvl w:val="0"/>
          <w:numId w:val="36"/>
        </w:numPr>
        <w:rPr>
          <w:rFonts w:asciiTheme="minorHAnsi" w:hAnsiTheme="minorHAnsi" w:cstheme="minorHAnsi"/>
          <w:sz w:val="20"/>
          <w:szCs w:val="20"/>
          <w:lang w:val="fr-FR"/>
        </w:rPr>
      </w:pPr>
      <w:r w:rsidRPr="000E53A0">
        <w:rPr>
          <w:rFonts w:asciiTheme="minorHAnsi" w:hAnsiTheme="minorHAnsi" w:cstheme="minorHAnsi"/>
          <w:sz w:val="20"/>
          <w:szCs w:val="20"/>
          <w:lang w:val="fr-FR"/>
        </w:rPr>
        <w:t>Discutez des rôles et des responsabilités en matière de rapports, de suivi et d'évaluation et mettez au point le budget de suivi et d'évaluation ; identifiez les instituts nationaux/régionaux à impliquer dans le suivi et l'évaluation au niveau du projet ; discutez du rôle du PFO du FEM et des autres parties prenantes dans le suivi et l'évaluation au niveau du projet.</w:t>
      </w:r>
    </w:p>
    <w:p w14:paraId="4F005405" w14:textId="77777777" w:rsidR="00601D9B" w:rsidRPr="000E53A0" w:rsidRDefault="000E53A0">
      <w:pPr>
        <w:pStyle w:val="Paragraphedeliste"/>
        <w:numPr>
          <w:ilvl w:val="0"/>
          <w:numId w:val="36"/>
        </w:numPr>
        <w:rPr>
          <w:rFonts w:asciiTheme="minorHAnsi" w:hAnsiTheme="minorHAnsi" w:cstheme="minorHAnsi"/>
          <w:sz w:val="20"/>
          <w:szCs w:val="20"/>
          <w:lang w:val="fr-FR"/>
        </w:rPr>
      </w:pPr>
      <w:r w:rsidRPr="000E53A0">
        <w:rPr>
          <w:rFonts w:asciiTheme="minorHAnsi" w:hAnsiTheme="minorHAnsi" w:cstheme="minorHAnsi"/>
          <w:sz w:val="20"/>
          <w:szCs w:val="20"/>
          <w:lang w:val="fr-FR"/>
        </w:rPr>
        <w:t>Mettre à jour et revoir les responsabilités en matière de suivi des stratégies du projet, notamment le registre des risques, le rapport du SESP, le cadre de gestion sociale et environnementale et les autres exigences de sauvegarde, les mécanismes de règlement des griefs du projet, la stratégie en matière d'égalité des sexes, la stratégie de gestion des connaissances et les autres stratégies de gestion pertinentes.</w:t>
      </w:r>
    </w:p>
    <w:p w14:paraId="5AA42094" w14:textId="77777777" w:rsidR="00601D9B" w:rsidRPr="000E53A0" w:rsidRDefault="000E53A0">
      <w:pPr>
        <w:pStyle w:val="Paragraphedeliste"/>
        <w:numPr>
          <w:ilvl w:val="0"/>
          <w:numId w:val="36"/>
        </w:numPr>
        <w:rPr>
          <w:rFonts w:asciiTheme="minorHAnsi" w:hAnsiTheme="minorHAnsi" w:cstheme="minorHAnsi"/>
          <w:sz w:val="20"/>
          <w:szCs w:val="20"/>
          <w:lang w:val="fr-FR"/>
        </w:rPr>
      </w:pPr>
      <w:r w:rsidRPr="000E53A0">
        <w:rPr>
          <w:rFonts w:asciiTheme="minorHAnsi" w:hAnsiTheme="minorHAnsi" w:cstheme="minorHAnsi"/>
          <w:sz w:val="20"/>
          <w:szCs w:val="20"/>
          <w:lang w:val="fr-FR"/>
        </w:rPr>
        <w:t xml:space="preserve">Examiner les procédures d'établissement de rapports financiers, le suivi budgétaire et les autres exigences obligatoires et convenir des modalités de l'audit annuel. </w:t>
      </w:r>
    </w:p>
    <w:p w14:paraId="6582A2A8" w14:textId="77777777" w:rsidR="00601D9B" w:rsidRPr="000E53A0" w:rsidRDefault="000E53A0">
      <w:pPr>
        <w:pStyle w:val="Paragraphedeliste"/>
        <w:numPr>
          <w:ilvl w:val="0"/>
          <w:numId w:val="36"/>
        </w:numPr>
        <w:rPr>
          <w:rFonts w:asciiTheme="minorHAnsi" w:hAnsiTheme="minorHAnsi" w:cstheme="minorHAnsi"/>
          <w:sz w:val="20"/>
          <w:szCs w:val="20"/>
          <w:lang w:val="fr-FR"/>
        </w:rPr>
      </w:pPr>
      <w:r w:rsidRPr="000E53A0">
        <w:rPr>
          <w:rFonts w:asciiTheme="minorHAnsi" w:hAnsiTheme="minorHAnsi" w:cstheme="minorHAnsi"/>
          <w:sz w:val="20"/>
          <w:szCs w:val="20"/>
          <w:lang w:val="fr-FR"/>
        </w:rPr>
        <w:t xml:space="preserve">Planifier et programmer les réunions du Conseil du projet et finaliser le plan de travail annuel de la première année.  </w:t>
      </w:r>
    </w:p>
    <w:p w14:paraId="5FA6FF84" w14:textId="77777777" w:rsidR="00601D9B" w:rsidRDefault="000E53A0">
      <w:pPr>
        <w:pStyle w:val="Paragraphedeliste"/>
        <w:numPr>
          <w:ilvl w:val="0"/>
          <w:numId w:val="36"/>
        </w:numPr>
        <w:rPr>
          <w:rFonts w:asciiTheme="minorHAnsi" w:hAnsiTheme="minorHAnsi" w:cstheme="minorHAnsi"/>
          <w:sz w:val="20"/>
          <w:szCs w:val="20"/>
        </w:rPr>
      </w:pPr>
      <w:r w:rsidRPr="00F80F79">
        <w:rPr>
          <w:rFonts w:asciiTheme="minorHAnsi" w:hAnsiTheme="minorHAnsi" w:cstheme="minorHAnsi"/>
          <w:sz w:val="20"/>
          <w:szCs w:val="20"/>
        </w:rPr>
        <w:t>Lancer officiellement le projet.</w:t>
      </w:r>
    </w:p>
    <w:p w14:paraId="24A547CB" w14:textId="77777777" w:rsidR="00F80F79" w:rsidRPr="00F80F79" w:rsidRDefault="00F80F79" w:rsidP="00F80F79">
      <w:pPr>
        <w:pStyle w:val="NormalWeb"/>
        <w:spacing w:before="0" w:beforeAutospacing="0" w:after="0" w:afterAutospacing="0"/>
        <w:rPr>
          <w:rFonts w:asciiTheme="minorHAnsi" w:hAnsiTheme="minorHAnsi" w:cstheme="minorHAnsi"/>
          <w:sz w:val="20"/>
          <w:szCs w:val="20"/>
          <w:u w:val="single"/>
        </w:rPr>
      </w:pPr>
    </w:p>
    <w:p w14:paraId="73BFEC3E" w14:textId="77777777" w:rsidR="00601D9B" w:rsidRPr="000E53A0" w:rsidRDefault="000E53A0">
      <w:pPr>
        <w:rPr>
          <w:rFonts w:asciiTheme="minorHAnsi" w:hAnsiTheme="minorHAnsi" w:cstheme="minorHAnsi"/>
          <w:i/>
          <w:sz w:val="20"/>
          <w:szCs w:val="20"/>
          <w:lang w:val="fr-FR"/>
        </w:rPr>
      </w:pPr>
      <w:r w:rsidRPr="000E53A0">
        <w:rPr>
          <w:rFonts w:asciiTheme="minorHAnsi" w:hAnsiTheme="minorHAnsi" w:cstheme="minorHAnsi"/>
          <w:sz w:val="20"/>
          <w:szCs w:val="20"/>
          <w:u w:val="single"/>
          <w:lang w:val="fr-FR"/>
        </w:rPr>
        <w:t>Rapport d'exécution du projet FEM (PIR</w:t>
      </w:r>
      <w:r w:rsidRPr="000E53A0">
        <w:rPr>
          <w:rFonts w:asciiTheme="minorHAnsi" w:hAnsiTheme="minorHAnsi" w:cstheme="minorHAnsi"/>
          <w:sz w:val="20"/>
          <w:szCs w:val="20"/>
          <w:lang w:val="fr-FR"/>
        </w:rPr>
        <w:t xml:space="preserve">) : </w:t>
      </w:r>
    </w:p>
    <w:p w14:paraId="24D6FAE4" w14:textId="77777777" w:rsidR="00601D9B" w:rsidRPr="000E53A0" w:rsidRDefault="000E53A0">
      <w:pPr>
        <w:pStyle w:val="NormalWeb"/>
        <w:spacing w:before="0" w:beforeAutospacing="0" w:after="0" w:afterAutospacing="0"/>
        <w:rPr>
          <w:rFonts w:asciiTheme="minorHAnsi" w:hAnsiTheme="minorHAnsi" w:cstheme="minorHAnsi"/>
          <w:sz w:val="20"/>
          <w:szCs w:val="20"/>
          <w:lang w:val="fr-FR"/>
        </w:rPr>
      </w:pPr>
      <w:r w:rsidRPr="000E53A0">
        <w:rPr>
          <w:rFonts w:asciiTheme="minorHAnsi" w:hAnsiTheme="minorHAnsi" w:cstheme="minorHAnsi"/>
          <w:sz w:val="20"/>
          <w:szCs w:val="20"/>
          <w:lang w:val="fr-FR"/>
        </w:rPr>
        <w:t xml:space="preserve">Le rapport d'activité annuel du FEM couvrant la période de juillet (année précédente) à juin (année en cours) sera complété pour chaque année de mise en œuvre du projet. Tous les risques environnementaux et sociaux et les </w:t>
      </w:r>
      <w:r w:rsidRPr="000E53A0">
        <w:rPr>
          <w:rFonts w:asciiTheme="minorHAnsi" w:hAnsiTheme="minorHAnsi" w:cstheme="minorHAnsi"/>
          <w:sz w:val="20"/>
          <w:szCs w:val="20"/>
          <w:lang w:val="fr-FR"/>
        </w:rPr>
        <w:lastRenderedPageBreak/>
        <w:t xml:space="preserve">plans de gestion correspondants seront contrôlés régulièrement, et les progrès seront signalés dans le PIR. Le PIR soumis au FEM sera partagé avec le Conseil du projet. L'évaluation de la qualité du PIR de l'année précédente sera utilisée pour la préparation du PIR suivant.  </w:t>
      </w:r>
    </w:p>
    <w:p w14:paraId="6663B3C0" w14:textId="77777777" w:rsidR="00F80F79" w:rsidRPr="000E53A0" w:rsidRDefault="00F80F79" w:rsidP="00F80F79">
      <w:pPr>
        <w:pStyle w:val="NormalWeb"/>
        <w:spacing w:before="0" w:beforeAutospacing="0" w:after="0" w:afterAutospacing="0"/>
        <w:rPr>
          <w:rFonts w:asciiTheme="minorHAnsi" w:hAnsiTheme="minorHAnsi" w:cstheme="minorHAnsi"/>
          <w:sz w:val="20"/>
          <w:szCs w:val="20"/>
          <w:u w:val="single"/>
          <w:lang w:val="fr-FR"/>
        </w:rPr>
      </w:pPr>
    </w:p>
    <w:p w14:paraId="19F3AC10" w14:textId="77777777" w:rsidR="00601D9B" w:rsidRPr="000E53A0" w:rsidRDefault="000E53A0">
      <w:pPr>
        <w:rPr>
          <w:rFonts w:asciiTheme="minorHAnsi" w:hAnsiTheme="minorHAnsi" w:cstheme="minorHAnsi"/>
          <w:i/>
          <w:sz w:val="20"/>
          <w:szCs w:val="20"/>
          <w:lang w:val="fr-FR"/>
        </w:rPr>
      </w:pPr>
      <w:r w:rsidRPr="000E53A0">
        <w:rPr>
          <w:rFonts w:asciiTheme="minorHAnsi" w:hAnsiTheme="minorHAnsi" w:cstheme="minorHAnsi"/>
          <w:sz w:val="20"/>
          <w:szCs w:val="20"/>
          <w:u w:val="single"/>
          <w:lang w:val="fr-FR"/>
        </w:rPr>
        <w:t xml:space="preserve">GEF et/ou LDCF/SCCF Indicateurs de base </w:t>
      </w:r>
      <w:r w:rsidRPr="000E53A0">
        <w:rPr>
          <w:rFonts w:asciiTheme="minorHAnsi" w:hAnsiTheme="minorHAnsi" w:cstheme="minorHAnsi"/>
          <w:sz w:val="20"/>
          <w:szCs w:val="20"/>
          <w:lang w:val="fr-FR"/>
        </w:rPr>
        <w:t xml:space="preserve">: </w:t>
      </w:r>
      <w:r w:rsidRPr="000E53A0">
        <w:rPr>
          <w:rFonts w:asciiTheme="minorHAnsi" w:hAnsiTheme="minorHAnsi" w:cstheme="minorHAnsi"/>
          <w:b/>
          <w:sz w:val="20"/>
          <w:szCs w:val="20"/>
          <w:lang w:val="fr-FR"/>
        </w:rPr>
        <w:t xml:space="preserve"> </w:t>
      </w:r>
    </w:p>
    <w:p w14:paraId="341C9716" w14:textId="77777777" w:rsidR="00601D9B" w:rsidRPr="000E53A0" w:rsidRDefault="000E53A0">
      <w:pPr>
        <w:pStyle w:val="NormalWeb"/>
        <w:spacing w:before="0" w:beforeAutospacing="0" w:after="0" w:afterAutospacing="0"/>
        <w:rPr>
          <w:rFonts w:asciiTheme="minorHAnsi" w:hAnsiTheme="minorHAnsi" w:cstheme="minorHAnsi"/>
          <w:sz w:val="20"/>
          <w:szCs w:val="20"/>
          <w:lang w:val="fr-FR"/>
        </w:rPr>
      </w:pPr>
      <w:r w:rsidRPr="000E53A0">
        <w:rPr>
          <w:rFonts w:asciiTheme="minorHAnsi" w:hAnsiTheme="minorHAnsi" w:cstheme="minorHAnsi"/>
          <w:sz w:val="20"/>
          <w:szCs w:val="20"/>
          <w:lang w:val="fr-FR"/>
        </w:rPr>
        <w:t xml:space="preserve">Les indicateurs de base du FEM et du FPMA inclus dans l'annexe seront utilisés pour surveiller les avantages environnementaux globaux et seront mis à jour pour le rapport au FEM avant la RMP et l'ET. Notez que l'équipe de projet est responsable de la mise à jour de l'état des indicateurs. Les données de suivi mises à jour doivent être partagées avec les consultants MTR/TE </w:t>
      </w:r>
      <w:r w:rsidRPr="000E53A0">
        <w:rPr>
          <w:rFonts w:asciiTheme="minorHAnsi" w:hAnsiTheme="minorHAnsi" w:cstheme="minorHAnsi"/>
          <w:sz w:val="20"/>
          <w:szCs w:val="20"/>
          <w:u w:val="single"/>
          <w:lang w:val="fr-FR"/>
        </w:rPr>
        <w:t xml:space="preserve">avant </w:t>
      </w:r>
      <w:r w:rsidRPr="000E53A0">
        <w:rPr>
          <w:rFonts w:asciiTheme="minorHAnsi" w:hAnsiTheme="minorHAnsi" w:cstheme="minorHAnsi"/>
          <w:sz w:val="20"/>
          <w:szCs w:val="20"/>
          <w:lang w:val="fr-FR"/>
        </w:rPr>
        <w:t xml:space="preserve">les missions d'évaluation requises, afin qu'elles puissent être utilisées pour la vérification de base ultérieure. Les méthodologies à utiliser pour la collecte des données ont été définies par le FEM et sont disponibles sur le </w:t>
      </w:r>
      <w:hyperlink r:id="rId31" w:history="1">
        <w:r w:rsidRPr="000E53A0">
          <w:rPr>
            <w:rStyle w:val="Lienhypertexte"/>
            <w:rFonts w:asciiTheme="minorHAnsi" w:hAnsiTheme="minorHAnsi" w:cstheme="minorHAnsi"/>
            <w:sz w:val="20"/>
            <w:szCs w:val="20"/>
            <w:lang w:val="fr-FR"/>
          </w:rPr>
          <w:t xml:space="preserve">site Web du </w:t>
        </w:r>
      </w:hyperlink>
      <w:r w:rsidRPr="000E53A0">
        <w:rPr>
          <w:rFonts w:asciiTheme="minorHAnsi" w:hAnsiTheme="minorHAnsi" w:cstheme="minorHAnsi"/>
          <w:sz w:val="20"/>
          <w:szCs w:val="20"/>
          <w:lang w:val="fr-FR"/>
        </w:rPr>
        <w:t xml:space="preserve">FEM. </w:t>
      </w:r>
    </w:p>
    <w:p w14:paraId="47DD0673" w14:textId="77777777" w:rsidR="00F80F79" w:rsidRPr="000E53A0" w:rsidRDefault="00F80F79" w:rsidP="00F80F79">
      <w:pPr>
        <w:pStyle w:val="NormalWeb"/>
        <w:spacing w:before="0" w:beforeAutospacing="0" w:after="0" w:afterAutospacing="0"/>
        <w:rPr>
          <w:rFonts w:asciiTheme="minorHAnsi" w:hAnsiTheme="minorHAnsi" w:cstheme="minorHAnsi"/>
          <w:sz w:val="20"/>
          <w:szCs w:val="20"/>
          <w:lang w:val="fr-FR"/>
        </w:rPr>
      </w:pPr>
    </w:p>
    <w:p w14:paraId="054D535B" w14:textId="77777777" w:rsidR="00601D9B" w:rsidRPr="000E53A0" w:rsidRDefault="000E53A0">
      <w:pPr>
        <w:rPr>
          <w:rFonts w:asciiTheme="minorHAnsi" w:hAnsiTheme="minorHAnsi" w:cstheme="minorHAnsi"/>
          <w:i/>
          <w:color w:val="FF0000"/>
          <w:sz w:val="20"/>
          <w:szCs w:val="20"/>
          <w:lang w:val="fr-FR"/>
        </w:rPr>
      </w:pPr>
      <w:r w:rsidRPr="000E53A0">
        <w:rPr>
          <w:rFonts w:asciiTheme="minorHAnsi" w:hAnsiTheme="minorHAnsi" w:cstheme="minorHAnsi"/>
          <w:i/>
          <w:sz w:val="20"/>
          <w:szCs w:val="20"/>
          <w:u w:val="single"/>
          <w:lang w:val="fr-FR"/>
        </w:rPr>
        <w:t xml:space="preserve">Examen à mi-parcours indépendant (MTR) : </w:t>
      </w:r>
    </w:p>
    <w:p w14:paraId="02837AEA" w14:textId="77777777" w:rsidR="00601D9B" w:rsidRPr="000E53A0" w:rsidRDefault="000E53A0">
      <w:pPr>
        <w:rPr>
          <w:rFonts w:asciiTheme="minorHAnsi" w:hAnsiTheme="minorHAnsi" w:cstheme="minorHAnsi"/>
          <w:sz w:val="20"/>
          <w:szCs w:val="20"/>
          <w:lang w:val="fr-FR"/>
        </w:rPr>
      </w:pPr>
      <w:r w:rsidRPr="000E53A0">
        <w:rPr>
          <w:rFonts w:asciiTheme="minorHAnsi" w:hAnsiTheme="minorHAnsi" w:cstheme="minorHAnsi"/>
          <w:sz w:val="20"/>
          <w:szCs w:val="20"/>
          <w:lang w:val="fr-FR"/>
        </w:rPr>
        <w:t xml:space="preserve">Les termes de référence, le processus d'examen et le rapport final de l'examen à mi-parcours suivront les modèles standard et les directives pour les projets financés par le FEM, disponibles sur le </w:t>
      </w:r>
      <w:hyperlink r:id="rId32" w:anchor="gef" w:history="1">
        <w:r w:rsidRPr="000E53A0">
          <w:rPr>
            <w:rStyle w:val="Lienhypertexte"/>
            <w:rFonts w:asciiTheme="minorHAnsi" w:hAnsiTheme="minorHAnsi" w:cstheme="minorHAnsi"/>
            <w:sz w:val="20"/>
            <w:szCs w:val="20"/>
            <w:lang w:val="fr-FR"/>
          </w:rPr>
          <w:t xml:space="preserve">Centre deressources d'évaluation </w:t>
        </w:r>
      </w:hyperlink>
      <w:r w:rsidRPr="000E53A0">
        <w:rPr>
          <w:rStyle w:val="Lienhypertexte"/>
          <w:rFonts w:asciiTheme="minorHAnsi" w:hAnsiTheme="minorHAnsi" w:cstheme="minorHAnsi"/>
          <w:sz w:val="20"/>
          <w:szCs w:val="20"/>
          <w:lang w:val="fr-FR"/>
        </w:rPr>
        <w:t xml:space="preserve">(ERC) </w:t>
      </w:r>
      <w:hyperlink r:id="rId33" w:anchor="gef" w:history="1">
        <w:r w:rsidRPr="000E53A0">
          <w:rPr>
            <w:rStyle w:val="Lienhypertexte"/>
            <w:rFonts w:asciiTheme="minorHAnsi" w:hAnsiTheme="minorHAnsi" w:cstheme="minorHAnsi"/>
            <w:sz w:val="20"/>
            <w:szCs w:val="20"/>
            <w:lang w:val="fr-FR"/>
          </w:rPr>
          <w:t>du PNUD</w:t>
        </w:r>
      </w:hyperlink>
      <w:r w:rsidRPr="000E53A0">
        <w:rPr>
          <w:rStyle w:val="Lienhypertexte"/>
          <w:rFonts w:asciiTheme="minorHAnsi" w:hAnsiTheme="minorHAnsi" w:cstheme="minorHAnsi"/>
          <w:sz w:val="20"/>
          <w:szCs w:val="20"/>
          <w:lang w:val="fr-FR"/>
        </w:rPr>
        <w:t xml:space="preserve">. </w:t>
      </w:r>
    </w:p>
    <w:p w14:paraId="090F26F9" w14:textId="77777777" w:rsidR="00F80F79" w:rsidRPr="000E53A0" w:rsidRDefault="00F80F79" w:rsidP="00F80F79">
      <w:pPr>
        <w:rPr>
          <w:rFonts w:asciiTheme="minorHAnsi" w:hAnsiTheme="minorHAnsi" w:cstheme="minorHAnsi"/>
          <w:sz w:val="20"/>
          <w:szCs w:val="20"/>
          <w:lang w:val="fr-FR"/>
        </w:rPr>
      </w:pPr>
    </w:p>
    <w:p w14:paraId="2556C845" w14:textId="77777777" w:rsidR="00601D9B" w:rsidRPr="000E53A0" w:rsidRDefault="000E53A0">
      <w:pPr>
        <w:rPr>
          <w:rFonts w:asciiTheme="minorHAnsi" w:hAnsiTheme="minorHAnsi" w:cstheme="minorHAnsi"/>
          <w:sz w:val="20"/>
          <w:szCs w:val="20"/>
          <w:lang w:val="fr-FR"/>
        </w:rPr>
      </w:pPr>
      <w:r w:rsidRPr="000E53A0">
        <w:rPr>
          <w:rFonts w:asciiTheme="minorHAnsi" w:hAnsiTheme="minorHAnsi" w:cstheme="minorHAnsi"/>
          <w:sz w:val="20"/>
          <w:szCs w:val="20"/>
          <w:lang w:val="fr-FR"/>
        </w:rPr>
        <w:t xml:space="preserve">L'évaluation sera "indépendante, impartiale et rigoureuse". Les évaluateurs qui seront engagés pour entreprendre la mission seront indépendants des organisations qui ont participé à la conception, à l'exécution ou au conseil du projet à évaluer. De même, les évaluateurs ne doivent pas être dans une position où il pourrait y avoir la possibilité de contrats futurs concernant le projet à évaluer. </w:t>
      </w:r>
    </w:p>
    <w:p w14:paraId="0D4DD72D" w14:textId="77777777" w:rsidR="00F80F79" w:rsidRPr="000E53A0" w:rsidRDefault="00F80F79" w:rsidP="00F80F79">
      <w:pPr>
        <w:rPr>
          <w:rFonts w:asciiTheme="minorHAnsi" w:hAnsiTheme="minorHAnsi" w:cstheme="minorHAnsi"/>
          <w:sz w:val="20"/>
          <w:szCs w:val="20"/>
          <w:lang w:val="fr-FR"/>
        </w:rPr>
      </w:pPr>
    </w:p>
    <w:p w14:paraId="7E4494F3" w14:textId="77777777" w:rsidR="00601D9B" w:rsidRPr="000E53A0" w:rsidRDefault="000E53A0">
      <w:pPr>
        <w:rPr>
          <w:rFonts w:asciiTheme="minorHAnsi" w:hAnsiTheme="minorHAnsi" w:cstheme="minorHAnsi"/>
          <w:sz w:val="20"/>
          <w:szCs w:val="20"/>
          <w:lang w:val="fr-FR"/>
        </w:rPr>
      </w:pPr>
      <w:r w:rsidRPr="000E53A0">
        <w:rPr>
          <w:rFonts w:asciiTheme="minorHAnsi" w:hAnsiTheme="minorHAnsi" w:cstheme="minorHAnsi"/>
          <w:sz w:val="20"/>
          <w:szCs w:val="20"/>
          <w:lang w:val="fr-FR"/>
        </w:rPr>
        <w:t>Le point focal opérationnel du FEM et les autres parties prenantes seront activement impliqués et consultés au cours du processus d'évaluation. Un soutien supplémentaire en matière d'assurance qualité est disponible auprès de la Direction BPPS/GEF.</w:t>
      </w:r>
    </w:p>
    <w:p w14:paraId="28132E4B" w14:textId="77777777" w:rsidR="00F80F79" w:rsidRPr="000E53A0" w:rsidRDefault="00F80F79" w:rsidP="00F80F79">
      <w:pPr>
        <w:rPr>
          <w:rFonts w:asciiTheme="minorHAnsi" w:hAnsiTheme="minorHAnsi" w:cstheme="minorHAnsi"/>
          <w:sz w:val="20"/>
          <w:szCs w:val="20"/>
          <w:lang w:val="fr-FR"/>
        </w:rPr>
      </w:pPr>
    </w:p>
    <w:p w14:paraId="02E3C6CC" w14:textId="77777777" w:rsidR="00601D9B" w:rsidRPr="000E53A0" w:rsidRDefault="000E53A0">
      <w:pPr>
        <w:rPr>
          <w:rFonts w:asciiTheme="minorHAnsi" w:hAnsiTheme="minorHAnsi" w:cstheme="minorHAnsi"/>
          <w:i/>
          <w:color w:val="FF0000"/>
          <w:sz w:val="20"/>
          <w:szCs w:val="20"/>
          <w:lang w:val="fr-FR"/>
        </w:rPr>
      </w:pPr>
      <w:r w:rsidRPr="000E53A0">
        <w:rPr>
          <w:rFonts w:asciiTheme="minorHAnsi" w:hAnsiTheme="minorHAnsi" w:cstheme="minorHAnsi"/>
          <w:sz w:val="20"/>
          <w:szCs w:val="20"/>
          <w:lang w:val="fr-FR"/>
        </w:rPr>
        <w:t xml:space="preserve">Le rapport final de l'examen à mi-parcours et les termes de référence de l'examen à mi-parcours seront accessibles au public en anglais et seront affichés sur le site ERC du PNUD au plus tard le </w:t>
      </w:r>
      <w:r w:rsidRPr="000E53A0">
        <w:rPr>
          <w:rFonts w:asciiTheme="minorHAnsi" w:hAnsiTheme="minorHAnsi" w:cstheme="minorHAnsi"/>
          <w:color w:val="FF0000"/>
          <w:sz w:val="20"/>
          <w:szCs w:val="20"/>
          <w:highlight w:val="yellow"/>
          <w:lang w:val="fr-FR"/>
        </w:rPr>
        <w:t xml:space="preserve">(ajouter la date figurant sur la page de couverture du présent document de projet). </w:t>
      </w:r>
      <w:r w:rsidRPr="000E53A0">
        <w:rPr>
          <w:rFonts w:asciiTheme="minorHAnsi" w:hAnsiTheme="minorHAnsi" w:cstheme="minorHAnsi"/>
          <w:sz w:val="20"/>
          <w:szCs w:val="20"/>
          <w:lang w:val="fr-FR"/>
        </w:rPr>
        <w:t>Une réponse de la direction aux recommandations de l'examen à mi-parcours sera affichée sur le site ERC dans les six semaines suivant l'achèvement du rapport de l'examen à mi-parcours.</w:t>
      </w:r>
    </w:p>
    <w:p w14:paraId="774E2186" w14:textId="77777777" w:rsidR="00F80F79" w:rsidRPr="000E53A0" w:rsidRDefault="00F80F79" w:rsidP="00F80F79">
      <w:pPr>
        <w:rPr>
          <w:rFonts w:asciiTheme="minorHAnsi" w:hAnsiTheme="minorHAnsi" w:cstheme="minorHAnsi"/>
          <w:sz w:val="20"/>
          <w:szCs w:val="20"/>
          <w:u w:val="single"/>
          <w:lang w:val="fr-FR"/>
        </w:rPr>
      </w:pPr>
    </w:p>
    <w:p w14:paraId="0B691256" w14:textId="77777777" w:rsidR="00601D9B" w:rsidRPr="000E53A0" w:rsidRDefault="000E53A0">
      <w:pPr>
        <w:rPr>
          <w:rFonts w:asciiTheme="minorHAnsi" w:hAnsiTheme="minorHAnsi" w:cstheme="minorHAnsi"/>
          <w:i/>
          <w:sz w:val="20"/>
          <w:szCs w:val="20"/>
          <w:lang w:val="fr-FR"/>
        </w:rPr>
      </w:pPr>
      <w:r w:rsidRPr="000E53A0">
        <w:rPr>
          <w:rFonts w:asciiTheme="minorHAnsi" w:hAnsiTheme="minorHAnsi" w:cstheme="minorHAnsi"/>
          <w:sz w:val="20"/>
          <w:szCs w:val="20"/>
          <w:u w:val="single"/>
          <w:lang w:val="fr-FR"/>
        </w:rPr>
        <w:t xml:space="preserve">Évaluation du terminal (TE) </w:t>
      </w:r>
      <w:r w:rsidRPr="000E53A0">
        <w:rPr>
          <w:rFonts w:asciiTheme="minorHAnsi" w:hAnsiTheme="minorHAnsi" w:cstheme="minorHAnsi"/>
          <w:sz w:val="20"/>
          <w:szCs w:val="20"/>
          <w:lang w:val="fr-FR"/>
        </w:rPr>
        <w:t xml:space="preserve">: </w:t>
      </w:r>
    </w:p>
    <w:p w14:paraId="58F13300" w14:textId="77777777" w:rsidR="00601D9B" w:rsidRPr="000E53A0" w:rsidRDefault="000E53A0">
      <w:pPr>
        <w:rPr>
          <w:rFonts w:asciiTheme="minorHAnsi" w:hAnsiTheme="minorHAnsi" w:cstheme="minorHAnsi"/>
          <w:sz w:val="20"/>
          <w:szCs w:val="20"/>
          <w:lang w:val="fr-FR"/>
        </w:rPr>
      </w:pPr>
      <w:r w:rsidRPr="000E53A0">
        <w:rPr>
          <w:rFonts w:asciiTheme="minorHAnsi" w:hAnsiTheme="minorHAnsi" w:cstheme="minorHAnsi"/>
          <w:sz w:val="20"/>
          <w:szCs w:val="20"/>
          <w:lang w:val="fr-FR"/>
        </w:rPr>
        <w:t xml:space="preserve">Une évaluation finale indépendante (TE) aura lieu à l'issue de tous les principaux résultats et activités du projet. Les termes de référence, le processus d'évaluation et le rapport final de l'évaluation finale suivront les modèles et les directives standard pour les projets financés par le FEM, disponibles sur le </w:t>
      </w:r>
      <w:hyperlink r:id="rId34" w:anchor="gef" w:history="1">
        <w:r w:rsidRPr="000E53A0">
          <w:rPr>
            <w:rStyle w:val="Lienhypertexte"/>
            <w:rFonts w:asciiTheme="minorHAnsi" w:hAnsiTheme="minorHAnsi" w:cstheme="minorHAnsi"/>
            <w:sz w:val="20"/>
            <w:szCs w:val="20"/>
            <w:lang w:val="fr-FR"/>
          </w:rPr>
          <w:t>Centre deressources d'évaluation du PNUD</w:t>
        </w:r>
      </w:hyperlink>
      <w:r w:rsidRPr="000E53A0">
        <w:rPr>
          <w:rStyle w:val="Lienhypertexte"/>
          <w:rFonts w:asciiTheme="minorHAnsi" w:hAnsiTheme="minorHAnsi" w:cstheme="minorHAnsi"/>
          <w:sz w:val="20"/>
          <w:szCs w:val="20"/>
          <w:lang w:val="fr-FR"/>
        </w:rPr>
        <w:t xml:space="preserve">. </w:t>
      </w:r>
    </w:p>
    <w:p w14:paraId="383E64F6" w14:textId="77777777" w:rsidR="00F80F79" w:rsidRPr="000E53A0" w:rsidRDefault="00F80F79" w:rsidP="00F80F79">
      <w:pPr>
        <w:rPr>
          <w:rFonts w:asciiTheme="minorHAnsi" w:hAnsiTheme="minorHAnsi" w:cstheme="minorHAnsi"/>
          <w:sz w:val="20"/>
          <w:szCs w:val="20"/>
          <w:lang w:val="fr-FR"/>
        </w:rPr>
      </w:pPr>
    </w:p>
    <w:p w14:paraId="4CB402AA" w14:textId="77777777" w:rsidR="00601D9B" w:rsidRPr="000E53A0" w:rsidRDefault="000E53A0">
      <w:pPr>
        <w:rPr>
          <w:rFonts w:asciiTheme="minorHAnsi" w:hAnsiTheme="minorHAnsi" w:cstheme="minorHAnsi"/>
          <w:sz w:val="20"/>
          <w:szCs w:val="20"/>
          <w:lang w:val="fr-FR"/>
        </w:rPr>
      </w:pPr>
      <w:r w:rsidRPr="000E53A0">
        <w:rPr>
          <w:rFonts w:asciiTheme="minorHAnsi" w:hAnsiTheme="minorHAnsi" w:cstheme="minorHAnsi"/>
          <w:sz w:val="20"/>
          <w:szCs w:val="20"/>
          <w:lang w:val="fr-FR"/>
        </w:rPr>
        <w:t>L'évaluation sera "indépendante, impartiale et rigoureuse". Les évaluateurs qui seront engagés pour entreprendre la mission seront indépendants des organisations qui ont participé à la conception, à l'exécution ou au conseil du projet à évaluer. De même, les évaluateurs ne doivent pas être dans une position où il pourrait y avoir la possibilité de contrats futurs concernant le projet à évaluer.</w:t>
      </w:r>
    </w:p>
    <w:p w14:paraId="30D710AC" w14:textId="77777777" w:rsidR="00F80F79" w:rsidRPr="000E53A0" w:rsidRDefault="00F80F79" w:rsidP="00F80F79">
      <w:pPr>
        <w:rPr>
          <w:rFonts w:asciiTheme="minorHAnsi" w:hAnsiTheme="minorHAnsi" w:cstheme="minorHAnsi"/>
          <w:sz w:val="20"/>
          <w:szCs w:val="20"/>
          <w:lang w:val="fr-FR"/>
        </w:rPr>
      </w:pPr>
    </w:p>
    <w:p w14:paraId="45A752F4" w14:textId="77777777" w:rsidR="00601D9B" w:rsidRPr="000E53A0" w:rsidRDefault="000E53A0">
      <w:pPr>
        <w:rPr>
          <w:rFonts w:asciiTheme="minorHAnsi" w:hAnsiTheme="minorHAnsi" w:cstheme="minorHAnsi"/>
          <w:sz w:val="20"/>
          <w:szCs w:val="20"/>
          <w:lang w:val="fr-FR"/>
        </w:rPr>
      </w:pPr>
      <w:r w:rsidRPr="000E53A0">
        <w:rPr>
          <w:rFonts w:asciiTheme="minorHAnsi" w:hAnsiTheme="minorHAnsi" w:cstheme="minorHAnsi"/>
          <w:sz w:val="20"/>
          <w:szCs w:val="20"/>
          <w:lang w:val="fr-FR"/>
        </w:rPr>
        <w:t xml:space="preserve">Le point focal opérationnel du FEM et les autres parties prenantes seront activement impliqués et consultés au cours du processus d'évaluation finale. Un soutien supplémentaire en matière d'assurance qualité est disponible auprès de la Direction BPPS/FEM. </w:t>
      </w:r>
    </w:p>
    <w:p w14:paraId="3F262485" w14:textId="77777777" w:rsidR="00F80F79" w:rsidRPr="000E53A0" w:rsidRDefault="00F80F79" w:rsidP="00F80F79">
      <w:pPr>
        <w:rPr>
          <w:rFonts w:asciiTheme="minorHAnsi" w:hAnsiTheme="minorHAnsi" w:cstheme="minorHAnsi"/>
          <w:sz w:val="20"/>
          <w:szCs w:val="20"/>
          <w:lang w:val="fr-FR"/>
        </w:rPr>
      </w:pPr>
    </w:p>
    <w:p w14:paraId="3553DFE7" w14:textId="77777777" w:rsidR="00601D9B" w:rsidRPr="000E53A0" w:rsidRDefault="000E53A0">
      <w:pPr>
        <w:rPr>
          <w:rFonts w:asciiTheme="minorHAnsi" w:hAnsiTheme="minorHAnsi" w:cstheme="minorHAnsi"/>
          <w:sz w:val="20"/>
          <w:szCs w:val="20"/>
          <w:lang w:val="fr-FR"/>
        </w:rPr>
      </w:pPr>
      <w:r w:rsidRPr="000E53A0">
        <w:rPr>
          <w:rFonts w:asciiTheme="minorHAnsi" w:hAnsiTheme="minorHAnsi" w:cstheme="minorHAnsi"/>
          <w:sz w:val="20"/>
          <w:szCs w:val="20"/>
          <w:lang w:val="fr-FR"/>
        </w:rPr>
        <w:t xml:space="preserve">Le rapport final de l'équipe technique et les termes de référence de l'équipe technique seront mis à la disposition du public en anglais et publiés sur le site de l'ERC du PNUD avant le </w:t>
      </w:r>
      <w:r w:rsidRPr="000E53A0">
        <w:rPr>
          <w:rFonts w:asciiTheme="minorHAnsi" w:hAnsiTheme="minorHAnsi" w:cstheme="minorHAnsi"/>
          <w:i/>
          <w:sz w:val="20"/>
          <w:szCs w:val="20"/>
          <w:lang w:val="fr-FR"/>
        </w:rPr>
        <w:t>(ajouter la date figurant sur la page de couverture du présent document de projet)</w:t>
      </w:r>
      <w:r w:rsidRPr="000E53A0">
        <w:rPr>
          <w:rFonts w:asciiTheme="minorHAnsi" w:hAnsiTheme="minorHAnsi" w:cstheme="minorHAnsi"/>
          <w:sz w:val="20"/>
          <w:szCs w:val="20"/>
          <w:lang w:val="fr-FR"/>
        </w:rPr>
        <w:t>.  Une réponse de la direction aux recommandations de l'équipe d'évaluation technique sera publiée sur le site de l'ERC dans les six semaines suivant l'achèvement du rapport de l'équipe d'évaluation technique.</w:t>
      </w:r>
    </w:p>
    <w:p w14:paraId="6DC175BC" w14:textId="77777777" w:rsidR="00F80F79" w:rsidRPr="000E53A0" w:rsidRDefault="00F80F79" w:rsidP="00F80F79">
      <w:pPr>
        <w:rPr>
          <w:rFonts w:asciiTheme="minorHAnsi" w:hAnsiTheme="minorHAnsi" w:cstheme="minorHAnsi"/>
          <w:sz w:val="20"/>
          <w:szCs w:val="20"/>
          <w:lang w:val="fr-FR"/>
        </w:rPr>
      </w:pPr>
    </w:p>
    <w:p w14:paraId="31CE9ED0" w14:textId="77777777" w:rsidR="00601D9B" w:rsidRPr="000E53A0" w:rsidRDefault="000E53A0">
      <w:pPr>
        <w:rPr>
          <w:rFonts w:asciiTheme="minorHAnsi" w:hAnsiTheme="minorHAnsi" w:cstheme="minorHAnsi"/>
          <w:i/>
          <w:sz w:val="20"/>
          <w:szCs w:val="20"/>
          <w:lang w:val="fr-FR"/>
        </w:rPr>
      </w:pPr>
      <w:r w:rsidRPr="000E53A0">
        <w:rPr>
          <w:rFonts w:asciiTheme="minorHAnsi" w:hAnsiTheme="minorHAnsi" w:cstheme="minorHAnsi"/>
          <w:sz w:val="20"/>
          <w:szCs w:val="20"/>
          <w:u w:val="single"/>
          <w:lang w:val="fr-FR"/>
        </w:rPr>
        <w:lastRenderedPageBreak/>
        <w:t xml:space="preserve">Rapport final : </w:t>
      </w:r>
    </w:p>
    <w:p w14:paraId="5EAF7298" w14:textId="77777777" w:rsidR="00601D9B" w:rsidRPr="000E53A0" w:rsidRDefault="000E53A0">
      <w:pPr>
        <w:rPr>
          <w:rFonts w:asciiTheme="minorHAnsi" w:hAnsiTheme="minorHAnsi" w:cstheme="minorHAnsi"/>
          <w:sz w:val="20"/>
          <w:szCs w:val="20"/>
          <w:lang w:val="fr-FR"/>
        </w:rPr>
      </w:pPr>
      <w:r w:rsidRPr="000E53A0">
        <w:rPr>
          <w:rFonts w:asciiTheme="minorHAnsi" w:hAnsiTheme="minorHAnsi" w:cstheme="minorHAnsi"/>
          <w:sz w:val="20"/>
          <w:szCs w:val="20"/>
          <w:lang w:val="fr-FR"/>
        </w:rPr>
        <w:t xml:space="preserve">Le rapport final du projet, ainsi que le rapport d'évaluation finale (TE) et la réponse correspondante de la direction, constitueront le rapport final du projet. Le rapport final du projet sera discuté avec le conseil d'administration du projet lors d'une réunion d'examen de fin de projet afin de discuter des leçons apprises et des possibilités de mise à l'échelle.    </w:t>
      </w:r>
    </w:p>
    <w:p w14:paraId="0BCC13AE" w14:textId="77777777" w:rsidR="00F80F79" w:rsidRPr="000E53A0" w:rsidRDefault="00F80F79" w:rsidP="00F80F79">
      <w:pPr>
        <w:rPr>
          <w:rFonts w:asciiTheme="minorHAnsi" w:hAnsiTheme="minorHAnsi" w:cstheme="minorHAnsi"/>
          <w:sz w:val="20"/>
          <w:szCs w:val="20"/>
          <w:lang w:val="fr-FR"/>
        </w:rPr>
      </w:pPr>
    </w:p>
    <w:p w14:paraId="2F1BA140" w14:textId="77777777" w:rsidR="00601D9B" w:rsidRPr="000E53A0" w:rsidRDefault="000E53A0">
      <w:pPr>
        <w:rPr>
          <w:rFonts w:asciiTheme="minorHAnsi" w:hAnsiTheme="minorHAnsi" w:cstheme="minorHAnsi"/>
          <w:color w:val="000000"/>
          <w:sz w:val="20"/>
          <w:szCs w:val="20"/>
          <w:lang w:val="fr-FR"/>
        </w:rPr>
      </w:pPr>
      <w:r w:rsidRPr="000E53A0">
        <w:rPr>
          <w:rFonts w:asciiTheme="minorHAnsi" w:hAnsiTheme="minorHAnsi" w:cstheme="minorHAnsi"/>
          <w:sz w:val="20"/>
          <w:szCs w:val="20"/>
          <w:u w:val="single"/>
          <w:lang w:val="fr-FR"/>
        </w:rPr>
        <w:t xml:space="preserve">Accord sur les droits de propriété intellectuelle et l'utilisation du logo sur les produits livrables du projet et la divulgation d'informations </w:t>
      </w:r>
      <w:r w:rsidRPr="000E53A0">
        <w:rPr>
          <w:rFonts w:asciiTheme="minorHAnsi" w:hAnsiTheme="minorHAnsi" w:cstheme="minorHAnsi"/>
          <w:b/>
          <w:sz w:val="20"/>
          <w:szCs w:val="20"/>
          <w:lang w:val="fr-FR"/>
        </w:rPr>
        <w:t xml:space="preserve">:  </w:t>
      </w:r>
      <w:r w:rsidRPr="000E53A0">
        <w:rPr>
          <w:rFonts w:asciiTheme="minorHAnsi" w:hAnsiTheme="minorHAnsi" w:cstheme="minorHAnsi"/>
          <w:sz w:val="20"/>
          <w:szCs w:val="20"/>
          <w:lang w:val="fr-FR"/>
        </w:rPr>
        <w:t xml:space="preserve">Afin de remercier le FEM d'avoir accordé une subvention, le logo du FEM apparaîtra avec celui du PNUD sur tous les documents promotionnels, les autres documents écrits tels que les publications élaborées dans le cadre du projet, et le matériel du projet. Toute citation dans les publications concernant les projets financés par le FEM doit également mentionner le FEM. Les informations seront divulguées conformément aux politiques pertinentes, notamment la politique de divulgation du PNUD </w:t>
      </w:r>
      <w:r w:rsidRPr="00F80F79">
        <w:rPr>
          <w:rStyle w:val="Appelnotedebasdep"/>
          <w:rFonts w:asciiTheme="minorHAnsi" w:hAnsiTheme="minorHAnsi" w:cstheme="minorHAnsi"/>
          <w:sz w:val="20"/>
          <w:szCs w:val="20"/>
        </w:rPr>
        <w:footnoteReference w:id="82"/>
      </w:r>
      <w:r w:rsidRPr="000E53A0">
        <w:rPr>
          <w:rFonts w:asciiTheme="minorHAnsi" w:hAnsiTheme="minorHAnsi" w:cstheme="minorHAnsi"/>
          <w:sz w:val="20"/>
          <w:szCs w:val="20"/>
          <w:lang w:val="fr-FR"/>
        </w:rPr>
        <w:t xml:space="preserve">et </w:t>
      </w:r>
      <w:r w:rsidRPr="000E53A0">
        <w:rPr>
          <w:rFonts w:asciiTheme="minorHAnsi" w:hAnsiTheme="minorHAnsi" w:cstheme="minorHAnsi"/>
          <w:color w:val="000000"/>
          <w:sz w:val="20"/>
          <w:szCs w:val="20"/>
          <w:lang w:val="fr-FR"/>
        </w:rPr>
        <w:t>la politique du FEM sur la participation du public</w:t>
      </w:r>
      <w:r w:rsidRPr="00F80F79">
        <w:rPr>
          <w:rStyle w:val="Appelnotedebasdep"/>
          <w:rFonts w:asciiTheme="minorHAnsi" w:hAnsiTheme="minorHAnsi" w:cstheme="minorHAnsi"/>
          <w:color w:val="000000"/>
          <w:sz w:val="20"/>
          <w:szCs w:val="20"/>
        </w:rPr>
        <w:footnoteReference w:id="83"/>
      </w:r>
      <w:r w:rsidRPr="000E53A0">
        <w:rPr>
          <w:rFonts w:asciiTheme="minorHAnsi" w:hAnsiTheme="minorHAnsi" w:cstheme="minorHAnsi"/>
          <w:color w:val="000000"/>
          <w:sz w:val="20"/>
          <w:szCs w:val="20"/>
          <w:lang w:val="fr-FR"/>
        </w:rPr>
        <w:t xml:space="preserve">. </w:t>
      </w:r>
    </w:p>
    <w:p w14:paraId="5205E014" w14:textId="77777777" w:rsidR="00F80F79" w:rsidRPr="000E53A0" w:rsidRDefault="00F80F79" w:rsidP="00F80F79">
      <w:pPr>
        <w:rPr>
          <w:rFonts w:asciiTheme="minorHAnsi" w:hAnsiTheme="minorHAnsi" w:cstheme="minorHAnsi"/>
          <w:noProof/>
          <w:sz w:val="20"/>
          <w:szCs w:val="20"/>
          <w:u w:val="single"/>
          <w:lang w:val="fr-FR" w:eastAsia="zh-CN"/>
        </w:rPr>
      </w:pPr>
    </w:p>
    <w:p w14:paraId="46723236" w14:textId="77777777" w:rsidR="00F80F79" w:rsidRPr="000E53A0" w:rsidRDefault="00F80F79" w:rsidP="00F80F79">
      <w:pPr>
        <w:rPr>
          <w:rFonts w:asciiTheme="minorHAnsi" w:hAnsiTheme="minorHAnsi" w:cstheme="minorHAnsi"/>
          <w:sz w:val="20"/>
          <w:szCs w:val="20"/>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45"/>
        <w:gridCol w:w="1980"/>
        <w:gridCol w:w="2783"/>
      </w:tblGrid>
      <w:tr w:rsidR="00F80F79" w:rsidRPr="000E53A0" w14:paraId="18D99E7A" w14:textId="77777777" w:rsidTr="000E53A0">
        <w:trPr>
          <w:tblHeader/>
          <w:jc w:val="center"/>
        </w:trPr>
        <w:tc>
          <w:tcPr>
            <w:tcW w:w="8808" w:type="dxa"/>
            <w:gridSpan w:val="3"/>
            <w:shd w:val="clear" w:color="auto" w:fill="BFBFBF"/>
          </w:tcPr>
          <w:p w14:paraId="25FD1E61" w14:textId="77777777" w:rsidR="00601D9B" w:rsidRPr="000E53A0" w:rsidRDefault="000E53A0">
            <w:pPr>
              <w:rPr>
                <w:rFonts w:asciiTheme="minorHAnsi" w:hAnsiTheme="minorHAnsi" w:cstheme="minorHAnsi"/>
                <w:i/>
                <w:sz w:val="18"/>
                <w:szCs w:val="18"/>
                <w:lang w:val="fr-FR"/>
              </w:rPr>
            </w:pPr>
            <w:r w:rsidRPr="000E53A0">
              <w:rPr>
                <w:rFonts w:asciiTheme="minorHAnsi" w:hAnsiTheme="minorHAnsi" w:cstheme="minorHAnsi"/>
                <w:b/>
                <w:sz w:val="18"/>
                <w:szCs w:val="18"/>
                <w:lang w:val="fr-FR"/>
              </w:rPr>
              <w:t xml:space="preserve">Plan et budget de suivi et d'évaluation : </w:t>
            </w:r>
          </w:p>
          <w:p w14:paraId="7A834421" w14:textId="77777777" w:rsidR="00601D9B" w:rsidRPr="000E53A0" w:rsidRDefault="000E53A0">
            <w:pPr>
              <w:rPr>
                <w:rFonts w:asciiTheme="minorHAnsi" w:hAnsiTheme="minorHAnsi" w:cstheme="minorHAnsi"/>
                <w:iCs/>
                <w:sz w:val="18"/>
                <w:szCs w:val="18"/>
                <w:lang w:val="fr-FR"/>
              </w:rPr>
            </w:pPr>
            <w:r w:rsidRPr="000E53A0">
              <w:rPr>
                <w:rFonts w:asciiTheme="minorHAnsi" w:hAnsiTheme="minorHAnsi" w:cstheme="minorHAnsi"/>
                <w:iCs/>
                <w:sz w:val="18"/>
                <w:szCs w:val="18"/>
                <w:lang w:val="fr-FR"/>
              </w:rPr>
              <w:t>Ce plan et budget de suivi et d'évaluation fournit une ventilation des coûts pour les activités de suivi et d'évaluation qui seront menées par l'unité de gestion du projet pendant la mise en œuvre du projet. Ces coûts sont inclus dans la composante 4 du cadre de résultats et du PTBA.</w:t>
            </w:r>
            <w:r w:rsidRPr="000E53A0">
              <w:rPr>
                <w:rFonts w:asciiTheme="minorHAnsi" w:hAnsiTheme="minorHAnsi" w:cstheme="minorHAnsi"/>
                <w:sz w:val="18"/>
                <w:szCs w:val="18"/>
                <w:lang w:val="fr-FR"/>
              </w:rPr>
              <w:t xml:space="preserve"> Pour faciliter la présentation des coûts de suivi et d'évaluation, veuillez inclure tous les coûts indiqués dans le plan de suivi et d'évaluation dans la même composante technique.</w:t>
            </w:r>
            <w:r w:rsidRPr="000E53A0">
              <w:rPr>
                <w:rFonts w:asciiTheme="minorHAnsi" w:hAnsiTheme="minorHAnsi" w:cstheme="minorHAnsi"/>
                <w:iCs/>
                <w:sz w:val="18"/>
                <w:szCs w:val="18"/>
                <w:lang w:val="fr-FR"/>
              </w:rPr>
              <w:t xml:space="preserve"> La supervision et la participation du bureau national du PNUD, des conseillers techniques régionaux et des unités de siège ne sont pas incluses car elles sont couvertes par la redevance du FEM.</w:t>
            </w:r>
          </w:p>
        </w:tc>
      </w:tr>
      <w:tr w:rsidR="00F80F79" w:rsidRPr="00F80F79" w14:paraId="569CB4C9" w14:textId="77777777" w:rsidTr="000E53A0">
        <w:trPr>
          <w:trHeight w:val="512"/>
          <w:tblHeader/>
          <w:jc w:val="center"/>
        </w:trPr>
        <w:tc>
          <w:tcPr>
            <w:tcW w:w="4045" w:type="dxa"/>
            <w:shd w:val="clear" w:color="auto" w:fill="BFBFBF"/>
          </w:tcPr>
          <w:p w14:paraId="6FA164CA" w14:textId="77777777" w:rsidR="00601D9B" w:rsidRPr="000E53A0" w:rsidRDefault="000E53A0">
            <w:pPr>
              <w:rPr>
                <w:rFonts w:asciiTheme="minorHAnsi" w:hAnsiTheme="minorHAnsi" w:cstheme="minorHAnsi"/>
                <w:b/>
                <w:sz w:val="18"/>
                <w:szCs w:val="18"/>
                <w:lang w:val="fr-FR"/>
              </w:rPr>
            </w:pPr>
            <w:r w:rsidRPr="000E53A0">
              <w:rPr>
                <w:rFonts w:asciiTheme="minorHAnsi" w:hAnsiTheme="minorHAnsi" w:cstheme="minorHAnsi"/>
                <w:b/>
                <w:sz w:val="18"/>
                <w:szCs w:val="18"/>
                <w:lang w:val="fr-FR"/>
              </w:rPr>
              <w:t>Exigences du FEM en matière de suivi et d'évaluation</w:t>
            </w:r>
          </w:p>
          <w:p w14:paraId="1DA49B9C" w14:textId="77777777" w:rsidR="00F80F79" w:rsidRPr="000E53A0" w:rsidRDefault="00F80F79" w:rsidP="000E53A0">
            <w:pPr>
              <w:rPr>
                <w:rFonts w:asciiTheme="minorHAnsi" w:hAnsiTheme="minorHAnsi" w:cstheme="minorHAnsi"/>
                <w:b/>
                <w:sz w:val="18"/>
                <w:szCs w:val="18"/>
                <w:lang w:val="fr-FR"/>
              </w:rPr>
            </w:pPr>
          </w:p>
        </w:tc>
        <w:tc>
          <w:tcPr>
            <w:tcW w:w="1980" w:type="dxa"/>
            <w:shd w:val="clear" w:color="auto" w:fill="BFBFBF"/>
          </w:tcPr>
          <w:p w14:paraId="4EF27DD2" w14:textId="77777777" w:rsidR="00601D9B" w:rsidRDefault="000E53A0">
            <w:pPr>
              <w:rPr>
                <w:rFonts w:asciiTheme="minorHAnsi" w:hAnsiTheme="minorHAnsi" w:cstheme="minorHAnsi"/>
                <w:b/>
                <w:sz w:val="18"/>
                <w:szCs w:val="18"/>
              </w:rPr>
            </w:pPr>
            <w:r w:rsidRPr="00F80F79">
              <w:rPr>
                <w:rFonts w:asciiTheme="minorHAnsi" w:hAnsiTheme="minorHAnsi" w:cstheme="minorHAnsi"/>
                <w:b/>
                <w:sz w:val="18"/>
                <w:szCs w:val="18"/>
              </w:rPr>
              <w:t>Coûts indicatifs (US$)</w:t>
            </w:r>
          </w:p>
        </w:tc>
        <w:tc>
          <w:tcPr>
            <w:tcW w:w="2783" w:type="dxa"/>
            <w:shd w:val="clear" w:color="auto" w:fill="BFBFBF"/>
          </w:tcPr>
          <w:p w14:paraId="47D1CC70" w14:textId="77777777" w:rsidR="00601D9B" w:rsidRDefault="000E53A0">
            <w:pPr>
              <w:rPr>
                <w:rFonts w:asciiTheme="minorHAnsi" w:hAnsiTheme="minorHAnsi" w:cstheme="minorHAnsi"/>
                <w:b/>
                <w:sz w:val="18"/>
                <w:szCs w:val="18"/>
              </w:rPr>
            </w:pPr>
            <w:r w:rsidRPr="00F80F79">
              <w:rPr>
                <w:rFonts w:asciiTheme="minorHAnsi" w:hAnsiTheme="minorHAnsi" w:cstheme="minorHAnsi"/>
                <w:b/>
                <w:sz w:val="18"/>
                <w:szCs w:val="18"/>
              </w:rPr>
              <w:t>Calendrier</w:t>
            </w:r>
          </w:p>
        </w:tc>
      </w:tr>
      <w:tr w:rsidR="00F80F79" w:rsidRPr="000E53A0" w14:paraId="45A6CDF1" w14:textId="77777777" w:rsidTr="000E53A0">
        <w:trPr>
          <w:trHeight w:val="548"/>
          <w:jc w:val="center"/>
        </w:trPr>
        <w:tc>
          <w:tcPr>
            <w:tcW w:w="4045" w:type="dxa"/>
          </w:tcPr>
          <w:p w14:paraId="54D06387" w14:textId="77777777" w:rsidR="00601D9B" w:rsidRDefault="000E53A0">
            <w:pPr>
              <w:rPr>
                <w:rFonts w:asciiTheme="minorHAnsi" w:hAnsiTheme="minorHAnsi" w:cstheme="minorHAnsi"/>
                <w:sz w:val="18"/>
                <w:szCs w:val="18"/>
              </w:rPr>
            </w:pPr>
            <w:r w:rsidRPr="00F80F79">
              <w:rPr>
                <w:rFonts w:asciiTheme="minorHAnsi" w:hAnsiTheme="minorHAnsi" w:cstheme="minorHAnsi"/>
                <w:b/>
                <w:sz w:val="18"/>
                <w:szCs w:val="18"/>
              </w:rPr>
              <w:t xml:space="preserve">Atelier d'initiation </w:t>
            </w:r>
          </w:p>
        </w:tc>
        <w:tc>
          <w:tcPr>
            <w:tcW w:w="1980" w:type="dxa"/>
          </w:tcPr>
          <w:p w14:paraId="59870A15" w14:textId="77777777" w:rsidR="00601D9B" w:rsidRDefault="000E53A0">
            <w:pPr>
              <w:rPr>
                <w:rFonts w:asciiTheme="minorHAnsi" w:hAnsiTheme="minorHAnsi" w:cstheme="minorHAnsi"/>
                <w:iCs/>
                <w:sz w:val="18"/>
                <w:szCs w:val="18"/>
              </w:rPr>
            </w:pPr>
            <w:r w:rsidRPr="00F80F79">
              <w:rPr>
                <w:rFonts w:asciiTheme="minorHAnsi" w:hAnsiTheme="minorHAnsi" w:cstheme="minorHAnsi"/>
                <w:iCs/>
                <w:sz w:val="18"/>
                <w:szCs w:val="18"/>
              </w:rPr>
              <w:t>$5000</w:t>
            </w:r>
          </w:p>
        </w:tc>
        <w:tc>
          <w:tcPr>
            <w:tcW w:w="2783" w:type="dxa"/>
          </w:tcPr>
          <w:p w14:paraId="2C9AB1E1" w14:textId="77777777" w:rsidR="00601D9B" w:rsidRPr="000E53A0" w:rsidRDefault="000E53A0">
            <w:pPr>
              <w:rPr>
                <w:rFonts w:asciiTheme="minorHAnsi" w:hAnsiTheme="minorHAnsi" w:cstheme="minorHAnsi"/>
                <w:sz w:val="18"/>
                <w:szCs w:val="18"/>
                <w:lang w:val="fr-FR"/>
              </w:rPr>
            </w:pPr>
            <w:r w:rsidRPr="000E53A0">
              <w:rPr>
                <w:rFonts w:asciiTheme="minorHAnsi" w:hAnsiTheme="minorHAnsi" w:cstheme="minorHAnsi"/>
                <w:sz w:val="18"/>
                <w:szCs w:val="18"/>
                <w:lang w:val="fr-FR"/>
              </w:rPr>
              <w:t>Dans les 60 jours suivant l'approbation de ce projet par le CEO.</w:t>
            </w:r>
          </w:p>
        </w:tc>
      </w:tr>
      <w:tr w:rsidR="00F80F79" w:rsidRPr="000E53A0" w14:paraId="5E22CD9B" w14:textId="77777777" w:rsidTr="000E53A0">
        <w:trPr>
          <w:jc w:val="center"/>
        </w:trPr>
        <w:tc>
          <w:tcPr>
            <w:tcW w:w="4045" w:type="dxa"/>
          </w:tcPr>
          <w:p w14:paraId="2B378226" w14:textId="77777777" w:rsidR="00601D9B" w:rsidRDefault="000E53A0">
            <w:pPr>
              <w:rPr>
                <w:rFonts w:asciiTheme="minorHAnsi" w:hAnsiTheme="minorHAnsi" w:cstheme="minorHAnsi"/>
                <w:sz w:val="18"/>
                <w:szCs w:val="18"/>
              </w:rPr>
            </w:pPr>
            <w:r w:rsidRPr="00F80F79">
              <w:rPr>
                <w:rFonts w:asciiTheme="minorHAnsi" w:hAnsiTheme="minorHAnsi" w:cstheme="minorHAnsi"/>
                <w:b/>
                <w:sz w:val="18"/>
                <w:szCs w:val="18"/>
              </w:rPr>
              <w:t>Rapport de lancement</w:t>
            </w:r>
          </w:p>
        </w:tc>
        <w:tc>
          <w:tcPr>
            <w:tcW w:w="1980" w:type="dxa"/>
          </w:tcPr>
          <w:p w14:paraId="0B88BF5A" w14:textId="77777777" w:rsidR="00601D9B" w:rsidRDefault="000E53A0">
            <w:pPr>
              <w:rPr>
                <w:rFonts w:asciiTheme="minorHAnsi" w:hAnsiTheme="minorHAnsi" w:cstheme="minorHAnsi"/>
                <w:iCs/>
                <w:sz w:val="18"/>
                <w:szCs w:val="18"/>
              </w:rPr>
            </w:pPr>
            <w:r w:rsidRPr="00F80F79">
              <w:rPr>
                <w:rFonts w:asciiTheme="minorHAnsi" w:hAnsiTheme="minorHAnsi" w:cstheme="minorHAnsi"/>
                <w:iCs/>
                <w:sz w:val="18"/>
                <w:szCs w:val="18"/>
              </w:rPr>
              <w:t>Aucun</w:t>
            </w:r>
          </w:p>
        </w:tc>
        <w:tc>
          <w:tcPr>
            <w:tcW w:w="2783" w:type="dxa"/>
          </w:tcPr>
          <w:p w14:paraId="1821A77B" w14:textId="77777777" w:rsidR="00601D9B" w:rsidRPr="000E53A0" w:rsidRDefault="000E53A0">
            <w:pPr>
              <w:rPr>
                <w:rFonts w:asciiTheme="minorHAnsi" w:hAnsiTheme="minorHAnsi" w:cstheme="minorHAnsi"/>
                <w:sz w:val="18"/>
                <w:szCs w:val="18"/>
                <w:lang w:val="fr-FR"/>
              </w:rPr>
            </w:pPr>
            <w:r w:rsidRPr="000E53A0">
              <w:rPr>
                <w:rFonts w:asciiTheme="minorHAnsi" w:hAnsiTheme="minorHAnsi" w:cstheme="minorHAnsi"/>
                <w:sz w:val="18"/>
                <w:szCs w:val="18"/>
                <w:lang w:val="fr-FR"/>
              </w:rPr>
              <w:t>Dans les 90 jours suivant l'approbation de ce projet par le CEO.</w:t>
            </w:r>
          </w:p>
        </w:tc>
      </w:tr>
      <w:tr w:rsidR="00F80F79" w:rsidRPr="00FB4FF7" w14:paraId="34B13842" w14:textId="77777777" w:rsidTr="000E53A0">
        <w:trPr>
          <w:jc w:val="center"/>
        </w:trPr>
        <w:tc>
          <w:tcPr>
            <w:tcW w:w="4045" w:type="dxa"/>
          </w:tcPr>
          <w:p w14:paraId="7836AECA" w14:textId="77777777" w:rsidR="00601D9B" w:rsidRPr="000E53A0" w:rsidRDefault="000E53A0">
            <w:pPr>
              <w:rPr>
                <w:rFonts w:asciiTheme="minorHAnsi" w:hAnsiTheme="minorHAnsi" w:cstheme="minorHAnsi"/>
                <w:sz w:val="18"/>
                <w:szCs w:val="18"/>
                <w:lang w:val="fr-FR"/>
              </w:rPr>
            </w:pPr>
            <w:r w:rsidRPr="000E53A0">
              <w:rPr>
                <w:rFonts w:asciiTheme="minorHAnsi" w:hAnsiTheme="minorHAnsi" w:cstheme="minorHAnsi"/>
                <w:b/>
                <w:sz w:val="18"/>
                <w:szCs w:val="18"/>
                <w:lang w:val="fr-FR"/>
              </w:rPr>
              <w:t xml:space="preserve">Suivi et évaluation des indicateurs de base du FEM et du cadre de résultats du projet. </w:t>
            </w:r>
          </w:p>
        </w:tc>
        <w:tc>
          <w:tcPr>
            <w:tcW w:w="1980" w:type="dxa"/>
          </w:tcPr>
          <w:p w14:paraId="64DC6268" w14:textId="77777777" w:rsidR="00601D9B" w:rsidRDefault="00D805EA">
            <w:pPr>
              <w:pStyle w:val="BodyText23"/>
              <w:widowControl/>
              <w:tabs>
                <w:tab w:val="clear" w:pos="547"/>
              </w:tabs>
              <w:spacing w:after="60"/>
              <w:rPr>
                <w:rFonts w:asciiTheme="minorHAnsi" w:hAnsiTheme="minorHAnsi" w:cstheme="minorHAnsi"/>
                <w:iCs/>
                <w:snapToGrid/>
                <w:sz w:val="18"/>
                <w:szCs w:val="18"/>
                <w:lang w:val="en-GB"/>
              </w:rPr>
            </w:pPr>
            <w:r>
              <w:rPr>
                <w:rFonts w:asciiTheme="minorHAnsi" w:hAnsiTheme="minorHAnsi" w:cstheme="minorHAnsi"/>
                <w:iCs/>
                <w:sz w:val="18"/>
                <w:szCs w:val="18"/>
              </w:rPr>
              <w:t>4 750 dollars par an</w:t>
            </w:r>
          </w:p>
        </w:tc>
        <w:tc>
          <w:tcPr>
            <w:tcW w:w="2783" w:type="dxa"/>
          </w:tcPr>
          <w:p w14:paraId="75B826B1" w14:textId="77777777" w:rsidR="00601D9B" w:rsidRPr="000E53A0" w:rsidRDefault="000E53A0">
            <w:pPr>
              <w:rPr>
                <w:rFonts w:asciiTheme="minorHAnsi" w:hAnsiTheme="minorHAnsi" w:cstheme="minorHAnsi"/>
                <w:sz w:val="18"/>
                <w:szCs w:val="18"/>
                <w:lang w:val="fr-FR"/>
              </w:rPr>
            </w:pPr>
            <w:r w:rsidRPr="000E53A0">
              <w:rPr>
                <w:rFonts w:asciiTheme="minorHAnsi" w:hAnsiTheme="minorHAnsi" w:cstheme="minorHAnsi"/>
                <w:sz w:val="18"/>
                <w:szCs w:val="18"/>
                <w:lang w:val="fr-FR"/>
              </w:rPr>
              <w:t xml:space="preserve">Annuellement et à mi-parcours et </w:t>
            </w:r>
            <w:proofErr w:type="gramStart"/>
            <w:r w:rsidRPr="000E53A0">
              <w:rPr>
                <w:rFonts w:asciiTheme="minorHAnsi" w:hAnsiTheme="minorHAnsi" w:cstheme="minorHAnsi"/>
                <w:sz w:val="18"/>
                <w:szCs w:val="18"/>
                <w:lang w:val="fr-FR"/>
              </w:rPr>
              <w:t>clôture..</w:t>
            </w:r>
            <w:proofErr w:type="gramEnd"/>
          </w:p>
        </w:tc>
      </w:tr>
      <w:tr w:rsidR="00F80F79" w:rsidRPr="000E53A0" w14:paraId="2A75A94F" w14:textId="77777777" w:rsidTr="000E53A0">
        <w:trPr>
          <w:jc w:val="center"/>
        </w:trPr>
        <w:tc>
          <w:tcPr>
            <w:tcW w:w="4045" w:type="dxa"/>
          </w:tcPr>
          <w:p w14:paraId="0DC7FB72" w14:textId="77777777" w:rsidR="00601D9B" w:rsidRPr="000E53A0" w:rsidRDefault="000E53A0">
            <w:pPr>
              <w:rPr>
                <w:rFonts w:asciiTheme="minorHAnsi" w:hAnsiTheme="minorHAnsi" w:cstheme="minorHAnsi"/>
                <w:sz w:val="18"/>
                <w:szCs w:val="18"/>
                <w:lang w:val="fr-FR"/>
              </w:rPr>
            </w:pPr>
            <w:r w:rsidRPr="000E53A0">
              <w:rPr>
                <w:rFonts w:asciiTheme="minorHAnsi" w:hAnsiTheme="minorHAnsi" w:cstheme="minorHAnsi"/>
                <w:b/>
                <w:sz w:val="18"/>
                <w:szCs w:val="18"/>
                <w:lang w:val="fr-FR"/>
              </w:rPr>
              <w:t xml:space="preserve">Rapport d'exécution du projet FEM (PIR) </w:t>
            </w:r>
          </w:p>
        </w:tc>
        <w:tc>
          <w:tcPr>
            <w:tcW w:w="1980" w:type="dxa"/>
          </w:tcPr>
          <w:p w14:paraId="4C05F21F" w14:textId="77777777" w:rsidR="00601D9B" w:rsidRPr="000E53A0" w:rsidRDefault="000E53A0">
            <w:pPr>
              <w:pStyle w:val="BodyText23"/>
              <w:widowControl/>
              <w:tabs>
                <w:tab w:val="clear" w:pos="547"/>
              </w:tabs>
              <w:spacing w:after="60"/>
              <w:rPr>
                <w:rFonts w:asciiTheme="minorHAnsi" w:hAnsiTheme="minorHAnsi" w:cstheme="minorHAnsi"/>
                <w:iCs/>
                <w:snapToGrid/>
                <w:sz w:val="18"/>
                <w:szCs w:val="18"/>
                <w:lang w:val="fr-FR"/>
              </w:rPr>
            </w:pPr>
            <w:r w:rsidRPr="000E53A0">
              <w:rPr>
                <w:rFonts w:asciiTheme="minorHAnsi" w:hAnsiTheme="minorHAnsi" w:cstheme="minorHAnsi"/>
                <w:iCs/>
                <w:snapToGrid/>
                <w:sz w:val="18"/>
                <w:szCs w:val="18"/>
                <w:lang w:val="fr-FR"/>
              </w:rPr>
              <w:t>Inclus dans les coûts du PMC</w:t>
            </w:r>
          </w:p>
        </w:tc>
        <w:tc>
          <w:tcPr>
            <w:tcW w:w="2783" w:type="dxa"/>
          </w:tcPr>
          <w:p w14:paraId="1B266176" w14:textId="77777777" w:rsidR="00601D9B" w:rsidRPr="000E53A0" w:rsidRDefault="000E53A0">
            <w:pPr>
              <w:rPr>
                <w:rFonts w:asciiTheme="minorHAnsi" w:hAnsiTheme="minorHAnsi" w:cstheme="minorHAnsi"/>
                <w:sz w:val="18"/>
                <w:szCs w:val="18"/>
                <w:lang w:val="fr-FR"/>
              </w:rPr>
            </w:pPr>
            <w:r w:rsidRPr="000E53A0">
              <w:rPr>
                <w:rFonts w:asciiTheme="minorHAnsi" w:hAnsiTheme="minorHAnsi" w:cstheme="minorHAnsi"/>
                <w:sz w:val="18"/>
                <w:szCs w:val="18"/>
                <w:lang w:val="fr-FR"/>
              </w:rPr>
              <w:t>Annuellement, généralement entre juin et août</w:t>
            </w:r>
          </w:p>
        </w:tc>
      </w:tr>
      <w:tr w:rsidR="00F80F79" w:rsidRPr="00F80F79" w14:paraId="2CC2AFD0" w14:textId="77777777" w:rsidTr="000E53A0">
        <w:trPr>
          <w:jc w:val="center"/>
        </w:trPr>
        <w:tc>
          <w:tcPr>
            <w:tcW w:w="4045" w:type="dxa"/>
          </w:tcPr>
          <w:p w14:paraId="7EED1370" w14:textId="77777777" w:rsidR="00601D9B" w:rsidRPr="000E53A0" w:rsidRDefault="000E53A0">
            <w:pPr>
              <w:rPr>
                <w:rFonts w:asciiTheme="minorHAnsi" w:hAnsiTheme="minorHAnsi" w:cstheme="minorHAnsi"/>
                <w:i/>
                <w:sz w:val="18"/>
                <w:szCs w:val="18"/>
                <w:lang w:val="fr-FR"/>
              </w:rPr>
            </w:pPr>
            <w:r w:rsidRPr="000E53A0">
              <w:rPr>
                <w:rFonts w:asciiTheme="minorHAnsi" w:hAnsiTheme="minorHAnsi" w:cstheme="minorHAnsi"/>
                <w:b/>
                <w:sz w:val="18"/>
                <w:szCs w:val="18"/>
                <w:lang w:val="fr-FR"/>
              </w:rPr>
              <w:t xml:space="preserve">Suivi du </w:t>
            </w:r>
            <w:r w:rsidRPr="000E53A0">
              <w:rPr>
                <w:rFonts w:asciiTheme="minorHAnsi" w:hAnsiTheme="minorHAnsi" w:cstheme="minorHAnsi"/>
                <w:b/>
                <w:i/>
                <w:sz w:val="18"/>
                <w:szCs w:val="18"/>
                <w:lang w:val="fr-FR"/>
              </w:rPr>
              <w:t>plan d'action pour l'égalité des sexes et la jeunesse ; cadre de gestion des garanties.</w:t>
            </w:r>
          </w:p>
        </w:tc>
        <w:tc>
          <w:tcPr>
            <w:tcW w:w="1980" w:type="dxa"/>
          </w:tcPr>
          <w:p w14:paraId="680FA46C" w14:textId="77777777" w:rsidR="00601D9B" w:rsidRDefault="000E53A0">
            <w:pPr>
              <w:rPr>
                <w:rFonts w:asciiTheme="minorHAnsi" w:hAnsiTheme="minorHAnsi" w:cstheme="minorHAnsi"/>
                <w:iCs/>
                <w:sz w:val="18"/>
                <w:szCs w:val="18"/>
              </w:rPr>
            </w:pPr>
            <w:r w:rsidRPr="00F80F79">
              <w:rPr>
                <w:rFonts w:asciiTheme="minorHAnsi" w:hAnsiTheme="minorHAnsi" w:cstheme="minorHAnsi"/>
                <w:iCs/>
                <w:sz w:val="18"/>
                <w:szCs w:val="18"/>
              </w:rPr>
              <w:t xml:space="preserve">6 </w:t>
            </w:r>
            <w:r w:rsidR="00D805EA">
              <w:rPr>
                <w:rFonts w:asciiTheme="minorHAnsi" w:hAnsiTheme="minorHAnsi" w:cstheme="minorHAnsi"/>
                <w:iCs/>
                <w:sz w:val="18"/>
                <w:szCs w:val="18"/>
              </w:rPr>
              <w:t xml:space="preserve">835 </w:t>
            </w:r>
            <w:r w:rsidRPr="00F80F79">
              <w:rPr>
                <w:rFonts w:asciiTheme="minorHAnsi" w:hAnsiTheme="minorHAnsi" w:cstheme="minorHAnsi"/>
                <w:iCs/>
                <w:sz w:val="18"/>
                <w:szCs w:val="18"/>
              </w:rPr>
              <w:t xml:space="preserve">dollars </w:t>
            </w:r>
            <w:r w:rsidR="00D805EA">
              <w:rPr>
                <w:rFonts w:asciiTheme="minorHAnsi" w:hAnsiTheme="minorHAnsi" w:cstheme="minorHAnsi"/>
                <w:iCs/>
                <w:sz w:val="18"/>
                <w:szCs w:val="18"/>
              </w:rPr>
              <w:t>par an</w:t>
            </w:r>
          </w:p>
        </w:tc>
        <w:tc>
          <w:tcPr>
            <w:tcW w:w="2783" w:type="dxa"/>
          </w:tcPr>
          <w:p w14:paraId="3B23C370" w14:textId="77777777" w:rsidR="00601D9B" w:rsidRDefault="000E53A0">
            <w:pPr>
              <w:rPr>
                <w:rFonts w:asciiTheme="minorHAnsi" w:hAnsiTheme="minorHAnsi" w:cstheme="minorHAnsi"/>
                <w:sz w:val="18"/>
                <w:szCs w:val="18"/>
              </w:rPr>
            </w:pPr>
            <w:r w:rsidRPr="00F80F79">
              <w:rPr>
                <w:rFonts w:asciiTheme="minorHAnsi" w:hAnsiTheme="minorHAnsi" w:cstheme="minorHAnsi"/>
                <w:sz w:val="18"/>
                <w:szCs w:val="18"/>
              </w:rPr>
              <w:t>En cours.</w:t>
            </w:r>
          </w:p>
          <w:p w14:paraId="660D715B" w14:textId="77777777" w:rsidR="00F80F79" w:rsidRPr="00F80F79" w:rsidRDefault="00F80F79" w:rsidP="000E53A0">
            <w:pPr>
              <w:rPr>
                <w:rFonts w:asciiTheme="minorHAnsi" w:hAnsiTheme="minorHAnsi" w:cstheme="minorHAnsi"/>
                <w:sz w:val="18"/>
                <w:szCs w:val="18"/>
              </w:rPr>
            </w:pPr>
          </w:p>
        </w:tc>
      </w:tr>
      <w:tr w:rsidR="00F80F79" w:rsidRPr="00F80F79" w14:paraId="4A4C1E55" w14:textId="77777777" w:rsidTr="000E53A0">
        <w:trPr>
          <w:trHeight w:val="305"/>
          <w:jc w:val="center"/>
        </w:trPr>
        <w:tc>
          <w:tcPr>
            <w:tcW w:w="4045" w:type="dxa"/>
          </w:tcPr>
          <w:p w14:paraId="43DF8CCA" w14:textId="77777777" w:rsidR="00601D9B" w:rsidRDefault="000E53A0">
            <w:pPr>
              <w:rPr>
                <w:rFonts w:asciiTheme="minorHAnsi" w:hAnsiTheme="minorHAnsi" w:cstheme="minorHAnsi"/>
                <w:b/>
                <w:sz w:val="18"/>
                <w:szCs w:val="18"/>
              </w:rPr>
            </w:pPr>
            <w:r w:rsidRPr="00F80F79">
              <w:rPr>
                <w:rFonts w:asciiTheme="minorHAnsi" w:hAnsiTheme="minorHAnsi" w:cstheme="minorHAnsi"/>
                <w:b/>
                <w:sz w:val="18"/>
                <w:szCs w:val="18"/>
              </w:rPr>
              <w:t>Missions de supervision</w:t>
            </w:r>
          </w:p>
        </w:tc>
        <w:tc>
          <w:tcPr>
            <w:tcW w:w="1980" w:type="dxa"/>
          </w:tcPr>
          <w:p w14:paraId="7228ED22" w14:textId="77777777" w:rsidR="00601D9B" w:rsidRDefault="000E53A0">
            <w:pPr>
              <w:pStyle w:val="BodyText23"/>
              <w:widowControl/>
              <w:tabs>
                <w:tab w:val="clear" w:pos="547"/>
              </w:tabs>
              <w:spacing w:after="60"/>
              <w:rPr>
                <w:rFonts w:asciiTheme="minorHAnsi" w:hAnsiTheme="minorHAnsi" w:cstheme="minorHAnsi"/>
                <w:iCs/>
                <w:snapToGrid/>
                <w:sz w:val="18"/>
                <w:szCs w:val="18"/>
                <w:lang w:val="en-GB"/>
              </w:rPr>
            </w:pPr>
            <w:r w:rsidRPr="00F80F79">
              <w:rPr>
                <w:rFonts w:asciiTheme="minorHAnsi" w:hAnsiTheme="minorHAnsi" w:cstheme="minorHAnsi"/>
                <w:iCs/>
                <w:snapToGrid/>
                <w:sz w:val="18"/>
                <w:szCs w:val="18"/>
                <w:lang w:val="en-GB"/>
              </w:rPr>
              <w:t>Aucun</w:t>
            </w:r>
          </w:p>
        </w:tc>
        <w:tc>
          <w:tcPr>
            <w:tcW w:w="2783" w:type="dxa"/>
          </w:tcPr>
          <w:p w14:paraId="271E23B2" w14:textId="77777777" w:rsidR="00601D9B" w:rsidRDefault="000E53A0">
            <w:pPr>
              <w:rPr>
                <w:rFonts w:asciiTheme="minorHAnsi" w:hAnsiTheme="minorHAnsi" w:cstheme="minorHAnsi"/>
                <w:sz w:val="18"/>
                <w:szCs w:val="18"/>
              </w:rPr>
            </w:pPr>
            <w:r w:rsidRPr="00F80F79">
              <w:rPr>
                <w:rFonts w:asciiTheme="minorHAnsi" w:hAnsiTheme="minorHAnsi" w:cstheme="minorHAnsi"/>
                <w:sz w:val="18"/>
                <w:szCs w:val="18"/>
              </w:rPr>
              <w:t>Annuellement</w:t>
            </w:r>
          </w:p>
        </w:tc>
      </w:tr>
      <w:tr w:rsidR="00F80F79" w:rsidRPr="000E53A0" w14:paraId="0B9CE85B" w14:textId="77777777" w:rsidTr="000E53A0">
        <w:trPr>
          <w:trHeight w:val="755"/>
          <w:jc w:val="center"/>
        </w:trPr>
        <w:tc>
          <w:tcPr>
            <w:tcW w:w="4045" w:type="dxa"/>
          </w:tcPr>
          <w:p w14:paraId="65348555" w14:textId="77777777" w:rsidR="00601D9B" w:rsidRPr="000E53A0" w:rsidRDefault="000E53A0">
            <w:pPr>
              <w:rPr>
                <w:rFonts w:asciiTheme="minorHAnsi" w:hAnsiTheme="minorHAnsi" w:cstheme="minorHAnsi"/>
                <w:b/>
                <w:sz w:val="18"/>
                <w:szCs w:val="18"/>
                <w:lang w:val="fr-FR"/>
              </w:rPr>
            </w:pPr>
            <w:r w:rsidRPr="000E53A0">
              <w:rPr>
                <w:rFonts w:asciiTheme="minorHAnsi" w:hAnsiTheme="minorHAnsi" w:cstheme="minorHAnsi"/>
                <w:b/>
                <w:i/>
                <w:sz w:val="18"/>
                <w:szCs w:val="18"/>
                <w:lang w:val="fr-FR"/>
              </w:rPr>
              <w:t xml:space="preserve">Examen à mi-parcours indépendant (MTR) </w:t>
            </w:r>
          </w:p>
        </w:tc>
        <w:tc>
          <w:tcPr>
            <w:tcW w:w="1980" w:type="dxa"/>
          </w:tcPr>
          <w:p w14:paraId="2AEC01A5" w14:textId="77777777" w:rsidR="00601D9B" w:rsidRDefault="000E53A0">
            <w:pPr>
              <w:rPr>
                <w:rFonts w:asciiTheme="minorHAnsi" w:hAnsiTheme="minorHAnsi" w:cstheme="minorHAnsi"/>
                <w:iCs/>
                <w:sz w:val="18"/>
                <w:szCs w:val="18"/>
              </w:rPr>
            </w:pPr>
            <w:r w:rsidRPr="00F80F79">
              <w:rPr>
                <w:rFonts w:asciiTheme="minorHAnsi" w:hAnsiTheme="minorHAnsi" w:cstheme="minorHAnsi"/>
                <w:iCs/>
                <w:sz w:val="18"/>
                <w:szCs w:val="18"/>
              </w:rPr>
              <w:t>$70,000</w:t>
            </w:r>
          </w:p>
        </w:tc>
        <w:tc>
          <w:tcPr>
            <w:tcW w:w="2783" w:type="dxa"/>
          </w:tcPr>
          <w:p w14:paraId="3B07E2C5" w14:textId="77777777" w:rsidR="00601D9B" w:rsidRPr="000E53A0" w:rsidRDefault="000E53A0">
            <w:pPr>
              <w:rPr>
                <w:rFonts w:asciiTheme="minorHAnsi" w:hAnsiTheme="minorHAnsi" w:cstheme="minorHAnsi"/>
                <w:i/>
                <w:sz w:val="18"/>
                <w:szCs w:val="18"/>
                <w:highlight w:val="yellow"/>
                <w:lang w:val="fr-FR"/>
              </w:rPr>
            </w:pPr>
            <w:r w:rsidRPr="000E53A0">
              <w:rPr>
                <w:rFonts w:asciiTheme="minorHAnsi" w:hAnsiTheme="minorHAnsi" w:cstheme="minorHAnsi"/>
                <w:i/>
                <w:sz w:val="18"/>
                <w:szCs w:val="18"/>
                <w:highlight w:val="yellow"/>
                <w:lang w:val="fr-FR"/>
              </w:rPr>
              <w:t>Ajouter la date incluse sur la page de couverture du document de projet</w:t>
            </w:r>
          </w:p>
          <w:p w14:paraId="38937283" w14:textId="77777777" w:rsidR="00F80F79" w:rsidRPr="000E53A0" w:rsidRDefault="00F80F79" w:rsidP="000E53A0">
            <w:pPr>
              <w:rPr>
                <w:rFonts w:asciiTheme="minorHAnsi" w:hAnsiTheme="minorHAnsi" w:cstheme="minorHAnsi"/>
                <w:sz w:val="18"/>
                <w:szCs w:val="18"/>
                <w:lang w:val="fr-FR"/>
              </w:rPr>
            </w:pPr>
          </w:p>
        </w:tc>
      </w:tr>
      <w:tr w:rsidR="00F80F79" w:rsidRPr="000E53A0" w14:paraId="3C715531" w14:textId="77777777" w:rsidTr="000E53A0">
        <w:trPr>
          <w:jc w:val="center"/>
        </w:trPr>
        <w:tc>
          <w:tcPr>
            <w:tcW w:w="4045" w:type="dxa"/>
          </w:tcPr>
          <w:p w14:paraId="1D8A9997" w14:textId="77777777" w:rsidR="00601D9B" w:rsidRPr="000E53A0" w:rsidRDefault="000E53A0">
            <w:pPr>
              <w:rPr>
                <w:rFonts w:asciiTheme="minorHAnsi" w:hAnsiTheme="minorHAnsi" w:cstheme="minorHAnsi"/>
                <w:b/>
                <w:sz w:val="18"/>
                <w:szCs w:val="18"/>
                <w:lang w:val="fr-FR"/>
              </w:rPr>
            </w:pPr>
            <w:r w:rsidRPr="000E53A0">
              <w:rPr>
                <w:rFonts w:asciiTheme="minorHAnsi" w:hAnsiTheme="minorHAnsi" w:cstheme="minorHAnsi"/>
                <w:b/>
                <w:sz w:val="18"/>
                <w:szCs w:val="18"/>
                <w:lang w:val="fr-FR"/>
              </w:rPr>
              <w:t xml:space="preserve">Évaluation indépendante du terminal (TE) </w:t>
            </w:r>
          </w:p>
        </w:tc>
        <w:tc>
          <w:tcPr>
            <w:tcW w:w="1980" w:type="dxa"/>
          </w:tcPr>
          <w:p w14:paraId="693307FA" w14:textId="77777777" w:rsidR="00601D9B" w:rsidRDefault="000E53A0">
            <w:pPr>
              <w:tabs>
                <w:tab w:val="center" w:pos="1216"/>
              </w:tabs>
              <w:rPr>
                <w:rFonts w:asciiTheme="minorHAnsi" w:hAnsiTheme="minorHAnsi" w:cstheme="minorHAnsi"/>
                <w:iCs/>
                <w:sz w:val="18"/>
                <w:szCs w:val="18"/>
              </w:rPr>
            </w:pPr>
            <w:r w:rsidRPr="00F80F79">
              <w:rPr>
                <w:rFonts w:asciiTheme="minorHAnsi" w:hAnsiTheme="minorHAnsi" w:cstheme="minorHAnsi"/>
                <w:iCs/>
                <w:sz w:val="18"/>
                <w:szCs w:val="18"/>
              </w:rPr>
              <w:t>$80,000</w:t>
            </w:r>
          </w:p>
        </w:tc>
        <w:tc>
          <w:tcPr>
            <w:tcW w:w="2783" w:type="dxa"/>
          </w:tcPr>
          <w:p w14:paraId="65C5DEA8" w14:textId="77777777" w:rsidR="00601D9B" w:rsidRPr="000E53A0" w:rsidRDefault="000E53A0">
            <w:pPr>
              <w:rPr>
                <w:rFonts w:asciiTheme="minorHAnsi" w:hAnsiTheme="minorHAnsi" w:cstheme="minorHAnsi"/>
                <w:i/>
                <w:sz w:val="18"/>
                <w:szCs w:val="18"/>
                <w:highlight w:val="yellow"/>
                <w:lang w:val="fr-FR"/>
              </w:rPr>
            </w:pPr>
            <w:r w:rsidRPr="000E53A0">
              <w:rPr>
                <w:rFonts w:asciiTheme="minorHAnsi" w:hAnsiTheme="minorHAnsi" w:cstheme="minorHAnsi"/>
                <w:i/>
                <w:sz w:val="18"/>
                <w:szCs w:val="18"/>
                <w:highlight w:val="yellow"/>
                <w:lang w:val="fr-FR"/>
              </w:rPr>
              <w:t>Ajouter la date incluse sur la page de couverture du document de projet</w:t>
            </w:r>
          </w:p>
          <w:p w14:paraId="72FBAEE4" w14:textId="77777777" w:rsidR="00F80F79" w:rsidRPr="000E53A0" w:rsidRDefault="00F80F79" w:rsidP="000E53A0">
            <w:pPr>
              <w:rPr>
                <w:rFonts w:asciiTheme="minorHAnsi" w:hAnsiTheme="minorHAnsi" w:cstheme="minorHAnsi"/>
                <w:sz w:val="18"/>
                <w:szCs w:val="18"/>
                <w:lang w:val="fr-FR"/>
              </w:rPr>
            </w:pPr>
          </w:p>
        </w:tc>
      </w:tr>
      <w:tr w:rsidR="00F80F79" w:rsidRPr="000E53A0" w14:paraId="67F62234" w14:textId="77777777" w:rsidTr="000E53A0">
        <w:trPr>
          <w:cantSplit/>
          <w:trHeight w:val="710"/>
          <w:jc w:val="center"/>
        </w:trPr>
        <w:tc>
          <w:tcPr>
            <w:tcW w:w="4045" w:type="dxa"/>
            <w:shd w:val="clear" w:color="auto" w:fill="E6E6E6"/>
          </w:tcPr>
          <w:p w14:paraId="62DE1616" w14:textId="77777777" w:rsidR="00601D9B" w:rsidRDefault="000E53A0">
            <w:pPr>
              <w:rPr>
                <w:rFonts w:asciiTheme="minorHAnsi" w:hAnsiTheme="minorHAnsi" w:cstheme="minorHAnsi"/>
                <w:b/>
                <w:sz w:val="18"/>
                <w:szCs w:val="18"/>
              </w:rPr>
            </w:pPr>
            <w:r w:rsidRPr="00F80F79">
              <w:rPr>
                <w:rFonts w:asciiTheme="minorHAnsi" w:hAnsiTheme="minorHAnsi" w:cstheme="minorHAnsi"/>
                <w:b/>
                <w:sz w:val="18"/>
                <w:szCs w:val="18"/>
              </w:rPr>
              <w:t xml:space="preserve">COÛT TOTAL indicatif </w:t>
            </w:r>
          </w:p>
        </w:tc>
        <w:tc>
          <w:tcPr>
            <w:tcW w:w="1980" w:type="dxa"/>
            <w:shd w:val="clear" w:color="auto" w:fill="E6E6E6"/>
          </w:tcPr>
          <w:p w14:paraId="7D02294C" w14:textId="77777777" w:rsidR="00601D9B" w:rsidRDefault="000E53A0">
            <w:pPr>
              <w:rPr>
                <w:rFonts w:asciiTheme="minorHAnsi" w:hAnsiTheme="minorHAnsi" w:cstheme="minorHAnsi"/>
                <w:iCs/>
                <w:sz w:val="18"/>
                <w:szCs w:val="18"/>
              </w:rPr>
            </w:pPr>
            <w:r w:rsidRPr="00F80F79">
              <w:rPr>
                <w:rFonts w:asciiTheme="minorHAnsi" w:hAnsiTheme="minorHAnsi" w:cstheme="minorHAnsi"/>
                <w:iCs/>
                <w:sz w:val="18"/>
                <w:szCs w:val="18"/>
              </w:rPr>
              <w:t>$224,510</w:t>
            </w:r>
          </w:p>
        </w:tc>
        <w:tc>
          <w:tcPr>
            <w:tcW w:w="2783" w:type="dxa"/>
            <w:shd w:val="clear" w:color="auto" w:fill="E6E6E6"/>
          </w:tcPr>
          <w:p w14:paraId="56F74A9C" w14:textId="77777777" w:rsidR="00601D9B" w:rsidRPr="000E53A0" w:rsidRDefault="000E53A0">
            <w:pPr>
              <w:rPr>
                <w:rFonts w:asciiTheme="minorHAnsi" w:hAnsiTheme="minorHAnsi" w:cstheme="minorHAnsi"/>
                <w:i/>
                <w:sz w:val="18"/>
                <w:szCs w:val="18"/>
                <w:highlight w:val="yellow"/>
                <w:lang w:val="fr-FR"/>
              </w:rPr>
            </w:pPr>
            <w:r w:rsidRPr="000E53A0">
              <w:rPr>
                <w:rFonts w:asciiTheme="minorHAnsi" w:hAnsiTheme="minorHAnsi" w:cstheme="minorHAnsi"/>
                <w:i/>
                <w:sz w:val="18"/>
                <w:szCs w:val="18"/>
                <w:highlight w:val="yellow"/>
                <w:lang w:val="fr-FR"/>
              </w:rPr>
              <w:t>Ajouter à la composante 4 du TBWP</w:t>
            </w:r>
          </w:p>
        </w:tc>
      </w:tr>
    </w:tbl>
    <w:p w14:paraId="688B156E" w14:textId="77777777" w:rsidR="00F80F79" w:rsidRPr="000E53A0" w:rsidRDefault="00F80F79" w:rsidP="00F80F79">
      <w:pPr>
        <w:rPr>
          <w:lang w:val="fr-FR"/>
        </w:rPr>
      </w:pPr>
    </w:p>
    <w:p w14:paraId="3AC2166C" w14:textId="77777777" w:rsidR="003D66AA" w:rsidRPr="000E53A0" w:rsidRDefault="003D66AA" w:rsidP="003D66AA">
      <w:pPr>
        <w:rPr>
          <w:lang w:val="fr-FR"/>
        </w:rPr>
      </w:pPr>
    </w:p>
    <w:p w14:paraId="42E2F192" w14:textId="77777777" w:rsidR="00B25109" w:rsidRPr="000E53A0" w:rsidRDefault="00B25109" w:rsidP="001354E3">
      <w:pPr>
        <w:rPr>
          <w:rFonts w:cs="Arial"/>
          <w:b/>
          <w:bCs/>
          <w:szCs w:val="20"/>
          <w:lang w:val="fr-FR"/>
        </w:rPr>
      </w:pPr>
      <w:r w:rsidRPr="000E53A0">
        <w:rPr>
          <w:rFonts w:cs="Arial"/>
          <w:b/>
          <w:bCs/>
          <w:szCs w:val="20"/>
          <w:lang w:val="fr-FR"/>
        </w:rPr>
        <w:br w:type="page"/>
      </w:r>
    </w:p>
    <w:bookmarkEnd w:id="46"/>
    <w:p w14:paraId="175A3AB2" w14:textId="77777777" w:rsidR="003D66AA" w:rsidRPr="000E53A0" w:rsidRDefault="003D66AA" w:rsidP="001354E3">
      <w:pPr>
        <w:rPr>
          <w:rFonts w:cs="Arial"/>
          <w:b/>
          <w:bCs/>
          <w:szCs w:val="20"/>
          <w:lang w:val="fr-FR"/>
        </w:rPr>
      </w:pPr>
    </w:p>
    <w:p w14:paraId="7B8A6B2B" w14:textId="77777777" w:rsidR="00601D9B" w:rsidRPr="000E53A0" w:rsidRDefault="000E53A0">
      <w:pPr>
        <w:pStyle w:val="Titre1"/>
        <w:spacing w:before="0" w:after="0"/>
        <w:rPr>
          <w:rFonts w:ascii="Calibri" w:hAnsi="Calibri"/>
          <w:lang w:val="fr-FR"/>
        </w:rPr>
      </w:pPr>
      <w:bookmarkStart w:id="49" w:name="_Toc46749082"/>
      <w:r w:rsidRPr="000E53A0">
        <w:rPr>
          <w:rFonts w:ascii="Calibri" w:hAnsi="Calibri"/>
          <w:lang w:val="fr-FR"/>
        </w:rPr>
        <w:t xml:space="preserve">Dispositions en matière de gouvernance et de gestion </w:t>
      </w:r>
      <w:bookmarkEnd w:id="49"/>
    </w:p>
    <w:p w14:paraId="083E4CC8" w14:textId="77777777" w:rsidR="00A17302" w:rsidRPr="000E53A0" w:rsidRDefault="00A17302" w:rsidP="00A17302">
      <w:pPr>
        <w:rPr>
          <w:rFonts w:ascii="Calibri" w:eastAsia="SimSun" w:hAnsi="Calibri" w:cs="Arial"/>
          <w:b/>
          <w:i/>
          <w:noProof/>
          <w:sz w:val="20"/>
          <w:szCs w:val="20"/>
          <w:lang w:val="fr-FR" w:eastAsia="zh-CN"/>
        </w:rPr>
      </w:pPr>
    </w:p>
    <w:p w14:paraId="59144762" w14:textId="77777777" w:rsidR="00601D9B" w:rsidRPr="000E53A0" w:rsidRDefault="000E53A0">
      <w:pPr>
        <w:jc w:val="both"/>
        <w:rPr>
          <w:rFonts w:ascii="Calibri" w:eastAsia="SimSun" w:hAnsi="Calibri" w:cs="Arial"/>
          <w:b/>
          <w:sz w:val="20"/>
          <w:szCs w:val="20"/>
          <w:lang w:val="fr-FR" w:eastAsia="en-US"/>
        </w:rPr>
      </w:pPr>
      <w:r w:rsidRPr="000E53A0">
        <w:rPr>
          <w:rFonts w:ascii="Calibri" w:eastAsia="SimSun" w:hAnsi="Calibri" w:cs="Arial"/>
          <w:b/>
          <w:noProof/>
          <w:sz w:val="20"/>
          <w:szCs w:val="20"/>
          <w:lang w:val="fr-FR" w:eastAsia="zh-CN"/>
        </w:rPr>
        <w:t xml:space="preserve">Rôles et responsabilités du mécanisme de gouvernance du projet : </w:t>
      </w:r>
    </w:p>
    <w:p w14:paraId="7A035350" w14:textId="77777777" w:rsidR="00A17302" w:rsidRPr="000E53A0" w:rsidRDefault="00A17302" w:rsidP="00A17302">
      <w:pPr>
        <w:jc w:val="both"/>
        <w:rPr>
          <w:rFonts w:ascii="Calibri" w:eastAsia="SimSun" w:hAnsi="Calibri" w:cs="Arial"/>
          <w:noProof/>
          <w:sz w:val="20"/>
          <w:szCs w:val="20"/>
          <w:lang w:val="fr-FR" w:eastAsia="zh-CN"/>
        </w:rPr>
      </w:pPr>
    </w:p>
    <w:p w14:paraId="6CA026A9" w14:textId="77777777" w:rsidR="00601D9B" w:rsidRPr="000E53A0" w:rsidRDefault="000E53A0">
      <w:pPr>
        <w:rPr>
          <w:rFonts w:ascii="Calibri" w:eastAsia="SimSun" w:hAnsi="Calibri" w:cs="Arial"/>
          <w:i/>
          <w:noProof/>
          <w:sz w:val="20"/>
          <w:szCs w:val="20"/>
          <w:lang w:val="fr-FR" w:eastAsia="zh-CN"/>
        </w:rPr>
      </w:pPr>
      <w:r w:rsidRPr="000E53A0">
        <w:rPr>
          <w:rFonts w:ascii="Calibri" w:eastAsia="SimSun" w:hAnsi="Calibri" w:cs="Arial"/>
          <w:noProof/>
          <w:sz w:val="20"/>
          <w:szCs w:val="20"/>
          <w:u w:val="single"/>
          <w:lang w:val="fr-FR" w:eastAsia="zh-CN"/>
        </w:rPr>
        <w:t xml:space="preserve">Partenaire de mise en œuvre </w:t>
      </w:r>
      <w:r w:rsidRPr="000E53A0">
        <w:rPr>
          <w:rFonts w:ascii="Calibri" w:eastAsia="SimSun" w:hAnsi="Calibri" w:cs="Arial"/>
          <w:noProof/>
          <w:sz w:val="20"/>
          <w:szCs w:val="20"/>
          <w:lang w:val="fr-FR" w:eastAsia="zh-CN"/>
        </w:rPr>
        <w:t>: Le partenaire d'exécution de ce projet est l'</w:t>
      </w:r>
      <w:r w:rsidRPr="000E53A0">
        <w:rPr>
          <w:rFonts w:ascii="Calibri" w:eastAsia="SimSun" w:hAnsi="Calibri"/>
          <w:color w:val="000000"/>
          <w:sz w:val="20"/>
          <w:szCs w:val="20"/>
          <w:lang w:val="fr-FR" w:eastAsia="en-US"/>
        </w:rPr>
        <w:t xml:space="preserve">Agence pour l'Environnement et le Développement Durable </w:t>
      </w:r>
      <w:r w:rsidRPr="000E53A0">
        <w:rPr>
          <w:rFonts w:ascii="Calibri" w:eastAsia="SimSun" w:hAnsi="Calibri" w:cs="Arial"/>
          <w:noProof/>
          <w:sz w:val="20"/>
          <w:szCs w:val="20"/>
          <w:lang w:val="fr-FR" w:eastAsia="zh-CN"/>
        </w:rPr>
        <w:t xml:space="preserve">(AEDD), qui travaillera sous la supervision du Ministère de l'Environnement, de l'Assainissement et du Développement Durable (MEADD). </w:t>
      </w:r>
    </w:p>
    <w:p w14:paraId="56F8124F" w14:textId="77777777" w:rsidR="00A17302" w:rsidRPr="000E53A0" w:rsidRDefault="00A17302" w:rsidP="00A17302">
      <w:pPr>
        <w:rPr>
          <w:rFonts w:ascii="Calibri" w:eastAsia="SimSun" w:hAnsi="Calibri" w:cs="Arial"/>
          <w:i/>
          <w:noProof/>
          <w:sz w:val="20"/>
          <w:szCs w:val="20"/>
          <w:lang w:val="fr-FR" w:eastAsia="zh-CN"/>
        </w:rPr>
      </w:pPr>
    </w:p>
    <w:p w14:paraId="05E356B7" w14:textId="77777777" w:rsidR="00601D9B" w:rsidRPr="000E53A0" w:rsidRDefault="000E53A0">
      <w:pPr>
        <w:rPr>
          <w:rFonts w:ascii="Calibri" w:eastAsia="SimSun" w:hAnsi="Calibri" w:cs="Arial"/>
          <w:sz w:val="20"/>
          <w:szCs w:val="20"/>
          <w:lang w:val="fr-FR" w:eastAsia="zh-CN"/>
        </w:rPr>
      </w:pPr>
      <w:r w:rsidRPr="000E53A0">
        <w:rPr>
          <w:rFonts w:ascii="Calibri" w:eastAsia="SimSun" w:hAnsi="Calibri" w:cs="Arial"/>
          <w:sz w:val="20"/>
          <w:szCs w:val="20"/>
          <w:lang w:val="fr-FR" w:eastAsia="zh-CN"/>
        </w:rPr>
        <w:t>Le Partenaire d'exécution est l'entité à laquelle les Administrateurs du PNUD ont confié la mise en œuvre de l'assistance du PNUD spécifiée dans le présent document de projet signé, tout en assumant l'entière responsabilité et l'obligation de rendre compte de l'utilisation efficace des ressources du PNUD et de la livraison des résultats, comme indiqué dans le présent document.</w:t>
      </w:r>
    </w:p>
    <w:p w14:paraId="7D82612D" w14:textId="77777777" w:rsidR="00A17302" w:rsidRPr="000E53A0" w:rsidRDefault="00A17302" w:rsidP="00A17302">
      <w:pPr>
        <w:rPr>
          <w:rFonts w:ascii="Calibri" w:eastAsia="SimSun" w:hAnsi="Calibri" w:cs="Arial"/>
          <w:sz w:val="20"/>
          <w:szCs w:val="20"/>
          <w:lang w:val="fr-FR" w:eastAsia="zh-CN"/>
        </w:rPr>
      </w:pPr>
    </w:p>
    <w:p w14:paraId="0DD6EC1E" w14:textId="77777777" w:rsidR="00601D9B" w:rsidRDefault="000E53A0">
      <w:pPr>
        <w:rPr>
          <w:rFonts w:ascii="Calibri" w:eastAsia="SimSun" w:hAnsi="Calibri" w:cs="Arial"/>
          <w:sz w:val="20"/>
          <w:szCs w:val="20"/>
          <w:lang w:val="en-US" w:eastAsia="zh-CN"/>
        </w:rPr>
      </w:pPr>
      <w:r w:rsidRPr="000E53A0">
        <w:rPr>
          <w:rFonts w:ascii="Calibri" w:eastAsia="SimSun" w:hAnsi="Calibri" w:cs="Arial"/>
          <w:sz w:val="20"/>
          <w:szCs w:val="20"/>
          <w:lang w:val="fr-FR" w:eastAsia="zh-CN"/>
        </w:rPr>
        <w:t xml:space="preserve">Le partenaire de mise en œuvre est responsable de l'exécution de ce projet. </w:t>
      </w:r>
      <w:r w:rsidRPr="00A17302">
        <w:rPr>
          <w:rFonts w:ascii="Calibri" w:eastAsia="SimSun" w:hAnsi="Calibri" w:cs="Arial"/>
          <w:sz w:val="20"/>
          <w:szCs w:val="20"/>
          <w:lang w:val="en-US" w:eastAsia="zh-CN"/>
        </w:rPr>
        <w:t>Les tâches spécifiques comprennent :</w:t>
      </w:r>
    </w:p>
    <w:p w14:paraId="092CFC9D" w14:textId="77777777" w:rsidR="00601D9B" w:rsidRPr="000E53A0" w:rsidRDefault="000E53A0">
      <w:pPr>
        <w:numPr>
          <w:ilvl w:val="0"/>
          <w:numId w:val="20"/>
        </w:numPr>
        <w:spacing w:after="60"/>
        <w:jc w:val="both"/>
        <w:rPr>
          <w:rFonts w:ascii="Calibri" w:eastAsia="SimSun" w:hAnsi="Calibri" w:cs="Calibri"/>
          <w:sz w:val="20"/>
          <w:szCs w:val="20"/>
          <w:lang w:val="fr-FR" w:eastAsia="en-US"/>
        </w:rPr>
      </w:pPr>
      <w:r w:rsidRPr="000E53A0">
        <w:rPr>
          <w:rFonts w:ascii="Calibri" w:eastAsia="SimSun" w:hAnsi="Calibri"/>
          <w:sz w:val="20"/>
          <w:szCs w:val="20"/>
          <w:lang w:val="fr-FR" w:eastAsia="en-US"/>
        </w:rPr>
        <w:t xml:space="preserve">Planification, coordination, gestion, suivi, évaluation et rapports du projet.  Il s'agit notamment de </w:t>
      </w:r>
      <w:r w:rsidRPr="000E53A0">
        <w:rPr>
          <w:rFonts w:ascii="Calibri" w:eastAsia="SimSun" w:hAnsi="Calibri" w:cs="Calibri"/>
          <w:sz w:val="20"/>
          <w:szCs w:val="20"/>
          <w:lang w:val="fr-FR" w:eastAsia="en-US"/>
        </w:rPr>
        <w:t xml:space="preserve">fournir toutes les informations et données nécessaires à l'établissement en temps voulu de rapports complets et factuels sur le projet, y compris les résultats et les données financières, le cas échéant. Le partenaire d'exécution s'efforcera de veiller à ce que le suivi et l'évaluation au niveau du projet soient effectués par des instituts nationaux et soient alignés sur les systèmes nationaux afin que les données utilisées et générées par le projet soutiennent les systèmes nationaux. </w:t>
      </w:r>
    </w:p>
    <w:p w14:paraId="1DE3D1FA" w14:textId="77777777" w:rsidR="00601D9B" w:rsidRPr="000E53A0" w:rsidRDefault="000E53A0">
      <w:pPr>
        <w:numPr>
          <w:ilvl w:val="0"/>
          <w:numId w:val="20"/>
        </w:numPr>
        <w:spacing w:after="60"/>
        <w:jc w:val="both"/>
        <w:rPr>
          <w:rFonts w:ascii="Calibri" w:eastAsia="Calibri" w:hAnsi="Calibri"/>
          <w:sz w:val="20"/>
          <w:szCs w:val="20"/>
          <w:lang w:val="fr-FR" w:eastAsia="en-US"/>
        </w:rPr>
      </w:pPr>
      <w:r w:rsidRPr="000E53A0">
        <w:rPr>
          <w:rFonts w:ascii="Calibri" w:eastAsia="Calibri" w:hAnsi="Calibri"/>
          <w:sz w:val="20"/>
          <w:szCs w:val="20"/>
          <w:lang w:val="fr-FR" w:eastAsia="en-US"/>
        </w:rPr>
        <w:t>la gestion des risques telle que décrite dans le présent document de projet ;</w:t>
      </w:r>
    </w:p>
    <w:p w14:paraId="47FB2D7A" w14:textId="77777777" w:rsidR="00601D9B" w:rsidRPr="000E53A0" w:rsidRDefault="000E53A0">
      <w:pPr>
        <w:numPr>
          <w:ilvl w:val="0"/>
          <w:numId w:val="20"/>
        </w:numPr>
        <w:spacing w:after="60"/>
        <w:jc w:val="both"/>
        <w:rPr>
          <w:rFonts w:ascii="Calibri" w:eastAsia="Calibri" w:hAnsi="Calibri"/>
          <w:sz w:val="20"/>
          <w:szCs w:val="20"/>
          <w:lang w:val="fr-FR" w:eastAsia="en-US"/>
        </w:rPr>
      </w:pPr>
      <w:r w:rsidRPr="000E53A0">
        <w:rPr>
          <w:rFonts w:ascii="Calibri" w:eastAsia="Calibri" w:hAnsi="Calibri"/>
          <w:sz w:val="20"/>
          <w:szCs w:val="20"/>
          <w:lang w:val="fr-FR" w:eastAsia="en-US"/>
        </w:rPr>
        <w:t>L'acquisition de biens et de services, y compris les ressources humaines ;</w:t>
      </w:r>
    </w:p>
    <w:p w14:paraId="0A0C6A01" w14:textId="77777777" w:rsidR="00601D9B" w:rsidRPr="000E53A0" w:rsidRDefault="000E53A0">
      <w:pPr>
        <w:numPr>
          <w:ilvl w:val="0"/>
          <w:numId w:val="20"/>
        </w:numPr>
        <w:spacing w:after="60"/>
        <w:jc w:val="both"/>
        <w:rPr>
          <w:rFonts w:ascii="Calibri" w:eastAsia="Calibri" w:hAnsi="Calibri"/>
          <w:sz w:val="20"/>
          <w:szCs w:val="20"/>
          <w:lang w:val="fr-FR" w:eastAsia="en-US"/>
        </w:rPr>
      </w:pPr>
      <w:r w:rsidRPr="000E53A0">
        <w:rPr>
          <w:rFonts w:ascii="Calibri" w:eastAsia="Calibri" w:hAnsi="Calibri"/>
          <w:sz w:val="20"/>
          <w:szCs w:val="20"/>
          <w:lang w:val="fr-FR" w:eastAsia="en-US"/>
        </w:rPr>
        <w:t>Gestion financière, y compris la supervision des dépenses financières par rapport aux budgets des projets ;</w:t>
      </w:r>
    </w:p>
    <w:p w14:paraId="194B632F" w14:textId="77777777" w:rsidR="00601D9B" w:rsidRPr="000E53A0" w:rsidRDefault="000E53A0">
      <w:pPr>
        <w:numPr>
          <w:ilvl w:val="0"/>
          <w:numId w:val="20"/>
        </w:numPr>
        <w:spacing w:after="60"/>
        <w:jc w:val="both"/>
        <w:rPr>
          <w:rFonts w:ascii="Calibri" w:eastAsia="Calibri" w:hAnsi="Calibri"/>
          <w:sz w:val="20"/>
          <w:szCs w:val="20"/>
          <w:lang w:val="fr-FR" w:eastAsia="en-US"/>
        </w:rPr>
      </w:pPr>
      <w:r w:rsidRPr="000E53A0">
        <w:rPr>
          <w:rFonts w:ascii="Calibri" w:eastAsia="Calibri" w:hAnsi="Calibri"/>
          <w:sz w:val="20"/>
          <w:szCs w:val="20"/>
          <w:lang w:val="fr-FR" w:eastAsia="en-US"/>
        </w:rPr>
        <w:t>Approuver et signer le plan de travail pluriannuel ;</w:t>
      </w:r>
    </w:p>
    <w:p w14:paraId="7C28CC1A" w14:textId="77777777" w:rsidR="00601D9B" w:rsidRPr="000E53A0" w:rsidRDefault="000E53A0">
      <w:pPr>
        <w:numPr>
          <w:ilvl w:val="0"/>
          <w:numId w:val="20"/>
        </w:numPr>
        <w:spacing w:after="60"/>
        <w:jc w:val="both"/>
        <w:rPr>
          <w:rFonts w:ascii="Calibri" w:eastAsia="Calibri" w:hAnsi="Calibri"/>
          <w:sz w:val="20"/>
          <w:szCs w:val="20"/>
          <w:lang w:val="fr-FR" w:eastAsia="en-US"/>
        </w:rPr>
      </w:pPr>
      <w:r w:rsidRPr="000E53A0">
        <w:rPr>
          <w:rFonts w:ascii="Calibri" w:eastAsia="Calibri" w:hAnsi="Calibri"/>
          <w:sz w:val="20"/>
          <w:szCs w:val="20"/>
          <w:lang w:val="fr-FR" w:eastAsia="en-US"/>
        </w:rPr>
        <w:t>Approuver et signer le rapport de livraison combiné à la fin de l'année ; et,</w:t>
      </w:r>
    </w:p>
    <w:p w14:paraId="442AECF8" w14:textId="77777777" w:rsidR="00601D9B" w:rsidRPr="000E53A0" w:rsidRDefault="000E53A0">
      <w:pPr>
        <w:numPr>
          <w:ilvl w:val="0"/>
          <w:numId w:val="20"/>
        </w:numPr>
        <w:spacing w:after="60"/>
        <w:jc w:val="both"/>
        <w:rPr>
          <w:rFonts w:ascii="Calibri" w:eastAsia="Calibri" w:hAnsi="Calibri"/>
          <w:sz w:val="20"/>
          <w:szCs w:val="20"/>
          <w:lang w:val="fr-FR" w:eastAsia="en-US"/>
        </w:rPr>
      </w:pPr>
      <w:r w:rsidRPr="000E53A0">
        <w:rPr>
          <w:rFonts w:ascii="Calibri" w:eastAsia="Calibri" w:hAnsi="Calibri"/>
          <w:sz w:val="20"/>
          <w:szCs w:val="20"/>
          <w:lang w:val="fr-FR" w:eastAsia="en-US"/>
        </w:rPr>
        <w:t>Signer le rapport financier ou l'autorisation de financement et le certificat de dépenses.</w:t>
      </w:r>
    </w:p>
    <w:p w14:paraId="3DD1B2BF" w14:textId="77777777" w:rsidR="00A17302" w:rsidRPr="000E53A0" w:rsidRDefault="00A17302" w:rsidP="00A17302">
      <w:pPr>
        <w:rPr>
          <w:rFonts w:ascii="Calibri" w:eastAsia="SimSun" w:hAnsi="Calibri" w:cs="Arial"/>
          <w:noProof/>
          <w:sz w:val="20"/>
          <w:szCs w:val="20"/>
          <w:lang w:val="fr-FR" w:eastAsia="zh-CN"/>
        </w:rPr>
      </w:pPr>
    </w:p>
    <w:p w14:paraId="30C31C42" w14:textId="77777777" w:rsidR="00601D9B" w:rsidRPr="000E53A0" w:rsidRDefault="000E53A0">
      <w:pPr>
        <w:rPr>
          <w:rFonts w:ascii="Calibri" w:eastAsia="SimSun" w:hAnsi="Calibri"/>
          <w:i/>
          <w:sz w:val="20"/>
          <w:szCs w:val="20"/>
          <w:lang w:val="fr-FR" w:eastAsia="en-US"/>
        </w:rPr>
      </w:pPr>
      <w:r w:rsidRPr="000E53A0">
        <w:rPr>
          <w:rFonts w:ascii="Calibri" w:eastAsia="SimSun" w:hAnsi="Calibri"/>
          <w:sz w:val="20"/>
          <w:szCs w:val="20"/>
          <w:u w:val="single"/>
          <w:lang w:val="fr-FR" w:eastAsia="en-US"/>
        </w:rPr>
        <w:t>Parties responsables</w:t>
      </w:r>
    </w:p>
    <w:p w14:paraId="481FE5C5" w14:textId="77777777" w:rsidR="00A17302" w:rsidRPr="000E53A0" w:rsidRDefault="00A17302" w:rsidP="00A17302">
      <w:pPr>
        <w:ind w:left="720"/>
        <w:rPr>
          <w:rFonts w:ascii="Calibri Light" w:eastAsia="Calibri" w:hAnsi="Calibri Light" w:cs="Calibri Light"/>
          <w:sz w:val="20"/>
          <w:szCs w:val="20"/>
          <w:lang w:val="fr-FR" w:eastAsia="en-US"/>
        </w:rPr>
      </w:pPr>
    </w:p>
    <w:p w14:paraId="0ABE8F96" w14:textId="77777777" w:rsidR="00601D9B" w:rsidRPr="000E53A0" w:rsidRDefault="000E53A0">
      <w:pPr>
        <w:spacing w:after="60"/>
        <w:jc w:val="both"/>
        <w:rPr>
          <w:rFonts w:ascii="Calibri" w:eastAsia="Calibri" w:hAnsi="Calibri"/>
          <w:sz w:val="20"/>
          <w:szCs w:val="20"/>
          <w:lang w:val="fr-FR" w:eastAsia="en-US"/>
        </w:rPr>
      </w:pPr>
      <w:r w:rsidRPr="000E53A0">
        <w:rPr>
          <w:rFonts w:ascii="Calibri" w:eastAsia="Calibri" w:hAnsi="Calibri"/>
          <w:sz w:val="20"/>
          <w:szCs w:val="20"/>
          <w:lang w:val="fr-FR" w:eastAsia="en-US"/>
        </w:rPr>
        <w:t>L'</w:t>
      </w:r>
      <w:r w:rsidRPr="000E53A0">
        <w:rPr>
          <w:rFonts w:ascii="Calibri" w:eastAsia="Calibri" w:hAnsi="Calibri"/>
          <w:b/>
          <w:bCs/>
          <w:sz w:val="20"/>
          <w:szCs w:val="20"/>
          <w:lang w:val="fr-FR" w:eastAsia="en-US"/>
        </w:rPr>
        <w:t>Unité de Gestion du Projet (UGP)</w:t>
      </w:r>
      <w:r w:rsidRPr="000E53A0">
        <w:rPr>
          <w:rFonts w:ascii="Calibri" w:eastAsia="Calibri" w:hAnsi="Calibri"/>
          <w:sz w:val="20"/>
          <w:szCs w:val="20"/>
          <w:lang w:val="fr-FR" w:eastAsia="en-US"/>
        </w:rPr>
        <w:t xml:space="preserve">, sera logée au sein de l'AEDD à Bamako. L'UGP mettra en œuvre les activités du projet pour le PNUD et assurera la coordination financière et administrative, avec l'appui d'une équipe technique basée à Mopti (voir ci-dessous). L'UGP sera composée d'un gestionnaire de projet (GP), d'un assistant financier et administratif et d'un expert en suivi et évaluation. </w:t>
      </w:r>
    </w:p>
    <w:p w14:paraId="4B9718E0" w14:textId="77777777" w:rsidR="00601D9B" w:rsidRPr="000E53A0" w:rsidRDefault="000E53A0">
      <w:pPr>
        <w:spacing w:after="60"/>
        <w:jc w:val="both"/>
        <w:rPr>
          <w:rFonts w:ascii="Calibri" w:eastAsia="Calibri" w:hAnsi="Calibri"/>
          <w:sz w:val="20"/>
          <w:szCs w:val="20"/>
          <w:lang w:val="fr-FR" w:eastAsia="en-US"/>
        </w:rPr>
      </w:pPr>
      <w:r w:rsidRPr="000E53A0">
        <w:rPr>
          <w:rFonts w:ascii="Calibri" w:eastAsia="Calibri" w:hAnsi="Calibri"/>
          <w:sz w:val="20"/>
          <w:szCs w:val="20"/>
          <w:lang w:val="fr-FR" w:eastAsia="en-US"/>
        </w:rPr>
        <w:t xml:space="preserve">Le </w:t>
      </w:r>
      <w:r w:rsidRPr="000E53A0">
        <w:rPr>
          <w:rFonts w:ascii="Calibri" w:eastAsia="Calibri" w:hAnsi="Calibri"/>
          <w:b/>
          <w:bCs/>
          <w:sz w:val="20"/>
          <w:szCs w:val="20"/>
          <w:lang w:val="fr-FR" w:eastAsia="en-US"/>
        </w:rPr>
        <w:t xml:space="preserve">Comité Technique National </w:t>
      </w:r>
      <w:r w:rsidRPr="000E53A0">
        <w:rPr>
          <w:rFonts w:ascii="Calibri" w:eastAsia="Calibri" w:hAnsi="Calibri"/>
          <w:sz w:val="20"/>
          <w:szCs w:val="20"/>
          <w:lang w:val="fr-FR" w:eastAsia="en-US"/>
        </w:rPr>
        <w:t xml:space="preserve">se réunira deux fois par an et sera composé des institutions suivantes : Direction nationale des eaux et forêts ; Direction nationale de l'agriculture ; Direction nationale des productions et industries animales ; Institut d'économie rurale ; IGM ; Direction générale de la protection civile ; MALI-METEO ; Direction nationale de la consolidation de la paix ; Direction générale des collectivités territoriales ; </w:t>
      </w:r>
      <w:r w:rsidRPr="000E53A0">
        <w:rPr>
          <w:rFonts w:ascii="Calibri" w:eastAsia="SimSun" w:hAnsi="Calibri"/>
          <w:sz w:val="20"/>
          <w:lang w:val="fr-FR" w:eastAsia="en-US"/>
        </w:rPr>
        <w:t xml:space="preserve">Direction nationale de l'aménagement du territoire (DNAT) </w:t>
      </w:r>
      <w:r w:rsidRPr="000E53A0">
        <w:rPr>
          <w:rFonts w:ascii="Calibri" w:eastAsia="Calibri" w:hAnsi="Calibri"/>
          <w:sz w:val="20"/>
          <w:szCs w:val="20"/>
          <w:lang w:val="fr-FR" w:eastAsia="en-US"/>
        </w:rPr>
        <w:t xml:space="preserve">AEDD ; Association des communes du Mali ; Université du Mali ; et RECOTRADE. Le Comité Technique, coordonné par l'AEDD, appuiera et conseillera l'UGP pour la planification détaillée de certaines actions et la mobilisation effective des acteurs concernés. </w:t>
      </w:r>
    </w:p>
    <w:p w14:paraId="7EA229BB" w14:textId="77777777" w:rsidR="00601D9B" w:rsidRPr="000E53A0" w:rsidRDefault="000E53A0">
      <w:pPr>
        <w:spacing w:after="60"/>
        <w:jc w:val="both"/>
        <w:rPr>
          <w:rFonts w:ascii="Calibri" w:eastAsia="Calibri" w:hAnsi="Calibri"/>
          <w:sz w:val="20"/>
          <w:szCs w:val="20"/>
          <w:lang w:val="fr-FR" w:eastAsia="en-US"/>
        </w:rPr>
      </w:pPr>
      <w:r w:rsidRPr="000E53A0">
        <w:rPr>
          <w:rFonts w:ascii="Calibri" w:eastAsia="Calibri" w:hAnsi="Calibri"/>
          <w:sz w:val="20"/>
          <w:szCs w:val="20"/>
          <w:lang w:val="fr-FR" w:eastAsia="en-US"/>
        </w:rPr>
        <w:t xml:space="preserve">Une </w:t>
      </w:r>
      <w:r w:rsidRPr="000E53A0">
        <w:rPr>
          <w:rFonts w:ascii="Calibri" w:eastAsia="Calibri" w:hAnsi="Calibri"/>
          <w:b/>
          <w:bCs/>
          <w:sz w:val="20"/>
          <w:szCs w:val="20"/>
          <w:lang w:val="fr-FR" w:eastAsia="en-US"/>
        </w:rPr>
        <w:t>équipe régionale d'appui technique au projet</w:t>
      </w:r>
      <w:r w:rsidRPr="000E53A0">
        <w:rPr>
          <w:rFonts w:ascii="Calibri" w:eastAsia="Calibri" w:hAnsi="Calibri"/>
          <w:sz w:val="20"/>
          <w:szCs w:val="20"/>
          <w:lang w:val="fr-FR" w:eastAsia="en-US"/>
        </w:rPr>
        <w:t xml:space="preserve">, sera mise en place et appuiera l'exécution des activités du projet sur le terrain avec les services techniques déconcentrés, en étroite collaboration avec les communautés et les associations. Le projet développera également des MoUs/LoAs avec les services de vulgarisation du gouvernement et les directions régionales basées à Mopti pour soutenir l'exécution des activités planifiées (par exemple, la Direction Régionale des Eaux et Forêts ; la Direction Régionale de la Promotion de la Femme, de l'Enfant et de la Famille ; la Direction Régionale de l'Agriculture ; la Direction Régionale de la Pêche ; la Direction Régionale de la Production Animale ; la Direction Régionale du Développement Social). L'équipe emploiera un </w:t>
      </w:r>
      <w:r w:rsidRPr="000E53A0">
        <w:rPr>
          <w:rFonts w:ascii="Calibri" w:eastAsia="Calibri" w:hAnsi="Calibri"/>
          <w:sz w:val="20"/>
          <w:szCs w:val="20"/>
          <w:lang w:val="fr-FR" w:eastAsia="en-US"/>
        </w:rPr>
        <w:lastRenderedPageBreak/>
        <w:t xml:space="preserve">expert CC/LDN à plein temps ainsi qu'un expert en genre et communication. Elle comprendra également des experts en développement du secteur privé et un expert en sauvegardes, sous contrat de consultant. Cette équipe technique sera basée dans la région de Mopti, au sein du bureau de coordination ou hébergée par les structures suivantes : DREF (expert CC/LDN), Direction régionale de la promotion de la femme, de l'enfant et de la famille (expert genre/communication). </w:t>
      </w:r>
    </w:p>
    <w:p w14:paraId="2E27DB67" w14:textId="77777777" w:rsidR="00601D9B" w:rsidRPr="000E53A0" w:rsidRDefault="000E53A0">
      <w:pPr>
        <w:spacing w:after="60"/>
        <w:jc w:val="both"/>
        <w:rPr>
          <w:rFonts w:ascii="Calibri" w:eastAsia="SimSun" w:hAnsi="Calibri"/>
          <w:sz w:val="20"/>
          <w:szCs w:val="20"/>
          <w:lang w:val="fr-FR" w:eastAsia="en-US"/>
        </w:rPr>
      </w:pPr>
      <w:r w:rsidRPr="000E53A0">
        <w:rPr>
          <w:rFonts w:ascii="Calibri" w:eastAsia="SimSun" w:hAnsi="Calibri"/>
          <w:sz w:val="20"/>
          <w:szCs w:val="20"/>
          <w:lang w:val="fr-FR" w:eastAsia="en-US"/>
        </w:rPr>
        <w:t>En fonction du contexte sécuritaire, la priorité sera donnée à la mise en place de points focaux locaux du projet dans chaque cercle, qui seront sélectionnés de manière participative par les services de vulgarisation technique de chaque cercle. La nomination sera officialisée par un préfet. Ils seront le relais du projet au niveau de chaque cercle et joueront un rôle dans le suivi et l'évaluation du projet.</w:t>
      </w:r>
    </w:p>
    <w:p w14:paraId="4A18CA9F" w14:textId="77777777" w:rsidR="00A17302" w:rsidRPr="000E53A0" w:rsidRDefault="00A17302" w:rsidP="00A17302">
      <w:pPr>
        <w:rPr>
          <w:rFonts w:ascii="Calibri" w:eastAsia="SimSun" w:hAnsi="Calibri"/>
          <w:sz w:val="20"/>
          <w:szCs w:val="20"/>
          <w:u w:val="single"/>
          <w:lang w:val="fr-FR" w:eastAsia="en-US"/>
        </w:rPr>
      </w:pPr>
    </w:p>
    <w:p w14:paraId="34220530" w14:textId="77777777" w:rsidR="00601D9B" w:rsidRPr="000E53A0" w:rsidRDefault="000E53A0">
      <w:pPr>
        <w:rPr>
          <w:rFonts w:ascii="Calibri" w:eastAsia="SimSun" w:hAnsi="Calibri"/>
          <w:i/>
          <w:sz w:val="20"/>
          <w:szCs w:val="20"/>
          <w:lang w:val="fr-FR" w:eastAsia="en-US"/>
        </w:rPr>
      </w:pPr>
      <w:r w:rsidRPr="000E53A0">
        <w:rPr>
          <w:rFonts w:ascii="Calibri" w:eastAsia="SimSun" w:hAnsi="Calibri"/>
          <w:sz w:val="20"/>
          <w:szCs w:val="20"/>
          <w:u w:val="single"/>
          <w:lang w:val="fr-FR" w:eastAsia="en-US"/>
        </w:rPr>
        <w:t xml:space="preserve">Parties prenantes et groupes cibles du projet </w:t>
      </w:r>
      <w:r w:rsidRPr="000E53A0">
        <w:rPr>
          <w:rFonts w:ascii="Calibri" w:eastAsia="SimSun" w:hAnsi="Calibri"/>
          <w:sz w:val="20"/>
          <w:szCs w:val="20"/>
          <w:lang w:val="fr-FR" w:eastAsia="en-US"/>
        </w:rPr>
        <w:t xml:space="preserve">: </w:t>
      </w:r>
    </w:p>
    <w:p w14:paraId="182DCA99" w14:textId="77777777" w:rsidR="00601D9B" w:rsidRPr="000E53A0" w:rsidRDefault="000E53A0">
      <w:pPr>
        <w:spacing w:after="60"/>
        <w:jc w:val="both"/>
        <w:rPr>
          <w:rFonts w:ascii="Calibri" w:eastAsia="SimSun" w:hAnsi="Calibri"/>
          <w:sz w:val="20"/>
          <w:szCs w:val="20"/>
          <w:lang w:val="fr-FR" w:eastAsia="en-US"/>
        </w:rPr>
      </w:pPr>
      <w:r w:rsidRPr="000E53A0">
        <w:rPr>
          <w:rFonts w:ascii="Calibri" w:eastAsia="SimSun" w:hAnsi="Calibri"/>
          <w:sz w:val="20"/>
          <w:szCs w:val="20"/>
          <w:lang w:val="fr-FR" w:eastAsia="en-US"/>
        </w:rPr>
        <w:t xml:space="preserve">Le projet s'appuiera sur les structures institutionnelles (services de l'État, autorités locales) et les organisations de la société civile aux niveaux central et local. </w:t>
      </w:r>
    </w:p>
    <w:p w14:paraId="2FC1FFFD" w14:textId="77777777" w:rsidR="00601D9B" w:rsidRPr="000E53A0" w:rsidRDefault="000E53A0">
      <w:pPr>
        <w:spacing w:after="60"/>
        <w:jc w:val="both"/>
        <w:rPr>
          <w:rFonts w:ascii="Calibri" w:eastAsia="SimSun" w:hAnsi="Calibri"/>
          <w:sz w:val="20"/>
          <w:szCs w:val="20"/>
          <w:lang w:val="fr-FR" w:eastAsia="en-US"/>
        </w:rPr>
      </w:pPr>
      <w:r w:rsidRPr="000E53A0">
        <w:rPr>
          <w:rFonts w:ascii="Calibri" w:eastAsia="SimSun" w:hAnsi="Calibri"/>
          <w:sz w:val="20"/>
          <w:szCs w:val="20"/>
          <w:lang w:val="fr-FR" w:eastAsia="en-US"/>
        </w:rPr>
        <w:t xml:space="preserve">L'AEDD, en collaboration avec l'UGP, assurera le renforcement des capacités institutionnelles, la coordination, le suivi et l'évaluation et travaillera en étroite collaboration avec l'IER, l'IGM et les départements techniques du MEADD ; elle signera des accords de partenariat avec leurs départements techniques dans la mise en œuvre des activités. </w:t>
      </w:r>
    </w:p>
    <w:p w14:paraId="40864D6C" w14:textId="77777777" w:rsidR="00601D9B" w:rsidRPr="000E53A0" w:rsidRDefault="000E53A0">
      <w:pPr>
        <w:spacing w:after="60"/>
        <w:jc w:val="both"/>
        <w:rPr>
          <w:rFonts w:ascii="Calibri" w:eastAsia="SimSun" w:hAnsi="Calibri" w:cs="Calibri"/>
          <w:sz w:val="20"/>
          <w:szCs w:val="20"/>
          <w:lang w:val="fr-FR" w:eastAsia="en-US"/>
        </w:rPr>
      </w:pPr>
      <w:r w:rsidRPr="000E53A0">
        <w:rPr>
          <w:rFonts w:ascii="Calibri" w:eastAsia="SimSun" w:hAnsi="Calibri"/>
          <w:color w:val="000000"/>
          <w:sz w:val="20"/>
          <w:lang w:val="fr-FR" w:eastAsia="en-US"/>
        </w:rPr>
        <w:t xml:space="preserve">De manière spécifique, l'IGM et l'IER seront les partenaires privilégiés de l'AEDD avec un protocole de collaboration.  Ainsi, </w:t>
      </w:r>
      <w:r w:rsidRPr="000E53A0">
        <w:rPr>
          <w:rFonts w:ascii="Calibri" w:eastAsia="Calibri" w:hAnsi="Calibri"/>
          <w:sz w:val="20"/>
          <w:szCs w:val="20"/>
          <w:lang w:val="fr-FR" w:eastAsia="en-US"/>
        </w:rPr>
        <w:t>l'</w:t>
      </w:r>
      <w:r w:rsidRPr="000E53A0">
        <w:rPr>
          <w:rFonts w:ascii="Calibri" w:eastAsia="SimSun" w:hAnsi="Calibri" w:cs="Calibri"/>
          <w:sz w:val="20"/>
          <w:szCs w:val="20"/>
          <w:lang w:val="fr-FR" w:eastAsia="en-US"/>
        </w:rPr>
        <w:t>Institut d'Economie Rurale (IER) contribuera à la diffusion des technologies d'adaptation ; l'Institut Géographique du Mali (IGM) fournira un appui pour la cartographie (couverture des sols, utilisation des sols, dégradation des sols) et le suivi des objectifs du RLD ; et un MoU avec l'Agence Nationale de Météorologie (MALI METEO) sera établi pour fournir des informations météorologiques pertinentes.</w:t>
      </w:r>
    </w:p>
    <w:p w14:paraId="7B551121" w14:textId="77777777" w:rsidR="00601D9B" w:rsidRPr="000E53A0" w:rsidRDefault="000E53A0">
      <w:pPr>
        <w:spacing w:after="60"/>
        <w:jc w:val="both"/>
        <w:rPr>
          <w:rFonts w:ascii="Calibri" w:eastAsia="SimSun" w:hAnsi="Calibri"/>
          <w:sz w:val="20"/>
          <w:szCs w:val="20"/>
          <w:lang w:val="fr-FR" w:eastAsia="en-US"/>
        </w:rPr>
      </w:pPr>
      <w:r w:rsidRPr="000E53A0">
        <w:rPr>
          <w:rFonts w:ascii="Calibri" w:eastAsia="SimSun" w:hAnsi="Calibri" w:cs="Calibri"/>
          <w:sz w:val="20"/>
          <w:szCs w:val="20"/>
          <w:lang w:val="fr-FR" w:eastAsia="en-US"/>
        </w:rPr>
        <w:t>Pour soutenir la mise en œuvre des activités de la composante 3, le projet établira également des MoUs/LoAs avec AMASSA (ONG nationale) ; Sahel Eco (ONG nationale) ; l'Unité de Transformation de Tominian ; le Centre de Conseil Agricole (CCA-Ségou) ; BDR (Bio-gaz et Développement Rural) ; ainsi que la Direction Régionale des Pêches de Mopti.</w:t>
      </w:r>
    </w:p>
    <w:p w14:paraId="097F2A95" w14:textId="77777777" w:rsidR="00A17302" w:rsidRPr="000E53A0" w:rsidRDefault="00A17302" w:rsidP="00A17302">
      <w:pPr>
        <w:rPr>
          <w:rFonts w:ascii="Calibri Light" w:eastAsia="SimSun" w:hAnsi="Calibri Light" w:cs="Calibri Light"/>
          <w:sz w:val="20"/>
          <w:szCs w:val="20"/>
          <w:lang w:val="fr-FR" w:eastAsia="en-US"/>
        </w:rPr>
      </w:pPr>
    </w:p>
    <w:p w14:paraId="6E9158E3" w14:textId="77777777" w:rsidR="00601D9B" w:rsidRPr="000E53A0" w:rsidRDefault="000E53A0">
      <w:pPr>
        <w:spacing w:after="60"/>
        <w:jc w:val="both"/>
        <w:rPr>
          <w:rFonts w:ascii="Calibri" w:eastAsia="SimSun" w:hAnsi="Calibri"/>
          <w:sz w:val="20"/>
          <w:szCs w:val="20"/>
          <w:lang w:val="fr-FR" w:eastAsia="en-US"/>
        </w:rPr>
      </w:pPr>
      <w:r w:rsidRPr="000E53A0">
        <w:rPr>
          <w:rFonts w:ascii="Calibri" w:eastAsia="SimSun" w:hAnsi="Calibri"/>
          <w:sz w:val="20"/>
          <w:szCs w:val="20"/>
          <w:u w:val="single"/>
          <w:lang w:val="fr-FR" w:eastAsia="en-US"/>
        </w:rPr>
        <w:t>LE PNUD :</w:t>
      </w:r>
      <w:r w:rsidRPr="000E53A0">
        <w:rPr>
          <w:rFonts w:ascii="Calibri" w:eastAsia="SimSun" w:hAnsi="Calibri"/>
          <w:sz w:val="20"/>
          <w:szCs w:val="20"/>
          <w:lang w:val="fr-FR" w:eastAsia="en-US"/>
        </w:rPr>
        <w:t xml:space="preserve"> Le PNUD, en tant qu'organisme chef de file, sera responsable devant le FEM de la mise en œuvre de ce projet. Cela inclut la supervision de l'exécution du projet afin de s'assurer que le projet est réalisé conformément aux normes et dispositions convenues. Le PNUD est chargé de fournir des services de gestion du cycle de projet du FEM, notamment l'approbation et le démarrage du projet, la supervision et le contrôle du projet, ainsi que l'achèvement et l'évaluation du projet. Le PNUD est également responsable du rôle d'assurance du projet du comité de pilotage du projet.  </w:t>
      </w:r>
    </w:p>
    <w:p w14:paraId="590BF699" w14:textId="77777777" w:rsidR="00A17302" w:rsidRPr="000E53A0" w:rsidRDefault="00A17302" w:rsidP="00A17302">
      <w:pPr>
        <w:rPr>
          <w:rFonts w:ascii="Calibri" w:eastAsia="SimSun" w:hAnsi="Calibri" w:cs="Arial"/>
          <w:b/>
          <w:noProof/>
          <w:sz w:val="20"/>
          <w:szCs w:val="20"/>
          <w:lang w:val="fr-FR" w:eastAsia="zh-CN"/>
        </w:rPr>
      </w:pPr>
    </w:p>
    <w:p w14:paraId="3B00286B" w14:textId="77777777" w:rsidR="00A17302" w:rsidRPr="000E53A0" w:rsidRDefault="00A17302" w:rsidP="00A17302">
      <w:pPr>
        <w:jc w:val="both"/>
        <w:rPr>
          <w:rFonts w:ascii="Calibri" w:eastAsia="SimSun" w:hAnsi="Calibri" w:cs="Arial"/>
          <w:noProof/>
          <w:sz w:val="20"/>
          <w:szCs w:val="20"/>
          <w:lang w:val="fr-FR" w:eastAsia="zh-CN"/>
        </w:rPr>
      </w:pPr>
    </w:p>
    <w:p w14:paraId="101B6CBD" w14:textId="77777777" w:rsidR="00D00540" w:rsidRPr="000E53A0" w:rsidRDefault="00D00540" w:rsidP="00A17302">
      <w:pPr>
        <w:jc w:val="both"/>
        <w:rPr>
          <w:rFonts w:ascii="Calibri" w:eastAsia="SimSun" w:hAnsi="Calibri" w:cs="Arial"/>
          <w:noProof/>
          <w:sz w:val="20"/>
          <w:szCs w:val="20"/>
          <w:lang w:val="fr-FR" w:eastAsia="zh-CN"/>
        </w:rPr>
      </w:pPr>
    </w:p>
    <w:p w14:paraId="0727364D" w14:textId="77777777" w:rsidR="00D00540" w:rsidRPr="000E53A0" w:rsidRDefault="00D00540" w:rsidP="00A17302">
      <w:pPr>
        <w:jc w:val="both"/>
        <w:rPr>
          <w:rFonts w:ascii="Calibri" w:eastAsia="SimSun" w:hAnsi="Calibri" w:cs="Arial"/>
          <w:noProof/>
          <w:sz w:val="20"/>
          <w:szCs w:val="20"/>
          <w:lang w:val="fr-FR" w:eastAsia="zh-CN"/>
        </w:rPr>
      </w:pPr>
    </w:p>
    <w:p w14:paraId="065ADED3" w14:textId="77777777" w:rsidR="00D00540" w:rsidRPr="000E53A0" w:rsidRDefault="00D00540" w:rsidP="00A17302">
      <w:pPr>
        <w:jc w:val="both"/>
        <w:rPr>
          <w:rFonts w:ascii="Calibri" w:eastAsia="SimSun" w:hAnsi="Calibri" w:cs="Arial"/>
          <w:noProof/>
          <w:sz w:val="20"/>
          <w:szCs w:val="20"/>
          <w:lang w:val="fr-FR" w:eastAsia="zh-CN"/>
        </w:rPr>
      </w:pPr>
    </w:p>
    <w:p w14:paraId="6722F6A1" w14:textId="77777777" w:rsidR="00D00540" w:rsidRPr="000E53A0" w:rsidRDefault="00D00540" w:rsidP="00A17302">
      <w:pPr>
        <w:jc w:val="both"/>
        <w:rPr>
          <w:rFonts w:ascii="Calibri" w:eastAsia="SimSun" w:hAnsi="Calibri" w:cs="Arial"/>
          <w:noProof/>
          <w:sz w:val="20"/>
          <w:szCs w:val="20"/>
          <w:lang w:val="fr-FR" w:eastAsia="zh-CN"/>
        </w:rPr>
      </w:pPr>
    </w:p>
    <w:p w14:paraId="435C5E3F" w14:textId="77777777" w:rsidR="00D00540" w:rsidRPr="000E53A0" w:rsidRDefault="00D00540" w:rsidP="00A17302">
      <w:pPr>
        <w:jc w:val="both"/>
        <w:rPr>
          <w:rFonts w:ascii="Calibri" w:eastAsia="SimSun" w:hAnsi="Calibri" w:cs="Arial"/>
          <w:noProof/>
          <w:sz w:val="20"/>
          <w:szCs w:val="20"/>
          <w:lang w:val="fr-FR" w:eastAsia="zh-CN"/>
        </w:rPr>
      </w:pPr>
    </w:p>
    <w:p w14:paraId="499875F8" w14:textId="77777777" w:rsidR="00D00540" w:rsidRPr="000E53A0" w:rsidRDefault="00D00540" w:rsidP="00A17302">
      <w:pPr>
        <w:jc w:val="both"/>
        <w:rPr>
          <w:rFonts w:ascii="Calibri" w:eastAsia="SimSun" w:hAnsi="Calibri" w:cs="Arial"/>
          <w:noProof/>
          <w:sz w:val="20"/>
          <w:szCs w:val="20"/>
          <w:lang w:val="fr-FR" w:eastAsia="zh-CN"/>
        </w:rPr>
      </w:pPr>
    </w:p>
    <w:p w14:paraId="78F29830" w14:textId="77777777" w:rsidR="00D00540" w:rsidRPr="000E53A0" w:rsidRDefault="00D00540" w:rsidP="00A17302">
      <w:pPr>
        <w:jc w:val="both"/>
        <w:rPr>
          <w:rFonts w:ascii="Calibri" w:eastAsia="SimSun" w:hAnsi="Calibri" w:cs="Arial"/>
          <w:noProof/>
          <w:sz w:val="20"/>
          <w:szCs w:val="20"/>
          <w:lang w:val="fr-FR" w:eastAsia="zh-CN"/>
        </w:rPr>
      </w:pPr>
    </w:p>
    <w:p w14:paraId="0DC55543" w14:textId="77777777" w:rsidR="00D00540" w:rsidRPr="000E53A0" w:rsidRDefault="00D00540" w:rsidP="00A17302">
      <w:pPr>
        <w:jc w:val="both"/>
        <w:rPr>
          <w:rFonts w:ascii="Calibri" w:eastAsia="SimSun" w:hAnsi="Calibri" w:cs="Arial"/>
          <w:noProof/>
          <w:sz w:val="20"/>
          <w:szCs w:val="20"/>
          <w:lang w:val="fr-FR" w:eastAsia="zh-CN"/>
        </w:rPr>
      </w:pPr>
    </w:p>
    <w:p w14:paraId="6664AD80" w14:textId="77777777" w:rsidR="00D00540" w:rsidRPr="000E53A0" w:rsidRDefault="00D00540" w:rsidP="00A17302">
      <w:pPr>
        <w:jc w:val="both"/>
        <w:rPr>
          <w:rFonts w:ascii="Calibri" w:eastAsia="SimSun" w:hAnsi="Calibri" w:cs="Arial"/>
          <w:noProof/>
          <w:sz w:val="20"/>
          <w:szCs w:val="20"/>
          <w:lang w:val="fr-FR" w:eastAsia="zh-CN"/>
        </w:rPr>
      </w:pPr>
    </w:p>
    <w:p w14:paraId="3F60F040" w14:textId="77777777" w:rsidR="00D00540" w:rsidRPr="000E53A0" w:rsidRDefault="00D00540" w:rsidP="00A17302">
      <w:pPr>
        <w:jc w:val="both"/>
        <w:rPr>
          <w:rFonts w:ascii="Calibri" w:eastAsia="SimSun" w:hAnsi="Calibri" w:cs="Arial"/>
          <w:noProof/>
          <w:sz w:val="20"/>
          <w:szCs w:val="20"/>
          <w:lang w:val="fr-FR" w:eastAsia="zh-CN"/>
        </w:rPr>
      </w:pPr>
    </w:p>
    <w:p w14:paraId="04ED9E8C" w14:textId="77777777" w:rsidR="00D00540" w:rsidRPr="000E53A0" w:rsidRDefault="00D00540" w:rsidP="00A17302">
      <w:pPr>
        <w:jc w:val="both"/>
        <w:rPr>
          <w:rFonts w:ascii="Calibri" w:eastAsia="SimSun" w:hAnsi="Calibri" w:cs="Arial"/>
          <w:noProof/>
          <w:sz w:val="20"/>
          <w:szCs w:val="20"/>
          <w:lang w:val="fr-FR" w:eastAsia="zh-CN"/>
        </w:rPr>
      </w:pPr>
    </w:p>
    <w:p w14:paraId="2AE8056D" w14:textId="77777777" w:rsidR="00D00540" w:rsidRPr="000E53A0" w:rsidRDefault="00D00540" w:rsidP="00A17302">
      <w:pPr>
        <w:jc w:val="both"/>
        <w:rPr>
          <w:rFonts w:ascii="Calibri" w:eastAsia="SimSun" w:hAnsi="Calibri" w:cs="Arial"/>
          <w:noProof/>
          <w:sz w:val="20"/>
          <w:szCs w:val="20"/>
          <w:lang w:val="fr-FR" w:eastAsia="zh-CN"/>
        </w:rPr>
      </w:pPr>
    </w:p>
    <w:p w14:paraId="2224F2A7" w14:textId="77777777" w:rsidR="00D00540" w:rsidRPr="000E53A0" w:rsidRDefault="00D00540" w:rsidP="00A17302">
      <w:pPr>
        <w:jc w:val="both"/>
        <w:rPr>
          <w:rFonts w:ascii="Calibri" w:eastAsia="SimSun" w:hAnsi="Calibri" w:cs="Arial"/>
          <w:noProof/>
          <w:sz w:val="20"/>
          <w:szCs w:val="20"/>
          <w:lang w:val="fr-FR" w:eastAsia="zh-CN"/>
        </w:rPr>
      </w:pPr>
    </w:p>
    <w:p w14:paraId="7E7DB227" w14:textId="77777777" w:rsidR="00D00540" w:rsidRPr="000E53A0" w:rsidRDefault="00D00540" w:rsidP="00A17302">
      <w:pPr>
        <w:jc w:val="both"/>
        <w:rPr>
          <w:rFonts w:ascii="Calibri" w:eastAsia="SimSun" w:hAnsi="Calibri" w:cs="Arial"/>
          <w:noProof/>
          <w:sz w:val="20"/>
          <w:szCs w:val="20"/>
          <w:lang w:val="fr-FR" w:eastAsia="zh-CN"/>
        </w:rPr>
      </w:pPr>
    </w:p>
    <w:p w14:paraId="372878EE" w14:textId="77777777" w:rsidR="00D00540" w:rsidRPr="000E53A0" w:rsidRDefault="00D00540" w:rsidP="00A17302">
      <w:pPr>
        <w:jc w:val="both"/>
        <w:rPr>
          <w:rFonts w:ascii="Calibri" w:eastAsia="SimSun" w:hAnsi="Calibri" w:cs="Arial"/>
          <w:noProof/>
          <w:sz w:val="20"/>
          <w:szCs w:val="20"/>
          <w:lang w:val="fr-FR" w:eastAsia="zh-CN"/>
        </w:rPr>
      </w:pPr>
    </w:p>
    <w:p w14:paraId="26B4188E" w14:textId="77777777" w:rsidR="00D00540" w:rsidRPr="000E53A0" w:rsidRDefault="00D00540" w:rsidP="00A17302">
      <w:pPr>
        <w:jc w:val="both"/>
        <w:rPr>
          <w:rFonts w:ascii="Calibri" w:eastAsia="SimSun" w:hAnsi="Calibri" w:cs="Arial"/>
          <w:noProof/>
          <w:sz w:val="20"/>
          <w:szCs w:val="20"/>
          <w:lang w:val="fr-FR" w:eastAsia="zh-CN"/>
        </w:rPr>
      </w:pPr>
    </w:p>
    <w:p w14:paraId="661ECE1C" w14:textId="77777777" w:rsidR="00D00540" w:rsidRPr="000E53A0" w:rsidRDefault="00D00540" w:rsidP="00A17302">
      <w:pPr>
        <w:jc w:val="both"/>
        <w:rPr>
          <w:rFonts w:ascii="Calibri" w:eastAsia="SimSun" w:hAnsi="Calibri" w:cs="Arial"/>
          <w:noProof/>
          <w:sz w:val="20"/>
          <w:szCs w:val="20"/>
          <w:lang w:val="fr-FR" w:eastAsia="zh-CN"/>
        </w:rPr>
      </w:pPr>
    </w:p>
    <w:p w14:paraId="46D5EFCC" w14:textId="77777777" w:rsidR="00D00540" w:rsidRPr="000E53A0" w:rsidRDefault="00D00540" w:rsidP="00A17302">
      <w:pPr>
        <w:jc w:val="both"/>
        <w:rPr>
          <w:rFonts w:ascii="Calibri" w:eastAsia="SimSun" w:hAnsi="Calibri" w:cs="Arial"/>
          <w:noProof/>
          <w:sz w:val="20"/>
          <w:szCs w:val="20"/>
          <w:lang w:val="fr-FR" w:eastAsia="zh-CN"/>
        </w:rPr>
      </w:pPr>
    </w:p>
    <w:p w14:paraId="185D46F8" w14:textId="77777777" w:rsidR="00D00540" w:rsidRPr="000E53A0" w:rsidRDefault="00D00540" w:rsidP="00A17302">
      <w:pPr>
        <w:jc w:val="both"/>
        <w:rPr>
          <w:rFonts w:ascii="Calibri" w:eastAsia="SimSun" w:hAnsi="Calibri" w:cs="Arial"/>
          <w:noProof/>
          <w:sz w:val="20"/>
          <w:szCs w:val="20"/>
          <w:lang w:val="fr-FR" w:eastAsia="zh-CN"/>
        </w:rPr>
      </w:pPr>
    </w:p>
    <w:p w14:paraId="4D78541C" w14:textId="77777777" w:rsidR="00D00540" w:rsidRPr="000E53A0" w:rsidRDefault="00D00540" w:rsidP="00A17302">
      <w:pPr>
        <w:jc w:val="both"/>
        <w:rPr>
          <w:rFonts w:ascii="Calibri" w:eastAsia="SimSun" w:hAnsi="Calibri" w:cs="Arial"/>
          <w:noProof/>
          <w:sz w:val="20"/>
          <w:szCs w:val="20"/>
          <w:lang w:val="fr-FR" w:eastAsia="zh-CN"/>
        </w:rPr>
      </w:pPr>
    </w:p>
    <w:p w14:paraId="1C3FA2F8" w14:textId="77777777" w:rsidR="00D00540" w:rsidRPr="000E53A0" w:rsidRDefault="00D00540" w:rsidP="00A17302">
      <w:pPr>
        <w:jc w:val="both"/>
        <w:rPr>
          <w:rFonts w:ascii="Calibri" w:eastAsia="SimSun" w:hAnsi="Calibri" w:cs="Arial"/>
          <w:noProof/>
          <w:sz w:val="20"/>
          <w:szCs w:val="20"/>
          <w:lang w:val="fr-FR" w:eastAsia="zh-CN"/>
        </w:rPr>
      </w:pPr>
    </w:p>
    <w:p w14:paraId="505BD40B" w14:textId="77777777" w:rsidR="00D00540" w:rsidRPr="000E53A0" w:rsidRDefault="00D00540" w:rsidP="00A17302">
      <w:pPr>
        <w:jc w:val="both"/>
        <w:rPr>
          <w:rFonts w:ascii="Calibri" w:eastAsia="SimSun" w:hAnsi="Calibri" w:cs="Arial"/>
          <w:noProof/>
          <w:sz w:val="20"/>
          <w:szCs w:val="20"/>
          <w:lang w:val="fr-FR" w:eastAsia="zh-CN"/>
        </w:rPr>
      </w:pPr>
    </w:p>
    <w:p w14:paraId="6DE27C91" w14:textId="77777777" w:rsidR="00D00540" w:rsidRPr="000E53A0" w:rsidRDefault="00D00540" w:rsidP="00A17302">
      <w:pPr>
        <w:jc w:val="both"/>
        <w:rPr>
          <w:rFonts w:ascii="Calibri" w:eastAsia="SimSun" w:hAnsi="Calibri" w:cs="Arial"/>
          <w:noProof/>
          <w:sz w:val="20"/>
          <w:szCs w:val="20"/>
          <w:lang w:val="fr-FR" w:eastAsia="zh-CN"/>
        </w:rPr>
      </w:pPr>
    </w:p>
    <w:p w14:paraId="24D1A6F6" w14:textId="77777777" w:rsidR="00D00540" w:rsidRPr="000E53A0" w:rsidRDefault="00D00540" w:rsidP="00A17302">
      <w:pPr>
        <w:jc w:val="both"/>
        <w:rPr>
          <w:rFonts w:ascii="Calibri" w:eastAsia="SimSun" w:hAnsi="Calibri" w:cs="Arial"/>
          <w:noProof/>
          <w:sz w:val="20"/>
          <w:szCs w:val="20"/>
          <w:lang w:val="fr-FR" w:eastAsia="zh-CN"/>
        </w:rPr>
      </w:pPr>
    </w:p>
    <w:p w14:paraId="19FEEE95" w14:textId="77777777" w:rsidR="00601D9B" w:rsidRDefault="000E53A0">
      <w:pPr>
        <w:jc w:val="both"/>
        <w:rPr>
          <w:rFonts w:ascii="Calibri" w:eastAsia="SimSun" w:hAnsi="Calibri" w:cs="Arial"/>
          <w:noProof/>
          <w:sz w:val="20"/>
          <w:szCs w:val="20"/>
          <w:u w:val="single"/>
          <w:lang w:val="en-US" w:eastAsia="zh-CN"/>
        </w:rPr>
      </w:pPr>
      <w:r w:rsidRPr="00A17302">
        <w:rPr>
          <w:rFonts w:ascii="Calibri" w:eastAsia="SimSun" w:hAnsi="Calibri" w:cs="Arial"/>
          <w:noProof/>
          <w:sz w:val="20"/>
          <w:szCs w:val="20"/>
          <w:u w:val="single"/>
          <w:lang w:val="en-US" w:eastAsia="zh-CN"/>
        </w:rPr>
        <w:t>Structure d'organisation du projet :</w:t>
      </w:r>
    </w:p>
    <w:p w14:paraId="64137AFB" w14:textId="77777777" w:rsidR="00D00540" w:rsidRPr="00A17302" w:rsidRDefault="00D00540" w:rsidP="00A17302">
      <w:pPr>
        <w:jc w:val="both"/>
        <w:rPr>
          <w:rFonts w:ascii="Calibri" w:eastAsia="SimSun" w:hAnsi="Calibri" w:cs="Arial"/>
          <w:noProof/>
          <w:sz w:val="20"/>
          <w:szCs w:val="20"/>
          <w:lang w:val="en-US" w:eastAsia="zh-CN"/>
        </w:rPr>
      </w:pPr>
    </w:p>
    <w:p w14:paraId="5A61D981" w14:textId="77777777" w:rsidR="00A17302" w:rsidRPr="00A17302" w:rsidRDefault="00A17302" w:rsidP="00A17302">
      <w:pPr>
        <w:shd w:val="clear" w:color="auto" w:fill="FFFFFF"/>
        <w:textAlignment w:val="top"/>
        <w:rPr>
          <w:rFonts w:ascii="Calibri" w:eastAsia="SimSun" w:hAnsi="Calibri" w:cs="Arial"/>
          <w:i/>
          <w:noProof/>
          <w:sz w:val="20"/>
          <w:szCs w:val="20"/>
          <w:lang w:val="en-US" w:eastAsia="zh-CN"/>
        </w:rPr>
      </w:pPr>
      <w:r w:rsidRPr="00A17302">
        <w:rPr>
          <w:rFonts w:ascii="Calibri" w:eastAsia="SimSun" w:hAnsi="Calibri" w:cs="Arial"/>
          <w:i/>
          <w:noProof/>
          <w:sz w:val="20"/>
          <w:szCs w:val="20"/>
          <w:lang w:val="fr-FR" w:eastAsia="fr-FR"/>
        </w:rPr>
        <mc:AlternateContent>
          <mc:Choice Requires="wpc">
            <w:drawing>
              <wp:inline distT="0" distB="0" distL="0" distR="0" wp14:anchorId="61C58CF9" wp14:editId="72BE1714">
                <wp:extent cx="5943600" cy="4076700"/>
                <wp:effectExtent l="0" t="0" r="0" b="0"/>
                <wp:docPr id="55" name="Canvas 34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7" name="Rectangle 342"/>
                        <wps:cNvSpPr>
                          <a:spLocks noChangeArrowheads="1"/>
                        </wps:cNvSpPr>
                        <wps:spPr bwMode="auto">
                          <a:xfrm>
                            <a:off x="2171700" y="1550670"/>
                            <a:ext cx="1371600" cy="708660"/>
                          </a:xfrm>
                          <a:prstGeom prst="rect">
                            <a:avLst/>
                          </a:prstGeom>
                          <a:solidFill>
                            <a:srgbClr val="FFCC99"/>
                          </a:solidFill>
                          <a:ln w="9525">
                            <a:solidFill>
                              <a:srgbClr val="000000"/>
                            </a:solidFill>
                            <a:miter lim="800000"/>
                            <a:headEnd/>
                            <a:tailEnd/>
                          </a:ln>
                          <a:effectLst>
                            <a:outerShdw dist="107763" dir="2700000" algn="ctr" rotWithShape="0">
                              <a:srgbClr val="808080">
                                <a:alpha val="50000"/>
                              </a:srgbClr>
                            </a:outerShdw>
                          </a:effectLst>
                        </wps:spPr>
                        <wps:txbx>
                          <w:txbxContent>
                            <w:p w14:paraId="23E5D8BA" w14:textId="77777777" w:rsidR="000E53A0" w:rsidRPr="000E53A0" w:rsidRDefault="000E53A0">
                              <w:pPr>
                                <w:jc w:val="center"/>
                                <w:rPr>
                                  <w:b/>
                                  <w:sz w:val="18"/>
                                  <w:szCs w:val="18"/>
                                  <w:lang w:val="fr-FR"/>
                                </w:rPr>
                              </w:pPr>
                              <w:r w:rsidRPr="000E53A0">
                                <w:rPr>
                                  <w:b/>
                                  <w:sz w:val="18"/>
                                  <w:szCs w:val="18"/>
                                  <w:lang w:val="fr-FR"/>
                                </w:rPr>
                                <w:t xml:space="preserve">Partenaire de mise en œuvre </w:t>
                              </w:r>
                            </w:p>
                            <w:p w14:paraId="43B82E7D" w14:textId="77777777" w:rsidR="000E53A0" w:rsidRPr="000E53A0" w:rsidRDefault="000E53A0">
                              <w:pPr>
                                <w:jc w:val="center"/>
                                <w:rPr>
                                  <w:sz w:val="16"/>
                                  <w:szCs w:val="16"/>
                                  <w:lang w:val="fr-FR"/>
                                </w:rPr>
                              </w:pPr>
                              <w:r w:rsidRPr="000E53A0">
                                <w:rPr>
                                  <w:sz w:val="16"/>
                                  <w:szCs w:val="16"/>
                                  <w:lang w:val="fr-FR"/>
                                </w:rPr>
                                <w:t>Agence pour l'environnement et le développement durable (AEDD)</w:t>
                              </w:r>
                            </w:p>
                          </w:txbxContent>
                        </wps:txbx>
                        <wps:bodyPr rot="0" vert="horz" wrap="square" lIns="91440" tIns="45720" rIns="91440" bIns="45720" anchor="t" anchorCtr="0" upright="1">
                          <a:noAutofit/>
                        </wps:bodyPr>
                      </wps:wsp>
                      <wps:wsp>
                        <wps:cNvPr id="38" name="Rectangle 343"/>
                        <wps:cNvSpPr>
                          <a:spLocks noChangeArrowheads="1"/>
                        </wps:cNvSpPr>
                        <wps:spPr bwMode="auto">
                          <a:xfrm>
                            <a:off x="571500" y="571500"/>
                            <a:ext cx="4686300" cy="293300"/>
                          </a:xfrm>
                          <a:prstGeom prst="rect">
                            <a:avLst/>
                          </a:prstGeom>
                          <a:solidFill>
                            <a:srgbClr val="FF9900"/>
                          </a:solidFill>
                          <a:ln w="9525">
                            <a:solidFill>
                              <a:srgbClr val="000000"/>
                            </a:solidFill>
                            <a:miter lim="800000"/>
                            <a:headEnd/>
                            <a:tailEnd/>
                          </a:ln>
                          <a:effectLst>
                            <a:outerShdw dist="107763" dir="2700000" algn="ctr" rotWithShape="0">
                              <a:srgbClr val="808080">
                                <a:alpha val="50000"/>
                              </a:srgbClr>
                            </a:outerShdw>
                          </a:effectLst>
                        </wps:spPr>
                        <wps:txbx>
                          <w:txbxContent>
                            <w:p w14:paraId="1B8ABB95" w14:textId="77777777" w:rsidR="000E53A0" w:rsidRDefault="000E53A0">
                              <w:pPr>
                                <w:jc w:val="center"/>
                                <w:rPr>
                                  <w:b/>
                                </w:rPr>
                              </w:pPr>
                              <w:r>
                                <w:rPr>
                                  <w:b/>
                                </w:rPr>
                                <w:t>Comité directeur du projet</w:t>
                              </w:r>
                            </w:p>
                          </w:txbxContent>
                        </wps:txbx>
                        <wps:bodyPr rot="0" vert="horz" wrap="square" lIns="91440" tIns="45720" rIns="91440" bIns="45720" anchor="t" anchorCtr="0" upright="1">
                          <a:noAutofit/>
                        </wps:bodyPr>
                      </wps:wsp>
                      <wps:wsp>
                        <wps:cNvPr id="39" name="Rectangle 344"/>
                        <wps:cNvSpPr>
                          <a:spLocks noChangeArrowheads="1"/>
                        </wps:cNvSpPr>
                        <wps:spPr bwMode="auto">
                          <a:xfrm>
                            <a:off x="571500" y="800100"/>
                            <a:ext cx="1485900" cy="571500"/>
                          </a:xfrm>
                          <a:prstGeom prst="rect">
                            <a:avLst/>
                          </a:prstGeom>
                          <a:solidFill>
                            <a:srgbClr val="FFCC00"/>
                          </a:solidFill>
                          <a:ln w="9525">
                            <a:solidFill>
                              <a:srgbClr val="000000"/>
                            </a:solidFill>
                            <a:miter lim="800000"/>
                            <a:headEnd/>
                            <a:tailEnd/>
                          </a:ln>
                          <a:effectLst>
                            <a:outerShdw dist="107763" dir="2700000" algn="ctr" rotWithShape="0">
                              <a:srgbClr val="808080">
                                <a:alpha val="50000"/>
                              </a:srgbClr>
                            </a:outerShdw>
                          </a:effectLst>
                        </wps:spPr>
                        <wps:txbx>
                          <w:txbxContent>
                            <w:p w14:paraId="3CB51508" w14:textId="77777777" w:rsidR="000E53A0" w:rsidRDefault="000E53A0">
                              <w:pPr>
                                <w:jc w:val="center"/>
                                <w:rPr>
                                  <w:b/>
                                  <w:bCs/>
                                  <w:sz w:val="18"/>
                                  <w:szCs w:val="18"/>
                                </w:rPr>
                              </w:pPr>
                              <w:r>
                                <w:rPr>
                                  <w:b/>
                                  <w:bCs/>
                                  <w:sz w:val="18"/>
                                  <w:szCs w:val="18"/>
                                </w:rPr>
                                <w:t>Partenaires de développement</w:t>
                              </w:r>
                            </w:p>
                            <w:p w14:paraId="09F49DDD" w14:textId="77777777" w:rsidR="000E53A0" w:rsidRDefault="000E53A0">
                              <w:pPr>
                                <w:jc w:val="center"/>
                                <w:rPr>
                                  <w:i/>
                                  <w:sz w:val="18"/>
                                  <w:szCs w:val="18"/>
                                </w:rPr>
                              </w:pPr>
                              <w:r>
                                <w:rPr>
                                  <w:b/>
                                  <w:bCs/>
                                  <w:i/>
                                  <w:sz w:val="18"/>
                                  <w:szCs w:val="18"/>
                                </w:rPr>
                                <w:t>PNUD</w:t>
                              </w:r>
                            </w:p>
                          </w:txbxContent>
                        </wps:txbx>
                        <wps:bodyPr rot="0" vert="horz" wrap="square" lIns="91440" tIns="45720" rIns="91440" bIns="45720" anchor="t" anchorCtr="0" upright="1">
                          <a:noAutofit/>
                        </wps:bodyPr>
                      </wps:wsp>
                      <wps:wsp>
                        <wps:cNvPr id="43" name="Rectangle 345"/>
                        <wps:cNvSpPr>
                          <a:spLocks noChangeArrowheads="1"/>
                        </wps:cNvSpPr>
                        <wps:spPr bwMode="auto">
                          <a:xfrm>
                            <a:off x="2057400" y="800100"/>
                            <a:ext cx="1600200" cy="571500"/>
                          </a:xfrm>
                          <a:prstGeom prst="rect">
                            <a:avLst/>
                          </a:prstGeom>
                          <a:solidFill>
                            <a:srgbClr val="FFCC00"/>
                          </a:solidFill>
                          <a:ln w="9525">
                            <a:solidFill>
                              <a:srgbClr val="000000"/>
                            </a:solidFill>
                            <a:miter lim="800000"/>
                            <a:headEnd/>
                            <a:tailEnd/>
                          </a:ln>
                          <a:effectLst>
                            <a:outerShdw dist="107763" dir="2700000" algn="ctr" rotWithShape="0">
                              <a:srgbClr val="808080">
                                <a:alpha val="50000"/>
                              </a:srgbClr>
                            </a:outerShdw>
                          </a:effectLst>
                        </wps:spPr>
                        <wps:txbx>
                          <w:txbxContent>
                            <w:p w14:paraId="55684A04" w14:textId="77777777" w:rsidR="000E53A0" w:rsidRDefault="000E53A0">
                              <w:pPr>
                                <w:jc w:val="center"/>
                                <w:rPr>
                                  <w:b/>
                                  <w:sz w:val="18"/>
                                  <w:szCs w:val="18"/>
                                </w:rPr>
                              </w:pPr>
                              <w:r>
                                <w:rPr>
                                  <w:b/>
                                  <w:sz w:val="18"/>
                                  <w:szCs w:val="18"/>
                                </w:rPr>
                                <w:t>Directeur de projet</w:t>
                              </w:r>
                            </w:p>
                            <w:p w14:paraId="1CEC6D59" w14:textId="77777777" w:rsidR="000E53A0" w:rsidRDefault="000E53A0">
                              <w:pPr>
                                <w:jc w:val="center"/>
                                <w:rPr>
                                  <w:rFonts w:cs="Arial"/>
                                  <w:szCs w:val="20"/>
                                </w:rPr>
                              </w:pPr>
                              <w:r>
                                <w:rPr>
                                  <w:rFonts w:cs="Arial"/>
                                  <w:szCs w:val="20"/>
                                </w:rPr>
                                <w:t>MEADD</w:t>
                              </w:r>
                            </w:p>
                            <w:p w14:paraId="352BA668" w14:textId="77777777" w:rsidR="000E53A0" w:rsidRDefault="000E53A0" w:rsidP="00A17302">
                              <w:pPr>
                                <w:jc w:val="center"/>
                                <w:rPr>
                                  <w:b/>
                                  <w:sz w:val="18"/>
                                  <w:szCs w:val="18"/>
                                </w:rPr>
                              </w:pPr>
                            </w:p>
                            <w:p w14:paraId="669BAAA9" w14:textId="77777777" w:rsidR="000E53A0" w:rsidRPr="00EB563F" w:rsidRDefault="000E53A0" w:rsidP="00A17302">
                              <w:pPr>
                                <w:jc w:val="center"/>
                                <w:rPr>
                                  <w:b/>
                                  <w:szCs w:val="20"/>
                                </w:rPr>
                              </w:pPr>
                            </w:p>
                          </w:txbxContent>
                        </wps:txbx>
                        <wps:bodyPr rot="0" vert="horz" wrap="square" lIns="91440" tIns="45720" rIns="91440" bIns="45720" anchor="t" anchorCtr="0" upright="1">
                          <a:noAutofit/>
                        </wps:bodyPr>
                      </wps:wsp>
                      <wps:wsp>
                        <wps:cNvPr id="44" name="Rectangle 346"/>
                        <wps:cNvSpPr>
                          <a:spLocks noChangeArrowheads="1"/>
                        </wps:cNvSpPr>
                        <wps:spPr bwMode="auto">
                          <a:xfrm>
                            <a:off x="3657600" y="800100"/>
                            <a:ext cx="1600200" cy="571500"/>
                          </a:xfrm>
                          <a:prstGeom prst="rect">
                            <a:avLst/>
                          </a:prstGeom>
                          <a:solidFill>
                            <a:srgbClr val="FFCC00"/>
                          </a:solidFill>
                          <a:ln w="9525">
                            <a:solidFill>
                              <a:srgbClr val="000000"/>
                            </a:solidFill>
                            <a:miter lim="800000"/>
                            <a:headEnd/>
                            <a:tailEnd/>
                          </a:ln>
                          <a:effectLst>
                            <a:outerShdw dist="107763" dir="2700000" algn="ctr" rotWithShape="0">
                              <a:srgbClr val="808080">
                                <a:alpha val="50000"/>
                              </a:srgbClr>
                            </a:outerShdw>
                          </a:effectLst>
                        </wps:spPr>
                        <wps:txbx>
                          <w:txbxContent>
                            <w:p w14:paraId="7A252B5F" w14:textId="77777777" w:rsidR="000E53A0" w:rsidRPr="000E53A0" w:rsidRDefault="000E53A0">
                              <w:pPr>
                                <w:jc w:val="center"/>
                                <w:rPr>
                                  <w:b/>
                                  <w:bCs/>
                                  <w:sz w:val="18"/>
                                  <w:szCs w:val="18"/>
                                  <w:lang w:val="fr-FR"/>
                                </w:rPr>
                              </w:pPr>
                              <w:r w:rsidRPr="000E53A0">
                                <w:rPr>
                                  <w:b/>
                                  <w:bCs/>
                                  <w:sz w:val="18"/>
                                  <w:szCs w:val="18"/>
                                  <w:lang w:val="fr-FR"/>
                                </w:rPr>
                                <w:t>Représentants des bénéficiaires</w:t>
                              </w:r>
                            </w:p>
                            <w:p w14:paraId="7EFDE467" w14:textId="77777777" w:rsidR="000E53A0" w:rsidRPr="000E53A0" w:rsidRDefault="000E53A0">
                              <w:pPr>
                                <w:jc w:val="center"/>
                                <w:rPr>
                                  <w:i/>
                                  <w:sz w:val="18"/>
                                  <w:szCs w:val="18"/>
                                  <w:lang w:val="fr-FR"/>
                                </w:rPr>
                              </w:pPr>
                              <w:r w:rsidRPr="000E53A0">
                                <w:rPr>
                                  <w:i/>
                                  <w:sz w:val="18"/>
                                  <w:szCs w:val="18"/>
                                  <w:lang w:val="fr-FR"/>
                                </w:rPr>
                                <w:t xml:space="preserve">OP, ONG, RECOTRADE </w:t>
                              </w:r>
                            </w:p>
                            <w:p w14:paraId="6D303E39" w14:textId="77777777" w:rsidR="000E53A0" w:rsidRPr="000E53A0" w:rsidRDefault="000E53A0" w:rsidP="00A17302">
                              <w:pPr>
                                <w:jc w:val="center"/>
                                <w:rPr>
                                  <w:szCs w:val="20"/>
                                  <w:lang w:val="fr-FR"/>
                                </w:rPr>
                              </w:pPr>
                            </w:p>
                          </w:txbxContent>
                        </wps:txbx>
                        <wps:bodyPr rot="0" vert="horz" wrap="square" lIns="91440" tIns="45720" rIns="91440" bIns="45720" anchor="t" anchorCtr="0" upright="1">
                          <a:noAutofit/>
                        </wps:bodyPr>
                      </wps:wsp>
                      <wps:wsp>
                        <wps:cNvPr id="45" name="AutoShape 347"/>
                        <wps:cNvCnPr>
                          <a:cxnSpLocks noChangeShapeType="1"/>
                        </wps:cNvCnPr>
                        <wps:spPr bwMode="auto">
                          <a:xfrm>
                            <a:off x="2857500" y="1371600"/>
                            <a:ext cx="0" cy="1790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Rectangle 348"/>
                        <wps:cNvSpPr>
                          <a:spLocks noChangeArrowheads="1"/>
                        </wps:cNvSpPr>
                        <wps:spPr bwMode="auto">
                          <a:xfrm>
                            <a:off x="228600" y="1565910"/>
                            <a:ext cx="1600200" cy="369570"/>
                          </a:xfrm>
                          <a:prstGeom prst="rect">
                            <a:avLst/>
                          </a:prstGeom>
                          <a:solidFill>
                            <a:srgbClr val="FFCC00"/>
                          </a:solidFill>
                          <a:ln w="9525">
                            <a:solidFill>
                              <a:srgbClr val="000000"/>
                            </a:solidFill>
                            <a:miter lim="800000"/>
                            <a:headEnd/>
                            <a:tailEnd/>
                          </a:ln>
                          <a:effectLst>
                            <a:outerShdw dist="107763" dir="2700000" algn="ctr" rotWithShape="0">
                              <a:srgbClr val="808080">
                                <a:alpha val="50000"/>
                              </a:srgbClr>
                            </a:outerShdw>
                          </a:effectLst>
                        </wps:spPr>
                        <wps:txbx>
                          <w:txbxContent>
                            <w:p w14:paraId="3D7C1F88" w14:textId="77777777" w:rsidR="000E53A0" w:rsidRDefault="000E53A0">
                              <w:pPr>
                                <w:jc w:val="center"/>
                                <w:rPr>
                                  <w:b/>
                                  <w:sz w:val="18"/>
                                  <w:szCs w:val="18"/>
                                </w:rPr>
                              </w:pPr>
                              <w:r>
                                <w:rPr>
                                  <w:b/>
                                  <w:sz w:val="18"/>
                                  <w:szCs w:val="18"/>
                                </w:rPr>
                                <w:t>Assurance des projets du PNUD</w:t>
                              </w:r>
                            </w:p>
                            <w:p w14:paraId="5DD280F1" w14:textId="77777777" w:rsidR="000E53A0" w:rsidRPr="00EB563F" w:rsidRDefault="000E53A0" w:rsidP="00A17302">
                              <w:pPr>
                                <w:pStyle w:val="Corpsdetexte3"/>
                                <w:jc w:val="center"/>
                                <w:rPr>
                                  <w:b/>
                                  <w:bCs/>
                                </w:rPr>
                              </w:pPr>
                            </w:p>
                          </w:txbxContent>
                        </wps:txbx>
                        <wps:bodyPr rot="0" vert="horz" wrap="square" lIns="91440" tIns="45720" rIns="91440" bIns="45720" anchor="t" anchorCtr="0" upright="1">
                          <a:noAutofit/>
                        </wps:bodyPr>
                      </wps:wsp>
                      <wps:wsp>
                        <wps:cNvPr id="47" name="Rectangle 349"/>
                        <wps:cNvSpPr>
                          <a:spLocks noChangeArrowheads="1"/>
                        </wps:cNvSpPr>
                        <wps:spPr bwMode="auto">
                          <a:xfrm>
                            <a:off x="2171700" y="2498260"/>
                            <a:ext cx="1371600" cy="869780"/>
                          </a:xfrm>
                          <a:prstGeom prst="rect">
                            <a:avLst/>
                          </a:prstGeom>
                          <a:solidFill>
                            <a:srgbClr val="FFCC99"/>
                          </a:solidFill>
                          <a:ln w="9525">
                            <a:solidFill>
                              <a:srgbClr val="000000"/>
                            </a:solidFill>
                            <a:miter lim="800000"/>
                            <a:headEnd/>
                            <a:tailEnd/>
                          </a:ln>
                          <a:effectLst>
                            <a:outerShdw dist="107763" dir="2700000" algn="ctr" rotWithShape="0">
                              <a:srgbClr val="808080">
                                <a:alpha val="50000"/>
                              </a:srgbClr>
                            </a:outerShdw>
                          </a:effectLst>
                        </wps:spPr>
                        <wps:txbx>
                          <w:txbxContent>
                            <w:p w14:paraId="55361367" w14:textId="77777777" w:rsidR="000E53A0" w:rsidRPr="000E53A0" w:rsidRDefault="000E53A0">
                              <w:pPr>
                                <w:jc w:val="center"/>
                                <w:rPr>
                                  <w:sz w:val="18"/>
                                  <w:szCs w:val="18"/>
                                  <w:lang w:val="fr-FR"/>
                                </w:rPr>
                              </w:pPr>
                              <w:r w:rsidRPr="000E53A0">
                                <w:rPr>
                                  <w:b/>
                                  <w:sz w:val="18"/>
                                  <w:szCs w:val="18"/>
                                  <w:lang w:val="fr-FR"/>
                                </w:rPr>
                                <w:t xml:space="preserve">Unité de gestion du projet </w:t>
                              </w:r>
                              <w:r w:rsidRPr="000E53A0">
                                <w:rPr>
                                  <w:sz w:val="16"/>
                                  <w:szCs w:val="16"/>
                                  <w:lang w:val="fr-FR"/>
                                </w:rPr>
                                <w:t>(gestionnaire de projet, responsable administratif et financier, et expert en S&amp;E)</w:t>
                              </w:r>
                            </w:p>
                          </w:txbxContent>
                        </wps:txbx>
                        <wps:bodyPr rot="0" vert="horz" wrap="square" lIns="91440" tIns="45720" rIns="91440" bIns="45720" anchor="t" anchorCtr="0" upright="1">
                          <a:noAutofit/>
                        </wps:bodyPr>
                      </wps:wsp>
                      <wps:wsp>
                        <wps:cNvPr id="48" name="AutoShape 351"/>
                        <wps:cNvSpPr>
                          <a:spLocks noChangeArrowheads="1"/>
                        </wps:cNvSpPr>
                        <wps:spPr bwMode="auto">
                          <a:xfrm>
                            <a:off x="457200" y="114300"/>
                            <a:ext cx="4914900" cy="342900"/>
                          </a:xfrm>
                          <a:prstGeom prst="roundRect">
                            <a:avLst>
                              <a:gd name="adj" fmla="val 16667"/>
                            </a:avLst>
                          </a:prstGeom>
                          <a:solidFill>
                            <a:srgbClr val="99CCFF"/>
                          </a:solidFill>
                          <a:ln w="9525">
                            <a:solidFill>
                              <a:srgbClr val="000000"/>
                            </a:solidFill>
                            <a:round/>
                            <a:headEnd/>
                            <a:tailEnd/>
                          </a:ln>
                        </wps:spPr>
                        <wps:txbx>
                          <w:txbxContent>
                            <w:p w14:paraId="27F9E24A" w14:textId="77777777" w:rsidR="000E53A0" w:rsidRDefault="000E53A0">
                              <w:pPr>
                                <w:jc w:val="center"/>
                                <w:rPr>
                                  <w:b/>
                                </w:rPr>
                              </w:pPr>
                              <w:r w:rsidRPr="001D0B24">
                                <w:rPr>
                                  <w:b/>
                                </w:rPr>
                                <w:t>Structure de l'organisation du projet</w:t>
                              </w:r>
                            </w:p>
                          </w:txbxContent>
                        </wps:txbx>
                        <wps:bodyPr rot="0" vert="horz" wrap="square" lIns="91440" tIns="45720" rIns="91440" bIns="45720" anchor="t" anchorCtr="0" upright="1">
                          <a:noAutofit/>
                        </wps:bodyPr>
                      </wps:wsp>
                      <wps:wsp>
                        <wps:cNvPr id="49" name="AutoShape 355"/>
                        <wps:cNvCnPr>
                          <a:cxnSpLocks noChangeShapeType="1"/>
                        </wps:cNvCnPr>
                        <wps:spPr bwMode="auto">
                          <a:xfrm>
                            <a:off x="2857350" y="1455420"/>
                            <a:ext cx="1887030" cy="426550"/>
                          </a:xfrm>
                          <a:prstGeom prst="bentConnector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50" name="AutoShape 358"/>
                        <wps:cNvCnPr>
                          <a:cxnSpLocks noChangeShapeType="1"/>
                        </wps:cNvCnPr>
                        <wps:spPr bwMode="auto">
                          <a:xfrm rot="5400000" flipH="1" flipV="1">
                            <a:off x="1845895" y="554455"/>
                            <a:ext cx="194260" cy="1828650"/>
                          </a:xfrm>
                          <a:prstGeom prst="bentConnector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51" name="AutoShape 358"/>
                        <wps:cNvCnPr>
                          <a:cxnSpLocks noChangeShapeType="1"/>
                        </wps:cNvCnPr>
                        <wps:spPr bwMode="auto">
                          <a:xfrm rot="16200000" flipH="1">
                            <a:off x="1681860" y="2192400"/>
                            <a:ext cx="490559" cy="1860720"/>
                          </a:xfrm>
                          <a:prstGeom prst="bentConnector5">
                            <a:avLst>
                              <a:gd name="adj1" fmla="val -46600"/>
                              <a:gd name="adj2" fmla="val 50448"/>
                              <a:gd name="adj3" fmla="val 1466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52" name="Rectangle 52"/>
                        <wps:cNvSpPr>
                          <a:spLocks noChangeArrowheads="1"/>
                        </wps:cNvSpPr>
                        <wps:spPr bwMode="auto">
                          <a:xfrm>
                            <a:off x="294300" y="2877481"/>
                            <a:ext cx="1404960" cy="1046820"/>
                          </a:xfrm>
                          <a:prstGeom prst="rect">
                            <a:avLst/>
                          </a:prstGeom>
                          <a:solidFill>
                            <a:srgbClr val="FFFF99"/>
                          </a:solidFill>
                          <a:ln w="9525">
                            <a:solidFill>
                              <a:srgbClr val="000000"/>
                            </a:solidFill>
                            <a:miter lim="800000"/>
                            <a:headEnd/>
                            <a:tailEnd/>
                          </a:ln>
                          <a:effectLst>
                            <a:outerShdw dist="107763" dir="2700000" algn="ctr" rotWithShape="0">
                              <a:srgbClr val="808080">
                                <a:alpha val="50000"/>
                              </a:srgbClr>
                            </a:outerShdw>
                          </a:effectLst>
                        </wps:spPr>
                        <wps:txbx>
                          <w:txbxContent>
                            <w:p w14:paraId="78E6E228" w14:textId="77777777" w:rsidR="000E53A0" w:rsidRPr="000E53A0" w:rsidRDefault="000E53A0">
                              <w:pPr>
                                <w:jc w:val="center"/>
                                <w:rPr>
                                  <w:b/>
                                  <w:bCs/>
                                  <w:sz w:val="18"/>
                                  <w:szCs w:val="18"/>
                                  <w:lang w:val="fr-FR"/>
                                </w:rPr>
                              </w:pPr>
                              <w:r w:rsidRPr="000E53A0">
                                <w:rPr>
                                  <w:b/>
                                  <w:bCs/>
                                  <w:sz w:val="18"/>
                                  <w:szCs w:val="18"/>
                                  <w:lang w:val="fr-FR"/>
                                </w:rPr>
                                <w:t>Équipe régionale de soutien technique</w:t>
                              </w:r>
                            </w:p>
                            <w:p w14:paraId="4C7F222D" w14:textId="77777777" w:rsidR="000E53A0" w:rsidRPr="000E53A0" w:rsidRDefault="000E53A0">
                              <w:pPr>
                                <w:jc w:val="center"/>
                                <w:rPr>
                                  <w:sz w:val="18"/>
                                  <w:szCs w:val="18"/>
                                  <w:lang w:val="fr-FR"/>
                                </w:rPr>
                              </w:pPr>
                              <w:r w:rsidRPr="000E53A0">
                                <w:rPr>
                                  <w:sz w:val="18"/>
                                  <w:szCs w:val="18"/>
                                  <w:lang w:val="fr-FR"/>
                                </w:rPr>
                                <w:t>Expert CC/LDN ; expert en genre et en communication ; expert du secteur privé ; responsable des garanties.</w:t>
                              </w:r>
                            </w:p>
                          </w:txbxContent>
                        </wps:txbx>
                        <wps:bodyPr rot="0" vert="horz" wrap="square" lIns="91440" tIns="45720" rIns="91440" bIns="45720" anchor="t" anchorCtr="0" upright="1">
                          <a:noAutofit/>
                        </wps:bodyPr>
                      </wps:wsp>
                      <wps:wsp>
                        <wps:cNvPr id="53" name="Rectangle 53"/>
                        <wps:cNvSpPr>
                          <a:spLocks noChangeArrowheads="1"/>
                        </wps:cNvSpPr>
                        <wps:spPr bwMode="auto">
                          <a:xfrm>
                            <a:off x="3944280" y="1881970"/>
                            <a:ext cx="1600200" cy="1295570"/>
                          </a:xfrm>
                          <a:prstGeom prst="rect">
                            <a:avLst/>
                          </a:prstGeom>
                          <a:solidFill>
                            <a:srgbClr val="FFCC00"/>
                          </a:solidFill>
                          <a:ln w="9525">
                            <a:solidFill>
                              <a:srgbClr val="000000"/>
                            </a:solidFill>
                            <a:miter lim="800000"/>
                            <a:headEnd/>
                            <a:tailEnd/>
                          </a:ln>
                          <a:effectLst>
                            <a:outerShdw dist="107763" dir="2700000" algn="ctr" rotWithShape="0">
                              <a:srgbClr val="808080">
                                <a:alpha val="50000"/>
                              </a:srgbClr>
                            </a:outerShdw>
                          </a:effectLst>
                        </wps:spPr>
                        <wps:txbx>
                          <w:txbxContent>
                            <w:p w14:paraId="21D0C294" w14:textId="77777777" w:rsidR="000E53A0" w:rsidRPr="000E53A0" w:rsidRDefault="000E53A0">
                              <w:pPr>
                                <w:jc w:val="center"/>
                                <w:rPr>
                                  <w:b/>
                                  <w:bCs/>
                                  <w:sz w:val="18"/>
                                  <w:szCs w:val="18"/>
                                  <w:lang w:val="fr-FR"/>
                                </w:rPr>
                              </w:pPr>
                              <w:r w:rsidRPr="000E53A0">
                                <w:rPr>
                                  <w:b/>
                                  <w:bCs/>
                                  <w:sz w:val="18"/>
                                  <w:szCs w:val="18"/>
                                  <w:lang w:val="fr-FR"/>
                                </w:rPr>
                                <w:t>Comité technique national</w:t>
                              </w:r>
                            </w:p>
                            <w:p w14:paraId="60C57AB6" w14:textId="77777777" w:rsidR="000E53A0" w:rsidRPr="000E53A0" w:rsidRDefault="000E53A0">
                              <w:pPr>
                                <w:spacing w:after="60"/>
                                <w:jc w:val="center"/>
                                <w:rPr>
                                  <w:rFonts w:ascii="Calibri" w:eastAsia="SimSun" w:hAnsi="Calibri"/>
                                  <w:b/>
                                  <w:bCs/>
                                  <w:sz w:val="20"/>
                                  <w:szCs w:val="20"/>
                                  <w:lang w:val="fr-FR"/>
                                </w:rPr>
                              </w:pPr>
                              <w:r w:rsidRPr="000E53A0">
                                <w:rPr>
                                  <w:rFonts w:ascii="Calibri" w:eastAsia="Calibri" w:hAnsi="Calibri"/>
                                  <w:sz w:val="18"/>
                                  <w:szCs w:val="18"/>
                                  <w:lang w:val="fr-FR"/>
                                </w:rPr>
                                <w:t xml:space="preserve">DNEF ; DNA ; DNPIA ; IER ; IGM ; DGPC ; MALI-METEO ; DNCP ; DGCT ; </w:t>
                              </w:r>
                              <w:r w:rsidRPr="000E53A0">
                                <w:rPr>
                                  <w:sz w:val="18"/>
                                  <w:szCs w:val="18"/>
                                  <w:lang w:val="fr-FR"/>
                                </w:rPr>
                                <w:t xml:space="preserve">DNAT </w:t>
                              </w:r>
                              <w:r w:rsidRPr="000E53A0">
                                <w:rPr>
                                  <w:rFonts w:ascii="Calibri" w:eastAsia="Calibri" w:hAnsi="Calibri"/>
                                  <w:sz w:val="18"/>
                                  <w:szCs w:val="18"/>
                                  <w:lang w:val="fr-FR"/>
                                </w:rPr>
                                <w:t>AEDD ; Association des Municipalités du Mali ; Université du Mali ; RECOTRADE</w:t>
                              </w:r>
                            </w:p>
                          </w:txbxContent>
                        </wps:txbx>
                        <wps:bodyPr rot="0" vert="horz" wrap="square" lIns="91440" tIns="45720" rIns="91440" bIns="45720" anchor="t" anchorCtr="0" upright="1">
                          <a:noAutofit/>
                        </wps:bodyPr>
                      </wps:wsp>
                      <wps:wsp>
                        <wps:cNvPr id="54" name="Straight Connector 54"/>
                        <wps:cNvCnPr/>
                        <wps:spPr>
                          <a:xfrm>
                            <a:off x="2857500" y="2259330"/>
                            <a:ext cx="0" cy="238930"/>
                          </a:xfrm>
                          <a:prstGeom prst="line">
                            <a:avLst/>
                          </a:prstGeom>
                          <a:noFill/>
                          <a:ln w="6350" cap="flat" cmpd="sng" algn="ctr">
                            <a:solidFill>
                              <a:sysClr val="windowText" lastClr="000000"/>
                            </a:solidFill>
                            <a:prstDash val="solid"/>
                            <a:miter lim="800000"/>
                          </a:ln>
                          <a:effectLst/>
                        </wps:spPr>
                        <wps:bodyPr/>
                      </wps:wsp>
                    </wpc:wpc>
                  </a:graphicData>
                </a:graphic>
              </wp:inline>
            </w:drawing>
          </mc:Choice>
          <mc:Fallback>
            <w:pict>
              <v:group w14:anchorId="61C58CF9" id="Canvas 340" o:spid="_x0000_s1026" editas="canvas" style="width:468pt;height:321pt;mso-position-horizontal-relative:char;mso-position-vertical-relative:line" coordsize="59436,40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40767;visibility:visible;mso-wrap-style:square">
                  <v:fill o:detectmouseclick="t"/>
                  <v:path o:connecttype="none"/>
                </v:shape>
                <v:rect id="Rectangle 342" o:spid="_x0000_s1028" style="position:absolute;left:21717;top:15506;width:13716;height:7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" fillcolor="#fc9">
                  <v:shadow on="t" opacity=".5" offset="6pt,6pt"/>
                  <v:textbox>
                    <w:txbxContent>
                      <w:p w14:paraId="23E5D8BA" w14:textId="77777777" w:rsidR="000E53A0" w:rsidRPr="000E53A0" w:rsidRDefault="000E53A0">
                        <w:pPr>
                          <w:jc w:val="center"/>
                          <w:rPr>
                            <w:b/>
                            <w:sz w:val="18"/>
                            <w:szCs w:val="18"/>
                            <w:lang w:val="fr-FR"/>
                          </w:rPr>
                        </w:pPr>
                        <w:r w:rsidRPr="000E53A0">
                          <w:rPr>
                            <w:b/>
                            <w:sz w:val="18"/>
                            <w:szCs w:val="18"/>
                            <w:lang w:val="fr-FR"/>
                          </w:rPr>
                          <w:t xml:space="preserve">Partenaire de mise en œuvre </w:t>
                        </w:r>
                      </w:p>
                      <w:p w14:paraId="43B82E7D" w14:textId="77777777" w:rsidR="000E53A0" w:rsidRPr="000E53A0" w:rsidRDefault="000E53A0">
                        <w:pPr>
                          <w:jc w:val="center"/>
                          <w:rPr>
                            <w:sz w:val="16"/>
                            <w:szCs w:val="16"/>
                            <w:lang w:val="fr-FR"/>
                          </w:rPr>
                        </w:pPr>
                        <w:r w:rsidRPr="000E53A0">
                          <w:rPr>
                            <w:sz w:val="16"/>
                            <w:szCs w:val="16"/>
                            <w:lang w:val="fr-FR"/>
                          </w:rPr>
                          <w:t>Agence pour l'environnement et le développement durable (AEDD)</w:t>
                        </w:r>
                      </w:p>
                    </w:txbxContent>
                  </v:textbox>
                </v:rect>
                <v:rect id="Rectangle 343" o:spid="_x0000_s1029" style="position:absolute;left:5715;top:5715;width:46863;height:2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" fillcolor="#f90">
                  <v:shadow on="t" opacity=".5" offset="6pt,6pt"/>
                  <v:textbox>
                    <w:txbxContent>
                      <w:p w14:paraId="1B8ABB95" w14:textId="77777777" w:rsidR="000E53A0" w:rsidRDefault="000E53A0">
                        <w:pPr>
                          <w:jc w:val="center"/>
                          <w:rPr>
                            <w:b/>
                          </w:rPr>
                        </w:pPr>
                        <w:r>
                          <w:rPr>
                            <w:b/>
                          </w:rPr>
                          <w:t>Comité directeur du projet</w:t>
                        </w:r>
                      </w:p>
                    </w:txbxContent>
                  </v:textbox>
                </v:rect>
                <v:rect id="Rectangle 344" o:spid="_x0000_s1030" style="position:absolute;left:5715;top:8001;width:14859;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" fillcolor="#fc0">
                  <v:shadow on="t" opacity=".5" offset="6pt,6pt"/>
                  <v:textbox>
                    <w:txbxContent>
                      <w:p w14:paraId="3CB51508" w14:textId="77777777" w:rsidR="000E53A0" w:rsidRDefault="000E53A0">
                        <w:pPr>
                          <w:jc w:val="center"/>
                          <w:rPr>
                            <w:b/>
                            <w:bCs/>
                            <w:sz w:val="18"/>
                            <w:szCs w:val="18"/>
                          </w:rPr>
                        </w:pPr>
                        <w:r>
                          <w:rPr>
                            <w:b/>
                            <w:bCs/>
                            <w:sz w:val="18"/>
                            <w:szCs w:val="18"/>
                          </w:rPr>
                          <w:t>Partenaires de développement</w:t>
                        </w:r>
                      </w:p>
                      <w:p w14:paraId="09F49DDD" w14:textId="77777777" w:rsidR="000E53A0" w:rsidRDefault="000E53A0">
                        <w:pPr>
                          <w:jc w:val="center"/>
                          <w:rPr>
                            <w:i/>
                            <w:sz w:val="18"/>
                            <w:szCs w:val="18"/>
                          </w:rPr>
                        </w:pPr>
                        <w:r>
                          <w:rPr>
                            <w:b/>
                            <w:bCs/>
                            <w:i/>
                            <w:sz w:val="18"/>
                            <w:szCs w:val="18"/>
                          </w:rPr>
                          <w:t>PNUD</w:t>
                        </w:r>
                      </w:p>
                    </w:txbxContent>
                  </v:textbox>
                </v:rect>
                <v:rect id="Rectangle 345" o:spid="_x0000_s1031" style="position:absolute;left:20574;top:8001;width:16002;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" fillcolor="#fc0">
                  <v:shadow on="t" opacity=".5" offset="6pt,6pt"/>
                  <v:textbox>
                    <w:txbxContent>
                      <w:p w14:paraId="55684A04" w14:textId="77777777" w:rsidR="000E53A0" w:rsidRDefault="000E53A0">
                        <w:pPr>
                          <w:jc w:val="center"/>
                          <w:rPr>
                            <w:b/>
                            <w:sz w:val="18"/>
                            <w:szCs w:val="18"/>
                          </w:rPr>
                        </w:pPr>
                        <w:r>
                          <w:rPr>
                            <w:b/>
                            <w:sz w:val="18"/>
                            <w:szCs w:val="18"/>
                          </w:rPr>
                          <w:t>Directeur de projet</w:t>
                        </w:r>
                      </w:p>
                      <w:p w14:paraId="1CEC6D59" w14:textId="77777777" w:rsidR="000E53A0" w:rsidRDefault="000E53A0">
                        <w:pPr>
                          <w:jc w:val="center"/>
                          <w:rPr>
                            <w:rFonts w:cs="Arial"/>
                            <w:szCs w:val="20"/>
                          </w:rPr>
                        </w:pPr>
                        <w:r>
                          <w:rPr>
                            <w:rFonts w:cs="Arial"/>
                            <w:szCs w:val="20"/>
                          </w:rPr>
                          <w:t>MEADD</w:t>
                        </w:r>
                      </w:p>
                      <w:p w14:paraId="352BA668" w14:textId="77777777" w:rsidR="000E53A0" w:rsidRDefault="000E53A0" w:rsidP="00A17302">
                        <w:pPr>
                          <w:jc w:val="center"/>
                          <w:rPr>
                            <w:b/>
                            <w:sz w:val="18"/>
                            <w:szCs w:val="18"/>
                          </w:rPr>
                        </w:pPr>
                      </w:p>
                      <w:p w14:paraId="669BAAA9" w14:textId="77777777" w:rsidR="000E53A0" w:rsidRPr="00EB563F" w:rsidRDefault="000E53A0" w:rsidP="00A17302">
                        <w:pPr>
                          <w:jc w:val="center"/>
                          <w:rPr>
                            <w:b/>
                            <w:szCs w:val="20"/>
                          </w:rPr>
                        </w:pPr>
                      </w:p>
                    </w:txbxContent>
                  </v:textbox>
                </v:rect>
                <v:rect id="Rectangle 346" o:spid="_x0000_s1032" style="position:absolute;left:36576;top:8001;width:16002;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" fillcolor="#fc0">
                  <v:shadow on="t" opacity=".5" offset="6pt,6pt"/>
                  <v:textbox>
                    <w:txbxContent>
                      <w:p w14:paraId="7A252B5F" w14:textId="77777777" w:rsidR="000E53A0" w:rsidRPr="000E53A0" w:rsidRDefault="000E53A0">
                        <w:pPr>
                          <w:jc w:val="center"/>
                          <w:rPr>
                            <w:b/>
                            <w:bCs/>
                            <w:sz w:val="18"/>
                            <w:szCs w:val="18"/>
                            <w:lang w:val="fr-FR"/>
                          </w:rPr>
                        </w:pPr>
                        <w:r w:rsidRPr="000E53A0">
                          <w:rPr>
                            <w:b/>
                            <w:bCs/>
                            <w:sz w:val="18"/>
                            <w:szCs w:val="18"/>
                            <w:lang w:val="fr-FR"/>
                          </w:rPr>
                          <w:t>Représentants des bénéficiaires</w:t>
                        </w:r>
                      </w:p>
                      <w:p w14:paraId="7EFDE467" w14:textId="77777777" w:rsidR="000E53A0" w:rsidRPr="000E53A0" w:rsidRDefault="000E53A0">
                        <w:pPr>
                          <w:jc w:val="center"/>
                          <w:rPr>
                            <w:i/>
                            <w:sz w:val="18"/>
                            <w:szCs w:val="18"/>
                            <w:lang w:val="fr-FR"/>
                          </w:rPr>
                        </w:pPr>
                        <w:r w:rsidRPr="000E53A0">
                          <w:rPr>
                            <w:i/>
                            <w:sz w:val="18"/>
                            <w:szCs w:val="18"/>
                            <w:lang w:val="fr-FR"/>
                          </w:rPr>
                          <w:t xml:space="preserve">OP, ONG, RECOTRADE </w:t>
                        </w:r>
                      </w:p>
                      <w:p w14:paraId="6D303E39" w14:textId="77777777" w:rsidR="000E53A0" w:rsidRPr="000E53A0" w:rsidRDefault="000E53A0" w:rsidP="00A17302">
                        <w:pPr>
                          <w:jc w:val="center"/>
                          <w:rPr>
                            <w:szCs w:val="20"/>
                            <w:lang w:val="fr-FR"/>
                          </w:rPr>
                        </w:pPr>
                      </w:p>
                    </w:txbxContent>
                  </v:textbox>
                </v:rect>
                <v:shapetype id="_x0000_t32" coordsize="21600,21600" o:spt="32" o:oned="t" path="m,l21600,21600e" filled="f">
                  <v:path arrowok="t" fillok="f" o:connecttype="none"/>
                  <o:lock v:ext="edit" shapetype="t"/>
                </v:shapetype>
                <v:shape id="AutoShape 347" o:spid="_x0000_s1033" type="#_x0000_t32" style="position:absolute;left:28575;top:13716;width:0;height:17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QY4xQAAANsAAAAPAAAAZHJzL2Rvd25yZXYueG1sRI9BawIx&#10;FITvBf9DeEIvpWaVWs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CozQY4xQAAANsAAAAP&#10;AAAAAAAAAAAAAAAAAAcCAABkcnMvZG93bnJldi54bWxQSwUGAAAAAAMAAwC3AAAA+QIAAAAA&#10;"/>
                <v:rect id="Rectangle 348" o:spid="_x0000_s1034" style="position:absolute;left:2286;top:15659;width:16002;height:3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" fillcolor="#fc0">
                  <v:shadow on="t" opacity=".5" offset="6pt,6pt"/>
                  <v:textbox>
                    <w:txbxContent>
                      <w:p w14:paraId="3D7C1F88" w14:textId="77777777" w:rsidR="000E53A0" w:rsidRDefault="000E53A0">
                        <w:pPr>
                          <w:jc w:val="center"/>
                          <w:rPr>
                            <w:b/>
                            <w:sz w:val="18"/>
                            <w:szCs w:val="18"/>
                          </w:rPr>
                        </w:pPr>
                        <w:r>
                          <w:rPr>
                            <w:b/>
                            <w:sz w:val="18"/>
                            <w:szCs w:val="18"/>
                          </w:rPr>
                          <w:t>Assurance des projets du PNUD</w:t>
                        </w:r>
                      </w:p>
                      <w:p w14:paraId="5DD280F1" w14:textId="77777777" w:rsidR="000E53A0" w:rsidRPr="00EB563F" w:rsidRDefault="000E53A0" w:rsidP="00A17302">
                        <w:pPr>
                          <w:pStyle w:val="Corpsdetexte3"/>
                          <w:jc w:val="center"/>
                          <w:rPr>
                            <w:b/>
                            <w:bCs/>
                          </w:rPr>
                        </w:pPr>
                      </w:p>
                    </w:txbxContent>
                  </v:textbox>
                </v:rect>
                <v:rect id="Rectangle 349" o:spid="_x0000_s1035" style="position:absolute;left:21717;top:24982;width:13716;height:8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" fillcolor="#fc9">
                  <v:shadow on="t" opacity=".5" offset="6pt,6pt"/>
                  <v:textbox>
                    <w:txbxContent>
                      <w:p w14:paraId="55361367" w14:textId="77777777" w:rsidR="000E53A0" w:rsidRPr="000E53A0" w:rsidRDefault="000E53A0">
                        <w:pPr>
                          <w:jc w:val="center"/>
                          <w:rPr>
                            <w:sz w:val="18"/>
                            <w:szCs w:val="18"/>
                            <w:lang w:val="fr-FR"/>
                          </w:rPr>
                        </w:pPr>
                        <w:r w:rsidRPr="000E53A0">
                          <w:rPr>
                            <w:b/>
                            <w:sz w:val="18"/>
                            <w:szCs w:val="18"/>
                            <w:lang w:val="fr-FR"/>
                          </w:rPr>
                          <w:t xml:space="preserve">Unité de gestion du projet </w:t>
                        </w:r>
                        <w:r w:rsidRPr="000E53A0">
                          <w:rPr>
                            <w:sz w:val="16"/>
                            <w:szCs w:val="16"/>
                            <w:lang w:val="fr-FR"/>
                          </w:rPr>
                          <w:t>(gestionnaire de projet, responsable administratif et financier, et expert en S&amp;E)</w:t>
                        </w:r>
                      </w:p>
                    </w:txbxContent>
                  </v:textbox>
                </v:rect>
                <v:roundrect id="AutoShape 351" o:spid="_x0000_s1036" style="position:absolute;left:4572;top:1143;width:49149;height:34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" fillcolor="#9cf">
                  <v:textbox>
                    <w:txbxContent>
                      <w:p w14:paraId="27F9E24A" w14:textId="77777777" w:rsidR="000E53A0" w:rsidRDefault="000E53A0">
                        <w:pPr>
                          <w:jc w:val="center"/>
                          <w:rPr>
                            <w:b/>
                          </w:rPr>
                        </w:pPr>
                        <w:r w:rsidRPr="001D0B24">
                          <w:rPr>
                            <w:b/>
                          </w:rPr>
                          <w:t>Structure de l'organisation du projet</w:t>
                        </w:r>
                      </w:p>
                    </w:txbxContent>
                  </v:textbox>
                </v:roundrect>
                <v:shapetype id="_x0000_t33" coordsize="21600,21600" o:spt="33" o:oned="t" path="m,l21600,r,21600e" filled="f">
                  <v:stroke joinstyle="miter"/>
                  <v:path arrowok="t" fillok="f" o:connecttype="none"/>
                  <o:lock v:ext="edit" shapetype="t"/>
                </v:shapetype>
                <v:shape id="AutoShape 355" o:spid="_x0000_s1037" type="#_x0000_t33" style="position:absolute;left:28573;top:14554;width:18870;height:426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"/>
                <v:shape id="AutoShape 358" o:spid="_x0000_s1038" type="#_x0000_t33" style="position:absolute;left:18458;top:5545;width:1943;height:18286;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"/>
                <v:shapetype id="_x0000_t36" coordsize="21600,21600" o:spt="36" o:oned="t" adj="10800,10800,10800" path="m,l@0,0@0@1@2@1@2,21600,21600,21600e" filled="f">
                  <v:stroke joinstyle="miter"/>
                  <v:formulas>
                    <v:f eqn="val #0"/>
                    <v:f eqn="val #1"/>
                    <v:f eqn="val #2"/>
                    <v:f eqn="prod #1 1 2"/>
                    <v:f eqn="mid #0 #2"/>
                    <v:f eqn="mid #1 height"/>
                  </v:formulas>
                  <v:path arrowok="t" fillok="f" o:connecttype="none"/>
                  <v:handles>
                    <v:h position="#0,@3"/>
                    <v:h position="@4,#1"/>
                    <v:h position="#2,@5"/>
                  </v:handles>
                  <o:lock v:ext="edit" shapetype="t"/>
                </v:shapetype>
                <v:shape id="AutoShape 358" o:spid="_x0000_s1039" type="#_x0000_t36" style="position:absolute;left:16818;top:21923;width:4906;height:1860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" adj="-10066,10897,31666"/>
                <v:rect id="Rectangle 52" o:spid="_x0000_s1040" style="position:absolute;left:2943;top:28774;width:14049;height:10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" fillcolor="#ff9">
                  <v:shadow on="t" opacity=".5" offset="6pt,6pt"/>
                  <v:textbox>
                    <w:txbxContent>
                      <w:p w14:paraId="78E6E228" w14:textId="77777777" w:rsidR="000E53A0" w:rsidRPr="000E53A0" w:rsidRDefault="000E53A0">
                        <w:pPr>
                          <w:jc w:val="center"/>
                          <w:rPr>
                            <w:b/>
                            <w:bCs/>
                            <w:sz w:val="18"/>
                            <w:szCs w:val="18"/>
                            <w:lang w:val="fr-FR"/>
                          </w:rPr>
                        </w:pPr>
                        <w:r w:rsidRPr="000E53A0">
                          <w:rPr>
                            <w:b/>
                            <w:bCs/>
                            <w:sz w:val="18"/>
                            <w:szCs w:val="18"/>
                            <w:lang w:val="fr-FR"/>
                          </w:rPr>
                          <w:t>Équipe régionale de soutien technique</w:t>
                        </w:r>
                      </w:p>
                      <w:p w14:paraId="4C7F222D" w14:textId="77777777" w:rsidR="000E53A0" w:rsidRPr="000E53A0" w:rsidRDefault="000E53A0">
                        <w:pPr>
                          <w:jc w:val="center"/>
                          <w:rPr>
                            <w:sz w:val="18"/>
                            <w:szCs w:val="18"/>
                            <w:lang w:val="fr-FR"/>
                          </w:rPr>
                        </w:pPr>
                        <w:r w:rsidRPr="000E53A0">
                          <w:rPr>
                            <w:sz w:val="18"/>
                            <w:szCs w:val="18"/>
                            <w:lang w:val="fr-FR"/>
                          </w:rPr>
                          <w:t>Expert CC/LDN ; expert en genre et en communication ; expert du secteur privé ; responsable des garanties.</w:t>
                        </w:r>
                      </w:p>
                    </w:txbxContent>
                  </v:textbox>
                </v:rect>
                <v:rect id="Rectangle 53" o:spid="_x0000_s1041" style="position:absolute;left:39442;top:18819;width:16002;height:12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" fillcolor="#fc0">
                  <v:shadow on="t" opacity=".5" offset="6pt,6pt"/>
                  <v:textbox>
                    <w:txbxContent>
                      <w:p w14:paraId="21D0C294" w14:textId="77777777" w:rsidR="000E53A0" w:rsidRPr="000E53A0" w:rsidRDefault="000E53A0">
                        <w:pPr>
                          <w:jc w:val="center"/>
                          <w:rPr>
                            <w:b/>
                            <w:bCs/>
                            <w:sz w:val="18"/>
                            <w:szCs w:val="18"/>
                            <w:lang w:val="fr-FR"/>
                          </w:rPr>
                        </w:pPr>
                        <w:r w:rsidRPr="000E53A0">
                          <w:rPr>
                            <w:b/>
                            <w:bCs/>
                            <w:sz w:val="18"/>
                            <w:szCs w:val="18"/>
                            <w:lang w:val="fr-FR"/>
                          </w:rPr>
                          <w:t>Comité technique national</w:t>
                        </w:r>
                      </w:p>
                      <w:p w14:paraId="60C57AB6" w14:textId="77777777" w:rsidR="000E53A0" w:rsidRPr="000E53A0" w:rsidRDefault="000E53A0">
                        <w:pPr>
                          <w:spacing w:after="60"/>
                          <w:jc w:val="center"/>
                          <w:rPr>
                            <w:rFonts w:ascii="Calibri" w:eastAsia="SimSun" w:hAnsi="Calibri"/>
                            <w:b/>
                            <w:bCs/>
                            <w:sz w:val="20"/>
                            <w:szCs w:val="20"/>
                            <w:lang w:val="fr-FR"/>
                          </w:rPr>
                        </w:pPr>
                        <w:r w:rsidRPr="000E53A0">
                          <w:rPr>
                            <w:rFonts w:ascii="Calibri" w:eastAsia="Calibri" w:hAnsi="Calibri"/>
                            <w:sz w:val="18"/>
                            <w:szCs w:val="18"/>
                            <w:lang w:val="fr-FR"/>
                          </w:rPr>
                          <w:t xml:space="preserve">DNEF ; DNA ; DNPIA ; IER ; IGM ; DGPC ; MALI-METEO ; DNCP ; DGCT ; </w:t>
                        </w:r>
                        <w:r w:rsidRPr="000E53A0">
                          <w:rPr>
                            <w:sz w:val="18"/>
                            <w:szCs w:val="18"/>
                            <w:lang w:val="fr-FR"/>
                          </w:rPr>
                          <w:t xml:space="preserve">DNAT </w:t>
                        </w:r>
                        <w:r w:rsidRPr="000E53A0">
                          <w:rPr>
                            <w:rFonts w:ascii="Calibri" w:eastAsia="Calibri" w:hAnsi="Calibri"/>
                            <w:sz w:val="18"/>
                            <w:szCs w:val="18"/>
                            <w:lang w:val="fr-FR"/>
                          </w:rPr>
                          <w:t>AEDD ; Association des Municipalités du Mali ; Université du Mali ; RECOTRADE</w:t>
                        </w:r>
                      </w:p>
                    </w:txbxContent>
                  </v:textbox>
                </v:rect>
                <v:line id="Straight Connector 54" o:spid="_x0000_s1042" style="position:absolute;visibility:visible;mso-wrap-style:square" from="28575,22593" to="28575,24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" strokecolor="windowText" strokeweight=".5pt">
                  <v:stroke joinstyle="miter"/>
                </v:line>
                <w10:anchorlock/>
              </v:group>
            </w:pict>
          </mc:Fallback>
        </mc:AlternateContent>
      </w:r>
    </w:p>
    <w:p w14:paraId="76E22066" w14:textId="77777777" w:rsidR="00A17302" w:rsidRPr="00A17302" w:rsidRDefault="00A17302" w:rsidP="00A17302">
      <w:pPr>
        <w:shd w:val="clear" w:color="auto" w:fill="FFFFFF"/>
        <w:rPr>
          <w:rFonts w:ascii="Calibri" w:eastAsia="SimSun" w:hAnsi="Calibri" w:cs="Arial"/>
          <w:noProof/>
          <w:sz w:val="20"/>
          <w:szCs w:val="20"/>
          <w:lang w:val="en-US" w:eastAsia="zh-CN"/>
        </w:rPr>
      </w:pPr>
    </w:p>
    <w:p w14:paraId="5C01D087" w14:textId="77777777" w:rsidR="00601D9B" w:rsidRPr="000E53A0" w:rsidRDefault="000E53A0">
      <w:pPr>
        <w:shd w:val="clear" w:color="auto" w:fill="FFFFFF"/>
        <w:rPr>
          <w:rFonts w:ascii="Calibri" w:eastAsia="SimSun" w:hAnsi="Calibri" w:cs="Arial"/>
          <w:noProof/>
          <w:sz w:val="20"/>
          <w:szCs w:val="20"/>
          <w:lang w:val="fr-FR" w:eastAsia="zh-CN"/>
        </w:rPr>
      </w:pPr>
      <w:r w:rsidRPr="000E53A0">
        <w:rPr>
          <w:rFonts w:ascii="Calibri" w:eastAsia="SimSun" w:hAnsi="Calibri" w:cs="Arial"/>
          <w:noProof/>
          <w:sz w:val="20"/>
          <w:szCs w:val="20"/>
          <w:lang w:val="fr-FR" w:eastAsia="zh-CN"/>
        </w:rPr>
        <w:t xml:space="preserve">Le Comité de pilotage du projet est chargé de prendre les </w:t>
      </w:r>
      <w:r w:rsidRPr="000E53A0">
        <w:rPr>
          <w:rFonts w:ascii="Calibri" w:eastAsia="SimSun" w:hAnsi="Calibri" w:cs="Calibri"/>
          <w:sz w:val="20"/>
          <w:szCs w:val="20"/>
          <w:lang w:val="fr-FR" w:eastAsia="en-US"/>
        </w:rPr>
        <w:t xml:space="preserve">mesures correctives nécessaires pour que le projet atteigne les résultats souhaités. </w:t>
      </w:r>
      <w:r w:rsidRPr="000E53A0">
        <w:rPr>
          <w:rFonts w:ascii="Calibri" w:eastAsia="SimSun" w:hAnsi="Calibri" w:cs="Arial"/>
          <w:noProof/>
          <w:sz w:val="20"/>
          <w:szCs w:val="20"/>
          <w:lang w:val="fr-FR" w:eastAsia="zh-CN"/>
        </w:rPr>
        <w:t xml:space="preserve">Afin d'assurer la responsabilité ultime du PNUD, les décisions du Comité de pilotage du projet doivent être prises conformément aux normes qui garantissent une gestion axée sur les résultats de développement, le meilleur rapport qualité-prix, l'équité, l'intégrité, la transparence et une concurrence internationale efficace. </w:t>
      </w:r>
    </w:p>
    <w:p w14:paraId="4CA9C567" w14:textId="77777777" w:rsidR="00A17302" w:rsidRPr="000E53A0" w:rsidRDefault="00A17302" w:rsidP="00A17302">
      <w:pPr>
        <w:shd w:val="clear" w:color="auto" w:fill="FFFFFF"/>
        <w:rPr>
          <w:rFonts w:ascii="Calibri" w:eastAsia="SimSun" w:hAnsi="Calibri" w:cs="Arial"/>
          <w:noProof/>
          <w:sz w:val="20"/>
          <w:szCs w:val="20"/>
          <w:lang w:val="fr-FR" w:eastAsia="zh-CN"/>
        </w:rPr>
      </w:pPr>
    </w:p>
    <w:p w14:paraId="2806CBA6" w14:textId="77777777" w:rsidR="00601D9B" w:rsidRPr="000E53A0" w:rsidRDefault="000E53A0">
      <w:pPr>
        <w:shd w:val="clear" w:color="auto" w:fill="FFFFFF"/>
        <w:rPr>
          <w:rFonts w:ascii="Calibri" w:eastAsia="SimSun" w:hAnsi="Calibri" w:cs="Arial"/>
          <w:i/>
          <w:noProof/>
          <w:sz w:val="20"/>
          <w:szCs w:val="20"/>
          <w:lang w:val="fr-FR" w:eastAsia="zh-CN"/>
        </w:rPr>
      </w:pPr>
      <w:r w:rsidRPr="000E53A0">
        <w:rPr>
          <w:rFonts w:ascii="Calibri" w:eastAsia="SimSun" w:hAnsi="Calibri" w:cs="Arial"/>
          <w:noProof/>
          <w:sz w:val="20"/>
          <w:szCs w:val="20"/>
          <w:lang w:val="fr-FR" w:eastAsia="zh-CN"/>
        </w:rPr>
        <w:t xml:space="preserve">Dans le cas où un consensus ne peut être atteint au sein du CPS, le </w:t>
      </w:r>
      <w:r w:rsidRPr="000E53A0">
        <w:rPr>
          <w:rFonts w:ascii="Calibri" w:hAnsi="Calibri" w:cs="Calibri"/>
          <w:sz w:val="20"/>
          <w:lang w:val="fr-FR" w:eastAsia="en-US"/>
        </w:rPr>
        <w:t xml:space="preserve">représentant résident du </w:t>
      </w:r>
      <w:r w:rsidRPr="000E53A0">
        <w:rPr>
          <w:rFonts w:ascii="Calibri" w:eastAsia="SimSun" w:hAnsi="Calibri" w:cs="Arial"/>
          <w:noProof/>
          <w:sz w:val="20"/>
          <w:szCs w:val="20"/>
          <w:lang w:val="fr-FR" w:eastAsia="zh-CN"/>
        </w:rPr>
        <w:t xml:space="preserve">PNUD </w:t>
      </w:r>
      <w:r w:rsidRPr="000E53A0">
        <w:rPr>
          <w:rFonts w:ascii="Calibri" w:hAnsi="Calibri" w:cs="Calibri"/>
          <w:sz w:val="20"/>
          <w:lang w:val="fr-FR" w:eastAsia="en-US"/>
        </w:rPr>
        <w:t>(ou son représentant désigné) servira de médiateur pour trouver un consensus et, si celui-ci ne peut être trouvé, prendra la décision finale afin de s'assurer que la mise en œuvre du projet ne soit pas indûment retardée</w:t>
      </w:r>
      <w:r w:rsidRPr="000E53A0">
        <w:rPr>
          <w:rFonts w:ascii="Calibri" w:hAnsi="Calibri" w:cs="Calibri"/>
          <w:i/>
          <w:sz w:val="20"/>
          <w:lang w:val="fr-FR" w:eastAsia="en-US"/>
        </w:rPr>
        <w:t xml:space="preserve">. </w:t>
      </w:r>
    </w:p>
    <w:p w14:paraId="27BF60DE" w14:textId="77777777" w:rsidR="00A17302" w:rsidRPr="000E53A0" w:rsidRDefault="00A17302" w:rsidP="00A17302">
      <w:pPr>
        <w:shd w:val="clear" w:color="auto" w:fill="FFFFFF"/>
        <w:rPr>
          <w:rFonts w:ascii="Calibri" w:eastAsia="SimSun" w:hAnsi="Calibri" w:cs="Arial"/>
          <w:noProof/>
          <w:sz w:val="20"/>
          <w:szCs w:val="20"/>
          <w:u w:val="single"/>
          <w:lang w:val="fr-FR" w:eastAsia="zh-CN"/>
        </w:rPr>
      </w:pPr>
    </w:p>
    <w:p w14:paraId="73F3FC03" w14:textId="77777777" w:rsidR="00601D9B" w:rsidRPr="000E53A0" w:rsidRDefault="000E53A0">
      <w:pPr>
        <w:shd w:val="clear" w:color="auto" w:fill="FFFFFF"/>
        <w:rPr>
          <w:rFonts w:ascii="Calibri" w:eastAsia="SimSun" w:hAnsi="Calibri" w:cs="Arial"/>
          <w:noProof/>
          <w:sz w:val="20"/>
          <w:szCs w:val="20"/>
          <w:lang w:val="fr-FR" w:eastAsia="zh-CN"/>
        </w:rPr>
      </w:pPr>
      <w:r w:rsidRPr="000E53A0">
        <w:rPr>
          <w:rFonts w:ascii="Calibri" w:eastAsia="SimSun" w:hAnsi="Calibri" w:cs="Arial"/>
          <w:noProof/>
          <w:sz w:val="20"/>
          <w:szCs w:val="20"/>
          <w:lang w:val="fr-FR" w:eastAsia="zh-CN"/>
        </w:rPr>
        <w:t>Les responsabilités spécifiques du comité directeur du projet sont les suivantes</w:t>
      </w:r>
    </w:p>
    <w:p w14:paraId="7217F759" w14:textId="77777777" w:rsidR="00601D9B" w:rsidRPr="000E53A0" w:rsidRDefault="000E53A0">
      <w:pPr>
        <w:numPr>
          <w:ilvl w:val="0"/>
          <w:numId w:val="17"/>
        </w:numPr>
        <w:spacing w:after="60"/>
        <w:jc w:val="both"/>
        <w:rPr>
          <w:rFonts w:ascii="Calibri" w:eastAsia="Calibri" w:hAnsi="Calibri"/>
          <w:sz w:val="20"/>
          <w:szCs w:val="20"/>
          <w:lang w:val="fr-FR" w:eastAsia="en-US"/>
        </w:rPr>
      </w:pPr>
      <w:r w:rsidRPr="000E53A0">
        <w:rPr>
          <w:rFonts w:ascii="Calibri" w:eastAsia="Calibri" w:hAnsi="Calibri"/>
          <w:sz w:val="20"/>
          <w:szCs w:val="20"/>
          <w:lang w:val="fr-FR" w:eastAsia="en-US"/>
        </w:rPr>
        <w:t>Fournir une orientation et une direction générales au projet, en veillant à ce qu'il reste dans les limites des contraintes spécifiées ;</w:t>
      </w:r>
    </w:p>
    <w:p w14:paraId="1C78FFB4" w14:textId="77777777" w:rsidR="00601D9B" w:rsidRPr="000E53A0" w:rsidRDefault="000E53A0">
      <w:pPr>
        <w:numPr>
          <w:ilvl w:val="0"/>
          <w:numId w:val="17"/>
        </w:numPr>
        <w:spacing w:after="60"/>
        <w:jc w:val="both"/>
        <w:rPr>
          <w:rFonts w:ascii="Calibri" w:eastAsia="Calibri" w:hAnsi="Calibri"/>
          <w:sz w:val="20"/>
          <w:szCs w:val="20"/>
          <w:lang w:val="fr-FR" w:eastAsia="en-US"/>
        </w:rPr>
      </w:pPr>
      <w:r w:rsidRPr="000E53A0">
        <w:rPr>
          <w:rFonts w:ascii="Calibri" w:eastAsia="Calibri" w:hAnsi="Calibri"/>
          <w:sz w:val="20"/>
          <w:szCs w:val="20"/>
          <w:lang w:val="fr-FR" w:eastAsia="en-US"/>
        </w:rPr>
        <w:t>Traiter les questions relatives au projet soulevées par le chef de projet ;</w:t>
      </w:r>
    </w:p>
    <w:p w14:paraId="68F6654B" w14:textId="77777777" w:rsidR="00601D9B" w:rsidRPr="000E53A0" w:rsidRDefault="000E53A0">
      <w:pPr>
        <w:numPr>
          <w:ilvl w:val="0"/>
          <w:numId w:val="17"/>
        </w:numPr>
        <w:spacing w:after="60"/>
        <w:jc w:val="both"/>
        <w:rPr>
          <w:rFonts w:ascii="Calibri" w:eastAsia="Calibri" w:hAnsi="Calibri"/>
          <w:sz w:val="20"/>
          <w:szCs w:val="20"/>
          <w:lang w:val="fr-FR" w:eastAsia="en-US"/>
        </w:rPr>
      </w:pPr>
      <w:r w:rsidRPr="000E53A0">
        <w:rPr>
          <w:rFonts w:ascii="Calibri" w:eastAsia="Calibri" w:hAnsi="Calibri"/>
          <w:sz w:val="20"/>
          <w:szCs w:val="20"/>
          <w:lang w:val="fr-FR" w:eastAsia="en-US"/>
        </w:rPr>
        <w:lastRenderedPageBreak/>
        <w:t xml:space="preserve">Fournir des conseils sur les nouveaux risques du projet et convenir des mesures d'atténuation et de gestion possibles pour faire face à des risques spécifiques ; </w:t>
      </w:r>
    </w:p>
    <w:p w14:paraId="4F98E455" w14:textId="77777777" w:rsidR="00601D9B" w:rsidRPr="000E53A0" w:rsidRDefault="000E53A0">
      <w:pPr>
        <w:numPr>
          <w:ilvl w:val="0"/>
          <w:numId w:val="17"/>
        </w:numPr>
        <w:spacing w:after="60"/>
        <w:jc w:val="both"/>
        <w:rPr>
          <w:rFonts w:ascii="Calibri" w:eastAsia="Calibri" w:hAnsi="Calibri"/>
          <w:sz w:val="20"/>
          <w:szCs w:val="20"/>
          <w:lang w:val="fr-FR" w:eastAsia="en-US"/>
        </w:rPr>
      </w:pPr>
      <w:r w:rsidRPr="000E53A0">
        <w:rPr>
          <w:rFonts w:ascii="Calibri" w:eastAsia="Calibri" w:hAnsi="Calibri"/>
          <w:sz w:val="20"/>
          <w:szCs w:val="20"/>
          <w:lang w:val="fr-FR" w:eastAsia="en-US"/>
        </w:rPr>
        <w:t>Convenir des tolérances du gestionnaire de projet, le cas échéant, dans le cadre des paramètres fixés par le PNUD-FEM, et fournir des directives et des conseils pour les situations exceptionnelles où les tolérances du gestionnaire de projet sont dépassées ;</w:t>
      </w:r>
    </w:p>
    <w:p w14:paraId="377C74E9" w14:textId="77777777" w:rsidR="00601D9B" w:rsidRPr="000E53A0" w:rsidRDefault="000E53A0">
      <w:pPr>
        <w:numPr>
          <w:ilvl w:val="0"/>
          <w:numId w:val="17"/>
        </w:numPr>
        <w:spacing w:after="60"/>
        <w:jc w:val="both"/>
        <w:rPr>
          <w:rFonts w:ascii="Calibri" w:eastAsia="Calibri" w:hAnsi="Calibri"/>
          <w:sz w:val="20"/>
          <w:szCs w:val="20"/>
          <w:lang w:val="fr-FR" w:eastAsia="en-US"/>
        </w:rPr>
      </w:pPr>
      <w:r w:rsidRPr="000E53A0">
        <w:rPr>
          <w:rFonts w:ascii="Calibri" w:eastAsia="Calibri" w:hAnsi="Calibri"/>
          <w:sz w:val="20"/>
          <w:szCs w:val="20"/>
          <w:lang w:val="fr-FR" w:eastAsia="en-US"/>
        </w:rPr>
        <w:t>Donner des conseils sur les modifications majeures et mineures du projet dans le cadre des paramètres fixés par le PNUD-FEM ;</w:t>
      </w:r>
    </w:p>
    <w:p w14:paraId="3C9DD4EE" w14:textId="77777777" w:rsidR="00601D9B" w:rsidRPr="000E53A0" w:rsidRDefault="000E53A0">
      <w:pPr>
        <w:numPr>
          <w:ilvl w:val="0"/>
          <w:numId w:val="17"/>
        </w:numPr>
        <w:spacing w:after="60"/>
        <w:jc w:val="both"/>
        <w:rPr>
          <w:rFonts w:ascii="Calibri" w:eastAsia="SimSun" w:hAnsi="Calibri" w:cs="Arial"/>
          <w:sz w:val="20"/>
          <w:szCs w:val="22"/>
          <w:lang w:val="fr-FR" w:eastAsia="en-US"/>
        </w:rPr>
      </w:pPr>
      <w:r w:rsidRPr="000E53A0">
        <w:rPr>
          <w:rFonts w:ascii="Calibri" w:eastAsia="SimSun" w:hAnsi="Calibri" w:cs="Arial"/>
          <w:sz w:val="20"/>
          <w:szCs w:val="20"/>
          <w:lang w:val="fr-FR" w:eastAsia="en-US"/>
        </w:rPr>
        <w:t xml:space="preserve">Assurer la coordination entre les différents projets et programmes financés par les donateurs et le gouvernement ; </w:t>
      </w:r>
    </w:p>
    <w:p w14:paraId="0DFE707A" w14:textId="77777777" w:rsidR="00601D9B" w:rsidRPr="000E53A0" w:rsidRDefault="000E53A0">
      <w:pPr>
        <w:numPr>
          <w:ilvl w:val="0"/>
          <w:numId w:val="17"/>
        </w:numPr>
        <w:spacing w:after="60"/>
        <w:jc w:val="both"/>
        <w:rPr>
          <w:rFonts w:ascii="Calibri" w:eastAsia="SimSun" w:hAnsi="Calibri" w:cs="Arial"/>
          <w:sz w:val="20"/>
          <w:szCs w:val="20"/>
          <w:lang w:val="fr-FR" w:eastAsia="en-US"/>
        </w:rPr>
      </w:pPr>
      <w:r w:rsidRPr="000E53A0">
        <w:rPr>
          <w:rFonts w:ascii="Calibri" w:eastAsia="SimSun" w:hAnsi="Calibri" w:cs="Arial"/>
          <w:sz w:val="20"/>
          <w:szCs w:val="20"/>
          <w:lang w:val="fr-FR" w:eastAsia="en-US"/>
        </w:rPr>
        <w:t xml:space="preserve">Assurer la coordination avec les différentes agences gouvernementales et leur participation aux activités du projet ; </w:t>
      </w:r>
    </w:p>
    <w:p w14:paraId="752DACC4" w14:textId="77777777" w:rsidR="00601D9B" w:rsidRPr="000E53A0" w:rsidRDefault="000E53A0">
      <w:pPr>
        <w:numPr>
          <w:ilvl w:val="0"/>
          <w:numId w:val="17"/>
        </w:numPr>
        <w:spacing w:after="60"/>
        <w:jc w:val="both"/>
        <w:rPr>
          <w:rFonts w:ascii="Calibri" w:eastAsia="SimSun" w:hAnsi="Calibri" w:cs="Arial"/>
          <w:sz w:val="20"/>
          <w:szCs w:val="20"/>
          <w:lang w:val="fr-FR" w:eastAsia="en-US"/>
        </w:rPr>
      </w:pPr>
      <w:r w:rsidRPr="000E53A0">
        <w:rPr>
          <w:rFonts w:ascii="Calibri" w:eastAsia="SimSun" w:hAnsi="Calibri" w:cs="Arial"/>
          <w:sz w:val="20"/>
          <w:szCs w:val="20"/>
          <w:lang w:val="fr-FR" w:eastAsia="en-US"/>
        </w:rPr>
        <w:t xml:space="preserve">Suivre et contrôler le cofinancement de ce projet ; </w:t>
      </w:r>
    </w:p>
    <w:p w14:paraId="7449E119" w14:textId="77777777" w:rsidR="00601D9B" w:rsidRPr="000E53A0" w:rsidRDefault="000E53A0">
      <w:pPr>
        <w:numPr>
          <w:ilvl w:val="0"/>
          <w:numId w:val="17"/>
        </w:numPr>
        <w:spacing w:after="60"/>
        <w:jc w:val="both"/>
        <w:rPr>
          <w:rFonts w:ascii="Calibri" w:eastAsia="SimSun" w:hAnsi="Calibri" w:cs="Arial"/>
          <w:sz w:val="20"/>
          <w:szCs w:val="20"/>
          <w:lang w:val="fr-FR" w:eastAsia="en-US"/>
        </w:rPr>
      </w:pPr>
      <w:r w:rsidRPr="000E53A0">
        <w:rPr>
          <w:rFonts w:ascii="Calibri" w:eastAsia="SimSun" w:hAnsi="Calibri" w:cs="Arial"/>
          <w:sz w:val="20"/>
          <w:szCs w:val="20"/>
          <w:lang w:val="fr-FR" w:eastAsia="en-US"/>
        </w:rPr>
        <w:t xml:space="preserve">Examiner l'état d'avancement du projet, évaluer les performances et apprécier le plan de travail annuel pour l'année suivante ; </w:t>
      </w:r>
    </w:p>
    <w:p w14:paraId="514D6CB3" w14:textId="77777777" w:rsidR="00601D9B" w:rsidRPr="000E53A0" w:rsidRDefault="000E53A0">
      <w:pPr>
        <w:numPr>
          <w:ilvl w:val="0"/>
          <w:numId w:val="17"/>
        </w:numPr>
        <w:spacing w:after="60"/>
        <w:jc w:val="both"/>
        <w:rPr>
          <w:rFonts w:ascii="Calibri" w:eastAsia="SimSun" w:hAnsi="Calibri" w:cs="Arial"/>
          <w:sz w:val="20"/>
          <w:szCs w:val="20"/>
          <w:lang w:val="fr-FR" w:eastAsia="en-US"/>
        </w:rPr>
      </w:pPr>
      <w:r w:rsidRPr="000E53A0">
        <w:rPr>
          <w:rFonts w:ascii="Calibri" w:eastAsia="SimSun" w:hAnsi="Calibri" w:cs="Arial"/>
          <w:sz w:val="20"/>
          <w:szCs w:val="20"/>
          <w:lang w:val="fr-FR" w:eastAsia="en-US"/>
        </w:rPr>
        <w:t xml:space="preserve">Apprécier le rapport annuel de mise en œuvre du projet, y compris le rapport d'évaluation de la qualité ; </w:t>
      </w:r>
    </w:p>
    <w:p w14:paraId="224FE92B" w14:textId="77777777" w:rsidR="00601D9B" w:rsidRPr="000E53A0" w:rsidRDefault="000E53A0">
      <w:pPr>
        <w:numPr>
          <w:ilvl w:val="0"/>
          <w:numId w:val="17"/>
        </w:numPr>
        <w:spacing w:after="60"/>
        <w:jc w:val="both"/>
        <w:rPr>
          <w:rFonts w:ascii="Calibri" w:eastAsia="SimSun" w:hAnsi="Calibri" w:cs="Arial"/>
          <w:sz w:val="20"/>
          <w:szCs w:val="20"/>
          <w:lang w:val="fr-FR" w:eastAsia="en-US"/>
        </w:rPr>
      </w:pPr>
      <w:r w:rsidRPr="000E53A0">
        <w:rPr>
          <w:rFonts w:ascii="Calibri" w:eastAsia="SimSun" w:hAnsi="Calibri" w:cs="Arial"/>
          <w:sz w:val="20"/>
          <w:szCs w:val="20"/>
          <w:lang w:val="fr-FR" w:eastAsia="en-US"/>
        </w:rPr>
        <w:t xml:space="preserve">Assurer l'engagement des ressources humaines pour soutenir la mise en œuvre du projet, en arbitrant tout problème au sein du projet ; </w:t>
      </w:r>
    </w:p>
    <w:p w14:paraId="6EB0DDCD" w14:textId="77777777" w:rsidR="00601D9B" w:rsidRPr="000E53A0" w:rsidRDefault="000E53A0">
      <w:pPr>
        <w:numPr>
          <w:ilvl w:val="0"/>
          <w:numId w:val="17"/>
        </w:numPr>
        <w:spacing w:after="60"/>
        <w:jc w:val="both"/>
        <w:rPr>
          <w:rFonts w:ascii="Calibri" w:hAnsi="Calibri" w:cs="Calibri"/>
          <w:color w:val="000000"/>
          <w:sz w:val="20"/>
          <w:szCs w:val="20"/>
          <w:lang w:val="fr-FR" w:eastAsia="en-US"/>
        </w:rPr>
      </w:pPr>
      <w:r w:rsidRPr="000E53A0">
        <w:rPr>
          <w:rFonts w:ascii="Calibri" w:hAnsi="Calibri" w:cs="Calibri"/>
          <w:color w:val="000000"/>
          <w:sz w:val="20"/>
          <w:szCs w:val="20"/>
          <w:lang w:val="fr-FR" w:eastAsia="en-US"/>
        </w:rPr>
        <w:t>Examiner les rapports de livraison combinés avant la certification par le partenaire de mise en œuvre ;</w:t>
      </w:r>
    </w:p>
    <w:p w14:paraId="1239F0BF" w14:textId="77777777" w:rsidR="00601D9B" w:rsidRPr="000E53A0" w:rsidRDefault="000E53A0">
      <w:pPr>
        <w:numPr>
          <w:ilvl w:val="0"/>
          <w:numId w:val="17"/>
        </w:numPr>
        <w:spacing w:after="60"/>
        <w:jc w:val="both"/>
        <w:rPr>
          <w:rFonts w:ascii="Calibri" w:eastAsia="Calibri" w:hAnsi="Calibri"/>
          <w:sz w:val="20"/>
          <w:szCs w:val="20"/>
          <w:lang w:val="fr-FR" w:eastAsia="en-US"/>
        </w:rPr>
      </w:pPr>
      <w:r w:rsidRPr="000E53A0">
        <w:rPr>
          <w:rFonts w:ascii="Calibri" w:eastAsia="Calibri" w:hAnsi="Calibri"/>
          <w:sz w:val="20"/>
          <w:szCs w:val="20"/>
          <w:lang w:val="fr-FR" w:eastAsia="en-US"/>
        </w:rPr>
        <w:t>Fournir des directives et des recommandations pour s'assurer que les produits livrables convenus sont produits de manière satisfaisante, conformément aux plans ;</w:t>
      </w:r>
    </w:p>
    <w:p w14:paraId="53D578D2" w14:textId="77777777" w:rsidR="00601D9B" w:rsidRPr="000E53A0" w:rsidRDefault="000E53A0">
      <w:pPr>
        <w:numPr>
          <w:ilvl w:val="0"/>
          <w:numId w:val="17"/>
        </w:numPr>
        <w:spacing w:after="60"/>
        <w:jc w:val="both"/>
        <w:rPr>
          <w:rFonts w:ascii="Calibri" w:eastAsia="Calibri" w:hAnsi="Calibri"/>
          <w:sz w:val="20"/>
          <w:szCs w:val="20"/>
          <w:lang w:val="fr-FR" w:eastAsia="en-US"/>
        </w:rPr>
      </w:pPr>
      <w:r w:rsidRPr="000E53A0">
        <w:rPr>
          <w:rFonts w:ascii="Calibri" w:eastAsia="Calibri" w:hAnsi="Calibri"/>
          <w:sz w:val="20"/>
          <w:szCs w:val="20"/>
          <w:lang w:val="fr-FR" w:eastAsia="en-US"/>
        </w:rPr>
        <w:t>Traiter les griefs au niveau du projet ;</w:t>
      </w:r>
    </w:p>
    <w:p w14:paraId="3F88FB49" w14:textId="77777777" w:rsidR="00601D9B" w:rsidRPr="000E53A0" w:rsidRDefault="000E53A0">
      <w:pPr>
        <w:numPr>
          <w:ilvl w:val="0"/>
          <w:numId w:val="17"/>
        </w:numPr>
        <w:spacing w:after="60"/>
        <w:jc w:val="both"/>
        <w:rPr>
          <w:rFonts w:ascii="Calibri" w:eastAsia="Calibri" w:hAnsi="Calibri"/>
          <w:sz w:val="20"/>
          <w:szCs w:val="20"/>
          <w:lang w:val="fr-FR" w:eastAsia="en-US"/>
        </w:rPr>
      </w:pPr>
      <w:r w:rsidRPr="000E53A0">
        <w:rPr>
          <w:rFonts w:ascii="Calibri" w:eastAsia="Calibri" w:hAnsi="Calibri" w:cs="Calibri"/>
          <w:sz w:val="20"/>
          <w:szCs w:val="20"/>
          <w:lang w:val="fr-FR" w:eastAsia="en-US"/>
        </w:rPr>
        <w:t>Approuver le rapport de démarrage du projet, l'examen à mi-parcours et les rapports d'évaluation finale, ainsi que les réponses correspondantes de la direction ;</w:t>
      </w:r>
    </w:p>
    <w:p w14:paraId="051D080C" w14:textId="77777777" w:rsidR="00601D9B" w:rsidRPr="000E53A0" w:rsidRDefault="000E53A0">
      <w:pPr>
        <w:numPr>
          <w:ilvl w:val="0"/>
          <w:numId w:val="17"/>
        </w:numPr>
        <w:spacing w:after="60"/>
        <w:jc w:val="both"/>
        <w:rPr>
          <w:rFonts w:ascii="Calibri" w:eastAsia="SimSun" w:hAnsi="Calibri" w:cs="Calibri"/>
          <w:sz w:val="20"/>
          <w:szCs w:val="20"/>
          <w:lang w:val="fr-FR" w:eastAsia="en-US"/>
        </w:rPr>
      </w:pPr>
      <w:r w:rsidRPr="000E53A0">
        <w:rPr>
          <w:rFonts w:ascii="Calibri" w:eastAsia="SimSun" w:hAnsi="Calibri" w:cs="Calibri"/>
          <w:sz w:val="20"/>
          <w:szCs w:val="20"/>
          <w:lang w:val="fr-FR" w:eastAsia="en-US"/>
        </w:rPr>
        <w:t xml:space="preserve">Examiner le rapport final du projet lors d'une réunion de fin de projet pour discuter des leçons apprises et des possibilités de mise à l'échelle.   </w:t>
      </w:r>
    </w:p>
    <w:p w14:paraId="45CA76BF" w14:textId="77777777" w:rsidR="00601D9B" w:rsidRPr="000E53A0" w:rsidRDefault="000E53A0">
      <w:pPr>
        <w:numPr>
          <w:ilvl w:val="0"/>
          <w:numId w:val="17"/>
        </w:numPr>
        <w:spacing w:after="60"/>
        <w:jc w:val="both"/>
        <w:rPr>
          <w:rFonts w:ascii="Calibri" w:eastAsia="SimSun" w:hAnsi="Calibri" w:cs="Calibri"/>
          <w:sz w:val="20"/>
          <w:szCs w:val="20"/>
          <w:lang w:val="fr-FR" w:eastAsia="en-US"/>
        </w:rPr>
      </w:pPr>
      <w:r w:rsidRPr="000E53A0">
        <w:rPr>
          <w:rFonts w:ascii="Calibri" w:eastAsia="SimSun" w:hAnsi="Calibri" w:cs="Calibri"/>
          <w:sz w:val="20"/>
          <w:szCs w:val="20"/>
          <w:lang w:val="fr-FR" w:eastAsia="en-US"/>
        </w:rPr>
        <w:t>Garantir les plus hauts niveaux de transparence et prendre toutes les mesures nécessaires pour éviter tout conflit d'intérêts réel ou perçu.</w:t>
      </w:r>
    </w:p>
    <w:p w14:paraId="033A54AF" w14:textId="77777777" w:rsidR="00A17302" w:rsidRPr="000E53A0" w:rsidRDefault="00A17302" w:rsidP="00A17302">
      <w:pPr>
        <w:shd w:val="clear" w:color="auto" w:fill="FFFFFF"/>
        <w:rPr>
          <w:rFonts w:ascii="Calibri" w:eastAsia="SimSun" w:hAnsi="Calibri"/>
          <w:sz w:val="20"/>
          <w:szCs w:val="20"/>
          <w:lang w:val="fr-FR" w:eastAsia="en-US"/>
        </w:rPr>
      </w:pPr>
    </w:p>
    <w:p w14:paraId="6FCF6223" w14:textId="77777777" w:rsidR="00601D9B" w:rsidRPr="000E53A0" w:rsidRDefault="000E53A0">
      <w:pPr>
        <w:shd w:val="clear" w:color="auto" w:fill="FFFFFF"/>
        <w:rPr>
          <w:rFonts w:ascii="Calibri" w:eastAsia="SimSun" w:hAnsi="Calibri"/>
          <w:sz w:val="20"/>
          <w:lang w:val="fr-FR" w:eastAsia="en-US"/>
        </w:rPr>
      </w:pPr>
      <w:r w:rsidRPr="000E53A0">
        <w:rPr>
          <w:rFonts w:ascii="Calibri" w:eastAsia="SimSun" w:hAnsi="Calibri"/>
          <w:sz w:val="20"/>
          <w:lang w:val="fr-FR" w:eastAsia="en-US"/>
        </w:rPr>
        <w:t xml:space="preserve">La composition du </w:t>
      </w:r>
      <w:r w:rsidRPr="000E53A0">
        <w:rPr>
          <w:rFonts w:ascii="Calibri" w:eastAsia="SimSun" w:hAnsi="Calibri" w:cs="Arial"/>
          <w:noProof/>
          <w:sz w:val="20"/>
          <w:szCs w:val="20"/>
          <w:lang w:val="fr-FR" w:eastAsia="zh-CN"/>
        </w:rPr>
        <w:t xml:space="preserve">comité directeur du </w:t>
      </w:r>
      <w:r w:rsidRPr="000E53A0">
        <w:rPr>
          <w:rFonts w:ascii="Calibri" w:eastAsia="SimSun" w:hAnsi="Calibri"/>
          <w:sz w:val="20"/>
          <w:lang w:val="fr-FR" w:eastAsia="en-US"/>
        </w:rPr>
        <w:t xml:space="preserve">projet doit inclure les rôles suivants : </w:t>
      </w:r>
    </w:p>
    <w:p w14:paraId="01F4CB23" w14:textId="77777777" w:rsidR="00A17302" w:rsidRPr="000E53A0" w:rsidRDefault="00A17302" w:rsidP="00A17302">
      <w:pPr>
        <w:rPr>
          <w:rFonts w:ascii="Calibri" w:eastAsia="SimSun" w:hAnsi="Calibri"/>
          <w:sz w:val="20"/>
          <w:lang w:val="fr-FR" w:eastAsia="en-US"/>
        </w:rPr>
      </w:pPr>
    </w:p>
    <w:p w14:paraId="2721AFD8" w14:textId="77777777" w:rsidR="00601D9B" w:rsidRPr="000E53A0" w:rsidRDefault="000E53A0">
      <w:pPr>
        <w:numPr>
          <w:ilvl w:val="0"/>
          <w:numId w:val="40"/>
        </w:numPr>
        <w:spacing w:after="60"/>
        <w:jc w:val="both"/>
        <w:rPr>
          <w:rFonts w:ascii="Calibri" w:eastAsia="Calibri" w:hAnsi="Calibri"/>
          <w:i/>
          <w:sz w:val="20"/>
          <w:szCs w:val="20"/>
          <w:lang w:val="fr-FR" w:eastAsia="en-US"/>
        </w:rPr>
      </w:pPr>
      <w:r w:rsidRPr="000E53A0">
        <w:rPr>
          <w:rFonts w:ascii="Calibri" w:eastAsia="Calibri" w:hAnsi="Calibri"/>
          <w:sz w:val="20"/>
          <w:szCs w:val="20"/>
          <w:lang w:val="fr-FR" w:eastAsia="en-US"/>
        </w:rPr>
        <w:t xml:space="preserve">Directeur de projet : Il s'agit d'un individu qui représente la propriété du projet </w:t>
      </w:r>
      <w:r w:rsidRPr="000E53A0">
        <w:rPr>
          <w:rFonts w:ascii="Calibri" w:hAnsi="Calibri" w:cs="Calibri"/>
          <w:sz w:val="20"/>
          <w:szCs w:val="20"/>
          <w:lang w:val="fr-FR" w:eastAsia="en-US"/>
        </w:rPr>
        <w:t>et préside le Conseil du projet. L'exécutif est normalement l'homologue national pour les projets mis en œuvre au niveau national. L</w:t>
      </w:r>
      <w:r w:rsidRPr="000E53A0">
        <w:rPr>
          <w:rFonts w:ascii="Calibri" w:eastAsia="Calibri" w:hAnsi="Calibri"/>
          <w:sz w:val="20"/>
          <w:szCs w:val="20"/>
          <w:lang w:val="fr-FR" w:eastAsia="en-US"/>
        </w:rPr>
        <w:t xml:space="preserve">'exécutif du projet est : </w:t>
      </w:r>
      <w:r w:rsidRPr="000E53A0">
        <w:rPr>
          <w:rFonts w:ascii="Calibri" w:eastAsia="Calibri" w:hAnsi="Calibri" w:cs="Calibri"/>
          <w:sz w:val="20"/>
          <w:szCs w:val="20"/>
          <w:lang w:val="fr-FR" w:eastAsia="en-US"/>
        </w:rPr>
        <w:t>le représentant du Ministère de l'Environnement, de l'Assainissement et du Développement Durable (MEADD).</w:t>
      </w:r>
    </w:p>
    <w:p w14:paraId="5263B8CD" w14:textId="77777777" w:rsidR="00A17302" w:rsidRPr="000E53A0" w:rsidRDefault="00A17302" w:rsidP="00A17302">
      <w:pPr>
        <w:rPr>
          <w:rFonts w:ascii="Calibri" w:eastAsia="SimSun" w:hAnsi="Calibri"/>
          <w:sz w:val="20"/>
          <w:szCs w:val="20"/>
          <w:lang w:val="fr-FR" w:eastAsia="en-US"/>
        </w:rPr>
      </w:pPr>
    </w:p>
    <w:p w14:paraId="56B57E51" w14:textId="77777777" w:rsidR="00601D9B" w:rsidRPr="000E53A0" w:rsidRDefault="000E53A0">
      <w:pPr>
        <w:numPr>
          <w:ilvl w:val="0"/>
          <w:numId w:val="40"/>
        </w:numPr>
        <w:spacing w:after="60"/>
        <w:jc w:val="both"/>
        <w:rPr>
          <w:rFonts w:ascii="Calibri" w:eastAsia="Calibri" w:hAnsi="Calibri" w:cs="Calibri"/>
          <w:sz w:val="20"/>
          <w:szCs w:val="20"/>
          <w:lang w:val="fr-FR" w:eastAsia="en-US"/>
        </w:rPr>
      </w:pPr>
      <w:r w:rsidRPr="000E53A0">
        <w:rPr>
          <w:rFonts w:ascii="Calibri" w:eastAsia="Calibri" w:hAnsi="Calibri"/>
          <w:sz w:val="20"/>
          <w:szCs w:val="20"/>
          <w:lang w:val="fr-FR" w:eastAsia="en-US"/>
        </w:rPr>
        <w:t xml:space="preserve">Représentant(s) bénéficiaire(s) : </w:t>
      </w:r>
      <w:r w:rsidRPr="000E53A0">
        <w:rPr>
          <w:rFonts w:ascii="Calibri" w:hAnsi="Calibri" w:cs="Calibri"/>
          <w:sz w:val="20"/>
          <w:szCs w:val="20"/>
          <w:lang w:val="fr-FR" w:eastAsia="en-US"/>
        </w:rPr>
        <w:t xml:space="preserve">Individus ou groupes représentant les intérêts de ceux qui bénéficieront finalement du projet. Leur fonction principale au sein du conseil est d'assurer la réalisation des résultats du projet du point de vue des bénéficiaires du projet. Souvent, le ou les représentants de la société civile peuvent remplir ce rôle. </w:t>
      </w:r>
      <w:r w:rsidRPr="000E53A0">
        <w:rPr>
          <w:rFonts w:ascii="Calibri" w:eastAsia="Calibri" w:hAnsi="Calibri"/>
          <w:sz w:val="20"/>
          <w:szCs w:val="20"/>
          <w:lang w:val="fr-FR" w:eastAsia="en-US"/>
        </w:rPr>
        <w:t xml:space="preserve">Le(s) représentant(s) des bénéficiaires est/sont : </w:t>
      </w:r>
      <w:r w:rsidRPr="000E53A0">
        <w:rPr>
          <w:rFonts w:ascii="Calibri" w:eastAsia="Calibri" w:hAnsi="Calibri" w:cs="Calibri"/>
          <w:sz w:val="20"/>
          <w:szCs w:val="20"/>
          <w:lang w:val="fr-FR" w:eastAsia="en-US"/>
        </w:rPr>
        <w:t>Les représentants des organisations de producteurs sélectionnées (y compris les associations de femmes) ; les ONG (AMEDD), le Conseil National des Employeurs du Mali, et RECOTRADE s'assureront que les intérêts des bénéficiaires sont pris en compte.</w:t>
      </w:r>
    </w:p>
    <w:p w14:paraId="0BBBCE35" w14:textId="77777777" w:rsidR="00A17302" w:rsidRPr="000E53A0" w:rsidRDefault="00A17302" w:rsidP="00A17302">
      <w:pPr>
        <w:ind w:left="360"/>
        <w:rPr>
          <w:rFonts w:ascii="Calibri" w:eastAsia="SimSun" w:hAnsi="Calibri"/>
          <w:i/>
          <w:sz w:val="20"/>
          <w:szCs w:val="20"/>
          <w:lang w:val="fr-FR" w:eastAsia="en-US"/>
        </w:rPr>
      </w:pPr>
    </w:p>
    <w:p w14:paraId="3EE2867E" w14:textId="77777777" w:rsidR="00601D9B" w:rsidRPr="000E53A0" w:rsidRDefault="000E53A0">
      <w:pPr>
        <w:numPr>
          <w:ilvl w:val="0"/>
          <w:numId w:val="40"/>
        </w:numPr>
        <w:spacing w:after="60"/>
        <w:jc w:val="both"/>
        <w:rPr>
          <w:rFonts w:ascii="Calibri" w:eastAsia="Calibri" w:hAnsi="Calibri" w:cs="Calibri"/>
          <w:sz w:val="20"/>
          <w:szCs w:val="20"/>
          <w:lang w:val="fr-FR" w:eastAsia="en-US"/>
        </w:rPr>
      </w:pPr>
      <w:r w:rsidRPr="000E53A0">
        <w:rPr>
          <w:rFonts w:ascii="Calibri" w:eastAsia="Calibri" w:hAnsi="Calibri"/>
          <w:sz w:val="20"/>
          <w:szCs w:val="20"/>
          <w:lang w:val="fr-FR" w:eastAsia="en-US"/>
        </w:rPr>
        <w:t xml:space="preserve">Partenaire(s) de développement : </w:t>
      </w:r>
      <w:r w:rsidRPr="000E53A0">
        <w:rPr>
          <w:rFonts w:ascii="Calibri" w:hAnsi="Calibri" w:cs="Calibri"/>
          <w:sz w:val="20"/>
          <w:szCs w:val="20"/>
          <w:lang w:val="fr-FR" w:eastAsia="en-US"/>
        </w:rPr>
        <w:t xml:space="preserve">Individus ou groupes représentant les intérêts des parties concernées qui fournissent un financement et/ou une expertise technique au projet. </w:t>
      </w:r>
      <w:r w:rsidRPr="000E53A0">
        <w:rPr>
          <w:rFonts w:ascii="Calibri" w:eastAsia="Calibri" w:hAnsi="Calibri"/>
          <w:sz w:val="20"/>
          <w:szCs w:val="20"/>
          <w:lang w:val="fr-FR" w:eastAsia="en-US"/>
        </w:rPr>
        <w:t xml:space="preserve">Les Partenaires de développement sont : </w:t>
      </w:r>
      <w:r w:rsidRPr="000E53A0">
        <w:rPr>
          <w:rFonts w:ascii="Calibri" w:eastAsia="Calibri" w:hAnsi="Calibri" w:cs="Calibri"/>
          <w:sz w:val="20"/>
          <w:szCs w:val="20"/>
          <w:lang w:val="fr-FR" w:eastAsia="en-US"/>
        </w:rPr>
        <w:t xml:space="preserve">Le Représentant Résident du PNUD ; les représentants de la Direction Nationale des Eaux et Forêts (DNEF) ; la Direction Nationale des Productions et Industries Animales (DNPIA) ; l'Institut d'Economie Rurale (IER) ; l'Institut Géographique du Mali (IGM) ; Agence Nationale de Météorologie (MALI METEO) ; Direction Nationale de l'Aménagement du Territoire (DNAT) ; </w:t>
      </w:r>
      <w:r w:rsidRPr="000E53A0">
        <w:rPr>
          <w:rFonts w:ascii="Calibri" w:eastAsia="Calibri" w:hAnsi="Calibri" w:cs="Calibri"/>
          <w:iCs/>
          <w:color w:val="000000"/>
          <w:sz w:val="22"/>
          <w:szCs w:val="22"/>
          <w:lang w:val="fr-FR" w:eastAsia="en-US"/>
        </w:rPr>
        <w:t>UICN</w:t>
      </w:r>
      <w:r w:rsidRPr="00A17302">
        <w:rPr>
          <w:rFonts w:ascii="Calibri" w:eastAsia="Calibri" w:hAnsi="Calibri" w:cs="Calibri"/>
          <w:iCs/>
          <w:color w:val="000000"/>
          <w:sz w:val="22"/>
          <w:szCs w:val="22"/>
          <w:vertAlign w:val="superscript"/>
          <w:lang w:val="en-US" w:eastAsia="en-US"/>
        </w:rPr>
        <w:footnoteRef/>
      </w:r>
      <w:r w:rsidRPr="000E53A0">
        <w:rPr>
          <w:rFonts w:ascii="Calibri" w:eastAsia="Calibri" w:hAnsi="Calibri" w:cs="Calibri"/>
          <w:iCs/>
          <w:color w:val="000000"/>
          <w:sz w:val="22"/>
          <w:szCs w:val="22"/>
          <w:lang w:val="fr-FR" w:eastAsia="en-US"/>
        </w:rPr>
        <w:t>, WETLANDS</w:t>
      </w:r>
      <w:r w:rsidRPr="00A17302">
        <w:rPr>
          <w:rFonts w:eastAsia="Calibri"/>
          <w:sz w:val="16"/>
          <w:szCs w:val="16"/>
          <w:lang w:val="en-US" w:eastAsia="en-US"/>
        </w:rPr>
        <w:annotationRef/>
      </w:r>
      <w:r w:rsidRPr="000E53A0">
        <w:rPr>
          <w:rFonts w:ascii="Calibri" w:eastAsia="Calibri" w:hAnsi="Calibri" w:cs="Calibri"/>
          <w:iCs/>
          <w:color w:val="000000"/>
          <w:sz w:val="22"/>
          <w:szCs w:val="22"/>
          <w:lang w:val="fr-FR" w:eastAsia="en-US"/>
        </w:rPr>
        <w:t xml:space="preserve">, Universités, Direction Nationale de la </w:t>
      </w:r>
      <w:r w:rsidRPr="000E53A0">
        <w:rPr>
          <w:rFonts w:ascii="Calibri" w:eastAsia="Calibri" w:hAnsi="Calibri" w:cs="Calibri"/>
          <w:iCs/>
          <w:color w:val="000000"/>
          <w:sz w:val="22"/>
          <w:szCs w:val="22"/>
          <w:lang w:val="fr-FR" w:eastAsia="en-US"/>
        </w:rPr>
        <w:lastRenderedPageBreak/>
        <w:t xml:space="preserve">Promotion de la Femme, de l'Enfant et de la Famille, Direction Nationale de la Pêche, </w:t>
      </w:r>
      <w:r w:rsidRPr="000E53A0">
        <w:rPr>
          <w:rFonts w:ascii="Calibri" w:eastAsia="Calibri" w:hAnsi="Calibri" w:cs="Calibri"/>
          <w:sz w:val="20"/>
          <w:szCs w:val="20"/>
          <w:lang w:val="fr-FR" w:eastAsia="en-US"/>
        </w:rPr>
        <w:t>et le Directeur Général de l'AEDD.</w:t>
      </w:r>
    </w:p>
    <w:p w14:paraId="134E754E" w14:textId="77777777" w:rsidR="00A17302" w:rsidRPr="000E53A0" w:rsidRDefault="00A17302" w:rsidP="00A17302">
      <w:pPr>
        <w:ind w:left="360"/>
        <w:rPr>
          <w:rFonts w:ascii="Calibri" w:eastAsia="SimSun" w:hAnsi="Calibri"/>
          <w:sz w:val="20"/>
          <w:szCs w:val="20"/>
          <w:u w:val="single"/>
          <w:lang w:val="fr-FR" w:eastAsia="en-US"/>
        </w:rPr>
      </w:pPr>
    </w:p>
    <w:p w14:paraId="43F6E988" w14:textId="77777777" w:rsidR="00601D9B" w:rsidRPr="000E53A0" w:rsidRDefault="000E53A0">
      <w:pPr>
        <w:numPr>
          <w:ilvl w:val="0"/>
          <w:numId w:val="40"/>
        </w:numPr>
        <w:spacing w:after="60"/>
        <w:jc w:val="both"/>
        <w:rPr>
          <w:rFonts w:ascii="Calibri" w:eastAsia="Calibri" w:hAnsi="Calibri"/>
          <w:i/>
          <w:sz w:val="20"/>
          <w:szCs w:val="20"/>
          <w:lang w:val="fr-FR" w:eastAsia="en-US"/>
        </w:rPr>
      </w:pPr>
      <w:r w:rsidRPr="000E53A0">
        <w:rPr>
          <w:rFonts w:ascii="Calibri" w:eastAsia="Calibri" w:hAnsi="Calibri"/>
          <w:sz w:val="20"/>
          <w:szCs w:val="20"/>
          <w:lang w:val="fr-FR" w:eastAsia="en-US"/>
        </w:rPr>
        <w:t>Assurance du projet : Le PNUD assure l'assurance qualité et soutient le Comité de pilotage du projet et l'Unité de gestion du projet en exerçant des fonctions objectives et indépendantes de supervision et de suivi du projet. Ce rôle garantit que les étapes appropriées de la gestion du projet sont gérées et achevées, et que les questions de conflit d'intérêts sont surveillées et traitées. Le comité de pilotage du projet ne peut déléguer aucune de ses responsabilités en matière d'assurance qualité au gestionnaire du projet. Le PNUD fournit des services de supervision à trois niveaux, impliquant les bureaux nationaux du PNUD et le PNUD au niveau régional et au niveau du siège. L'assurance du projet est totalement indépendante de l'exécution du projet.</w:t>
      </w:r>
    </w:p>
    <w:p w14:paraId="7269E916" w14:textId="77777777" w:rsidR="00A17302" w:rsidRPr="000E53A0" w:rsidRDefault="00A17302" w:rsidP="00A17302">
      <w:pPr>
        <w:rPr>
          <w:rFonts w:ascii="Calibri" w:eastAsia="SimSun" w:hAnsi="Calibri" w:cs="Arial"/>
          <w:b/>
          <w:noProof/>
          <w:sz w:val="20"/>
          <w:szCs w:val="20"/>
          <w:lang w:val="fr-FR" w:eastAsia="zh-CN"/>
        </w:rPr>
      </w:pPr>
    </w:p>
    <w:p w14:paraId="641FD34C" w14:textId="77777777" w:rsidR="00601D9B" w:rsidRPr="000E53A0" w:rsidRDefault="000E53A0">
      <w:pPr>
        <w:rPr>
          <w:rFonts w:ascii="Calibri" w:eastAsia="SimSun" w:hAnsi="Calibri" w:cs="Arial"/>
          <w:noProof/>
          <w:sz w:val="20"/>
          <w:szCs w:val="20"/>
          <w:lang w:val="fr-FR" w:eastAsia="zh-CN"/>
        </w:rPr>
      </w:pPr>
      <w:r w:rsidRPr="000E53A0">
        <w:rPr>
          <w:rFonts w:ascii="Calibri" w:eastAsia="SimSun" w:hAnsi="Calibri" w:cs="Arial"/>
          <w:b/>
          <w:noProof/>
          <w:sz w:val="20"/>
          <w:szCs w:val="20"/>
          <w:lang w:val="fr-FR" w:eastAsia="zh-CN"/>
        </w:rPr>
        <w:t xml:space="preserve">Prolongation des projets : </w:t>
      </w:r>
      <w:r w:rsidRPr="000E53A0">
        <w:rPr>
          <w:rFonts w:ascii="Calibri" w:eastAsia="SimSun" w:hAnsi="Calibri" w:cs="Arial"/>
          <w:noProof/>
          <w:sz w:val="20"/>
          <w:szCs w:val="20"/>
          <w:lang w:val="fr-FR" w:eastAsia="zh-CN"/>
        </w:rPr>
        <w:t xml:space="preserve">Le Représentant résident du PNUD et le Coordinateur exécutif du PNUD-FEM doivent approuver toutes les demandes d'extension de projet. Il convient de noter que toutes les prolongations entraînent des coûts et que le budget du projet FEM ne peut être augmenté. Une seule prorogation peut être accordée à titre exceptionnel et uniquement si les conditions suivantes sont remplies : une seule prorogation pour un projet d'une durée maximale de six mois ; les coûts de gestion du projet pendant la période de prorogation doivent rester dans les limites du montant initialement approuvé, et toute augmentation des coûts du PMC sera couverte par des ressources autres que le FEM ; les coûts de supervision du Bureau de pays du PNUD dépassant les frais d'agence du CO spécifiés dans la DOA pendant la période de prorogation doivent être couverts par des ressources autres que le FEM. </w:t>
      </w:r>
    </w:p>
    <w:p w14:paraId="33F9F070" w14:textId="77777777" w:rsidR="005C620C" w:rsidRPr="000E53A0" w:rsidRDefault="005C620C" w:rsidP="003644BD">
      <w:pPr>
        <w:rPr>
          <w:rFonts w:cs="Arial"/>
          <w:noProof/>
          <w:szCs w:val="20"/>
          <w:lang w:val="fr-FR" w:eastAsia="zh-CN"/>
        </w:rPr>
      </w:pPr>
    </w:p>
    <w:p w14:paraId="1689CCC3" w14:textId="77777777" w:rsidR="008E649F" w:rsidRPr="000E53A0" w:rsidRDefault="008E649F" w:rsidP="003644BD">
      <w:pPr>
        <w:rPr>
          <w:rFonts w:cs="Arial"/>
          <w:noProof/>
          <w:szCs w:val="20"/>
          <w:lang w:val="fr-FR" w:eastAsia="zh-CN"/>
        </w:rPr>
      </w:pPr>
      <w:r w:rsidRPr="000E53A0">
        <w:rPr>
          <w:rFonts w:cs="Arial"/>
          <w:noProof/>
          <w:szCs w:val="20"/>
          <w:lang w:val="fr-FR" w:eastAsia="zh-CN"/>
        </w:rPr>
        <w:br w:type="page"/>
      </w:r>
    </w:p>
    <w:p w14:paraId="3F8100AC" w14:textId="77777777" w:rsidR="000D41A1" w:rsidRPr="000E53A0" w:rsidRDefault="000D41A1" w:rsidP="003644BD">
      <w:pPr>
        <w:rPr>
          <w:rFonts w:cs="Arial"/>
          <w:noProof/>
          <w:szCs w:val="20"/>
          <w:lang w:val="fr-FR" w:eastAsia="zh-CN"/>
        </w:rPr>
      </w:pPr>
    </w:p>
    <w:p w14:paraId="5303AA4A" w14:textId="77777777" w:rsidR="00601D9B" w:rsidRDefault="000E53A0">
      <w:pPr>
        <w:pStyle w:val="Titre1"/>
        <w:spacing w:before="0" w:after="0"/>
        <w:rPr>
          <w:rFonts w:ascii="Calibri" w:hAnsi="Calibri"/>
        </w:rPr>
      </w:pPr>
      <w:bookmarkStart w:id="50" w:name="_Toc46749083"/>
      <w:commentRangeStart w:id="51"/>
      <w:r w:rsidRPr="0003763F">
        <w:rPr>
          <w:rFonts w:ascii="Calibri" w:hAnsi="Calibri"/>
        </w:rPr>
        <w:t>Planification et gestion financières</w:t>
      </w:r>
      <w:commentRangeEnd w:id="51"/>
      <w:r w:rsidR="00107491">
        <w:rPr>
          <w:rStyle w:val="Marquedecommentaire"/>
          <w:rFonts w:ascii="Times New Roman" w:hAnsi="Times New Roman"/>
          <w:b w:val="0"/>
          <w:smallCaps w:val="0"/>
          <w:spacing w:val="0"/>
        </w:rPr>
        <w:commentReference w:id="51"/>
      </w:r>
      <w:r w:rsidRPr="0003763F">
        <w:rPr>
          <w:rFonts w:ascii="Calibri" w:hAnsi="Calibri"/>
        </w:rPr>
        <w:t xml:space="preserve"> </w:t>
      </w:r>
      <w:bookmarkEnd w:id="50"/>
    </w:p>
    <w:p w14:paraId="4EA8B0A0" w14:textId="77777777" w:rsidR="006674A2" w:rsidRDefault="006674A2" w:rsidP="00A04E6F">
      <w:pPr>
        <w:autoSpaceDE w:val="0"/>
        <w:autoSpaceDN w:val="0"/>
        <w:adjustRightInd w:val="0"/>
        <w:rPr>
          <w:b/>
          <w:i/>
          <w:color w:val="000000"/>
          <w:szCs w:val="20"/>
        </w:rPr>
      </w:pPr>
    </w:p>
    <w:p w14:paraId="388CB880" w14:textId="77777777" w:rsidR="00601D9B" w:rsidRPr="000E53A0" w:rsidRDefault="000E53A0">
      <w:pPr>
        <w:autoSpaceDE w:val="0"/>
        <w:autoSpaceDN w:val="0"/>
        <w:adjustRightInd w:val="0"/>
        <w:rPr>
          <w:rFonts w:asciiTheme="minorHAnsi" w:hAnsiTheme="minorHAnsi" w:cstheme="minorHAnsi"/>
          <w:i/>
          <w:color w:val="000000"/>
          <w:sz w:val="20"/>
          <w:szCs w:val="20"/>
          <w:highlight w:val="yellow"/>
          <w:lang w:val="fr-FR"/>
        </w:rPr>
      </w:pPr>
      <w:r w:rsidRPr="000E53A0">
        <w:rPr>
          <w:rFonts w:asciiTheme="minorHAnsi" w:hAnsiTheme="minorHAnsi" w:cstheme="minorHAnsi"/>
          <w:b/>
          <w:i/>
          <w:color w:val="000000"/>
          <w:sz w:val="20"/>
          <w:szCs w:val="20"/>
          <w:highlight w:val="yellow"/>
          <w:lang w:val="fr-FR"/>
        </w:rPr>
        <w:t xml:space="preserve">Conseils </w:t>
      </w:r>
      <w:r w:rsidR="003E3ABA" w:rsidRPr="000E53A0">
        <w:rPr>
          <w:rFonts w:asciiTheme="minorHAnsi" w:hAnsiTheme="minorHAnsi" w:cstheme="minorHAnsi"/>
          <w:b/>
          <w:i/>
          <w:color w:val="000000"/>
          <w:sz w:val="20"/>
          <w:szCs w:val="20"/>
          <w:highlight w:val="yellow"/>
          <w:lang w:val="fr-FR"/>
        </w:rPr>
        <w:t xml:space="preserve">au développeur de projet </w:t>
      </w:r>
      <w:r w:rsidR="003E3ABA" w:rsidRPr="000E53A0">
        <w:rPr>
          <w:rFonts w:asciiTheme="minorHAnsi" w:hAnsiTheme="minorHAnsi" w:cstheme="minorHAnsi"/>
          <w:i/>
          <w:color w:val="000000"/>
          <w:sz w:val="20"/>
          <w:szCs w:val="20"/>
          <w:highlight w:val="yellow"/>
          <w:lang w:val="fr-FR"/>
        </w:rPr>
        <w:t xml:space="preserve">: </w:t>
      </w:r>
      <w:r w:rsidR="00393350" w:rsidRPr="000E53A0">
        <w:rPr>
          <w:rFonts w:asciiTheme="minorHAnsi" w:hAnsiTheme="minorHAnsi" w:cstheme="minorHAnsi"/>
          <w:i/>
          <w:color w:val="000000"/>
          <w:sz w:val="20"/>
          <w:szCs w:val="20"/>
          <w:highlight w:val="yellow"/>
          <w:lang w:val="fr-FR"/>
        </w:rPr>
        <w:t xml:space="preserve">veuillez compléter le texte manquant ci-dessous. </w:t>
      </w:r>
    </w:p>
    <w:p w14:paraId="098EE031" w14:textId="77777777" w:rsidR="00897F6C" w:rsidRPr="000E53A0" w:rsidRDefault="00897F6C" w:rsidP="001E7D8C">
      <w:pPr>
        <w:autoSpaceDE w:val="0"/>
        <w:autoSpaceDN w:val="0"/>
        <w:adjustRightInd w:val="0"/>
        <w:rPr>
          <w:rFonts w:asciiTheme="minorHAnsi" w:hAnsiTheme="minorHAnsi" w:cstheme="minorHAnsi"/>
          <w:i/>
          <w:color w:val="000000"/>
          <w:sz w:val="20"/>
          <w:szCs w:val="20"/>
          <w:highlight w:val="yellow"/>
          <w:lang w:val="fr-FR"/>
        </w:rPr>
      </w:pPr>
    </w:p>
    <w:p w14:paraId="493B7B89" w14:textId="77777777" w:rsidR="00601D9B" w:rsidRPr="000E53A0" w:rsidRDefault="000E53A0">
      <w:pPr>
        <w:autoSpaceDE w:val="0"/>
        <w:autoSpaceDN w:val="0"/>
        <w:adjustRightInd w:val="0"/>
        <w:rPr>
          <w:rFonts w:asciiTheme="minorHAnsi" w:hAnsiTheme="minorHAnsi" w:cstheme="minorHAnsi"/>
          <w:color w:val="000000"/>
          <w:sz w:val="20"/>
          <w:szCs w:val="20"/>
          <w:lang w:val="fr-FR"/>
        </w:rPr>
      </w:pPr>
      <w:r w:rsidRPr="000E53A0">
        <w:rPr>
          <w:rFonts w:asciiTheme="minorHAnsi" w:hAnsiTheme="minorHAnsi" w:cstheme="minorHAnsi"/>
          <w:b/>
          <w:i/>
          <w:sz w:val="20"/>
          <w:szCs w:val="20"/>
          <w:highlight w:val="yellow"/>
          <w:lang w:val="fr-FR"/>
        </w:rPr>
        <w:t xml:space="preserve">Modèle d'approbation du PDG </w:t>
      </w:r>
      <w:r w:rsidRPr="000E53A0">
        <w:rPr>
          <w:rFonts w:asciiTheme="minorHAnsi" w:hAnsiTheme="minorHAnsi" w:cstheme="minorHAnsi"/>
          <w:i/>
          <w:sz w:val="20"/>
          <w:szCs w:val="20"/>
          <w:highlight w:val="yellow"/>
          <w:lang w:val="fr-FR"/>
        </w:rPr>
        <w:t xml:space="preserve">:  Aligner le </w:t>
      </w:r>
      <w:r w:rsidR="003F1173" w:rsidRPr="000E53A0">
        <w:rPr>
          <w:rFonts w:asciiTheme="minorHAnsi" w:hAnsiTheme="minorHAnsi" w:cstheme="minorHAnsi"/>
          <w:i/>
          <w:sz w:val="20"/>
          <w:szCs w:val="20"/>
          <w:highlight w:val="yellow"/>
          <w:lang w:val="fr-FR"/>
        </w:rPr>
        <w:t xml:space="preserve">contenu </w:t>
      </w:r>
      <w:r w:rsidRPr="000E53A0">
        <w:rPr>
          <w:rFonts w:asciiTheme="minorHAnsi" w:hAnsiTheme="minorHAnsi" w:cstheme="minorHAnsi"/>
          <w:i/>
          <w:sz w:val="20"/>
          <w:szCs w:val="20"/>
          <w:highlight w:val="yellow"/>
          <w:lang w:val="fr-FR"/>
        </w:rPr>
        <w:t xml:space="preserve">technique </w:t>
      </w:r>
      <w:r w:rsidR="003F1173" w:rsidRPr="000E53A0">
        <w:rPr>
          <w:rFonts w:asciiTheme="minorHAnsi" w:hAnsiTheme="minorHAnsi" w:cstheme="minorHAnsi"/>
          <w:i/>
          <w:sz w:val="20"/>
          <w:szCs w:val="20"/>
          <w:highlight w:val="yellow"/>
          <w:lang w:val="fr-FR"/>
        </w:rPr>
        <w:t xml:space="preserve">avec la partie C </w:t>
      </w:r>
      <w:r w:rsidRPr="000E53A0">
        <w:rPr>
          <w:rFonts w:asciiTheme="minorHAnsi" w:hAnsiTheme="minorHAnsi" w:cstheme="minorHAnsi"/>
          <w:i/>
          <w:sz w:val="20"/>
          <w:szCs w:val="20"/>
          <w:highlight w:val="yellow"/>
          <w:lang w:val="fr-FR"/>
        </w:rPr>
        <w:t xml:space="preserve">Sources de </w:t>
      </w:r>
      <w:proofErr w:type="gramStart"/>
      <w:r w:rsidRPr="000E53A0">
        <w:rPr>
          <w:rFonts w:asciiTheme="minorHAnsi" w:hAnsiTheme="minorHAnsi" w:cstheme="minorHAnsi"/>
          <w:i/>
          <w:sz w:val="20"/>
          <w:szCs w:val="20"/>
          <w:highlight w:val="yellow"/>
          <w:lang w:val="fr-FR"/>
        </w:rPr>
        <w:t xml:space="preserve">cofinancement </w:t>
      </w:r>
      <w:r w:rsidR="003F1173" w:rsidRPr="000E53A0">
        <w:rPr>
          <w:rFonts w:asciiTheme="minorHAnsi" w:hAnsiTheme="minorHAnsi" w:cstheme="minorHAnsi"/>
          <w:i/>
          <w:sz w:val="20"/>
          <w:szCs w:val="20"/>
          <w:highlight w:val="yellow"/>
          <w:lang w:val="fr-FR"/>
        </w:rPr>
        <w:t>confirmées</w:t>
      </w:r>
      <w:proofErr w:type="gramEnd"/>
      <w:r w:rsidR="003F1173" w:rsidRPr="000E53A0">
        <w:rPr>
          <w:rFonts w:asciiTheme="minorHAnsi" w:hAnsiTheme="minorHAnsi" w:cstheme="minorHAnsi"/>
          <w:i/>
          <w:sz w:val="20"/>
          <w:szCs w:val="20"/>
          <w:highlight w:val="yellow"/>
          <w:lang w:val="fr-FR"/>
        </w:rPr>
        <w:t xml:space="preserve"> </w:t>
      </w:r>
      <w:r w:rsidRPr="000E53A0">
        <w:rPr>
          <w:rFonts w:asciiTheme="minorHAnsi" w:hAnsiTheme="minorHAnsi" w:cstheme="minorHAnsi"/>
          <w:i/>
          <w:sz w:val="20"/>
          <w:szCs w:val="20"/>
          <w:highlight w:val="yellow"/>
          <w:lang w:val="fr-FR"/>
        </w:rPr>
        <w:t>pour le projet par nom et source.</w:t>
      </w:r>
    </w:p>
    <w:p w14:paraId="09FF1868" w14:textId="77777777" w:rsidR="008466F0" w:rsidRPr="000E53A0" w:rsidRDefault="008466F0" w:rsidP="001E7D8C">
      <w:pPr>
        <w:autoSpaceDE w:val="0"/>
        <w:autoSpaceDN w:val="0"/>
        <w:adjustRightInd w:val="0"/>
        <w:rPr>
          <w:rFonts w:asciiTheme="minorHAnsi" w:hAnsiTheme="minorHAnsi" w:cstheme="minorHAnsi"/>
          <w:color w:val="000000"/>
          <w:sz w:val="20"/>
          <w:szCs w:val="20"/>
          <w:lang w:val="fr-FR"/>
        </w:rPr>
      </w:pPr>
    </w:p>
    <w:p w14:paraId="1A57F4E5" w14:textId="77777777" w:rsidR="00601D9B" w:rsidRPr="000E53A0" w:rsidRDefault="000E53A0">
      <w:pPr>
        <w:autoSpaceDE w:val="0"/>
        <w:autoSpaceDN w:val="0"/>
        <w:adjustRightInd w:val="0"/>
        <w:rPr>
          <w:rFonts w:asciiTheme="minorHAnsi" w:hAnsiTheme="minorHAnsi" w:cstheme="minorHAnsi"/>
          <w:color w:val="000000"/>
          <w:sz w:val="20"/>
          <w:szCs w:val="20"/>
          <w:lang w:val="fr-FR"/>
        </w:rPr>
      </w:pPr>
      <w:r w:rsidRPr="000E53A0">
        <w:rPr>
          <w:rFonts w:asciiTheme="minorHAnsi" w:hAnsiTheme="minorHAnsi" w:cstheme="minorHAnsi"/>
          <w:color w:val="000000"/>
          <w:sz w:val="20"/>
          <w:szCs w:val="20"/>
          <w:lang w:val="fr-FR"/>
        </w:rPr>
        <w:t xml:space="preserve">Le coût total du projet est de </w:t>
      </w:r>
      <w:r w:rsidRPr="000E53A0">
        <w:rPr>
          <w:rFonts w:asciiTheme="minorHAnsi" w:hAnsiTheme="minorHAnsi" w:cstheme="minorHAnsi"/>
          <w:i/>
          <w:color w:val="000000"/>
          <w:sz w:val="20"/>
          <w:szCs w:val="20"/>
          <w:highlight w:val="yellow"/>
          <w:lang w:val="fr-FR"/>
        </w:rPr>
        <w:t xml:space="preserve">XXX USD.  </w:t>
      </w:r>
      <w:r w:rsidRPr="000E53A0">
        <w:rPr>
          <w:rFonts w:asciiTheme="minorHAnsi" w:hAnsiTheme="minorHAnsi" w:cstheme="minorHAnsi"/>
          <w:color w:val="000000"/>
          <w:sz w:val="20"/>
          <w:szCs w:val="20"/>
          <w:lang w:val="fr-FR"/>
        </w:rPr>
        <w:t xml:space="preserve">Il est financé par une </w:t>
      </w:r>
      <w:r w:rsidRPr="000E53A0">
        <w:rPr>
          <w:rFonts w:asciiTheme="minorHAnsi" w:hAnsiTheme="minorHAnsi" w:cstheme="minorHAnsi"/>
          <w:color w:val="000000"/>
          <w:sz w:val="20"/>
          <w:szCs w:val="20"/>
          <w:highlight w:val="yellow"/>
          <w:lang w:val="fr-FR"/>
        </w:rPr>
        <w:t>subvention du FEM</w:t>
      </w:r>
      <w:r w:rsidRPr="000E53A0">
        <w:rPr>
          <w:rFonts w:asciiTheme="minorHAnsi" w:hAnsiTheme="minorHAnsi" w:cstheme="minorHAnsi"/>
          <w:i/>
          <w:color w:val="000000"/>
          <w:sz w:val="20"/>
          <w:szCs w:val="20"/>
          <w:highlight w:val="yellow"/>
          <w:lang w:val="fr-FR"/>
        </w:rPr>
        <w:t xml:space="preserve">, du FPMA ou du FSCC </w:t>
      </w:r>
      <w:r w:rsidRPr="000E53A0">
        <w:rPr>
          <w:rFonts w:asciiTheme="minorHAnsi" w:hAnsiTheme="minorHAnsi" w:cstheme="minorHAnsi"/>
          <w:color w:val="000000"/>
          <w:sz w:val="20"/>
          <w:szCs w:val="20"/>
          <w:highlight w:val="yellow"/>
          <w:lang w:val="fr-FR"/>
        </w:rPr>
        <w:t xml:space="preserve">de XXX </w:t>
      </w:r>
      <w:r w:rsidRPr="000E53A0">
        <w:rPr>
          <w:rFonts w:asciiTheme="minorHAnsi" w:hAnsiTheme="minorHAnsi" w:cstheme="minorHAnsi"/>
          <w:i/>
          <w:color w:val="000000"/>
          <w:sz w:val="20"/>
          <w:szCs w:val="20"/>
          <w:highlight w:val="yellow"/>
          <w:lang w:val="fr-FR"/>
        </w:rPr>
        <w:t xml:space="preserve">USD </w:t>
      </w:r>
      <w:r w:rsidR="00C82F2C" w:rsidRPr="000E53A0">
        <w:rPr>
          <w:rFonts w:asciiTheme="minorHAnsi" w:hAnsiTheme="minorHAnsi" w:cstheme="minorHAnsi"/>
          <w:color w:val="000000"/>
          <w:sz w:val="20"/>
          <w:szCs w:val="20"/>
          <w:highlight w:val="yellow"/>
          <w:lang w:val="fr-FR"/>
        </w:rPr>
        <w:t>administrée par le PNUD</w:t>
      </w:r>
      <w:r w:rsidRPr="000E53A0">
        <w:rPr>
          <w:rFonts w:asciiTheme="minorHAnsi" w:hAnsiTheme="minorHAnsi" w:cstheme="minorHAnsi"/>
          <w:color w:val="000000"/>
          <w:sz w:val="20"/>
          <w:szCs w:val="20"/>
          <w:highlight w:val="yellow"/>
          <w:lang w:val="fr-FR"/>
        </w:rPr>
        <w:t xml:space="preserve">, un </w:t>
      </w:r>
      <w:r w:rsidRPr="000E53A0">
        <w:rPr>
          <w:rFonts w:asciiTheme="minorHAnsi" w:hAnsiTheme="minorHAnsi" w:cstheme="minorHAnsi"/>
          <w:color w:val="000000"/>
          <w:sz w:val="20"/>
          <w:szCs w:val="20"/>
          <w:lang w:val="fr-FR"/>
        </w:rPr>
        <w:t xml:space="preserve">cofinancement en espèces de </w:t>
      </w:r>
      <w:r w:rsidRPr="000E53A0">
        <w:rPr>
          <w:rFonts w:asciiTheme="minorHAnsi" w:hAnsiTheme="minorHAnsi" w:cstheme="minorHAnsi"/>
          <w:i/>
          <w:color w:val="000000"/>
          <w:sz w:val="20"/>
          <w:szCs w:val="20"/>
          <w:highlight w:val="yellow"/>
          <w:lang w:val="fr-FR"/>
        </w:rPr>
        <w:t xml:space="preserve">XXX USD </w:t>
      </w:r>
      <w:r w:rsidRPr="000E53A0">
        <w:rPr>
          <w:rFonts w:asciiTheme="minorHAnsi" w:hAnsiTheme="minorHAnsi" w:cstheme="minorHAnsi"/>
          <w:color w:val="000000"/>
          <w:sz w:val="20"/>
          <w:szCs w:val="20"/>
          <w:lang w:val="fr-FR"/>
        </w:rPr>
        <w:t xml:space="preserve">à administrer par le PNUD et un </w:t>
      </w:r>
      <w:r w:rsidR="008B0911" w:rsidRPr="000E53A0">
        <w:rPr>
          <w:rFonts w:asciiTheme="minorHAnsi" w:hAnsiTheme="minorHAnsi" w:cstheme="minorHAnsi"/>
          <w:color w:val="000000"/>
          <w:sz w:val="20"/>
          <w:szCs w:val="20"/>
          <w:lang w:val="fr-FR"/>
        </w:rPr>
        <w:t xml:space="preserve">soutien supplémentaire de </w:t>
      </w:r>
      <w:r w:rsidRPr="000E53A0">
        <w:rPr>
          <w:rFonts w:asciiTheme="minorHAnsi" w:hAnsiTheme="minorHAnsi" w:cstheme="minorHAnsi"/>
          <w:i/>
          <w:color w:val="000000"/>
          <w:sz w:val="20"/>
          <w:szCs w:val="20"/>
          <w:highlight w:val="yellow"/>
          <w:lang w:val="fr-FR"/>
        </w:rPr>
        <w:t xml:space="preserve">XXX USD </w:t>
      </w:r>
      <w:r w:rsidR="00C5007C" w:rsidRPr="000E53A0">
        <w:rPr>
          <w:rFonts w:asciiTheme="minorHAnsi" w:hAnsiTheme="minorHAnsi" w:cstheme="minorHAnsi"/>
          <w:color w:val="000000"/>
          <w:sz w:val="20"/>
          <w:szCs w:val="20"/>
          <w:highlight w:val="yellow"/>
          <w:lang w:val="fr-FR"/>
        </w:rPr>
        <w:t xml:space="preserve">(y compris la subvention du FEM administrée par d'autres Agences du FEM, le cas échéant). </w:t>
      </w:r>
      <w:r w:rsidRPr="000E53A0">
        <w:rPr>
          <w:rFonts w:asciiTheme="minorHAnsi" w:hAnsiTheme="minorHAnsi" w:cstheme="minorHAnsi"/>
          <w:color w:val="000000"/>
          <w:sz w:val="20"/>
          <w:szCs w:val="20"/>
          <w:lang w:val="fr-FR"/>
        </w:rPr>
        <w:t xml:space="preserve">Le PNUD, en tant qu'Agence d'exécution du FEM, est responsable de la </w:t>
      </w:r>
      <w:r w:rsidR="00D308B6" w:rsidRPr="000E53A0">
        <w:rPr>
          <w:rFonts w:asciiTheme="minorHAnsi" w:hAnsiTheme="minorHAnsi" w:cstheme="minorHAnsi"/>
          <w:color w:val="000000"/>
          <w:sz w:val="20"/>
          <w:szCs w:val="20"/>
          <w:lang w:val="fr-FR"/>
        </w:rPr>
        <w:t xml:space="preserve">supervision </w:t>
      </w:r>
      <w:r w:rsidRPr="000E53A0">
        <w:rPr>
          <w:rFonts w:asciiTheme="minorHAnsi" w:hAnsiTheme="minorHAnsi" w:cstheme="minorHAnsi"/>
          <w:color w:val="000000"/>
          <w:sz w:val="20"/>
          <w:szCs w:val="20"/>
          <w:lang w:val="fr-FR"/>
        </w:rPr>
        <w:t xml:space="preserve">des ressources du FEM et du </w:t>
      </w:r>
      <w:r w:rsidRPr="000E53A0">
        <w:rPr>
          <w:rFonts w:asciiTheme="minorHAnsi" w:hAnsiTheme="minorHAnsi" w:cstheme="minorHAnsi"/>
          <w:color w:val="000000"/>
          <w:sz w:val="20"/>
          <w:szCs w:val="20"/>
          <w:lang w:val="fr-FR" w:eastAsia="zh-CN"/>
        </w:rPr>
        <w:t>cofinancement en espèces transféré sur le compte bancaire du PNUD uniquement</w:t>
      </w:r>
      <w:r w:rsidRPr="000E53A0">
        <w:rPr>
          <w:rFonts w:asciiTheme="minorHAnsi" w:hAnsiTheme="minorHAnsi" w:cstheme="minorHAnsi"/>
          <w:color w:val="000000"/>
          <w:sz w:val="20"/>
          <w:szCs w:val="20"/>
          <w:lang w:val="fr-FR"/>
        </w:rPr>
        <w:t xml:space="preserve">.   </w:t>
      </w:r>
    </w:p>
    <w:p w14:paraId="3B5AC7FD" w14:textId="77777777" w:rsidR="003F1173" w:rsidRPr="000E53A0" w:rsidRDefault="003F1173" w:rsidP="001354E3">
      <w:pPr>
        <w:autoSpaceDE w:val="0"/>
        <w:autoSpaceDN w:val="0"/>
        <w:adjustRightInd w:val="0"/>
        <w:rPr>
          <w:rFonts w:asciiTheme="minorHAnsi" w:hAnsiTheme="minorHAnsi" w:cstheme="minorHAnsi"/>
          <w:color w:val="000000"/>
          <w:sz w:val="20"/>
          <w:szCs w:val="20"/>
          <w:u w:val="single"/>
          <w:lang w:val="fr-FR"/>
        </w:rPr>
      </w:pPr>
    </w:p>
    <w:p w14:paraId="24B703BD" w14:textId="77777777" w:rsidR="00601D9B" w:rsidRPr="000E53A0" w:rsidRDefault="003E3ABA">
      <w:pPr>
        <w:autoSpaceDE w:val="0"/>
        <w:autoSpaceDN w:val="0"/>
        <w:adjustRightInd w:val="0"/>
        <w:rPr>
          <w:rFonts w:asciiTheme="minorHAnsi" w:hAnsiTheme="minorHAnsi" w:cstheme="minorHAnsi"/>
          <w:color w:val="000000"/>
          <w:sz w:val="20"/>
          <w:szCs w:val="20"/>
          <w:lang w:val="fr-FR"/>
        </w:rPr>
      </w:pPr>
      <w:r w:rsidRPr="000E53A0">
        <w:rPr>
          <w:rFonts w:asciiTheme="minorHAnsi" w:hAnsiTheme="minorHAnsi" w:cstheme="minorHAnsi"/>
          <w:color w:val="000000"/>
          <w:sz w:val="20"/>
          <w:szCs w:val="20"/>
          <w:u w:val="single"/>
          <w:lang w:val="fr-FR"/>
        </w:rPr>
        <w:t xml:space="preserve">Cofinancement </w:t>
      </w:r>
      <w:r w:rsidR="000E53A0" w:rsidRPr="000E53A0">
        <w:rPr>
          <w:rFonts w:asciiTheme="minorHAnsi" w:hAnsiTheme="minorHAnsi" w:cstheme="minorHAnsi"/>
          <w:color w:val="000000"/>
          <w:sz w:val="20"/>
          <w:szCs w:val="20"/>
          <w:u w:val="single"/>
          <w:lang w:val="fr-FR"/>
        </w:rPr>
        <w:t xml:space="preserve">confirmé </w:t>
      </w:r>
      <w:r w:rsidRPr="000E53A0">
        <w:rPr>
          <w:rFonts w:asciiTheme="minorHAnsi" w:hAnsiTheme="minorHAnsi" w:cstheme="minorHAnsi"/>
          <w:color w:val="000000"/>
          <w:sz w:val="20"/>
          <w:szCs w:val="20"/>
          <w:lang w:val="fr-FR"/>
        </w:rPr>
        <w:t xml:space="preserve">: La </w:t>
      </w:r>
      <w:r w:rsidR="00CA1DCA" w:rsidRPr="000E53A0">
        <w:rPr>
          <w:rFonts w:asciiTheme="minorHAnsi" w:hAnsiTheme="minorHAnsi" w:cstheme="minorHAnsi"/>
          <w:color w:val="000000"/>
          <w:sz w:val="20"/>
          <w:szCs w:val="20"/>
          <w:lang w:val="fr-FR"/>
        </w:rPr>
        <w:t>réalisation effective du cofinancement du projet sera contrôlée lors du processus d'</w:t>
      </w:r>
      <w:r w:rsidR="00CA1DCA" w:rsidRPr="000E53A0">
        <w:rPr>
          <w:rFonts w:asciiTheme="minorHAnsi" w:hAnsiTheme="minorHAnsi" w:cstheme="minorHAnsi"/>
          <w:i/>
          <w:color w:val="000000"/>
          <w:sz w:val="20"/>
          <w:szCs w:val="20"/>
          <w:highlight w:val="yellow"/>
          <w:lang w:val="fr-FR"/>
        </w:rPr>
        <w:t xml:space="preserve">examen à mi-parcours </w:t>
      </w:r>
      <w:r w:rsidR="00CA1DCA" w:rsidRPr="000E53A0">
        <w:rPr>
          <w:rFonts w:asciiTheme="minorHAnsi" w:hAnsiTheme="minorHAnsi" w:cstheme="minorHAnsi"/>
          <w:color w:val="000000"/>
          <w:sz w:val="20"/>
          <w:szCs w:val="20"/>
          <w:lang w:val="fr-FR"/>
        </w:rPr>
        <w:t xml:space="preserve">et d'évaluation finale et fera l'objet d'un rapport au FEM. </w:t>
      </w:r>
      <w:r w:rsidR="00EE6EA0" w:rsidRPr="000E53A0">
        <w:rPr>
          <w:rFonts w:asciiTheme="minorHAnsi" w:hAnsiTheme="minorHAnsi" w:cstheme="minorHAnsi"/>
          <w:color w:val="000000"/>
          <w:sz w:val="20"/>
          <w:szCs w:val="20"/>
          <w:lang w:val="fr-FR"/>
        </w:rPr>
        <w:t xml:space="preserve">Notez que toutes les activités du projet incluses dans le cadre des résultats du projet qui seront réalisées par les partenaires de cofinancement (même si les fonds ne transitent pas par les comptes du PNUD) doivent respecter les normes sociales et environnementales du PNUD. Le </w:t>
      </w:r>
      <w:r w:rsidRPr="000E53A0">
        <w:rPr>
          <w:rFonts w:asciiTheme="minorHAnsi" w:hAnsiTheme="minorHAnsi" w:cstheme="minorHAnsi"/>
          <w:color w:val="000000"/>
          <w:sz w:val="20"/>
          <w:szCs w:val="20"/>
          <w:lang w:val="fr-FR"/>
        </w:rPr>
        <w:t xml:space="preserve">cofinancement sera utilisé </w:t>
      </w:r>
      <w:r w:rsidR="00283E36" w:rsidRPr="000E53A0">
        <w:rPr>
          <w:rFonts w:asciiTheme="minorHAnsi" w:hAnsiTheme="minorHAnsi" w:cstheme="minorHAnsi"/>
          <w:color w:val="000000"/>
          <w:sz w:val="20"/>
          <w:szCs w:val="20"/>
          <w:lang w:val="fr-FR"/>
        </w:rPr>
        <w:t xml:space="preserve">pour les activités/résultats du projet suivants </w:t>
      </w:r>
      <w:r w:rsidRPr="000E53A0">
        <w:rPr>
          <w:rFonts w:asciiTheme="minorHAnsi" w:hAnsiTheme="minorHAnsi" w:cstheme="minorHAnsi"/>
          <w:color w:val="000000"/>
          <w:sz w:val="20"/>
          <w:szCs w:val="20"/>
          <w:lang w:val="fr-FR"/>
        </w:rPr>
        <w:t>:</w:t>
      </w:r>
    </w:p>
    <w:p w14:paraId="1C17206F" w14:textId="77777777" w:rsidR="003E3ABA" w:rsidRPr="000E53A0" w:rsidRDefault="003E3ABA" w:rsidP="001354E3">
      <w:pPr>
        <w:autoSpaceDE w:val="0"/>
        <w:autoSpaceDN w:val="0"/>
        <w:adjustRightInd w:val="0"/>
        <w:rPr>
          <w:rFonts w:asciiTheme="minorHAnsi" w:hAnsiTheme="minorHAnsi" w:cstheme="minorHAnsi"/>
          <w:color w:val="000000"/>
          <w:sz w:val="20"/>
          <w:szCs w:val="20"/>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1458"/>
        <w:gridCol w:w="1458"/>
        <w:gridCol w:w="2177"/>
        <w:gridCol w:w="1438"/>
        <w:gridCol w:w="1444"/>
      </w:tblGrid>
      <w:tr w:rsidR="003E3ABA" w:rsidRPr="00107491" w14:paraId="03DBD232" w14:textId="77777777" w:rsidTr="003F1173">
        <w:trPr>
          <w:jc w:val="center"/>
        </w:trPr>
        <w:tc>
          <w:tcPr>
            <w:tcW w:w="1662" w:type="dxa"/>
            <w:shd w:val="clear" w:color="auto" w:fill="auto"/>
          </w:tcPr>
          <w:p w14:paraId="3E4413B2" w14:textId="77777777" w:rsidR="00601D9B" w:rsidRDefault="000E53A0">
            <w:pPr>
              <w:autoSpaceDE w:val="0"/>
              <w:autoSpaceDN w:val="0"/>
              <w:adjustRightInd w:val="0"/>
              <w:rPr>
                <w:rFonts w:asciiTheme="minorHAnsi" w:hAnsiTheme="minorHAnsi" w:cstheme="minorHAnsi"/>
                <w:b/>
                <w:color w:val="000000"/>
                <w:sz w:val="20"/>
                <w:szCs w:val="20"/>
              </w:rPr>
            </w:pPr>
            <w:r w:rsidRPr="00107491">
              <w:rPr>
                <w:rFonts w:asciiTheme="minorHAnsi" w:hAnsiTheme="minorHAnsi" w:cstheme="minorHAnsi"/>
                <w:b/>
                <w:color w:val="000000"/>
                <w:sz w:val="20"/>
                <w:szCs w:val="20"/>
              </w:rPr>
              <w:t>Source de cofinancement</w:t>
            </w:r>
          </w:p>
        </w:tc>
        <w:tc>
          <w:tcPr>
            <w:tcW w:w="1213" w:type="dxa"/>
            <w:shd w:val="clear" w:color="auto" w:fill="auto"/>
          </w:tcPr>
          <w:p w14:paraId="54B4778B" w14:textId="77777777" w:rsidR="00601D9B" w:rsidRDefault="000E53A0">
            <w:pPr>
              <w:autoSpaceDE w:val="0"/>
              <w:autoSpaceDN w:val="0"/>
              <w:adjustRightInd w:val="0"/>
              <w:rPr>
                <w:rFonts w:asciiTheme="minorHAnsi" w:hAnsiTheme="minorHAnsi" w:cstheme="minorHAnsi"/>
                <w:b/>
                <w:color w:val="000000"/>
                <w:sz w:val="20"/>
                <w:szCs w:val="20"/>
              </w:rPr>
            </w:pPr>
            <w:r w:rsidRPr="00107491">
              <w:rPr>
                <w:rFonts w:asciiTheme="minorHAnsi" w:hAnsiTheme="minorHAnsi" w:cstheme="minorHAnsi"/>
                <w:b/>
                <w:color w:val="000000"/>
                <w:sz w:val="20"/>
                <w:szCs w:val="20"/>
              </w:rPr>
              <w:t>Type de cofinancement</w:t>
            </w:r>
          </w:p>
        </w:tc>
        <w:tc>
          <w:tcPr>
            <w:tcW w:w="1170" w:type="dxa"/>
            <w:shd w:val="clear" w:color="auto" w:fill="auto"/>
          </w:tcPr>
          <w:p w14:paraId="2A5AEE35" w14:textId="77777777" w:rsidR="00601D9B" w:rsidRDefault="000E53A0">
            <w:pPr>
              <w:autoSpaceDE w:val="0"/>
              <w:autoSpaceDN w:val="0"/>
              <w:adjustRightInd w:val="0"/>
              <w:rPr>
                <w:rFonts w:asciiTheme="minorHAnsi" w:hAnsiTheme="minorHAnsi" w:cstheme="minorHAnsi"/>
                <w:b/>
                <w:color w:val="000000"/>
                <w:sz w:val="20"/>
                <w:szCs w:val="20"/>
              </w:rPr>
            </w:pPr>
            <w:r w:rsidRPr="00107491">
              <w:rPr>
                <w:rFonts w:asciiTheme="minorHAnsi" w:hAnsiTheme="minorHAnsi" w:cstheme="minorHAnsi"/>
                <w:b/>
                <w:color w:val="000000"/>
                <w:sz w:val="20"/>
                <w:szCs w:val="20"/>
              </w:rPr>
              <w:t>Montant du cofinancement</w:t>
            </w:r>
          </w:p>
        </w:tc>
        <w:tc>
          <w:tcPr>
            <w:tcW w:w="2377" w:type="dxa"/>
            <w:shd w:val="clear" w:color="auto" w:fill="auto"/>
          </w:tcPr>
          <w:p w14:paraId="7D713181" w14:textId="77777777" w:rsidR="00601D9B" w:rsidRDefault="00D6394A">
            <w:pPr>
              <w:autoSpaceDE w:val="0"/>
              <w:autoSpaceDN w:val="0"/>
              <w:adjustRightInd w:val="0"/>
              <w:rPr>
                <w:rFonts w:asciiTheme="minorHAnsi" w:hAnsiTheme="minorHAnsi" w:cstheme="minorHAnsi"/>
                <w:b/>
                <w:color w:val="000000"/>
                <w:sz w:val="20"/>
                <w:szCs w:val="20"/>
              </w:rPr>
            </w:pPr>
            <w:r w:rsidRPr="00107491">
              <w:rPr>
                <w:rFonts w:asciiTheme="minorHAnsi" w:hAnsiTheme="minorHAnsi" w:cstheme="minorHAnsi"/>
                <w:b/>
                <w:color w:val="000000"/>
                <w:sz w:val="20"/>
                <w:szCs w:val="20"/>
              </w:rPr>
              <w:t xml:space="preserve">Cofinancement </w:t>
            </w:r>
            <w:r w:rsidR="000E53A0" w:rsidRPr="00107491">
              <w:rPr>
                <w:rFonts w:asciiTheme="minorHAnsi" w:hAnsiTheme="minorHAnsi" w:cstheme="minorHAnsi"/>
                <w:b/>
                <w:color w:val="000000"/>
                <w:sz w:val="20"/>
                <w:szCs w:val="20"/>
              </w:rPr>
              <w:t>prévu</w:t>
            </w:r>
          </w:p>
          <w:p w14:paraId="7A85224A" w14:textId="77777777" w:rsidR="00601D9B" w:rsidRDefault="000E53A0">
            <w:pPr>
              <w:autoSpaceDE w:val="0"/>
              <w:autoSpaceDN w:val="0"/>
              <w:adjustRightInd w:val="0"/>
              <w:rPr>
                <w:rFonts w:asciiTheme="minorHAnsi" w:hAnsiTheme="minorHAnsi" w:cstheme="minorHAnsi"/>
                <w:b/>
                <w:color w:val="000000"/>
                <w:sz w:val="20"/>
                <w:szCs w:val="20"/>
              </w:rPr>
            </w:pPr>
            <w:r w:rsidRPr="00107491">
              <w:rPr>
                <w:rFonts w:asciiTheme="minorHAnsi" w:hAnsiTheme="minorHAnsi" w:cstheme="minorHAnsi"/>
                <w:b/>
                <w:color w:val="000000"/>
                <w:sz w:val="20"/>
                <w:szCs w:val="20"/>
              </w:rPr>
              <w:t>Activités/extrants</w:t>
            </w:r>
          </w:p>
        </w:tc>
        <w:tc>
          <w:tcPr>
            <w:tcW w:w="1446" w:type="dxa"/>
            <w:shd w:val="clear" w:color="auto" w:fill="auto"/>
          </w:tcPr>
          <w:p w14:paraId="6081579C" w14:textId="77777777" w:rsidR="00601D9B" w:rsidRDefault="000E53A0">
            <w:pPr>
              <w:autoSpaceDE w:val="0"/>
              <w:autoSpaceDN w:val="0"/>
              <w:adjustRightInd w:val="0"/>
              <w:rPr>
                <w:rFonts w:asciiTheme="minorHAnsi" w:hAnsiTheme="minorHAnsi" w:cstheme="minorHAnsi"/>
                <w:b/>
                <w:color w:val="000000"/>
                <w:sz w:val="20"/>
                <w:szCs w:val="20"/>
              </w:rPr>
            </w:pPr>
            <w:r w:rsidRPr="00107491">
              <w:rPr>
                <w:rFonts w:asciiTheme="minorHAnsi" w:hAnsiTheme="minorHAnsi" w:cstheme="minorHAnsi"/>
                <w:b/>
                <w:color w:val="000000"/>
                <w:sz w:val="20"/>
                <w:szCs w:val="20"/>
              </w:rPr>
              <w:t>Risques</w:t>
            </w:r>
          </w:p>
        </w:tc>
        <w:tc>
          <w:tcPr>
            <w:tcW w:w="1482" w:type="dxa"/>
            <w:shd w:val="clear" w:color="auto" w:fill="auto"/>
          </w:tcPr>
          <w:p w14:paraId="5D0AD6B5" w14:textId="77777777" w:rsidR="00601D9B" w:rsidRDefault="000E53A0">
            <w:pPr>
              <w:autoSpaceDE w:val="0"/>
              <w:autoSpaceDN w:val="0"/>
              <w:adjustRightInd w:val="0"/>
              <w:rPr>
                <w:rFonts w:asciiTheme="minorHAnsi" w:hAnsiTheme="minorHAnsi" w:cstheme="minorHAnsi"/>
                <w:b/>
                <w:color w:val="000000"/>
                <w:sz w:val="20"/>
                <w:szCs w:val="20"/>
              </w:rPr>
            </w:pPr>
            <w:r w:rsidRPr="00107491">
              <w:rPr>
                <w:rFonts w:asciiTheme="minorHAnsi" w:hAnsiTheme="minorHAnsi" w:cstheme="minorHAnsi"/>
                <w:b/>
                <w:color w:val="000000"/>
                <w:sz w:val="20"/>
                <w:szCs w:val="20"/>
              </w:rPr>
              <w:t>Mesures d'atténuation des risques</w:t>
            </w:r>
          </w:p>
        </w:tc>
      </w:tr>
      <w:tr w:rsidR="003E3ABA" w:rsidRPr="000E53A0" w14:paraId="36A740C8" w14:textId="77777777" w:rsidTr="003F1173">
        <w:trPr>
          <w:jc w:val="center"/>
        </w:trPr>
        <w:tc>
          <w:tcPr>
            <w:tcW w:w="1662" w:type="dxa"/>
            <w:shd w:val="clear" w:color="auto" w:fill="auto"/>
          </w:tcPr>
          <w:p w14:paraId="231B85FB" w14:textId="77777777" w:rsidR="00601D9B" w:rsidRPr="000E53A0" w:rsidRDefault="000E53A0">
            <w:pPr>
              <w:autoSpaceDE w:val="0"/>
              <w:autoSpaceDN w:val="0"/>
              <w:adjustRightInd w:val="0"/>
              <w:rPr>
                <w:rFonts w:asciiTheme="minorHAnsi" w:hAnsiTheme="minorHAnsi" w:cstheme="minorHAnsi"/>
                <w:i/>
                <w:color w:val="000000"/>
                <w:sz w:val="20"/>
                <w:szCs w:val="20"/>
                <w:highlight w:val="yellow"/>
                <w:lang w:val="fr-FR"/>
              </w:rPr>
            </w:pPr>
            <w:r w:rsidRPr="000E53A0">
              <w:rPr>
                <w:rFonts w:asciiTheme="minorHAnsi" w:hAnsiTheme="minorHAnsi" w:cstheme="minorHAnsi"/>
                <w:i/>
                <w:color w:val="000000"/>
                <w:sz w:val="20"/>
                <w:szCs w:val="20"/>
                <w:highlight w:val="yellow"/>
                <w:lang w:val="fr-FR"/>
              </w:rPr>
              <w:t>(par exemple, gouvernement</w:t>
            </w:r>
            <w:r w:rsidR="00EE6EA0" w:rsidRPr="000E53A0">
              <w:rPr>
                <w:rFonts w:asciiTheme="minorHAnsi" w:hAnsiTheme="minorHAnsi" w:cstheme="minorHAnsi"/>
                <w:i/>
                <w:color w:val="000000"/>
                <w:sz w:val="20"/>
                <w:szCs w:val="20"/>
                <w:highlight w:val="yellow"/>
                <w:lang w:val="fr-FR"/>
              </w:rPr>
              <w:t>, ou ONG</w:t>
            </w:r>
            <w:r w:rsidRPr="000E53A0">
              <w:rPr>
                <w:rFonts w:asciiTheme="minorHAnsi" w:hAnsiTheme="minorHAnsi" w:cstheme="minorHAnsi"/>
                <w:i/>
                <w:color w:val="000000"/>
                <w:sz w:val="20"/>
                <w:szCs w:val="20"/>
                <w:highlight w:val="yellow"/>
                <w:lang w:val="fr-FR"/>
              </w:rPr>
              <w:t>)</w:t>
            </w:r>
          </w:p>
        </w:tc>
        <w:tc>
          <w:tcPr>
            <w:tcW w:w="1213" w:type="dxa"/>
            <w:shd w:val="clear" w:color="auto" w:fill="auto"/>
          </w:tcPr>
          <w:p w14:paraId="71EFC266" w14:textId="77777777" w:rsidR="00601D9B" w:rsidRDefault="000E53A0">
            <w:pPr>
              <w:autoSpaceDE w:val="0"/>
              <w:autoSpaceDN w:val="0"/>
              <w:adjustRightInd w:val="0"/>
              <w:rPr>
                <w:rFonts w:asciiTheme="minorHAnsi" w:hAnsiTheme="minorHAnsi" w:cstheme="minorHAnsi"/>
                <w:i/>
                <w:color w:val="000000"/>
                <w:sz w:val="20"/>
                <w:szCs w:val="20"/>
                <w:highlight w:val="yellow"/>
              </w:rPr>
            </w:pPr>
            <w:r w:rsidRPr="00107491">
              <w:rPr>
                <w:rFonts w:asciiTheme="minorHAnsi" w:hAnsiTheme="minorHAnsi" w:cstheme="minorHAnsi"/>
                <w:i/>
                <w:color w:val="000000"/>
                <w:sz w:val="20"/>
                <w:szCs w:val="20"/>
                <w:highlight w:val="yellow"/>
              </w:rPr>
              <w:t>En nature</w:t>
            </w:r>
          </w:p>
        </w:tc>
        <w:tc>
          <w:tcPr>
            <w:tcW w:w="1170" w:type="dxa"/>
            <w:shd w:val="clear" w:color="auto" w:fill="auto"/>
          </w:tcPr>
          <w:p w14:paraId="1601C98E" w14:textId="77777777" w:rsidR="003E3ABA" w:rsidRPr="00107491" w:rsidRDefault="003E3ABA" w:rsidP="001E7D8C">
            <w:pPr>
              <w:autoSpaceDE w:val="0"/>
              <w:autoSpaceDN w:val="0"/>
              <w:adjustRightInd w:val="0"/>
              <w:rPr>
                <w:rFonts w:asciiTheme="minorHAnsi" w:hAnsiTheme="minorHAnsi" w:cstheme="minorHAnsi"/>
                <w:i/>
                <w:color w:val="000000"/>
                <w:sz w:val="20"/>
                <w:szCs w:val="20"/>
                <w:highlight w:val="yellow"/>
              </w:rPr>
            </w:pPr>
          </w:p>
        </w:tc>
        <w:tc>
          <w:tcPr>
            <w:tcW w:w="2377" w:type="dxa"/>
            <w:shd w:val="clear" w:color="auto" w:fill="auto"/>
          </w:tcPr>
          <w:p w14:paraId="5D9E01DC" w14:textId="77777777" w:rsidR="00601D9B" w:rsidRDefault="000E53A0">
            <w:pPr>
              <w:autoSpaceDE w:val="0"/>
              <w:autoSpaceDN w:val="0"/>
              <w:adjustRightInd w:val="0"/>
              <w:rPr>
                <w:rFonts w:asciiTheme="minorHAnsi" w:hAnsiTheme="minorHAnsi" w:cstheme="minorHAnsi"/>
                <w:i/>
                <w:color w:val="000000"/>
                <w:sz w:val="20"/>
                <w:szCs w:val="20"/>
                <w:highlight w:val="yellow"/>
                <w:lang w:val="fr-FR"/>
              </w:rPr>
            </w:pPr>
            <w:r w:rsidRPr="00107491">
              <w:rPr>
                <w:rFonts w:asciiTheme="minorHAnsi" w:hAnsiTheme="minorHAnsi" w:cstheme="minorHAnsi"/>
                <w:i/>
                <w:color w:val="000000"/>
                <w:sz w:val="20"/>
                <w:szCs w:val="20"/>
                <w:highlight w:val="yellow"/>
                <w:lang w:val="fr-FR"/>
              </w:rPr>
              <w:t xml:space="preserve">(par exemple, </w:t>
            </w:r>
            <w:r w:rsidR="001D4798" w:rsidRPr="00107491">
              <w:rPr>
                <w:rFonts w:asciiTheme="minorHAnsi" w:hAnsiTheme="minorHAnsi" w:cstheme="minorHAnsi"/>
                <w:i/>
                <w:color w:val="000000"/>
                <w:sz w:val="20"/>
                <w:szCs w:val="20"/>
                <w:highlight w:val="yellow"/>
                <w:lang w:val="fr-FR"/>
              </w:rPr>
              <w:t xml:space="preserve">gestion du projet, </w:t>
            </w:r>
            <w:r w:rsidRPr="00107491">
              <w:rPr>
                <w:rFonts w:asciiTheme="minorHAnsi" w:hAnsiTheme="minorHAnsi" w:cstheme="minorHAnsi"/>
                <w:i/>
                <w:color w:val="000000"/>
                <w:sz w:val="20"/>
                <w:szCs w:val="20"/>
                <w:highlight w:val="yellow"/>
                <w:lang w:val="fr-FR"/>
              </w:rPr>
              <w:t xml:space="preserve">espace de bureau, </w:t>
            </w:r>
            <w:r w:rsidR="00EE6EA0" w:rsidRPr="00107491">
              <w:rPr>
                <w:rFonts w:asciiTheme="minorHAnsi" w:hAnsiTheme="minorHAnsi" w:cstheme="minorHAnsi"/>
                <w:i/>
                <w:color w:val="000000"/>
                <w:sz w:val="20"/>
                <w:szCs w:val="20"/>
                <w:highlight w:val="yellow"/>
                <w:lang w:val="fr-FR"/>
              </w:rPr>
              <w:t xml:space="preserve">formation, consultations communautaires, </w:t>
            </w:r>
            <w:r w:rsidRPr="00107491">
              <w:rPr>
                <w:rFonts w:asciiTheme="minorHAnsi" w:hAnsiTheme="minorHAnsi" w:cstheme="minorHAnsi"/>
                <w:i/>
                <w:color w:val="000000"/>
                <w:sz w:val="20"/>
                <w:szCs w:val="20"/>
                <w:highlight w:val="yellow"/>
                <w:lang w:val="fr-FR"/>
              </w:rPr>
              <w:t>etc...).</w:t>
            </w:r>
          </w:p>
        </w:tc>
        <w:tc>
          <w:tcPr>
            <w:tcW w:w="1446" w:type="dxa"/>
            <w:shd w:val="clear" w:color="auto" w:fill="auto"/>
          </w:tcPr>
          <w:p w14:paraId="11BA3462" w14:textId="77777777" w:rsidR="00601D9B" w:rsidRPr="000E53A0" w:rsidRDefault="000E53A0">
            <w:pPr>
              <w:autoSpaceDE w:val="0"/>
              <w:autoSpaceDN w:val="0"/>
              <w:adjustRightInd w:val="0"/>
              <w:rPr>
                <w:rFonts w:asciiTheme="minorHAnsi" w:hAnsiTheme="minorHAnsi" w:cstheme="minorHAnsi"/>
                <w:i/>
                <w:color w:val="000000"/>
                <w:sz w:val="20"/>
                <w:szCs w:val="20"/>
                <w:highlight w:val="yellow"/>
                <w:lang w:val="fr-FR"/>
              </w:rPr>
            </w:pPr>
            <w:r w:rsidRPr="000E53A0">
              <w:rPr>
                <w:rFonts w:asciiTheme="minorHAnsi" w:hAnsiTheme="minorHAnsi" w:cstheme="minorHAnsi"/>
                <w:i/>
                <w:color w:val="000000"/>
                <w:sz w:val="20"/>
                <w:szCs w:val="20"/>
                <w:highlight w:val="yellow"/>
                <w:lang w:val="fr-FR"/>
              </w:rPr>
              <w:t>Au cofinancement en cours de réalisation</w:t>
            </w:r>
          </w:p>
        </w:tc>
        <w:tc>
          <w:tcPr>
            <w:tcW w:w="1482" w:type="dxa"/>
            <w:shd w:val="clear" w:color="auto" w:fill="auto"/>
          </w:tcPr>
          <w:p w14:paraId="2F7856D0" w14:textId="77777777" w:rsidR="003E3ABA" w:rsidRPr="000E53A0" w:rsidRDefault="003E3ABA" w:rsidP="001E7D8C">
            <w:pPr>
              <w:autoSpaceDE w:val="0"/>
              <w:autoSpaceDN w:val="0"/>
              <w:adjustRightInd w:val="0"/>
              <w:rPr>
                <w:rFonts w:asciiTheme="minorHAnsi" w:hAnsiTheme="minorHAnsi" w:cstheme="minorHAnsi"/>
                <w:i/>
                <w:color w:val="000000"/>
                <w:sz w:val="20"/>
                <w:szCs w:val="20"/>
                <w:highlight w:val="yellow"/>
                <w:lang w:val="fr-FR"/>
              </w:rPr>
            </w:pPr>
          </w:p>
        </w:tc>
      </w:tr>
      <w:tr w:rsidR="003E3ABA" w:rsidRPr="00107491" w14:paraId="699281EA" w14:textId="77777777" w:rsidTr="003F1173">
        <w:trPr>
          <w:jc w:val="center"/>
        </w:trPr>
        <w:tc>
          <w:tcPr>
            <w:tcW w:w="1662" w:type="dxa"/>
            <w:shd w:val="clear" w:color="auto" w:fill="auto"/>
          </w:tcPr>
          <w:p w14:paraId="496CFC9E" w14:textId="77777777" w:rsidR="00601D9B" w:rsidRDefault="000E53A0">
            <w:pPr>
              <w:autoSpaceDE w:val="0"/>
              <w:autoSpaceDN w:val="0"/>
              <w:adjustRightInd w:val="0"/>
              <w:rPr>
                <w:rFonts w:asciiTheme="minorHAnsi" w:hAnsiTheme="minorHAnsi" w:cstheme="minorHAnsi"/>
                <w:color w:val="000000"/>
                <w:sz w:val="20"/>
                <w:szCs w:val="20"/>
              </w:rPr>
            </w:pPr>
            <w:r w:rsidRPr="00107491">
              <w:rPr>
                <w:rFonts w:asciiTheme="minorHAnsi" w:hAnsiTheme="minorHAnsi" w:cstheme="minorHAnsi"/>
                <w:color w:val="000000"/>
                <w:sz w:val="20"/>
                <w:szCs w:val="20"/>
              </w:rPr>
              <w:t>…</w:t>
            </w:r>
          </w:p>
        </w:tc>
        <w:tc>
          <w:tcPr>
            <w:tcW w:w="1213" w:type="dxa"/>
            <w:shd w:val="clear" w:color="auto" w:fill="auto"/>
          </w:tcPr>
          <w:p w14:paraId="75240992" w14:textId="77777777" w:rsidR="00601D9B" w:rsidRDefault="000E53A0">
            <w:pPr>
              <w:autoSpaceDE w:val="0"/>
              <w:autoSpaceDN w:val="0"/>
              <w:adjustRightInd w:val="0"/>
              <w:rPr>
                <w:rFonts w:asciiTheme="minorHAnsi" w:hAnsiTheme="minorHAnsi" w:cstheme="minorHAnsi"/>
                <w:color w:val="000000"/>
                <w:sz w:val="20"/>
                <w:szCs w:val="20"/>
              </w:rPr>
            </w:pPr>
            <w:r w:rsidRPr="00107491">
              <w:rPr>
                <w:rFonts w:asciiTheme="minorHAnsi" w:hAnsiTheme="minorHAnsi" w:cstheme="minorHAnsi"/>
                <w:color w:val="000000"/>
                <w:sz w:val="20"/>
                <w:szCs w:val="20"/>
              </w:rPr>
              <w:t>…</w:t>
            </w:r>
          </w:p>
        </w:tc>
        <w:tc>
          <w:tcPr>
            <w:tcW w:w="1170" w:type="dxa"/>
            <w:shd w:val="clear" w:color="auto" w:fill="auto"/>
          </w:tcPr>
          <w:p w14:paraId="02900D85" w14:textId="77777777" w:rsidR="00601D9B" w:rsidRDefault="000E53A0">
            <w:pPr>
              <w:autoSpaceDE w:val="0"/>
              <w:autoSpaceDN w:val="0"/>
              <w:adjustRightInd w:val="0"/>
              <w:rPr>
                <w:rFonts w:asciiTheme="minorHAnsi" w:hAnsiTheme="minorHAnsi" w:cstheme="minorHAnsi"/>
                <w:color w:val="000000"/>
                <w:sz w:val="20"/>
                <w:szCs w:val="20"/>
              </w:rPr>
            </w:pPr>
            <w:r w:rsidRPr="00107491">
              <w:rPr>
                <w:rFonts w:asciiTheme="minorHAnsi" w:hAnsiTheme="minorHAnsi" w:cstheme="minorHAnsi"/>
                <w:color w:val="000000"/>
                <w:sz w:val="20"/>
                <w:szCs w:val="20"/>
              </w:rPr>
              <w:t>…</w:t>
            </w:r>
          </w:p>
        </w:tc>
        <w:tc>
          <w:tcPr>
            <w:tcW w:w="2377" w:type="dxa"/>
            <w:shd w:val="clear" w:color="auto" w:fill="auto"/>
          </w:tcPr>
          <w:p w14:paraId="6B6354F2" w14:textId="77777777" w:rsidR="00601D9B" w:rsidRDefault="000E53A0">
            <w:pPr>
              <w:autoSpaceDE w:val="0"/>
              <w:autoSpaceDN w:val="0"/>
              <w:adjustRightInd w:val="0"/>
              <w:rPr>
                <w:rFonts w:asciiTheme="minorHAnsi" w:hAnsiTheme="minorHAnsi" w:cstheme="minorHAnsi"/>
                <w:color w:val="000000"/>
                <w:sz w:val="20"/>
                <w:szCs w:val="20"/>
              </w:rPr>
            </w:pPr>
            <w:r w:rsidRPr="00107491">
              <w:rPr>
                <w:rFonts w:asciiTheme="minorHAnsi" w:hAnsiTheme="minorHAnsi" w:cstheme="minorHAnsi"/>
                <w:color w:val="000000"/>
                <w:sz w:val="20"/>
                <w:szCs w:val="20"/>
              </w:rPr>
              <w:t>…</w:t>
            </w:r>
          </w:p>
        </w:tc>
        <w:tc>
          <w:tcPr>
            <w:tcW w:w="1446" w:type="dxa"/>
            <w:shd w:val="clear" w:color="auto" w:fill="auto"/>
          </w:tcPr>
          <w:p w14:paraId="5CBEB982" w14:textId="77777777" w:rsidR="00601D9B" w:rsidRDefault="000E53A0">
            <w:pPr>
              <w:autoSpaceDE w:val="0"/>
              <w:autoSpaceDN w:val="0"/>
              <w:adjustRightInd w:val="0"/>
              <w:rPr>
                <w:rFonts w:asciiTheme="minorHAnsi" w:hAnsiTheme="minorHAnsi" w:cstheme="minorHAnsi"/>
                <w:color w:val="000000"/>
                <w:sz w:val="20"/>
                <w:szCs w:val="20"/>
              </w:rPr>
            </w:pPr>
            <w:r w:rsidRPr="00107491">
              <w:rPr>
                <w:rFonts w:asciiTheme="minorHAnsi" w:hAnsiTheme="minorHAnsi" w:cstheme="minorHAnsi"/>
                <w:color w:val="000000"/>
                <w:sz w:val="20"/>
                <w:szCs w:val="20"/>
              </w:rPr>
              <w:t>…</w:t>
            </w:r>
          </w:p>
        </w:tc>
        <w:tc>
          <w:tcPr>
            <w:tcW w:w="1482" w:type="dxa"/>
            <w:shd w:val="clear" w:color="auto" w:fill="auto"/>
          </w:tcPr>
          <w:p w14:paraId="1BDF88DF" w14:textId="77777777" w:rsidR="00601D9B" w:rsidRDefault="000E53A0">
            <w:pPr>
              <w:autoSpaceDE w:val="0"/>
              <w:autoSpaceDN w:val="0"/>
              <w:adjustRightInd w:val="0"/>
              <w:rPr>
                <w:rFonts w:asciiTheme="minorHAnsi" w:hAnsiTheme="minorHAnsi" w:cstheme="minorHAnsi"/>
                <w:color w:val="000000"/>
                <w:sz w:val="20"/>
                <w:szCs w:val="20"/>
              </w:rPr>
            </w:pPr>
            <w:r w:rsidRPr="00107491">
              <w:rPr>
                <w:rFonts w:asciiTheme="minorHAnsi" w:hAnsiTheme="minorHAnsi" w:cstheme="minorHAnsi"/>
                <w:color w:val="000000"/>
                <w:sz w:val="20"/>
                <w:szCs w:val="20"/>
              </w:rPr>
              <w:t>…</w:t>
            </w:r>
          </w:p>
        </w:tc>
      </w:tr>
    </w:tbl>
    <w:p w14:paraId="348EE2F9" w14:textId="77777777" w:rsidR="003E3ABA" w:rsidRPr="00107491" w:rsidRDefault="003E3ABA" w:rsidP="001E7D8C">
      <w:pPr>
        <w:autoSpaceDE w:val="0"/>
        <w:autoSpaceDN w:val="0"/>
        <w:adjustRightInd w:val="0"/>
        <w:rPr>
          <w:rFonts w:asciiTheme="minorHAnsi" w:hAnsiTheme="minorHAnsi" w:cstheme="minorHAnsi"/>
          <w:color w:val="000000"/>
          <w:sz w:val="20"/>
          <w:szCs w:val="20"/>
        </w:rPr>
      </w:pPr>
    </w:p>
    <w:p w14:paraId="68A632B0" w14:textId="77777777" w:rsidR="00494749" w:rsidRPr="00107491" w:rsidRDefault="00494749" w:rsidP="001E7D8C">
      <w:pPr>
        <w:pStyle w:val="Paragraphedeliste"/>
        <w:ind w:left="0"/>
        <w:jc w:val="both"/>
        <w:rPr>
          <w:rFonts w:asciiTheme="minorHAnsi" w:hAnsiTheme="minorHAnsi" w:cstheme="minorHAnsi"/>
          <w:sz w:val="20"/>
          <w:szCs w:val="20"/>
          <w:u w:val="single"/>
        </w:rPr>
      </w:pPr>
    </w:p>
    <w:p w14:paraId="4AF367AC" w14:textId="77777777" w:rsidR="00601D9B" w:rsidRPr="000E53A0" w:rsidRDefault="000E53A0">
      <w:pPr>
        <w:rPr>
          <w:rFonts w:asciiTheme="minorHAnsi" w:hAnsiTheme="minorHAnsi" w:cstheme="minorHAnsi"/>
          <w:color w:val="000000"/>
          <w:sz w:val="20"/>
          <w:szCs w:val="20"/>
          <w:lang w:val="fr-FR"/>
        </w:rPr>
      </w:pPr>
      <w:r w:rsidRPr="000E53A0">
        <w:rPr>
          <w:rFonts w:asciiTheme="minorHAnsi" w:hAnsiTheme="minorHAnsi" w:cstheme="minorHAnsi"/>
          <w:sz w:val="20"/>
          <w:szCs w:val="20"/>
          <w:lang w:val="fr-FR"/>
        </w:rPr>
        <w:t xml:space="preserve">Le </w:t>
      </w:r>
      <w:r w:rsidRPr="000E53A0">
        <w:rPr>
          <w:rFonts w:asciiTheme="minorHAnsi" w:hAnsiTheme="minorHAnsi" w:cstheme="minorHAnsi"/>
          <w:sz w:val="20"/>
          <w:szCs w:val="20"/>
          <w:u w:val="single"/>
          <w:lang w:val="fr-FR"/>
        </w:rPr>
        <w:t xml:space="preserve">partenaire d'exécution (PI) demande au PNUD de fournir des services d'appui au pays </w:t>
      </w:r>
      <w:r w:rsidRPr="000E53A0">
        <w:rPr>
          <w:rFonts w:asciiTheme="minorHAnsi" w:hAnsiTheme="minorHAnsi" w:cstheme="minorHAnsi"/>
          <w:b/>
          <w:sz w:val="20"/>
          <w:szCs w:val="20"/>
          <w:lang w:val="fr-FR"/>
        </w:rPr>
        <w:t>(</w:t>
      </w:r>
      <w:r w:rsidRPr="000E53A0">
        <w:rPr>
          <w:rFonts w:asciiTheme="minorHAnsi" w:hAnsiTheme="minorHAnsi" w:cstheme="minorHAnsi"/>
          <w:b/>
          <w:sz w:val="20"/>
          <w:szCs w:val="20"/>
          <w:highlight w:val="yellow"/>
          <w:lang w:val="fr-FR"/>
        </w:rPr>
        <w:t xml:space="preserve">n'ajoutez pas ce paragraphe si ce projet est mis en œuvre par le PNUD (c'est-à-dire DIM) </w:t>
      </w:r>
      <w:r w:rsidR="00E1338C" w:rsidRPr="000E53A0">
        <w:rPr>
          <w:rFonts w:asciiTheme="minorHAnsi" w:hAnsiTheme="minorHAnsi" w:cstheme="minorHAnsi"/>
          <w:b/>
          <w:sz w:val="20"/>
          <w:szCs w:val="20"/>
          <w:highlight w:val="yellow"/>
          <w:lang w:val="fr-FR"/>
        </w:rPr>
        <w:t xml:space="preserve">et n'ajoutez ce </w:t>
      </w:r>
      <w:r w:rsidR="000C2545" w:rsidRPr="000E53A0">
        <w:rPr>
          <w:rFonts w:asciiTheme="minorHAnsi" w:hAnsiTheme="minorHAnsi" w:cstheme="minorHAnsi"/>
          <w:b/>
          <w:sz w:val="20"/>
          <w:szCs w:val="20"/>
          <w:highlight w:val="yellow"/>
          <w:lang w:val="fr-FR"/>
        </w:rPr>
        <w:t xml:space="preserve">paragraphe </w:t>
      </w:r>
      <w:r w:rsidR="00E1338C" w:rsidRPr="000E53A0">
        <w:rPr>
          <w:rFonts w:asciiTheme="minorHAnsi" w:hAnsiTheme="minorHAnsi" w:cstheme="minorHAnsi"/>
          <w:b/>
          <w:sz w:val="20"/>
          <w:szCs w:val="20"/>
          <w:highlight w:val="yellow"/>
          <w:lang w:val="fr-FR"/>
        </w:rPr>
        <w:t xml:space="preserve">que </w:t>
      </w:r>
      <w:r w:rsidR="004D581F" w:rsidRPr="000E53A0">
        <w:rPr>
          <w:rFonts w:asciiTheme="minorHAnsi" w:hAnsiTheme="minorHAnsi" w:cstheme="minorHAnsi"/>
          <w:b/>
          <w:sz w:val="20"/>
          <w:szCs w:val="20"/>
          <w:highlight w:val="yellow"/>
          <w:lang w:val="fr-FR"/>
        </w:rPr>
        <w:t xml:space="preserve">si le FEM a accepté les </w:t>
      </w:r>
      <w:r w:rsidR="00E1338C" w:rsidRPr="000E53A0">
        <w:rPr>
          <w:rFonts w:asciiTheme="minorHAnsi" w:hAnsiTheme="minorHAnsi" w:cstheme="minorHAnsi"/>
          <w:b/>
          <w:sz w:val="20"/>
          <w:szCs w:val="20"/>
          <w:highlight w:val="yellow"/>
          <w:lang w:val="fr-FR"/>
        </w:rPr>
        <w:t>services d'appui du PNUD</w:t>
      </w:r>
      <w:r w:rsidRPr="000E53A0">
        <w:rPr>
          <w:rFonts w:asciiTheme="minorHAnsi" w:hAnsiTheme="minorHAnsi" w:cstheme="minorHAnsi"/>
          <w:b/>
          <w:sz w:val="20"/>
          <w:szCs w:val="20"/>
          <w:highlight w:val="yellow"/>
          <w:lang w:val="fr-FR"/>
        </w:rPr>
        <w:t xml:space="preserve">) </w:t>
      </w:r>
      <w:r w:rsidRPr="000E53A0">
        <w:rPr>
          <w:rFonts w:asciiTheme="minorHAnsi" w:hAnsiTheme="minorHAnsi" w:cstheme="minorHAnsi"/>
          <w:sz w:val="20"/>
          <w:szCs w:val="20"/>
          <w:lang w:val="fr-FR"/>
        </w:rPr>
        <w:t xml:space="preserve">: </w:t>
      </w:r>
      <w:r w:rsidRPr="000E53A0">
        <w:rPr>
          <w:rFonts w:asciiTheme="minorHAnsi" w:hAnsiTheme="minorHAnsi" w:cstheme="minorHAnsi"/>
          <w:color w:val="000000"/>
          <w:sz w:val="20"/>
          <w:szCs w:val="20"/>
          <w:lang w:val="fr-FR"/>
        </w:rPr>
        <w:t xml:space="preserve">Le Partenaire d'exécution et le PFO du FEM ont demandé au PNUD de fournir des services d'appui pour un montant de </w:t>
      </w:r>
      <w:r w:rsidRPr="000E53A0">
        <w:rPr>
          <w:rFonts w:asciiTheme="minorHAnsi" w:hAnsiTheme="minorHAnsi" w:cstheme="minorHAnsi"/>
          <w:i/>
          <w:color w:val="FF0000"/>
          <w:sz w:val="20"/>
          <w:szCs w:val="20"/>
          <w:lang w:val="fr-FR"/>
        </w:rPr>
        <w:t xml:space="preserve">USD$ [ajouter le montant total indiqué dans la </w:t>
      </w:r>
      <w:r w:rsidR="004D581F" w:rsidRPr="000E53A0">
        <w:rPr>
          <w:rFonts w:asciiTheme="minorHAnsi" w:hAnsiTheme="minorHAnsi" w:cstheme="minorHAnsi"/>
          <w:i/>
          <w:color w:val="FF0000"/>
          <w:sz w:val="20"/>
          <w:szCs w:val="20"/>
          <w:lang w:val="fr-FR"/>
        </w:rPr>
        <w:t xml:space="preserve">lettre </w:t>
      </w:r>
      <w:r w:rsidRPr="000E53A0">
        <w:rPr>
          <w:rFonts w:asciiTheme="minorHAnsi" w:hAnsiTheme="minorHAnsi" w:cstheme="minorHAnsi"/>
          <w:i/>
          <w:color w:val="FF0000"/>
          <w:sz w:val="20"/>
          <w:szCs w:val="20"/>
          <w:lang w:val="fr-FR"/>
        </w:rPr>
        <w:t xml:space="preserve">jointe en annexe] </w:t>
      </w:r>
      <w:r w:rsidRPr="000E53A0">
        <w:rPr>
          <w:rFonts w:asciiTheme="minorHAnsi" w:hAnsiTheme="minorHAnsi" w:cstheme="minorHAnsi"/>
          <w:sz w:val="20"/>
          <w:szCs w:val="20"/>
          <w:lang w:val="fr-FR"/>
        </w:rPr>
        <w:t>pour toute la durée du projet</w:t>
      </w:r>
      <w:r w:rsidR="00642B2B" w:rsidRPr="000E53A0">
        <w:rPr>
          <w:rFonts w:asciiTheme="minorHAnsi" w:hAnsiTheme="minorHAnsi" w:cstheme="minorHAnsi"/>
          <w:sz w:val="20"/>
          <w:szCs w:val="20"/>
          <w:lang w:val="fr-FR"/>
        </w:rPr>
        <w:t xml:space="preserve">, et le FEM a accepté </w:t>
      </w:r>
      <w:r w:rsidR="004D581F" w:rsidRPr="000E53A0">
        <w:rPr>
          <w:rFonts w:asciiTheme="minorHAnsi" w:hAnsiTheme="minorHAnsi" w:cstheme="minorHAnsi"/>
          <w:sz w:val="20"/>
          <w:szCs w:val="20"/>
          <w:lang w:val="fr-FR"/>
        </w:rPr>
        <w:t>cette demande</w:t>
      </w:r>
      <w:r w:rsidRPr="000E53A0">
        <w:rPr>
          <w:rFonts w:asciiTheme="minorHAnsi" w:hAnsiTheme="minorHAnsi" w:cstheme="minorHAnsi"/>
          <w:sz w:val="20"/>
          <w:szCs w:val="20"/>
          <w:lang w:val="fr-FR"/>
        </w:rPr>
        <w:t xml:space="preserve">. La </w:t>
      </w:r>
      <w:r w:rsidRPr="000E53A0">
        <w:rPr>
          <w:rFonts w:asciiTheme="minorHAnsi" w:hAnsiTheme="minorHAnsi" w:cstheme="minorHAnsi"/>
          <w:b/>
          <w:color w:val="000000"/>
          <w:sz w:val="20"/>
          <w:szCs w:val="20"/>
          <w:lang w:val="fr-FR"/>
        </w:rPr>
        <w:t>lettre d'</w:t>
      </w:r>
      <w:r w:rsidR="004C066B" w:rsidRPr="000E53A0">
        <w:rPr>
          <w:rFonts w:asciiTheme="minorHAnsi" w:hAnsiTheme="minorHAnsi" w:cstheme="minorHAnsi"/>
          <w:b/>
          <w:color w:val="000000"/>
          <w:sz w:val="20"/>
          <w:szCs w:val="20"/>
          <w:lang w:val="fr-FR"/>
        </w:rPr>
        <w:t>appui à l'</w:t>
      </w:r>
      <w:r w:rsidR="00B45437" w:rsidRPr="000E53A0">
        <w:rPr>
          <w:rFonts w:asciiTheme="minorHAnsi" w:hAnsiTheme="minorHAnsi" w:cstheme="minorHAnsi"/>
          <w:color w:val="000000"/>
          <w:sz w:val="20"/>
          <w:szCs w:val="20"/>
          <w:lang w:val="fr-FR"/>
        </w:rPr>
        <w:t xml:space="preserve">exécution du </w:t>
      </w:r>
      <w:r w:rsidR="004C066B" w:rsidRPr="000E53A0">
        <w:rPr>
          <w:rFonts w:asciiTheme="minorHAnsi" w:hAnsiTheme="minorHAnsi" w:cstheme="minorHAnsi"/>
          <w:color w:val="000000"/>
          <w:sz w:val="20"/>
          <w:szCs w:val="20"/>
          <w:lang w:val="fr-FR"/>
        </w:rPr>
        <w:t xml:space="preserve">FEM </w:t>
      </w:r>
      <w:r w:rsidRPr="000E53A0">
        <w:rPr>
          <w:rFonts w:asciiTheme="minorHAnsi" w:hAnsiTheme="minorHAnsi" w:cstheme="minorHAnsi"/>
          <w:color w:val="000000"/>
          <w:sz w:val="20"/>
          <w:szCs w:val="20"/>
          <w:lang w:val="fr-FR"/>
        </w:rPr>
        <w:t>(signée par le PFO du FEM</w:t>
      </w:r>
      <w:r w:rsidR="004D581F" w:rsidRPr="000E53A0">
        <w:rPr>
          <w:rFonts w:asciiTheme="minorHAnsi" w:hAnsiTheme="minorHAnsi" w:cstheme="minorHAnsi"/>
          <w:color w:val="000000"/>
          <w:sz w:val="20"/>
          <w:szCs w:val="20"/>
          <w:lang w:val="fr-FR"/>
        </w:rPr>
        <w:t xml:space="preserve">) </w:t>
      </w:r>
      <w:r w:rsidRPr="000E53A0">
        <w:rPr>
          <w:rFonts w:asciiTheme="minorHAnsi" w:hAnsiTheme="minorHAnsi" w:cstheme="minorHAnsi"/>
          <w:color w:val="000000"/>
          <w:sz w:val="20"/>
          <w:szCs w:val="20"/>
          <w:lang w:val="fr-FR"/>
        </w:rPr>
        <w:t xml:space="preserve">détaillant ces services d'appui </w:t>
      </w:r>
      <w:r w:rsidR="00B4783C" w:rsidRPr="000E53A0">
        <w:rPr>
          <w:rFonts w:asciiTheme="minorHAnsi" w:hAnsiTheme="minorHAnsi" w:cstheme="minorHAnsi"/>
          <w:color w:val="000000"/>
          <w:sz w:val="20"/>
          <w:szCs w:val="20"/>
          <w:lang w:val="fr-FR"/>
        </w:rPr>
        <w:t xml:space="preserve">est jointe </w:t>
      </w:r>
      <w:r w:rsidRPr="000E53A0">
        <w:rPr>
          <w:rFonts w:asciiTheme="minorHAnsi" w:hAnsiTheme="minorHAnsi" w:cstheme="minorHAnsi"/>
          <w:color w:val="000000"/>
          <w:sz w:val="20"/>
          <w:szCs w:val="20"/>
          <w:lang w:val="fr-FR"/>
        </w:rPr>
        <w:t xml:space="preserve">en annexe. </w:t>
      </w:r>
      <w:r w:rsidRPr="000E53A0">
        <w:rPr>
          <w:rFonts w:asciiTheme="minorHAnsi" w:hAnsiTheme="minorHAnsi" w:cstheme="minorHAnsi"/>
          <w:sz w:val="20"/>
          <w:szCs w:val="20"/>
          <w:lang w:val="fr-FR"/>
        </w:rPr>
        <w:t xml:space="preserve">Afin de garantir la stricte indépendance requise par le FEM et conformément au cadre de contrôle interne du PNUD, ces services d'exécution seront fournis indépendamment des services de supervision et d'assurance qualité spécifiques au FEM (c'est-à-dire qu'ils ne seront pas fournis par la même personne afin d'éviter tout conflit d'intérêts). </w:t>
      </w:r>
      <w:r w:rsidR="004C066B" w:rsidRPr="000E53A0">
        <w:rPr>
          <w:rFonts w:asciiTheme="minorHAnsi" w:hAnsiTheme="minorHAnsi" w:cstheme="minorHAnsi"/>
          <w:sz w:val="20"/>
          <w:szCs w:val="20"/>
          <w:lang w:val="fr-FR"/>
        </w:rPr>
        <w:t xml:space="preserve">Voir les dernières directives disponibles auprès de l'équipe NCE-VF du </w:t>
      </w:r>
      <w:r w:rsidR="007721C5" w:rsidRPr="000E53A0">
        <w:rPr>
          <w:rFonts w:asciiTheme="minorHAnsi" w:hAnsiTheme="minorHAnsi" w:cstheme="minorHAnsi"/>
          <w:sz w:val="20"/>
          <w:szCs w:val="20"/>
          <w:lang w:val="fr-FR"/>
        </w:rPr>
        <w:t>BPPS</w:t>
      </w:r>
      <w:r w:rsidR="004C066B" w:rsidRPr="000E53A0">
        <w:rPr>
          <w:rFonts w:asciiTheme="minorHAnsi" w:hAnsiTheme="minorHAnsi" w:cstheme="minorHAnsi"/>
          <w:sz w:val="20"/>
          <w:szCs w:val="20"/>
          <w:lang w:val="fr-FR"/>
        </w:rPr>
        <w:t>.</w:t>
      </w:r>
    </w:p>
    <w:p w14:paraId="76DD143D" w14:textId="77777777" w:rsidR="006312F3" w:rsidRPr="000E53A0" w:rsidRDefault="006312F3" w:rsidP="001354E3">
      <w:pPr>
        <w:rPr>
          <w:rFonts w:asciiTheme="minorHAnsi" w:hAnsiTheme="minorHAnsi" w:cstheme="minorHAnsi"/>
          <w:b/>
          <w:noProof/>
          <w:sz w:val="20"/>
          <w:szCs w:val="20"/>
          <w:lang w:val="fr-FR" w:eastAsia="zh-CN"/>
        </w:rPr>
      </w:pPr>
    </w:p>
    <w:p w14:paraId="1A5E5170" w14:textId="77777777" w:rsidR="00601D9B" w:rsidRPr="000E53A0" w:rsidRDefault="000E53A0">
      <w:pPr>
        <w:pStyle w:val="Paragraphedeliste"/>
        <w:ind w:left="0"/>
        <w:rPr>
          <w:rFonts w:asciiTheme="minorHAnsi" w:hAnsiTheme="minorHAnsi" w:cstheme="minorHAnsi"/>
          <w:sz w:val="20"/>
          <w:szCs w:val="20"/>
          <w:lang w:val="fr-FR"/>
        </w:rPr>
      </w:pPr>
      <w:r w:rsidRPr="000E53A0">
        <w:rPr>
          <w:rFonts w:asciiTheme="minorHAnsi" w:hAnsiTheme="minorHAnsi" w:cstheme="minorHAnsi"/>
          <w:sz w:val="20"/>
          <w:szCs w:val="20"/>
          <w:u w:val="single"/>
          <w:lang w:val="fr-FR"/>
        </w:rPr>
        <w:t xml:space="preserve">Révision du budget et tolérance </w:t>
      </w:r>
      <w:r w:rsidR="00AF4698" w:rsidRPr="000E53A0">
        <w:rPr>
          <w:rFonts w:asciiTheme="minorHAnsi" w:hAnsiTheme="minorHAnsi" w:cstheme="minorHAnsi"/>
          <w:sz w:val="20"/>
          <w:szCs w:val="20"/>
          <w:lang w:val="fr-FR"/>
        </w:rPr>
        <w:t xml:space="preserve">: </w:t>
      </w:r>
      <w:r w:rsidR="00D308B6" w:rsidRPr="000E53A0">
        <w:rPr>
          <w:rFonts w:asciiTheme="minorHAnsi" w:hAnsiTheme="minorHAnsi" w:cstheme="minorHAnsi"/>
          <w:sz w:val="20"/>
          <w:szCs w:val="20"/>
          <w:lang w:val="fr-FR"/>
        </w:rPr>
        <w:t xml:space="preserve">Conformément aux exigences du PNUD décrites dans le POPP du PNUD, le conseil du projet conviendra d'un niveau de tolérance budgétaire pour chaque plan dans le cadre du plan de travail annuel global, permettant au gestionnaire du projet de dépenser jusqu'au niveau de tolérance au-delà du montant du budget du projet approuvé pour l'année sans exiger une révision du conseil du projet. </w:t>
      </w:r>
    </w:p>
    <w:p w14:paraId="2F66F11B" w14:textId="77777777" w:rsidR="003437CE" w:rsidRPr="000E53A0" w:rsidRDefault="003437CE" w:rsidP="001354E3">
      <w:pPr>
        <w:pStyle w:val="Paragraphedeliste"/>
        <w:ind w:left="0"/>
        <w:rPr>
          <w:rFonts w:asciiTheme="minorHAnsi" w:hAnsiTheme="minorHAnsi" w:cstheme="minorHAnsi"/>
          <w:sz w:val="20"/>
          <w:szCs w:val="20"/>
          <w:lang w:val="fr-FR"/>
        </w:rPr>
      </w:pPr>
    </w:p>
    <w:p w14:paraId="1B3C7439" w14:textId="77777777" w:rsidR="00601D9B" w:rsidRPr="000E53A0" w:rsidRDefault="000E53A0">
      <w:pPr>
        <w:pStyle w:val="Paragraphedeliste"/>
        <w:ind w:left="0"/>
        <w:rPr>
          <w:rFonts w:asciiTheme="minorHAnsi" w:hAnsiTheme="minorHAnsi" w:cstheme="minorHAnsi"/>
          <w:sz w:val="20"/>
          <w:szCs w:val="20"/>
          <w:lang w:val="fr-FR"/>
        </w:rPr>
      </w:pPr>
      <w:r w:rsidRPr="000E53A0">
        <w:rPr>
          <w:rFonts w:asciiTheme="minorHAnsi" w:hAnsiTheme="minorHAnsi" w:cstheme="minorHAnsi"/>
          <w:sz w:val="20"/>
          <w:szCs w:val="20"/>
          <w:lang w:val="fr-FR"/>
        </w:rPr>
        <w:t xml:space="preserve">Si les écarts suivants se produisent, le gestionnaire de projet/CTA et le bureau de pays du PNUD demanderont l'approbation de l'équipe </w:t>
      </w:r>
      <w:r w:rsidR="003437CE" w:rsidRPr="000E53A0">
        <w:rPr>
          <w:rFonts w:asciiTheme="minorHAnsi" w:hAnsiTheme="minorHAnsi" w:cstheme="minorHAnsi"/>
          <w:sz w:val="20"/>
          <w:szCs w:val="20"/>
          <w:lang w:val="fr-FR"/>
        </w:rPr>
        <w:t xml:space="preserve">BPPS/GEF </w:t>
      </w:r>
      <w:r w:rsidRPr="000E53A0">
        <w:rPr>
          <w:rFonts w:asciiTheme="minorHAnsi" w:hAnsiTheme="minorHAnsi" w:cstheme="minorHAnsi"/>
          <w:sz w:val="20"/>
          <w:szCs w:val="20"/>
          <w:lang w:val="fr-FR"/>
        </w:rPr>
        <w:t xml:space="preserve">afin de garantir un rapport précis au FEM : </w:t>
      </w:r>
    </w:p>
    <w:p w14:paraId="79437942" w14:textId="77777777" w:rsidR="00601D9B" w:rsidRPr="000E53A0" w:rsidRDefault="000E53A0">
      <w:pPr>
        <w:pStyle w:val="Paragraphedeliste"/>
        <w:ind w:left="0"/>
        <w:rPr>
          <w:rFonts w:asciiTheme="minorHAnsi" w:hAnsiTheme="minorHAnsi" w:cstheme="minorHAnsi"/>
          <w:sz w:val="20"/>
          <w:szCs w:val="20"/>
          <w:lang w:val="fr-FR"/>
        </w:rPr>
      </w:pPr>
      <w:r w:rsidRPr="000E53A0">
        <w:rPr>
          <w:rFonts w:asciiTheme="minorHAnsi" w:hAnsiTheme="minorHAnsi" w:cstheme="minorHAnsi"/>
          <w:sz w:val="20"/>
          <w:szCs w:val="20"/>
          <w:lang w:val="fr-FR"/>
        </w:rPr>
        <w:t xml:space="preserve">a) Les réaffectations budgétaires entre les composantes du </w:t>
      </w:r>
      <w:r w:rsidR="00A167E5" w:rsidRPr="000E53A0">
        <w:rPr>
          <w:rFonts w:asciiTheme="minorHAnsi" w:hAnsiTheme="minorHAnsi" w:cstheme="minorHAnsi"/>
          <w:sz w:val="20"/>
          <w:szCs w:val="20"/>
          <w:lang w:val="fr-FR"/>
        </w:rPr>
        <w:t xml:space="preserve">budget du </w:t>
      </w:r>
      <w:r w:rsidRPr="000E53A0">
        <w:rPr>
          <w:rFonts w:asciiTheme="minorHAnsi" w:hAnsiTheme="minorHAnsi" w:cstheme="minorHAnsi"/>
          <w:sz w:val="20"/>
          <w:szCs w:val="20"/>
          <w:lang w:val="fr-FR"/>
        </w:rPr>
        <w:t xml:space="preserve">projet dont les montants représentent 10 % ou plus de la subvention totale du projet ; </w:t>
      </w:r>
    </w:p>
    <w:p w14:paraId="2C8FCEEA" w14:textId="77777777" w:rsidR="00601D9B" w:rsidRPr="000E53A0" w:rsidRDefault="000E53A0">
      <w:pPr>
        <w:pStyle w:val="Paragraphedeliste"/>
        <w:ind w:left="0"/>
        <w:rPr>
          <w:rFonts w:asciiTheme="minorHAnsi" w:hAnsiTheme="minorHAnsi" w:cstheme="minorHAnsi"/>
          <w:sz w:val="20"/>
          <w:szCs w:val="20"/>
          <w:lang w:val="fr-FR"/>
        </w:rPr>
      </w:pPr>
      <w:r w:rsidRPr="000E53A0">
        <w:rPr>
          <w:rFonts w:asciiTheme="minorHAnsi" w:hAnsiTheme="minorHAnsi" w:cstheme="minorHAnsi"/>
          <w:sz w:val="20"/>
          <w:szCs w:val="20"/>
          <w:lang w:val="fr-FR"/>
        </w:rPr>
        <w:lastRenderedPageBreak/>
        <w:t xml:space="preserve">b) Introduction de nouveaux postes budgétaires dépassant 5 % de l'allocation initiale du FEM. </w:t>
      </w:r>
    </w:p>
    <w:p w14:paraId="2401BD41" w14:textId="77777777" w:rsidR="00051A7A" w:rsidRPr="000E53A0" w:rsidRDefault="00051A7A" w:rsidP="001354E3">
      <w:pPr>
        <w:rPr>
          <w:rFonts w:asciiTheme="minorHAnsi" w:hAnsiTheme="minorHAnsi" w:cstheme="minorHAnsi"/>
          <w:sz w:val="20"/>
          <w:szCs w:val="20"/>
          <w:lang w:val="fr-FR"/>
        </w:rPr>
      </w:pPr>
    </w:p>
    <w:p w14:paraId="71C61CB5" w14:textId="77777777" w:rsidR="00601D9B" w:rsidRPr="000E53A0" w:rsidRDefault="000E53A0">
      <w:pPr>
        <w:rPr>
          <w:rFonts w:asciiTheme="minorHAnsi" w:hAnsiTheme="minorHAnsi" w:cstheme="minorHAnsi"/>
          <w:sz w:val="20"/>
          <w:szCs w:val="20"/>
          <w:u w:val="single"/>
          <w:lang w:val="fr-FR"/>
        </w:rPr>
      </w:pPr>
      <w:r w:rsidRPr="000E53A0">
        <w:rPr>
          <w:rFonts w:asciiTheme="minorHAnsi" w:hAnsiTheme="minorHAnsi" w:cstheme="minorHAnsi"/>
          <w:sz w:val="20"/>
          <w:szCs w:val="20"/>
          <w:lang w:val="fr-FR"/>
        </w:rPr>
        <w:t xml:space="preserve">Tout dépassement du montant disponible de la subvention du FEM sera absorbé par des ressources hors FEM (par exemple, le TRAC du PNUD ou un cofinancement en espèces). </w:t>
      </w:r>
    </w:p>
    <w:p w14:paraId="58485180" w14:textId="77777777" w:rsidR="00A02284" w:rsidRPr="000E53A0" w:rsidRDefault="00A02284" w:rsidP="001354E3">
      <w:pPr>
        <w:rPr>
          <w:rFonts w:asciiTheme="minorHAnsi" w:hAnsiTheme="minorHAnsi" w:cstheme="minorHAnsi"/>
          <w:sz w:val="20"/>
          <w:szCs w:val="20"/>
          <w:u w:val="single"/>
          <w:lang w:val="fr-FR"/>
        </w:rPr>
      </w:pPr>
    </w:p>
    <w:p w14:paraId="696B7E2E" w14:textId="77777777" w:rsidR="00601D9B" w:rsidRPr="000E53A0" w:rsidRDefault="000E53A0">
      <w:pPr>
        <w:rPr>
          <w:rFonts w:asciiTheme="minorHAnsi" w:hAnsiTheme="minorHAnsi" w:cstheme="minorHAnsi"/>
          <w:sz w:val="20"/>
          <w:szCs w:val="20"/>
          <w:lang w:val="fr-FR"/>
        </w:rPr>
      </w:pPr>
      <w:r w:rsidRPr="000E53A0">
        <w:rPr>
          <w:rFonts w:asciiTheme="minorHAnsi" w:hAnsiTheme="minorHAnsi" w:cstheme="minorHAnsi"/>
          <w:sz w:val="20"/>
          <w:szCs w:val="20"/>
          <w:u w:val="single"/>
          <w:lang w:val="fr-FR"/>
        </w:rPr>
        <w:t xml:space="preserve">Audit </w:t>
      </w:r>
      <w:r w:rsidRPr="000E53A0">
        <w:rPr>
          <w:rFonts w:asciiTheme="minorHAnsi" w:hAnsiTheme="minorHAnsi" w:cstheme="minorHAnsi"/>
          <w:sz w:val="20"/>
          <w:szCs w:val="20"/>
          <w:lang w:val="fr-FR"/>
        </w:rPr>
        <w:t xml:space="preserve">: </w:t>
      </w:r>
      <w:r w:rsidR="00051A7A" w:rsidRPr="000E53A0">
        <w:rPr>
          <w:rFonts w:asciiTheme="minorHAnsi" w:hAnsiTheme="minorHAnsi" w:cstheme="minorHAnsi"/>
          <w:sz w:val="20"/>
          <w:szCs w:val="20"/>
          <w:lang w:val="fr-FR"/>
        </w:rPr>
        <w:t xml:space="preserve">Le projet sera audité conformément aux règles et règlements financiers du PNUD et aux politiques d'audit applicables. Le cycle et le processus d'audit doivent être discutés lors de l'atelier de lancement. Si le partenaire d'exécution est une agence des Nations Unies, le projet sera audité conformément aux politiques d'audit applicables à cette agence. </w:t>
      </w:r>
    </w:p>
    <w:p w14:paraId="5BD48D04" w14:textId="77777777" w:rsidR="00023B58" w:rsidRPr="000E53A0" w:rsidRDefault="00023B58" w:rsidP="001354E3">
      <w:pPr>
        <w:rPr>
          <w:rFonts w:asciiTheme="minorHAnsi" w:hAnsiTheme="minorHAnsi" w:cstheme="minorHAnsi"/>
          <w:sz w:val="20"/>
          <w:szCs w:val="20"/>
          <w:u w:val="single"/>
          <w:lang w:val="fr-FR"/>
        </w:rPr>
      </w:pPr>
    </w:p>
    <w:p w14:paraId="0432B849" w14:textId="77777777" w:rsidR="00601D9B" w:rsidRPr="000E53A0" w:rsidRDefault="000E53A0">
      <w:pPr>
        <w:pStyle w:val="Paragraphedeliste"/>
        <w:ind w:left="0"/>
        <w:rPr>
          <w:rFonts w:asciiTheme="minorHAnsi" w:hAnsiTheme="minorHAnsi" w:cstheme="minorHAnsi"/>
          <w:sz w:val="20"/>
          <w:szCs w:val="20"/>
          <w:lang w:val="fr-FR"/>
        </w:rPr>
      </w:pPr>
      <w:r w:rsidRPr="000E53A0">
        <w:rPr>
          <w:rFonts w:asciiTheme="minorHAnsi" w:hAnsiTheme="minorHAnsi" w:cstheme="minorHAnsi"/>
          <w:sz w:val="20"/>
          <w:szCs w:val="20"/>
          <w:u w:val="single"/>
          <w:lang w:val="fr-FR"/>
        </w:rPr>
        <w:t xml:space="preserve">Clôture du projet </w:t>
      </w:r>
      <w:r w:rsidRPr="000E53A0">
        <w:rPr>
          <w:rFonts w:asciiTheme="minorHAnsi" w:hAnsiTheme="minorHAnsi" w:cstheme="minorHAnsi"/>
          <w:sz w:val="20"/>
          <w:szCs w:val="20"/>
          <w:lang w:val="fr-FR"/>
        </w:rPr>
        <w:t>:</w:t>
      </w:r>
      <w:r w:rsidR="00051A7A" w:rsidRPr="000E53A0">
        <w:rPr>
          <w:rFonts w:asciiTheme="minorHAnsi" w:hAnsiTheme="minorHAnsi" w:cstheme="minorHAnsi"/>
          <w:sz w:val="20"/>
          <w:szCs w:val="20"/>
          <w:lang w:val="fr-FR"/>
        </w:rPr>
        <w:t xml:space="preserve"> La clôture du projet sera effectuée conformément aux exigences du PNUD décrites dans le POPP du PNUD. Tous les coûts encourus pour clôturer le projet doivent être inclus dans le budget de clôture du projet et déclarés comme engagements finaux du projet présentés au Conseil du projet lors de l'examen final du projet. Les seuls coûts qu'un projet peut encourir après l'examen final du projet sont ceux inclus dans le budget de clôture du projet. </w:t>
      </w:r>
    </w:p>
    <w:p w14:paraId="28D4763A" w14:textId="77777777" w:rsidR="00051A7A" w:rsidRPr="000E53A0" w:rsidRDefault="00051A7A" w:rsidP="001354E3">
      <w:pPr>
        <w:rPr>
          <w:rFonts w:asciiTheme="minorHAnsi" w:hAnsiTheme="minorHAnsi" w:cstheme="minorHAnsi"/>
          <w:sz w:val="20"/>
          <w:szCs w:val="20"/>
          <w:u w:val="single"/>
          <w:lang w:val="fr-FR"/>
        </w:rPr>
      </w:pPr>
    </w:p>
    <w:p w14:paraId="79C86143" w14:textId="77777777" w:rsidR="00601D9B" w:rsidRPr="000E53A0" w:rsidRDefault="000E53A0">
      <w:pPr>
        <w:rPr>
          <w:rFonts w:asciiTheme="minorHAnsi" w:hAnsiTheme="minorHAnsi" w:cstheme="minorHAnsi"/>
          <w:sz w:val="20"/>
          <w:szCs w:val="20"/>
          <w:lang w:val="fr-FR"/>
        </w:rPr>
      </w:pPr>
      <w:r w:rsidRPr="000E53A0">
        <w:rPr>
          <w:rFonts w:asciiTheme="minorHAnsi" w:hAnsiTheme="minorHAnsi" w:cstheme="minorHAnsi"/>
          <w:sz w:val="20"/>
          <w:szCs w:val="20"/>
          <w:u w:val="single"/>
          <w:lang w:val="fr-FR"/>
        </w:rPr>
        <w:t xml:space="preserve">Achèvement opérationnel </w:t>
      </w:r>
      <w:r w:rsidRPr="000E53A0">
        <w:rPr>
          <w:rFonts w:asciiTheme="minorHAnsi" w:hAnsiTheme="minorHAnsi" w:cstheme="minorHAnsi"/>
          <w:sz w:val="20"/>
          <w:szCs w:val="20"/>
          <w:lang w:val="fr-FR"/>
        </w:rPr>
        <w:t xml:space="preserve">: Le projet sera achevé sur le plan opérationnel lorsque les derniers apports financés par le PNUD auront été fournis et que les activités connexes auront été achevées. Cela inclut l'approbation finale du rapport d'évaluation finale (qui sera disponible en anglais) et la réponse correspondante de la direction, ainsi que la réunion du conseil d'administration du projet pour l'examen de fin de projet. </w:t>
      </w:r>
      <w:r w:rsidRPr="000E53A0">
        <w:rPr>
          <w:rFonts w:asciiTheme="minorHAnsi" w:hAnsiTheme="minorHAnsi" w:cstheme="minorHAnsi"/>
          <w:b/>
          <w:sz w:val="20"/>
          <w:szCs w:val="20"/>
          <w:lang w:val="fr-FR"/>
        </w:rPr>
        <w:t xml:space="preserve">La clôture opérationnelle doit avoir lieu dans les 3 mois </w:t>
      </w:r>
      <w:r w:rsidR="005D1C2D" w:rsidRPr="000E53A0">
        <w:rPr>
          <w:rFonts w:asciiTheme="minorHAnsi" w:hAnsiTheme="minorHAnsi" w:cstheme="minorHAnsi"/>
          <w:b/>
          <w:sz w:val="20"/>
          <w:szCs w:val="20"/>
          <w:lang w:val="fr-FR"/>
        </w:rPr>
        <w:t xml:space="preserve">suivant la </w:t>
      </w:r>
      <w:r w:rsidRPr="000E53A0">
        <w:rPr>
          <w:rFonts w:asciiTheme="minorHAnsi" w:hAnsiTheme="minorHAnsi" w:cstheme="minorHAnsi"/>
          <w:b/>
          <w:sz w:val="20"/>
          <w:szCs w:val="20"/>
          <w:lang w:val="fr-FR"/>
        </w:rPr>
        <w:t>publication du rapport d'évaluation finale sur l'ERC du PNUD</w:t>
      </w:r>
      <w:r w:rsidRPr="000E53A0">
        <w:rPr>
          <w:rFonts w:asciiTheme="minorHAnsi" w:hAnsiTheme="minorHAnsi" w:cstheme="minorHAnsi"/>
          <w:sz w:val="20"/>
          <w:szCs w:val="20"/>
          <w:lang w:val="fr-FR"/>
        </w:rPr>
        <w:t xml:space="preserve">. Le Partenaire d'exécution, par le biais d'une décision du Conseil de projet, informera le Bureau de pays du PNUD de la fin de la clôture opérationnelle. A ce moment, les parties concernées auront déjà convenu et confirmé par écrit les dispositions pour l'élimination de tout équipement qui est encore la propriété du PNUD. </w:t>
      </w:r>
    </w:p>
    <w:p w14:paraId="17485183" w14:textId="77777777" w:rsidR="00051A7A" w:rsidRPr="000E53A0" w:rsidRDefault="00051A7A" w:rsidP="001354E3">
      <w:pPr>
        <w:rPr>
          <w:rFonts w:asciiTheme="minorHAnsi" w:hAnsiTheme="minorHAnsi" w:cstheme="minorHAnsi"/>
          <w:sz w:val="20"/>
          <w:szCs w:val="20"/>
          <w:u w:val="single"/>
          <w:lang w:val="fr-FR"/>
        </w:rPr>
      </w:pPr>
    </w:p>
    <w:p w14:paraId="4C6BBFF8" w14:textId="77777777" w:rsidR="00601D9B" w:rsidRPr="000E53A0" w:rsidRDefault="000E53A0">
      <w:pPr>
        <w:rPr>
          <w:rFonts w:asciiTheme="minorHAnsi" w:hAnsiTheme="minorHAnsi" w:cstheme="minorHAnsi"/>
          <w:sz w:val="20"/>
          <w:szCs w:val="20"/>
          <w:lang w:val="fr-FR"/>
        </w:rPr>
      </w:pPr>
      <w:r w:rsidRPr="000E53A0">
        <w:rPr>
          <w:rFonts w:asciiTheme="minorHAnsi" w:hAnsiTheme="minorHAnsi" w:cstheme="minorHAnsi"/>
          <w:sz w:val="20"/>
          <w:szCs w:val="20"/>
          <w:u w:val="single"/>
          <w:lang w:val="fr-FR"/>
        </w:rPr>
        <w:t xml:space="preserve">Transfert ou cession d'actifs </w:t>
      </w:r>
      <w:r w:rsidRPr="000E53A0">
        <w:rPr>
          <w:rFonts w:asciiTheme="minorHAnsi" w:hAnsiTheme="minorHAnsi" w:cstheme="minorHAnsi"/>
          <w:sz w:val="20"/>
          <w:szCs w:val="20"/>
          <w:lang w:val="fr-FR"/>
        </w:rPr>
        <w:t xml:space="preserve">: En consultation avec le partenaire de mise en œuvre et les autres parties du projet, le PNUD est chargé de décider du transfert ou de la cession des actifs. Il est recommandé que le transfert ou la cession des actifs soit examiné et approuvé par le conseil du projet conformément aux règles et règlements du PNUD. Les actifs peuvent être transférés au gouvernement pour des activités de projet gérées par une institution nationale à tout moment pendant la durée de vie d'un projet. Dans tous les cas de transfert, un document de transfert doit être préparé et conservé dans le dossier </w:t>
      </w:r>
      <w:r w:rsidRPr="00107491">
        <w:rPr>
          <w:rStyle w:val="Appelnotedebasdep"/>
          <w:rFonts w:asciiTheme="minorHAnsi" w:hAnsiTheme="minorHAnsi" w:cstheme="minorHAnsi"/>
          <w:sz w:val="20"/>
          <w:szCs w:val="20"/>
        </w:rPr>
        <w:footnoteReference w:id="84"/>
      </w:r>
      <w:r w:rsidRPr="000E53A0">
        <w:rPr>
          <w:rFonts w:asciiTheme="minorHAnsi" w:hAnsiTheme="minorHAnsi" w:cstheme="minorHAnsi"/>
          <w:sz w:val="20"/>
          <w:szCs w:val="20"/>
          <w:lang w:val="fr-FR"/>
        </w:rPr>
        <w:t>. Le transfert doit être effectué avant que l'unité de gestion du projet ne termine ses missions.</w:t>
      </w:r>
    </w:p>
    <w:p w14:paraId="5CB05B78" w14:textId="77777777" w:rsidR="00051A7A" w:rsidRPr="000E53A0" w:rsidRDefault="00051A7A" w:rsidP="001354E3">
      <w:pPr>
        <w:rPr>
          <w:rFonts w:asciiTheme="minorHAnsi" w:hAnsiTheme="minorHAnsi" w:cstheme="minorHAnsi"/>
          <w:sz w:val="20"/>
          <w:szCs w:val="20"/>
          <w:u w:val="single"/>
          <w:lang w:val="fr-FR"/>
        </w:rPr>
      </w:pPr>
    </w:p>
    <w:p w14:paraId="74B1E448" w14:textId="77777777" w:rsidR="00601D9B" w:rsidRPr="000E53A0" w:rsidRDefault="000E53A0">
      <w:pPr>
        <w:rPr>
          <w:rFonts w:asciiTheme="minorHAnsi" w:hAnsiTheme="minorHAnsi" w:cstheme="minorHAnsi"/>
          <w:sz w:val="20"/>
          <w:szCs w:val="20"/>
          <w:lang w:val="fr-FR"/>
        </w:rPr>
      </w:pPr>
      <w:r w:rsidRPr="000E53A0">
        <w:rPr>
          <w:rFonts w:asciiTheme="minorHAnsi" w:hAnsiTheme="minorHAnsi" w:cstheme="minorHAnsi"/>
          <w:sz w:val="20"/>
          <w:szCs w:val="20"/>
          <w:u w:val="single"/>
          <w:lang w:val="fr-FR"/>
        </w:rPr>
        <w:t xml:space="preserve">Achèvement financier (clôture) </w:t>
      </w:r>
      <w:r w:rsidRPr="000E53A0">
        <w:rPr>
          <w:rFonts w:asciiTheme="minorHAnsi" w:hAnsiTheme="minorHAnsi" w:cstheme="minorHAnsi"/>
          <w:sz w:val="20"/>
          <w:szCs w:val="20"/>
          <w:lang w:val="fr-FR"/>
        </w:rPr>
        <w:t xml:space="preserve">:  Le projet sera financièrement clôturé lorsque les conditions suivantes auront été remplies : a) le projet est terminé sur le plan opérationnel ou a été annulé ; b) le partenaire d'exécution a rapporté toutes les transactions financières au PNUD ; c) le PNUD a clôturé les comptes du projet ; d) le PNUD et le partenaire d'exécution ont certifié un rapport de livraison combiné final (qui sert de révision budgétaire finale). </w:t>
      </w:r>
    </w:p>
    <w:p w14:paraId="678F8841" w14:textId="77777777" w:rsidR="00051A7A" w:rsidRPr="000E53A0" w:rsidRDefault="00051A7A" w:rsidP="001354E3">
      <w:pPr>
        <w:rPr>
          <w:rFonts w:asciiTheme="minorHAnsi" w:hAnsiTheme="minorHAnsi" w:cstheme="minorHAnsi"/>
          <w:sz w:val="20"/>
          <w:szCs w:val="20"/>
          <w:lang w:val="fr-FR"/>
        </w:rPr>
      </w:pPr>
    </w:p>
    <w:p w14:paraId="086B0740" w14:textId="77777777" w:rsidR="00601D9B" w:rsidRPr="000E53A0" w:rsidRDefault="000E53A0">
      <w:pPr>
        <w:rPr>
          <w:rFonts w:asciiTheme="minorHAnsi" w:hAnsiTheme="minorHAnsi" w:cstheme="minorHAnsi"/>
          <w:sz w:val="20"/>
          <w:szCs w:val="20"/>
          <w:lang w:val="fr-FR"/>
        </w:rPr>
      </w:pPr>
      <w:r w:rsidRPr="000E53A0">
        <w:rPr>
          <w:rFonts w:asciiTheme="minorHAnsi" w:hAnsiTheme="minorHAnsi" w:cstheme="minorHAnsi"/>
          <w:sz w:val="20"/>
          <w:szCs w:val="20"/>
          <w:lang w:val="fr-FR"/>
        </w:rPr>
        <w:t xml:space="preserve">Le projet sera financièrement achevé </w:t>
      </w:r>
      <w:r w:rsidRPr="000E53A0">
        <w:rPr>
          <w:rFonts w:asciiTheme="minorHAnsi" w:hAnsiTheme="minorHAnsi" w:cstheme="minorHAnsi"/>
          <w:b/>
          <w:sz w:val="20"/>
          <w:szCs w:val="20"/>
          <w:lang w:val="fr-FR"/>
        </w:rPr>
        <w:t>dans les 6 mois suivant la clôture opérationnelle ou après la date d'annulation</w:t>
      </w:r>
      <w:r w:rsidRPr="000E53A0">
        <w:rPr>
          <w:rFonts w:asciiTheme="minorHAnsi" w:hAnsiTheme="minorHAnsi" w:cstheme="minorHAnsi"/>
          <w:sz w:val="20"/>
          <w:szCs w:val="20"/>
          <w:lang w:val="fr-FR"/>
        </w:rPr>
        <w:t xml:space="preserve">. Entre la clôture opérationnelle et la clôture financière, le partenaire de mise en œuvre identifiera et réglera toutes les obligations financières et préparera un rapport final de dépenses. Le bureau national du PNUD enverra les documents de clôture finaux signés, y compris la confirmation des dépenses cumulées finales et du solde non dépensé, à l'unité </w:t>
      </w:r>
      <w:r w:rsidR="00395CA9" w:rsidRPr="000E53A0">
        <w:rPr>
          <w:rFonts w:asciiTheme="minorHAnsi" w:hAnsiTheme="minorHAnsi" w:cstheme="minorHAnsi"/>
          <w:sz w:val="20"/>
          <w:szCs w:val="20"/>
          <w:lang w:val="fr-FR"/>
        </w:rPr>
        <w:t xml:space="preserve">BPPS/GEF </w:t>
      </w:r>
      <w:r w:rsidRPr="000E53A0">
        <w:rPr>
          <w:rFonts w:asciiTheme="minorHAnsi" w:hAnsiTheme="minorHAnsi" w:cstheme="minorHAnsi"/>
          <w:sz w:val="20"/>
          <w:szCs w:val="20"/>
          <w:lang w:val="fr-FR"/>
        </w:rPr>
        <w:t>pour confirmation avant que le projet ne soit financièrement clôturé dans Atlas par le bureau national du PNUD.</w:t>
      </w:r>
    </w:p>
    <w:p w14:paraId="0D01C95E" w14:textId="77777777" w:rsidR="00051A7A" w:rsidRPr="000E53A0" w:rsidRDefault="00051A7A" w:rsidP="001354E3">
      <w:pPr>
        <w:rPr>
          <w:rFonts w:asciiTheme="minorHAnsi" w:hAnsiTheme="minorHAnsi" w:cstheme="minorHAnsi"/>
          <w:sz w:val="20"/>
          <w:szCs w:val="20"/>
          <w:lang w:val="fr-FR"/>
        </w:rPr>
      </w:pPr>
    </w:p>
    <w:p w14:paraId="1896C795" w14:textId="77777777" w:rsidR="00601D9B" w:rsidRPr="000E53A0" w:rsidRDefault="000E53A0">
      <w:pPr>
        <w:rPr>
          <w:rFonts w:asciiTheme="minorHAnsi" w:hAnsiTheme="minorHAnsi" w:cstheme="minorHAnsi"/>
          <w:sz w:val="20"/>
          <w:szCs w:val="20"/>
          <w:lang w:val="fr-FR"/>
        </w:rPr>
      </w:pPr>
      <w:r w:rsidRPr="000E53A0">
        <w:rPr>
          <w:rFonts w:asciiTheme="minorHAnsi" w:hAnsiTheme="minorHAnsi" w:cstheme="minorHAnsi"/>
          <w:sz w:val="20"/>
          <w:szCs w:val="20"/>
          <w:u w:val="single"/>
          <w:lang w:val="fr-FR"/>
        </w:rPr>
        <w:t xml:space="preserve">Remboursement au FEM :  </w:t>
      </w:r>
      <w:r w:rsidRPr="000E53A0">
        <w:rPr>
          <w:rFonts w:asciiTheme="minorHAnsi" w:hAnsiTheme="minorHAnsi" w:cstheme="minorHAnsi"/>
          <w:sz w:val="20"/>
          <w:szCs w:val="20"/>
          <w:lang w:val="fr-FR"/>
        </w:rPr>
        <w:t xml:space="preserve">Si un remboursement des fonds non dépensés au FEM est nécessaire, il sera géré directement par la Direction </w:t>
      </w:r>
      <w:r w:rsidR="00395CA9" w:rsidRPr="000E53A0">
        <w:rPr>
          <w:rFonts w:asciiTheme="minorHAnsi" w:hAnsiTheme="minorHAnsi" w:cstheme="minorHAnsi"/>
          <w:sz w:val="20"/>
          <w:szCs w:val="20"/>
          <w:lang w:val="fr-FR"/>
        </w:rPr>
        <w:t xml:space="preserve">BPPS/FEM </w:t>
      </w:r>
      <w:r w:rsidRPr="000E53A0">
        <w:rPr>
          <w:rFonts w:asciiTheme="minorHAnsi" w:hAnsiTheme="minorHAnsi" w:cstheme="minorHAnsi"/>
          <w:sz w:val="20"/>
          <w:szCs w:val="20"/>
          <w:lang w:val="fr-FR"/>
        </w:rPr>
        <w:t xml:space="preserve">à New York. Aucune action n'est requise de </w:t>
      </w:r>
      <w:r w:rsidR="00C92400" w:rsidRPr="000E53A0">
        <w:rPr>
          <w:rFonts w:asciiTheme="minorHAnsi" w:hAnsiTheme="minorHAnsi" w:cstheme="minorHAnsi"/>
          <w:sz w:val="20"/>
          <w:szCs w:val="20"/>
          <w:lang w:val="fr-FR"/>
        </w:rPr>
        <w:t xml:space="preserve">la part du bureau national du PNUD </w:t>
      </w:r>
      <w:r w:rsidRPr="000E53A0">
        <w:rPr>
          <w:rFonts w:asciiTheme="minorHAnsi" w:hAnsiTheme="minorHAnsi" w:cstheme="minorHAnsi"/>
          <w:sz w:val="20"/>
          <w:szCs w:val="20"/>
          <w:lang w:val="fr-FR"/>
        </w:rPr>
        <w:t>pour le remboursement effectif du projet du PNUD à l'administrateur du FEM.</w:t>
      </w:r>
    </w:p>
    <w:p w14:paraId="6B736DF3" w14:textId="77777777" w:rsidR="00393350" w:rsidRPr="000E53A0" w:rsidRDefault="00393350" w:rsidP="001354E3">
      <w:pPr>
        <w:rPr>
          <w:rFonts w:asciiTheme="minorHAnsi" w:hAnsiTheme="minorHAnsi" w:cstheme="minorHAnsi"/>
          <w:sz w:val="20"/>
          <w:szCs w:val="20"/>
          <w:u w:val="single"/>
          <w:lang w:val="fr-FR"/>
        </w:rPr>
      </w:pPr>
    </w:p>
    <w:p w14:paraId="464E06C7" w14:textId="77777777" w:rsidR="00494749" w:rsidRPr="000E53A0" w:rsidRDefault="00494749" w:rsidP="001354E3">
      <w:pPr>
        <w:rPr>
          <w:rFonts w:asciiTheme="minorHAnsi" w:hAnsiTheme="minorHAnsi"/>
          <w:szCs w:val="20"/>
          <w:u w:val="single"/>
          <w:lang w:val="fr-FR"/>
        </w:rPr>
      </w:pPr>
    </w:p>
    <w:p w14:paraId="3A66D1BE" w14:textId="77777777" w:rsidR="003057A8" w:rsidRPr="000E53A0" w:rsidRDefault="003057A8" w:rsidP="001354E3">
      <w:pPr>
        <w:rPr>
          <w:rFonts w:asciiTheme="minorHAnsi" w:hAnsiTheme="minorHAnsi"/>
          <w:szCs w:val="20"/>
          <w:lang w:val="fr-FR"/>
        </w:rPr>
      </w:pPr>
    </w:p>
    <w:p w14:paraId="15892A83" w14:textId="77777777" w:rsidR="00740F26" w:rsidRPr="000E53A0" w:rsidRDefault="00740F26" w:rsidP="001354E3">
      <w:pPr>
        <w:rPr>
          <w:rFonts w:asciiTheme="minorHAnsi" w:hAnsiTheme="minorHAnsi"/>
          <w:b/>
          <w:smallCaps/>
          <w:spacing w:val="-2"/>
          <w:szCs w:val="20"/>
          <w:lang w:val="fr-FR"/>
        </w:rPr>
        <w:sectPr w:rsidR="00740F26" w:rsidRPr="000E53A0" w:rsidSect="006353F2">
          <w:headerReference w:type="default" r:id="rId35"/>
          <w:footerReference w:type="default" r:id="rId36"/>
          <w:pgSz w:w="12240" w:h="15840" w:code="1"/>
          <w:pgMar w:top="1440" w:right="1440" w:bottom="1440" w:left="1440" w:header="720" w:footer="432" w:gutter="0"/>
          <w:cols w:space="708"/>
          <w:titlePg/>
          <w:docGrid w:linePitch="360"/>
        </w:sectPr>
      </w:pPr>
    </w:p>
    <w:p w14:paraId="4A3097D1" w14:textId="77777777" w:rsidR="00601D9B" w:rsidRPr="000E53A0" w:rsidRDefault="000E53A0">
      <w:pPr>
        <w:pStyle w:val="Titre1"/>
        <w:spacing w:before="0" w:after="60"/>
        <w:rPr>
          <w:rFonts w:ascii="Calibri" w:hAnsi="Calibri"/>
          <w:szCs w:val="28"/>
          <w:lang w:val="fr-FR"/>
        </w:rPr>
      </w:pPr>
      <w:bookmarkStart w:id="52" w:name="_Toc46749084"/>
      <w:r w:rsidRPr="000E53A0">
        <w:rPr>
          <w:rFonts w:ascii="Calibri" w:hAnsi="Calibri"/>
          <w:szCs w:val="28"/>
          <w:lang w:val="fr-FR"/>
        </w:rPr>
        <w:lastRenderedPageBreak/>
        <w:t xml:space="preserve">Budget total et plan de travail </w:t>
      </w:r>
      <w:bookmarkEnd w:id="52"/>
    </w:p>
    <w:tbl>
      <w:tblPr>
        <w:tblW w:w="5000" w:type="pct"/>
        <w:tblLook w:val="04A0" w:firstRow="1" w:lastRow="0" w:firstColumn="1" w:lastColumn="0" w:noHBand="0" w:noVBand="1"/>
      </w:tblPr>
      <w:tblGrid>
        <w:gridCol w:w="4406"/>
        <w:gridCol w:w="1029"/>
        <w:gridCol w:w="1198"/>
        <w:gridCol w:w="1044"/>
        <w:gridCol w:w="604"/>
        <w:gridCol w:w="749"/>
        <w:gridCol w:w="675"/>
        <w:gridCol w:w="730"/>
        <w:gridCol w:w="675"/>
        <w:gridCol w:w="675"/>
        <w:gridCol w:w="675"/>
        <w:gridCol w:w="675"/>
        <w:gridCol w:w="712"/>
        <w:gridCol w:w="551"/>
        <w:gridCol w:w="218"/>
      </w:tblGrid>
      <w:tr w:rsidR="00107491" w:rsidRPr="000E53A0" w14:paraId="123324C5" w14:textId="77777777" w:rsidTr="00107491">
        <w:trPr>
          <w:gridAfter w:val="1"/>
          <w:wAfter w:w="35" w:type="pct"/>
          <w:trHeight w:val="250"/>
        </w:trPr>
        <w:tc>
          <w:tcPr>
            <w:tcW w:w="1056" w:type="pct"/>
            <w:tcBorders>
              <w:top w:val="nil"/>
              <w:left w:val="nil"/>
              <w:bottom w:val="nil"/>
              <w:right w:val="nil"/>
            </w:tcBorders>
            <w:shd w:val="clear" w:color="auto" w:fill="auto"/>
            <w:noWrap/>
            <w:vAlign w:val="bottom"/>
            <w:hideMark/>
          </w:tcPr>
          <w:p w14:paraId="453CF78E" w14:textId="77777777" w:rsidR="00107491" w:rsidRPr="000E53A0" w:rsidRDefault="00107491" w:rsidP="00107491">
            <w:pPr>
              <w:rPr>
                <w:sz w:val="20"/>
                <w:szCs w:val="20"/>
                <w:lang w:val="fr-FR" w:eastAsia="en-US"/>
              </w:rPr>
            </w:pPr>
          </w:p>
        </w:tc>
        <w:tc>
          <w:tcPr>
            <w:tcW w:w="381" w:type="pct"/>
            <w:tcBorders>
              <w:top w:val="nil"/>
              <w:left w:val="nil"/>
              <w:bottom w:val="nil"/>
              <w:right w:val="nil"/>
            </w:tcBorders>
            <w:shd w:val="clear" w:color="auto" w:fill="auto"/>
            <w:noWrap/>
            <w:vAlign w:val="bottom"/>
            <w:hideMark/>
          </w:tcPr>
          <w:p w14:paraId="4EF1D921" w14:textId="77777777" w:rsidR="00107491" w:rsidRPr="000E53A0" w:rsidRDefault="00107491" w:rsidP="00107491">
            <w:pPr>
              <w:rPr>
                <w:sz w:val="20"/>
                <w:szCs w:val="20"/>
                <w:lang w:val="fr-FR" w:eastAsia="en-US"/>
              </w:rPr>
            </w:pPr>
          </w:p>
        </w:tc>
        <w:tc>
          <w:tcPr>
            <w:tcW w:w="453" w:type="pct"/>
            <w:tcBorders>
              <w:top w:val="nil"/>
              <w:left w:val="nil"/>
              <w:bottom w:val="nil"/>
              <w:right w:val="nil"/>
            </w:tcBorders>
            <w:shd w:val="clear" w:color="auto" w:fill="auto"/>
            <w:noWrap/>
            <w:vAlign w:val="bottom"/>
            <w:hideMark/>
          </w:tcPr>
          <w:p w14:paraId="2F2398F6" w14:textId="77777777" w:rsidR="00107491" w:rsidRPr="000E53A0" w:rsidRDefault="00107491" w:rsidP="00107491">
            <w:pPr>
              <w:rPr>
                <w:sz w:val="20"/>
                <w:szCs w:val="20"/>
                <w:lang w:val="fr-FR" w:eastAsia="en-US"/>
              </w:rPr>
            </w:pPr>
          </w:p>
        </w:tc>
        <w:tc>
          <w:tcPr>
            <w:tcW w:w="388" w:type="pct"/>
            <w:tcBorders>
              <w:top w:val="nil"/>
              <w:left w:val="nil"/>
              <w:bottom w:val="nil"/>
              <w:right w:val="nil"/>
            </w:tcBorders>
            <w:shd w:val="clear" w:color="auto" w:fill="auto"/>
            <w:noWrap/>
            <w:vAlign w:val="bottom"/>
            <w:hideMark/>
          </w:tcPr>
          <w:p w14:paraId="03AFE445" w14:textId="77777777" w:rsidR="00107491" w:rsidRPr="000E53A0" w:rsidRDefault="00107491" w:rsidP="00107491">
            <w:pPr>
              <w:rPr>
                <w:sz w:val="20"/>
                <w:szCs w:val="20"/>
                <w:lang w:val="fr-FR" w:eastAsia="en-US"/>
              </w:rPr>
            </w:pPr>
          </w:p>
        </w:tc>
        <w:tc>
          <w:tcPr>
            <w:tcW w:w="258" w:type="pct"/>
            <w:tcBorders>
              <w:top w:val="nil"/>
              <w:left w:val="nil"/>
              <w:bottom w:val="nil"/>
              <w:right w:val="nil"/>
            </w:tcBorders>
            <w:shd w:val="clear" w:color="auto" w:fill="auto"/>
            <w:noWrap/>
            <w:vAlign w:val="bottom"/>
            <w:hideMark/>
          </w:tcPr>
          <w:p w14:paraId="0DD4E8D0" w14:textId="77777777" w:rsidR="00107491" w:rsidRPr="000E53A0" w:rsidRDefault="00107491" w:rsidP="00107491">
            <w:pPr>
              <w:rPr>
                <w:sz w:val="20"/>
                <w:szCs w:val="20"/>
                <w:lang w:val="fr-FR" w:eastAsia="en-US"/>
              </w:rPr>
            </w:pPr>
          </w:p>
        </w:tc>
        <w:tc>
          <w:tcPr>
            <w:tcW w:w="458" w:type="pct"/>
            <w:tcBorders>
              <w:top w:val="nil"/>
              <w:left w:val="nil"/>
              <w:bottom w:val="nil"/>
              <w:right w:val="nil"/>
            </w:tcBorders>
            <w:shd w:val="clear" w:color="auto" w:fill="auto"/>
            <w:noWrap/>
            <w:vAlign w:val="bottom"/>
            <w:hideMark/>
          </w:tcPr>
          <w:p w14:paraId="3BF41A73" w14:textId="77777777" w:rsidR="00107491" w:rsidRPr="000E53A0" w:rsidRDefault="00107491" w:rsidP="00107491">
            <w:pPr>
              <w:rPr>
                <w:sz w:val="20"/>
                <w:szCs w:val="20"/>
                <w:lang w:val="fr-FR" w:eastAsia="en-US"/>
              </w:rPr>
            </w:pPr>
          </w:p>
        </w:tc>
        <w:tc>
          <w:tcPr>
            <w:tcW w:w="254" w:type="pct"/>
            <w:tcBorders>
              <w:top w:val="nil"/>
              <w:left w:val="nil"/>
              <w:bottom w:val="nil"/>
              <w:right w:val="nil"/>
            </w:tcBorders>
            <w:shd w:val="clear" w:color="auto" w:fill="auto"/>
            <w:noWrap/>
            <w:vAlign w:val="bottom"/>
            <w:hideMark/>
          </w:tcPr>
          <w:p w14:paraId="1EA79209" w14:textId="77777777" w:rsidR="00107491" w:rsidRPr="000E53A0" w:rsidRDefault="00107491" w:rsidP="00107491">
            <w:pPr>
              <w:rPr>
                <w:sz w:val="20"/>
                <w:szCs w:val="20"/>
                <w:lang w:val="fr-FR" w:eastAsia="en-US"/>
              </w:rPr>
            </w:pPr>
          </w:p>
        </w:tc>
        <w:tc>
          <w:tcPr>
            <w:tcW w:w="273" w:type="pct"/>
            <w:tcBorders>
              <w:top w:val="nil"/>
              <w:left w:val="nil"/>
              <w:bottom w:val="nil"/>
              <w:right w:val="nil"/>
            </w:tcBorders>
            <w:shd w:val="clear" w:color="auto" w:fill="auto"/>
            <w:noWrap/>
            <w:vAlign w:val="bottom"/>
            <w:hideMark/>
          </w:tcPr>
          <w:p w14:paraId="1D9A1819" w14:textId="77777777" w:rsidR="00107491" w:rsidRPr="000E53A0" w:rsidRDefault="00107491" w:rsidP="00107491">
            <w:pPr>
              <w:rPr>
                <w:sz w:val="20"/>
                <w:szCs w:val="20"/>
                <w:lang w:val="fr-FR" w:eastAsia="en-US"/>
              </w:rPr>
            </w:pPr>
          </w:p>
        </w:tc>
        <w:tc>
          <w:tcPr>
            <w:tcW w:w="250" w:type="pct"/>
            <w:tcBorders>
              <w:top w:val="nil"/>
              <w:left w:val="nil"/>
              <w:bottom w:val="nil"/>
              <w:right w:val="nil"/>
            </w:tcBorders>
            <w:shd w:val="clear" w:color="auto" w:fill="auto"/>
            <w:noWrap/>
            <w:vAlign w:val="bottom"/>
            <w:hideMark/>
          </w:tcPr>
          <w:p w14:paraId="3B9B2CBB" w14:textId="77777777" w:rsidR="00107491" w:rsidRPr="000E53A0" w:rsidRDefault="00107491" w:rsidP="00107491">
            <w:pPr>
              <w:rPr>
                <w:sz w:val="20"/>
                <w:szCs w:val="20"/>
                <w:lang w:val="fr-FR" w:eastAsia="en-US"/>
              </w:rPr>
            </w:pPr>
          </w:p>
        </w:tc>
        <w:tc>
          <w:tcPr>
            <w:tcW w:w="250" w:type="pct"/>
            <w:tcBorders>
              <w:top w:val="nil"/>
              <w:left w:val="nil"/>
              <w:bottom w:val="nil"/>
              <w:right w:val="nil"/>
            </w:tcBorders>
            <w:shd w:val="clear" w:color="auto" w:fill="auto"/>
            <w:noWrap/>
            <w:vAlign w:val="bottom"/>
            <w:hideMark/>
          </w:tcPr>
          <w:p w14:paraId="4B0FDDDF" w14:textId="77777777" w:rsidR="00107491" w:rsidRPr="000E53A0" w:rsidRDefault="00107491" w:rsidP="00107491">
            <w:pPr>
              <w:rPr>
                <w:sz w:val="20"/>
                <w:szCs w:val="20"/>
                <w:lang w:val="fr-FR" w:eastAsia="en-US"/>
              </w:rPr>
            </w:pPr>
          </w:p>
        </w:tc>
        <w:tc>
          <w:tcPr>
            <w:tcW w:w="250" w:type="pct"/>
            <w:tcBorders>
              <w:top w:val="nil"/>
              <w:left w:val="nil"/>
              <w:bottom w:val="nil"/>
              <w:right w:val="nil"/>
            </w:tcBorders>
            <w:shd w:val="clear" w:color="auto" w:fill="auto"/>
            <w:noWrap/>
            <w:vAlign w:val="bottom"/>
            <w:hideMark/>
          </w:tcPr>
          <w:p w14:paraId="3ABF88FB" w14:textId="77777777" w:rsidR="00107491" w:rsidRPr="000E53A0" w:rsidRDefault="00107491" w:rsidP="00107491">
            <w:pPr>
              <w:rPr>
                <w:sz w:val="20"/>
                <w:szCs w:val="20"/>
                <w:lang w:val="fr-FR" w:eastAsia="en-US"/>
              </w:rPr>
            </w:pPr>
          </w:p>
        </w:tc>
        <w:tc>
          <w:tcPr>
            <w:tcW w:w="250" w:type="pct"/>
            <w:tcBorders>
              <w:top w:val="nil"/>
              <w:left w:val="nil"/>
              <w:bottom w:val="nil"/>
              <w:right w:val="nil"/>
            </w:tcBorders>
            <w:shd w:val="clear" w:color="auto" w:fill="auto"/>
            <w:noWrap/>
            <w:vAlign w:val="bottom"/>
            <w:hideMark/>
          </w:tcPr>
          <w:p w14:paraId="60F6DE46" w14:textId="77777777" w:rsidR="00107491" w:rsidRPr="000E53A0" w:rsidRDefault="00107491" w:rsidP="00107491">
            <w:pPr>
              <w:rPr>
                <w:sz w:val="20"/>
                <w:szCs w:val="20"/>
                <w:lang w:val="fr-FR" w:eastAsia="en-US"/>
              </w:rPr>
            </w:pPr>
          </w:p>
        </w:tc>
        <w:tc>
          <w:tcPr>
            <w:tcW w:w="261" w:type="pct"/>
            <w:tcBorders>
              <w:top w:val="nil"/>
              <w:left w:val="nil"/>
              <w:bottom w:val="nil"/>
              <w:right w:val="nil"/>
            </w:tcBorders>
            <w:shd w:val="clear" w:color="auto" w:fill="auto"/>
            <w:noWrap/>
            <w:vAlign w:val="bottom"/>
            <w:hideMark/>
          </w:tcPr>
          <w:p w14:paraId="79B9FC24" w14:textId="77777777" w:rsidR="00107491" w:rsidRPr="000E53A0" w:rsidRDefault="00107491" w:rsidP="00107491">
            <w:pPr>
              <w:rPr>
                <w:sz w:val="20"/>
                <w:szCs w:val="20"/>
                <w:lang w:val="fr-FR" w:eastAsia="en-US"/>
              </w:rPr>
            </w:pPr>
          </w:p>
        </w:tc>
        <w:tc>
          <w:tcPr>
            <w:tcW w:w="183" w:type="pct"/>
            <w:tcBorders>
              <w:top w:val="nil"/>
              <w:left w:val="nil"/>
              <w:bottom w:val="nil"/>
              <w:right w:val="nil"/>
            </w:tcBorders>
            <w:shd w:val="clear" w:color="auto" w:fill="auto"/>
            <w:noWrap/>
            <w:vAlign w:val="bottom"/>
            <w:hideMark/>
          </w:tcPr>
          <w:p w14:paraId="6F0AF3AD" w14:textId="77777777" w:rsidR="00107491" w:rsidRPr="000E53A0" w:rsidRDefault="00107491" w:rsidP="00107491">
            <w:pPr>
              <w:rPr>
                <w:sz w:val="20"/>
                <w:szCs w:val="20"/>
                <w:lang w:val="fr-FR" w:eastAsia="en-US"/>
              </w:rPr>
            </w:pPr>
          </w:p>
        </w:tc>
      </w:tr>
      <w:tr w:rsidR="00107491" w:rsidRPr="000E53A0" w14:paraId="6BBAA37C" w14:textId="77777777" w:rsidTr="00107491">
        <w:trPr>
          <w:gridAfter w:val="1"/>
          <w:wAfter w:w="35" w:type="pct"/>
          <w:trHeight w:val="250"/>
        </w:trPr>
        <w:tc>
          <w:tcPr>
            <w:tcW w:w="2277" w:type="pct"/>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F1642DA" w14:textId="77777777" w:rsidR="00601D9B" w:rsidRPr="000E53A0" w:rsidRDefault="000E53A0">
            <w:pPr>
              <w:jc w:val="center"/>
              <w:rPr>
                <w:rFonts w:ascii="Calibri" w:hAnsi="Calibri" w:cs="Calibri"/>
                <w:b/>
                <w:bCs/>
                <w:color w:val="000000"/>
                <w:sz w:val="18"/>
                <w:szCs w:val="18"/>
                <w:lang w:val="fr-FR" w:eastAsia="en-US"/>
              </w:rPr>
            </w:pPr>
            <w:r w:rsidRPr="000E53A0">
              <w:rPr>
                <w:rFonts w:ascii="Calibri" w:hAnsi="Calibri" w:cs="Calibri"/>
                <w:b/>
                <w:bCs/>
                <w:color w:val="000000"/>
                <w:sz w:val="18"/>
                <w:szCs w:val="18"/>
                <w:lang w:val="fr-FR" w:eastAsia="en-US"/>
              </w:rPr>
              <w:t>BUDGET TOTAL ET PLAN DE TRAVAIL</w:t>
            </w:r>
          </w:p>
        </w:tc>
        <w:tc>
          <w:tcPr>
            <w:tcW w:w="258" w:type="pct"/>
            <w:tcBorders>
              <w:top w:val="nil"/>
              <w:left w:val="nil"/>
              <w:bottom w:val="nil"/>
              <w:right w:val="nil"/>
            </w:tcBorders>
            <w:shd w:val="clear" w:color="auto" w:fill="auto"/>
            <w:noWrap/>
            <w:vAlign w:val="bottom"/>
            <w:hideMark/>
          </w:tcPr>
          <w:p w14:paraId="240F8242" w14:textId="77777777" w:rsidR="00107491" w:rsidRPr="000E53A0" w:rsidRDefault="00107491" w:rsidP="00107491">
            <w:pPr>
              <w:jc w:val="center"/>
              <w:rPr>
                <w:rFonts w:ascii="Calibri" w:hAnsi="Calibri" w:cs="Calibri"/>
                <w:b/>
                <w:bCs/>
                <w:color w:val="000000"/>
                <w:sz w:val="18"/>
                <w:szCs w:val="18"/>
                <w:lang w:val="fr-FR" w:eastAsia="en-US"/>
              </w:rPr>
            </w:pPr>
          </w:p>
        </w:tc>
        <w:tc>
          <w:tcPr>
            <w:tcW w:w="458" w:type="pct"/>
            <w:tcBorders>
              <w:top w:val="nil"/>
              <w:left w:val="nil"/>
              <w:bottom w:val="nil"/>
              <w:right w:val="nil"/>
            </w:tcBorders>
            <w:shd w:val="clear" w:color="auto" w:fill="auto"/>
            <w:noWrap/>
            <w:vAlign w:val="bottom"/>
            <w:hideMark/>
          </w:tcPr>
          <w:p w14:paraId="0204E862" w14:textId="77777777" w:rsidR="00107491" w:rsidRPr="000E53A0" w:rsidRDefault="00107491" w:rsidP="00107491">
            <w:pPr>
              <w:rPr>
                <w:sz w:val="20"/>
                <w:szCs w:val="20"/>
                <w:lang w:val="fr-FR" w:eastAsia="en-US"/>
              </w:rPr>
            </w:pPr>
          </w:p>
        </w:tc>
        <w:tc>
          <w:tcPr>
            <w:tcW w:w="254" w:type="pct"/>
            <w:tcBorders>
              <w:top w:val="nil"/>
              <w:left w:val="nil"/>
              <w:bottom w:val="nil"/>
              <w:right w:val="nil"/>
            </w:tcBorders>
            <w:shd w:val="clear" w:color="auto" w:fill="auto"/>
            <w:noWrap/>
            <w:vAlign w:val="bottom"/>
            <w:hideMark/>
          </w:tcPr>
          <w:p w14:paraId="1153B93E" w14:textId="77777777" w:rsidR="00107491" w:rsidRPr="000E53A0" w:rsidRDefault="00107491" w:rsidP="00107491">
            <w:pPr>
              <w:rPr>
                <w:sz w:val="20"/>
                <w:szCs w:val="20"/>
                <w:lang w:val="fr-FR" w:eastAsia="en-US"/>
              </w:rPr>
            </w:pPr>
          </w:p>
        </w:tc>
        <w:tc>
          <w:tcPr>
            <w:tcW w:w="273" w:type="pct"/>
            <w:tcBorders>
              <w:top w:val="nil"/>
              <w:left w:val="nil"/>
              <w:bottom w:val="nil"/>
              <w:right w:val="nil"/>
            </w:tcBorders>
            <w:shd w:val="clear" w:color="auto" w:fill="auto"/>
            <w:noWrap/>
            <w:vAlign w:val="bottom"/>
            <w:hideMark/>
          </w:tcPr>
          <w:p w14:paraId="53F6377F" w14:textId="77777777" w:rsidR="00107491" w:rsidRPr="000E53A0" w:rsidRDefault="00107491" w:rsidP="00107491">
            <w:pPr>
              <w:rPr>
                <w:sz w:val="20"/>
                <w:szCs w:val="20"/>
                <w:lang w:val="fr-FR" w:eastAsia="en-US"/>
              </w:rPr>
            </w:pPr>
          </w:p>
        </w:tc>
        <w:tc>
          <w:tcPr>
            <w:tcW w:w="250" w:type="pct"/>
            <w:tcBorders>
              <w:top w:val="nil"/>
              <w:left w:val="nil"/>
              <w:bottom w:val="nil"/>
              <w:right w:val="nil"/>
            </w:tcBorders>
            <w:shd w:val="clear" w:color="auto" w:fill="auto"/>
            <w:noWrap/>
            <w:vAlign w:val="bottom"/>
            <w:hideMark/>
          </w:tcPr>
          <w:p w14:paraId="27BBE7EB" w14:textId="77777777" w:rsidR="00107491" w:rsidRPr="000E53A0" w:rsidRDefault="00107491" w:rsidP="00107491">
            <w:pPr>
              <w:rPr>
                <w:sz w:val="20"/>
                <w:szCs w:val="20"/>
                <w:lang w:val="fr-FR" w:eastAsia="en-US"/>
              </w:rPr>
            </w:pPr>
          </w:p>
        </w:tc>
        <w:tc>
          <w:tcPr>
            <w:tcW w:w="250" w:type="pct"/>
            <w:tcBorders>
              <w:top w:val="nil"/>
              <w:left w:val="nil"/>
              <w:bottom w:val="nil"/>
              <w:right w:val="nil"/>
            </w:tcBorders>
            <w:shd w:val="clear" w:color="auto" w:fill="auto"/>
            <w:noWrap/>
            <w:vAlign w:val="bottom"/>
            <w:hideMark/>
          </w:tcPr>
          <w:p w14:paraId="6EBCE19C" w14:textId="77777777" w:rsidR="00107491" w:rsidRPr="000E53A0" w:rsidRDefault="00107491" w:rsidP="00107491">
            <w:pPr>
              <w:rPr>
                <w:sz w:val="20"/>
                <w:szCs w:val="20"/>
                <w:lang w:val="fr-FR" w:eastAsia="en-US"/>
              </w:rPr>
            </w:pPr>
          </w:p>
        </w:tc>
        <w:tc>
          <w:tcPr>
            <w:tcW w:w="250" w:type="pct"/>
            <w:tcBorders>
              <w:top w:val="nil"/>
              <w:left w:val="nil"/>
              <w:bottom w:val="nil"/>
              <w:right w:val="nil"/>
            </w:tcBorders>
            <w:shd w:val="clear" w:color="auto" w:fill="auto"/>
            <w:noWrap/>
            <w:vAlign w:val="bottom"/>
            <w:hideMark/>
          </w:tcPr>
          <w:p w14:paraId="5F280333" w14:textId="77777777" w:rsidR="00107491" w:rsidRPr="000E53A0" w:rsidRDefault="00107491" w:rsidP="00107491">
            <w:pPr>
              <w:rPr>
                <w:sz w:val="20"/>
                <w:szCs w:val="20"/>
                <w:lang w:val="fr-FR" w:eastAsia="en-US"/>
              </w:rPr>
            </w:pPr>
          </w:p>
        </w:tc>
        <w:tc>
          <w:tcPr>
            <w:tcW w:w="250" w:type="pct"/>
            <w:tcBorders>
              <w:top w:val="nil"/>
              <w:left w:val="nil"/>
              <w:bottom w:val="nil"/>
              <w:right w:val="nil"/>
            </w:tcBorders>
            <w:shd w:val="clear" w:color="auto" w:fill="auto"/>
            <w:noWrap/>
            <w:vAlign w:val="bottom"/>
            <w:hideMark/>
          </w:tcPr>
          <w:p w14:paraId="1D0F9A2A" w14:textId="77777777" w:rsidR="00107491" w:rsidRPr="000E53A0" w:rsidRDefault="00107491" w:rsidP="00107491">
            <w:pPr>
              <w:rPr>
                <w:sz w:val="20"/>
                <w:szCs w:val="20"/>
                <w:lang w:val="fr-FR" w:eastAsia="en-US"/>
              </w:rPr>
            </w:pPr>
          </w:p>
        </w:tc>
        <w:tc>
          <w:tcPr>
            <w:tcW w:w="261" w:type="pct"/>
            <w:tcBorders>
              <w:top w:val="nil"/>
              <w:left w:val="nil"/>
              <w:bottom w:val="nil"/>
              <w:right w:val="nil"/>
            </w:tcBorders>
            <w:shd w:val="clear" w:color="auto" w:fill="auto"/>
            <w:noWrap/>
            <w:vAlign w:val="bottom"/>
            <w:hideMark/>
          </w:tcPr>
          <w:p w14:paraId="7A9A008A" w14:textId="77777777" w:rsidR="00107491" w:rsidRPr="000E53A0" w:rsidRDefault="00107491" w:rsidP="00107491">
            <w:pPr>
              <w:rPr>
                <w:sz w:val="20"/>
                <w:szCs w:val="20"/>
                <w:lang w:val="fr-FR" w:eastAsia="en-US"/>
              </w:rPr>
            </w:pPr>
          </w:p>
        </w:tc>
        <w:tc>
          <w:tcPr>
            <w:tcW w:w="183" w:type="pct"/>
            <w:tcBorders>
              <w:top w:val="nil"/>
              <w:left w:val="nil"/>
              <w:bottom w:val="nil"/>
              <w:right w:val="nil"/>
            </w:tcBorders>
            <w:shd w:val="clear" w:color="auto" w:fill="auto"/>
            <w:noWrap/>
            <w:vAlign w:val="bottom"/>
            <w:hideMark/>
          </w:tcPr>
          <w:p w14:paraId="0113B2AF" w14:textId="77777777" w:rsidR="00107491" w:rsidRPr="000E53A0" w:rsidRDefault="00107491" w:rsidP="00107491">
            <w:pPr>
              <w:rPr>
                <w:sz w:val="20"/>
                <w:szCs w:val="20"/>
                <w:lang w:val="fr-FR" w:eastAsia="en-US"/>
              </w:rPr>
            </w:pPr>
          </w:p>
        </w:tc>
      </w:tr>
      <w:bookmarkStart w:id="53" w:name="RANGE!A3"/>
      <w:tr w:rsidR="00107491" w:rsidRPr="00107491" w14:paraId="474002D5" w14:textId="77777777" w:rsidTr="00107491">
        <w:trPr>
          <w:gridAfter w:val="1"/>
          <w:wAfter w:w="35" w:type="pct"/>
          <w:trHeight w:val="503"/>
        </w:trPr>
        <w:tc>
          <w:tcPr>
            <w:tcW w:w="1056" w:type="pct"/>
            <w:tcBorders>
              <w:top w:val="nil"/>
              <w:left w:val="single" w:sz="8" w:space="0" w:color="auto"/>
              <w:bottom w:val="single" w:sz="8" w:space="0" w:color="auto"/>
              <w:right w:val="single" w:sz="8" w:space="0" w:color="auto"/>
            </w:tcBorders>
            <w:shd w:val="clear" w:color="auto" w:fill="auto"/>
            <w:noWrap/>
            <w:vAlign w:val="center"/>
            <w:hideMark/>
          </w:tcPr>
          <w:p w14:paraId="721EC9ED" w14:textId="77777777" w:rsidR="00601D9B" w:rsidRPr="000E53A0" w:rsidRDefault="000E53A0">
            <w:pPr>
              <w:jc w:val="both"/>
              <w:rPr>
                <w:rFonts w:ascii="Calibri" w:hAnsi="Calibri" w:cs="Calibri"/>
                <w:color w:val="0563C1"/>
                <w:sz w:val="18"/>
                <w:szCs w:val="18"/>
                <w:u w:val="single"/>
                <w:lang w:val="fr-FR" w:eastAsia="en-US"/>
              </w:rPr>
            </w:pPr>
            <w:r w:rsidRPr="00107491">
              <w:rPr>
                <w:rFonts w:ascii="Calibri" w:hAnsi="Calibri" w:cs="Calibri"/>
                <w:color w:val="0563C1"/>
                <w:sz w:val="18"/>
                <w:szCs w:val="18"/>
                <w:u w:val="single"/>
                <w:lang w:val="en-US" w:eastAsia="en-US"/>
              </w:rPr>
              <w:fldChar w:fldCharType="begin"/>
            </w:r>
            <w:r w:rsidRPr="000E53A0">
              <w:rPr>
                <w:rFonts w:ascii="Calibri" w:hAnsi="Calibri" w:cs="Calibri"/>
                <w:color w:val="0563C1"/>
                <w:sz w:val="18"/>
                <w:szCs w:val="18"/>
                <w:u w:val="single"/>
                <w:lang w:val="fr-FR" w:eastAsia="en-US"/>
              </w:rPr>
              <w:instrText xml:space="preserve"> HYPERLINK "file:///C:\\Users\\lebel\\Dropbox\\I1166_UNDP_Design_Mali_Baastel\\10_Draft\\ProDoc\\Budget\\TBWP%20Mali_v09172021.xlsx" \l "RANGE!A81" </w:instrText>
            </w:r>
            <w:r w:rsidRPr="00107491">
              <w:rPr>
                <w:rFonts w:ascii="Calibri" w:hAnsi="Calibri" w:cs="Calibri"/>
                <w:color w:val="0563C1"/>
                <w:sz w:val="18"/>
                <w:szCs w:val="18"/>
                <w:u w:val="single"/>
                <w:lang w:val="en-US" w:eastAsia="en-US"/>
              </w:rPr>
              <w:fldChar w:fldCharType="separate"/>
            </w:r>
            <w:r w:rsidRPr="000E53A0">
              <w:rPr>
                <w:rFonts w:ascii="Calibri" w:hAnsi="Calibri" w:cs="Calibri"/>
                <w:color w:val="0563C1"/>
                <w:sz w:val="18"/>
                <w:szCs w:val="18"/>
                <w:u w:val="single"/>
                <w:lang w:val="fr-FR" w:eastAsia="en-US"/>
              </w:rPr>
              <w:t xml:space="preserve">Atlas [1] ID de la proposition ou du prix : </w:t>
            </w:r>
            <w:r w:rsidRPr="00107491">
              <w:rPr>
                <w:rFonts w:ascii="Calibri" w:hAnsi="Calibri" w:cs="Calibri"/>
                <w:color w:val="0563C1"/>
                <w:sz w:val="18"/>
                <w:szCs w:val="18"/>
                <w:u w:val="single"/>
                <w:lang w:val="en-US" w:eastAsia="en-US"/>
              </w:rPr>
              <w:fldChar w:fldCharType="end"/>
            </w:r>
            <w:bookmarkEnd w:id="53"/>
          </w:p>
        </w:tc>
        <w:tc>
          <w:tcPr>
            <w:tcW w:w="381" w:type="pct"/>
            <w:tcBorders>
              <w:top w:val="nil"/>
              <w:left w:val="nil"/>
              <w:bottom w:val="single" w:sz="8" w:space="0" w:color="auto"/>
              <w:right w:val="single" w:sz="8" w:space="0" w:color="000000"/>
            </w:tcBorders>
            <w:shd w:val="clear" w:color="auto" w:fill="auto"/>
            <w:noWrap/>
            <w:vAlign w:val="center"/>
            <w:hideMark/>
          </w:tcPr>
          <w:p w14:paraId="22357479" w14:textId="77777777" w:rsidR="00601D9B" w:rsidRDefault="000E53A0">
            <w:pPr>
              <w:jc w:val="both"/>
              <w:rPr>
                <w:rFonts w:ascii="Calibri" w:hAnsi="Calibri" w:cs="Calibri"/>
                <w:color w:val="000000"/>
                <w:sz w:val="18"/>
                <w:szCs w:val="18"/>
                <w:lang w:val="en-US" w:eastAsia="en-US"/>
              </w:rPr>
            </w:pPr>
            <w:r w:rsidRPr="00107491">
              <w:rPr>
                <w:rFonts w:ascii="Calibri" w:hAnsi="Calibri" w:cs="Calibri"/>
                <w:color w:val="000000"/>
                <w:sz w:val="18"/>
                <w:szCs w:val="18"/>
                <w:lang w:val="en-US" w:eastAsia="en-US"/>
              </w:rPr>
              <w:t>000xxxxx</w:t>
            </w:r>
          </w:p>
        </w:tc>
        <w:tc>
          <w:tcPr>
            <w:tcW w:w="453" w:type="pct"/>
            <w:tcBorders>
              <w:top w:val="nil"/>
              <w:left w:val="nil"/>
              <w:bottom w:val="single" w:sz="8" w:space="0" w:color="auto"/>
              <w:right w:val="single" w:sz="8" w:space="0" w:color="000000"/>
            </w:tcBorders>
            <w:shd w:val="clear" w:color="auto" w:fill="auto"/>
            <w:vAlign w:val="center"/>
            <w:hideMark/>
          </w:tcPr>
          <w:p w14:paraId="77C204AB" w14:textId="77777777" w:rsidR="00601D9B" w:rsidRDefault="000E53A0">
            <w:pPr>
              <w:jc w:val="both"/>
              <w:rPr>
                <w:rFonts w:ascii="Calibri" w:hAnsi="Calibri" w:cs="Calibri"/>
                <w:color w:val="000000"/>
                <w:sz w:val="18"/>
                <w:szCs w:val="18"/>
                <w:lang w:val="en-US" w:eastAsia="en-US"/>
              </w:rPr>
            </w:pPr>
            <w:r w:rsidRPr="00107491">
              <w:rPr>
                <w:rFonts w:ascii="Calibri" w:hAnsi="Calibri" w:cs="Calibri"/>
                <w:color w:val="000000"/>
                <w:sz w:val="18"/>
                <w:szCs w:val="18"/>
                <w:lang w:val="en-US" w:eastAsia="en-US"/>
              </w:rPr>
              <w:t>Atlas Primary Output Project ID :</w:t>
            </w:r>
          </w:p>
        </w:tc>
        <w:tc>
          <w:tcPr>
            <w:tcW w:w="388" w:type="pct"/>
            <w:tcBorders>
              <w:top w:val="nil"/>
              <w:left w:val="nil"/>
              <w:bottom w:val="single" w:sz="8" w:space="0" w:color="auto"/>
              <w:right w:val="single" w:sz="8" w:space="0" w:color="000000"/>
            </w:tcBorders>
            <w:shd w:val="clear" w:color="auto" w:fill="auto"/>
            <w:vAlign w:val="center"/>
            <w:hideMark/>
          </w:tcPr>
          <w:p w14:paraId="693A1598" w14:textId="77777777" w:rsidR="00601D9B" w:rsidRDefault="000E53A0">
            <w:pPr>
              <w:jc w:val="both"/>
              <w:rPr>
                <w:rFonts w:ascii="Calibri" w:hAnsi="Calibri" w:cs="Calibri"/>
                <w:color w:val="000000"/>
                <w:sz w:val="18"/>
                <w:szCs w:val="18"/>
                <w:lang w:val="en-US" w:eastAsia="en-US"/>
              </w:rPr>
            </w:pPr>
            <w:r w:rsidRPr="00107491">
              <w:rPr>
                <w:rFonts w:ascii="Calibri" w:hAnsi="Calibri" w:cs="Calibri"/>
                <w:color w:val="000000"/>
                <w:sz w:val="18"/>
                <w:szCs w:val="18"/>
                <w:lang w:val="en-US" w:eastAsia="en-US"/>
              </w:rPr>
              <w:t>000xxxxx</w:t>
            </w:r>
          </w:p>
        </w:tc>
        <w:tc>
          <w:tcPr>
            <w:tcW w:w="258" w:type="pct"/>
            <w:tcBorders>
              <w:top w:val="nil"/>
              <w:left w:val="nil"/>
              <w:bottom w:val="nil"/>
              <w:right w:val="nil"/>
            </w:tcBorders>
            <w:shd w:val="clear" w:color="auto" w:fill="auto"/>
            <w:noWrap/>
            <w:vAlign w:val="bottom"/>
            <w:hideMark/>
          </w:tcPr>
          <w:p w14:paraId="745B639F" w14:textId="77777777" w:rsidR="00107491" w:rsidRPr="00107491" w:rsidRDefault="00107491" w:rsidP="00107491">
            <w:pPr>
              <w:jc w:val="both"/>
              <w:rPr>
                <w:rFonts w:ascii="Calibri" w:hAnsi="Calibri" w:cs="Calibri"/>
                <w:color w:val="000000"/>
                <w:sz w:val="18"/>
                <w:szCs w:val="18"/>
                <w:lang w:val="en-US" w:eastAsia="en-US"/>
              </w:rPr>
            </w:pPr>
          </w:p>
        </w:tc>
        <w:tc>
          <w:tcPr>
            <w:tcW w:w="458" w:type="pct"/>
            <w:tcBorders>
              <w:top w:val="nil"/>
              <w:left w:val="nil"/>
              <w:bottom w:val="nil"/>
              <w:right w:val="nil"/>
            </w:tcBorders>
            <w:shd w:val="clear" w:color="auto" w:fill="auto"/>
            <w:noWrap/>
            <w:vAlign w:val="bottom"/>
            <w:hideMark/>
          </w:tcPr>
          <w:p w14:paraId="7109D12E" w14:textId="77777777" w:rsidR="00107491" w:rsidRPr="00107491" w:rsidRDefault="00107491" w:rsidP="00107491">
            <w:pPr>
              <w:rPr>
                <w:sz w:val="20"/>
                <w:szCs w:val="20"/>
                <w:lang w:val="en-US" w:eastAsia="en-US"/>
              </w:rPr>
            </w:pPr>
          </w:p>
        </w:tc>
        <w:tc>
          <w:tcPr>
            <w:tcW w:w="254" w:type="pct"/>
            <w:tcBorders>
              <w:top w:val="nil"/>
              <w:left w:val="nil"/>
              <w:bottom w:val="nil"/>
              <w:right w:val="nil"/>
            </w:tcBorders>
            <w:shd w:val="clear" w:color="auto" w:fill="auto"/>
            <w:noWrap/>
            <w:vAlign w:val="bottom"/>
            <w:hideMark/>
          </w:tcPr>
          <w:p w14:paraId="20AACCD2" w14:textId="77777777" w:rsidR="00107491" w:rsidRPr="00107491" w:rsidRDefault="00107491" w:rsidP="00107491">
            <w:pPr>
              <w:rPr>
                <w:sz w:val="20"/>
                <w:szCs w:val="20"/>
                <w:lang w:val="en-US" w:eastAsia="en-US"/>
              </w:rPr>
            </w:pPr>
          </w:p>
        </w:tc>
        <w:tc>
          <w:tcPr>
            <w:tcW w:w="273" w:type="pct"/>
            <w:tcBorders>
              <w:top w:val="nil"/>
              <w:left w:val="nil"/>
              <w:bottom w:val="nil"/>
              <w:right w:val="nil"/>
            </w:tcBorders>
            <w:shd w:val="clear" w:color="auto" w:fill="auto"/>
            <w:noWrap/>
            <w:vAlign w:val="bottom"/>
            <w:hideMark/>
          </w:tcPr>
          <w:p w14:paraId="5380588C" w14:textId="77777777" w:rsidR="00107491" w:rsidRPr="00107491" w:rsidRDefault="00107491" w:rsidP="00107491">
            <w:pPr>
              <w:rPr>
                <w:sz w:val="20"/>
                <w:szCs w:val="20"/>
                <w:lang w:val="en-US" w:eastAsia="en-US"/>
              </w:rPr>
            </w:pPr>
          </w:p>
        </w:tc>
        <w:tc>
          <w:tcPr>
            <w:tcW w:w="250" w:type="pct"/>
            <w:tcBorders>
              <w:top w:val="nil"/>
              <w:left w:val="nil"/>
              <w:bottom w:val="nil"/>
              <w:right w:val="nil"/>
            </w:tcBorders>
            <w:shd w:val="clear" w:color="auto" w:fill="auto"/>
            <w:noWrap/>
            <w:vAlign w:val="bottom"/>
            <w:hideMark/>
          </w:tcPr>
          <w:p w14:paraId="7DD1DEE7" w14:textId="77777777" w:rsidR="00107491" w:rsidRPr="00107491" w:rsidRDefault="00107491" w:rsidP="00107491">
            <w:pPr>
              <w:rPr>
                <w:sz w:val="20"/>
                <w:szCs w:val="20"/>
                <w:lang w:val="en-US" w:eastAsia="en-US"/>
              </w:rPr>
            </w:pPr>
          </w:p>
        </w:tc>
        <w:tc>
          <w:tcPr>
            <w:tcW w:w="250" w:type="pct"/>
            <w:tcBorders>
              <w:top w:val="nil"/>
              <w:left w:val="nil"/>
              <w:bottom w:val="nil"/>
              <w:right w:val="nil"/>
            </w:tcBorders>
            <w:shd w:val="clear" w:color="auto" w:fill="auto"/>
            <w:noWrap/>
            <w:vAlign w:val="bottom"/>
            <w:hideMark/>
          </w:tcPr>
          <w:p w14:paraId="77614145" w14:textId="77777777" w:rsidR="00107491" w:rsidRPr="00107491" w:rsidRDefault="00107491" w:rsidP="00107491">
            <w:pPr>
              <w:rPr>
                <w:sz w:val="20"/>
                <w:szCs w:val="20"/>
                <w:lang w:val="en-US" w:eastAsia="en-US"/>
              </w:rPr>
            </w:pPr>
          </w:p>
        </w:tc>
        <w:tc>
          <w:tcPr>
            <w:tcW w:w="250" w:type="pct"/>
            <w:tcBorders>
              <w:top w:val="nil"/>
              <w:left w:val="nil"/>
              <w:bottom w:val="nil"/>
              <w:right w:val="nil"/>
            </w:tcBorders>
            <w:shd w:val="clear" w:color="auto" w:fill="auto"/>
            <w:noWrap/>
            <w:vAlign w:val="bottom"/>
            <w:hideMark/>
          </w:tcPr>
          <w:p w14:paraId="6911EFEC" w14:textId="77777777" w:rsidR="00107491" w:rsidRPr="00107491" w:rsidRDefault="00107491" w:rsidP="00107491">
            <w:pPr>
              <w:rPr>
                <w:sz w:val="20"/>
                <w:szCs w:val="20"/>
                <w:lang w:val="en-US" w:eastAsia="en-US"/>
              </w:rPr>
            </w:pPr>
          </w:p>
        </w:tc>
        <w:tc>
          <w:tcPr>
            <w:tcW w:w="250" w:type="pct"/>
            <w:tcBorders>
              <w:top w:val="nil"/>
              <w:left w:val="nil"/>
              <w:bottom w:val="nil"/>
              <w:right w:val="nil"/>
            </w:tcBorders>
            <w:shd w:val="clear" w:color="auto" w:fill="auto"/>
            <w:noWrap/>
            <w:vAlign w:val="bottom"/>
            <w:hideMark/>
          </w:tcPr>
          <w:p w14:paraId="702E1450" w14:textId="77777777" w:rsidR="00107491" w:rsidRPr="00107491" w:rsidRDefault="00107491" w:rsidP="00107491">
            <w:pPr>
              <w:rPr>
                <w:sz w:val="20"/>
                <w:szCs w:val="20"/>
                <w:lang w:val="en-US" w:eastAsia="en-US"/>
              </w:rPr>
            </w:pPr>
          </w:p>
        </w:tc>
        <w:tc>
          <w:tcPr>
            <w:tcW w:w="261" w:type="pct"/>
            <w:tcBorders>
              <w:top w:val="nil"/>
              <w:left w:val="nil"/>
              <w:bottom w:val="nil"/>
              <w:right w:val="nil"/>
            </w:tcBorders>
            <w:shd w:val="clear" w:color="auto" w:fill="auto"/>
            <w:noWrap/>
            <w:vAlign w:val="bottom"/>
            <w:hideMark/>
          </w:tcPr>
          <w:p w14:paraId="32CE2A43" w14:textId="77777777" w:rsidR="00107491" w:rsidRPr="00107491" w:rsidRDefault="00107491" w:rsidP="00107491">
            <w:pPr>
              <w:rPr>
                <w:sz w:val="20"/>
                <w:szCs w:val="20"/>
                <w:lang w:val="en-US" w:eastAsia="en-US"/>
              </w:rPr>
            </w:pPr>
          </w:p>
        </w:tc>
        <w:tc>
          <w:tcPr>
            <w:tcW w:w="183" w:type="pct"/>
            <w:tcBorders>
              <w:top w:val="nil"/>
              <w:left w:val="nil"/>
              <w:bottom w:val="nil"/>
              <w:right w:val="nil"/>
            </w:tcBorders>
            <w:shd w:val="clear" w:color="auto" w:fill="auto"/>
            <w:noWrap/>
            <w:vAlign w:val="bottom"/>
            <w:hideMark/>
          </w:tcPr>
          <w:p w14:paraId="2A382714" w14:textId="77777777" w:rsidR="00107491" w:rsidRPr="00107491" w:rsidRDefault="00107491" w:rsidP="00107491">
            <w:pPr>
              <w:rPr>
                <w:sz w:val="20"/>
                <w:szCs w:val="20"/>
                <w:lang w:val="en-US" w:eastAsia="en-US"/>
              </w:rPr>
            </w:pPr>
          </w:p>
        </w:tc>
      </w:tr>
      <w:tr w:rsidR="00107491" w:rsidRPr="00107491" w14:paraId="0B57F30A" w14:textId="77777777" w:rsidTr="00107491">
        <w:trPr>
          <w:gridAfter w:val="1"/>
          <w:wAfter w:w="35" w:type="pct"/>
          <w:trHeight w:val="300"/>
        </w:trPr>
        <w:tc>
          <w:tcPr>
            <w:tcW w:w="1056" w:type="pct"/>
            <w:tcBorders>
              <w:top w:val="nil"/>
              <w:left w:val="single" w:sz="8" w:space="0" w:color="auto"/>
              <w:bottom w:val="single" w:sz="8" w:space="0" w:color="auto"/>
              <w:right w:val="single" w:sz="8" w:space="0" w:color="auto"/>
            </w:tcBorders>
            <w:shd w:val="clear" w:color="auto" w:fill="auto"/>
            <w:noWrap/>
            <w:vAlign w:val="center"/>
            <w:hideMark/>
          </w:tcPr>
          <w:p w14:paraId="7DB973AD" w14:textId="77777777" w:rsidR="00601D9B" w:rsidRPr="000E53A0" w:rsidRDefault="000E53A0">
            <w:pPr>
              <w:jc w:val="both"/>
              <w:rPr>
                <w:rFonts w:ascii="Calibri" w:hAnsi="Calibri" w:cs="Calibri"/>
                <w:color w:val="000000"/>
                <w:sz w:val="18"/>
                <w:szCs w:val="18"/>
                <w:lang w:val="fr-FR" w:eastAsia="en-US"/>
              </w:rPr>
            </w:pPr>
            <w:r w:rsidRPr="000E53A0">
              <w:rPr>
                <w:rFonts w:ascii="Calibri" w:hAnsi="Calibri" w:cs="Calibri"/>
                <w:color w:val="000000"/>
                <w:sz w:val="18"/>
                <w:szCs w:val="18"/>
                <w:lang w:val="fr-FR" w:eastAsia="en-US"/>
              </w:rPr>
              <w:t>Titre de la proposition ou de la bourse d'Atlas comme dans Atlas :</w:t>
            </w:r>
          </w:p>
        </w:tc>
        <w:tc>
          <w:tcPr>
            <w:tcW w:w="1221" w:type="pct"/>
            <w:gridSpan w:val="3"/>
            <w:tcBorders>
              <w:top w:val="single" w:sz="8" w:space="0" w:color="auto"/>
              <w:left w:val="nil"/>
              <w:bottom w:val="single" w:sz="8" w:space="0" w:color="auto"/>
              <w:right w:val="single" w:sz="8" w:space="0" w:color="000000"/>
            </w:tcBorders>
            <w:shd w:val="clear" w:color="auto" w:fill="auto"/>
            <w:noWrap/>
            <w:vAlign w:val="center"/>
            <w:hideMark/>
          </w:tcPr>
          <w:p w14:paraId="4E97ACEE" w14:textId="77777777" w:rsidR="00601D9B" w:rsidRDefault="000E53A0">
            <w:pPr>
              <w:jc w:val="both"/>
              <w:rPr>
                <w:rFonts w:ascii="Calibri" w:hAnsi="Calibri" w:cs="Calibri"/>
                <w:color w:val="000000"/>
                <w:sz w:val="18"/>
                <w:szCs w:val="18"/>
                <w:lang w:val="en-US" w:eastAsia="en-US"/>
              </w:rPr>
            </w:pPr>
            <w:r w:rsidRPr="00107491">
              <w:rPr>
                <w:rFonts w:ascii="Calibri" w:hAnsi="Calibri" w:cs="Calibri"/>
                <w:color w:val="000000"/>
                <w:sz w:val="18"/>
                <w:szCs w:val="18"/>
                <w:lang w:val="en-US" w:eastAsia="en-US"/>
              </w:rPr>
              <w:t>xxxxxxxxxxxxxxxxx</w:t>
            </w:r>
          </w:p>
        </w:tc>
        <w:tc>
          <w:tcPr>
            <w:tcW w:w="258" w:type="pct"/>
            <w:tcBorders>
              <w:top w:val="nil"/>
              <w:left w:val="nil"/>
              <w:bottom w:val="nil"/>
              <w:right w:val="nil"/>
            </w:tcBorders>
            <w:shd w:val="clear" w:color="auto" w:fill="auto"/>
            <w:noWrap/>
            <w:vAlign w:val="bottom"/>
            <w:hideMark/>
          </w:tcPr>
          <w:p w14:paraId="2BD214AF" w14:textId="77777777" w:rsidR="00107491" w:rsidRPr="00107491" w:rsidRDefault="00107491" w:rsidP="00107491">
            <w:pPr>
              <w:jc w:val="both"/>
              <w:rPr>
                <w:rFonts w:ascii="Calibri" w:hAnsi="Calibri" w:cs="Calibri"/>
                <w:color w:val="000000"/>
                <w:sz w:val="18"/>
                <w:szCs w:val="18"/>
                <w:lang w:val="en-US" w:eastAsia="en-US"/>
              </w:rPr>
            </w:pPr>
          </w:p>
        </w:tc>
        <w:tc>
          <w:tcPr>
            <w:tcW w:w="458" w:type="pct"/>
            <w:tcBorders>
              <w:top w:val="nil"/>
              <w:left w:val="nil"/>
              <w:bottom w:val="nil"/>
              <w:right w:val="nil"/>
            </w:tcBorders>
            <w:shd w:val="clear" w:color="auto" w:fill="auto"/>
            <w:noWrap/>
            <w:vAlign w:val="bottom"/>
            <w:hideMark/>
          </w:tcPr>
          <w:p w14:paraId="35703878" w14:textId="77777777" w:rsidR="00107491" w:rsidRPr="00107491" w:rsidRDefault="00107491" w:rsidP="00107491">
            <w:pPr>
              <w:rPr>
                <w:sz w:val="20"/>
                <w:szCs w:val="20"/>
                <w:lang w:val="en-US" w:eastAsia="en-US"/>
              </w:rPr>
            </w:pPr>
          </w:p>
        </w:tc>
        <w:tc>
          <w:tcPr>
            <w:tcW w:w="254" w:type="pct"/>
            <w:tcBorders>
              <w:top w:val="nil"/>
              <w:left w:val="nil"/>
              <w:bottom w:val="nil"/>
              <w:right w:val="nil"/>
            </w:tcBorders>
            <w:shd w:val="clear" w:color="auto" w:fill="auto"/>
            <w:noWrap/>
            <w:vAlign w:val="bottom"/>
            <w:hideMark/>
          </w:tcPr>
          <w:p w14:paraId="2D332498" w14:textId="77777777" w:rsidR="00107491" w:rsidRPr="00107491" w:rsidRDefault="00107491" w:rsidP="00107491">
            <w:pPr>
              <w:rPr>
                <w:sz w:val="20"/>
                <w:szCs w:val="20"/>
                <w:lang w:val="en-US" w:eastAsia="en-US"/>
              </w:rPr>
            </w:pPr>
          </w:p>
        </w:tc>
        <w:tc>
          <w:tcPr>
            <w:tcW w:w="273" w:type="pct"/>
            <w:tcBorders>
              <w:top w:val="nil"/>
              <w:left w:val="nil"/>
              <w:bottom w:val="nil"/>
              <w:right w:val="nil"/>
            </w:tcBorders>
            <w:shd w:val="clear" w:color="auto" w:fill="auto"/>
            <w:noWrap/>
            <w:vAlign w:val="bottom"/>
            <w:hideMark/>
          </w:tcPr>
          <w:p w14:paraId="1E0F9C42" w14:textId="77777777" w:rsidR="00107491" w:rsidRPr="00107491" w:rsidRDefault="00107491" w:rsidP="00107491">
            <w:pPr>
              <w:rPr>
                <w:sz w:val="20"/>
                <w:szCs w:val="20"/>
                <w:lang w:val="en-US" w:eastAsia="en-US"/>
              </w:rPr>
            </w:pPr>
          </w:p>
        </w:tc>
        <w:tc>
          <w:tcPr>
            <w:tcW w:w="250" w:type="pct"/>
            <w:tcBorders>
              <w:top w:val="nil"/>
              <w:left w:val="nil"/>
              <w:bottom w:val="nil"/>
              <w:right w:val="nil"/>
            </w:tcBorders>
            <w:shd w:val="clear" w:color="auto" w:fill="auto"/>
            <w:noWrap/>
            <w:vAlign w:val="bottom"/>
            <w:hideMark/>
          </w:tcPr>
          <w:p w14:paraId="57EA5CED" w14:textId="77777777" w:rsidR="00107491" w:rsidRPr="00107491" w:rsidRDefault="00107491" w:rsidP="00107491">
            <w:pPr>
              <w:rPr>
                <w:sz w:val="20"/>
                <w:szCs w:val="20"/>
                <w:lang w:val="en-US" w:eastAsia="en-US"/>
              </w:rPr>
            </w:pPr>
          </w:p>
        </w:tc>
        <w:tc>
          <w:tcPr>
            <w:tcW w:w="250" w:type="pct"/>
            <w:tcBorders>
              <w:top w:val="nil"/>
              <w:left w:val="nil"/>
              <w:bottom w:val="nil"/>
              <w:right w:val="nil"/>
            </w:tcBorders>
            <w:shd w:val="clear" w:color="auto" w:fill="auto"/>
            <w:noWrap/>
            <w:vAlign w:val="bottom"/>
            <w:hideMark/>
          </w:tcPr>
          <w:p w14:paraId="54FBDED7" w14:textId="77777777" w:rsidR="00107491" w:rsidRPr="00107491" w:rsidRDefault="00107491" w:rsidP="00107491">
            <w:pPr>
              <w:rPr>
                <w:sz w:val="20"/>
                <w:szCs w:val="20"/>
                <w:lang w:val="en-US" w:eastAsia="en-US"/>
              </w:rPr>
            </w:pPr>
          </w:p>
        </w:tc>
        <w:tc>
          <w:tcPr>
            <w:tcW w:w="250" w:type="pct"/>
            <w:tcBorders>
              <w:top w:val="nil"/>
              <w:left w:val="nil"/>
              <w:bottom w:val="nil"/>
              <w:right w:val="nil"/>
            </w:tcBorders>
            <w:shd w:val="clear" w:color="auto" w:fill="auto"/>
            <w:noWrap/>
            <w:vAlign w:val="bottom"/>
            <w:hideMark/>
          </w:tcPr>
          <w:p w14:paraId="5DA0C9C7" w14:textId="77777777" w:rsidR="00107491" w:rsidRPr="00107491" w:rsidRDefault="00107491" w:rsidP="00107491">
            <w:pPr>
              <w:rPr>
                <w:sz w:val="20"/>
                <w:szCs w:val="20"/>
                <w:lang w:val="en-US" w:eastAsia="en-US"/>
              </w:rPr>
            </w:pPr>
          </w:p>
        </w:tc>
        <w:tc>
          <w:tcPr>
            <w:tcW w:w="250" w:type="pct"/>
            <w:tcBorders>
              <w:top w:val="nil"/>
              <w:left w:val="nil"/>
              <w:bottom w:val="nil"/>
              <w:right w:val="nil"/>
            </w:tcBorders>
            <w:shd w:val="clear" w:color="auto" w:fill="auto"/>
            <w:noWrap/>
            <w:vAlign w:val="bottom"/>
            <w:hideMark/>
          </w:tcPr>
          <w:p w14:paraId="7C69B1CE" w14:textId="77777777" w:rsidR="00107491" w:rsidRPr="00107491" w:rsidRDefault="00107491" w:rsidP="00107491">
            <w:pPr>
              <w:rPr>
                <w:sz w:val="20"/>
                <w:szCs w:val="20"/>
                <w:lang w:val="en-US" w:eastAsia="en-US"/>
              </w:rPr>
            </w:pPr>
          </w:p>
        </w:tc>
        <w:tc>
          <w:tcPr>
            <w:tcW w:w="261" w:type="pct"/>
            <w:tcBorders>
              <w:top w:val="nil"/>
              <w:left w:val="nil"/>
              <w:bottom w:val="nil"/>
              <w:right w:val="nil"/>
            </w:tcBorders>
            <w:shd w:val="clear" w:color="auto" w:fill="auto"/>
            <w:noWrap/>
            <w:vAlign w:val="bottom"/>
            <w:hideMark/>
          </w:tcPr>
          <w:p w14:paraId="7DD715DB" w14:textId="77777777" w:rsidR="00107491" w:rsidRPr="00107491" w:rsidRDefault="00107491" w:rsidP="00107491">
            <w:pPr>
              <w:rPr>
                <w:sz w:val="20"/>
                <w:szCs w:val="20"/>
                <w:lang w:val="en-US" w:eastAsia="en-US"/>
              </w:rPr>
            </w:pPr>
          </w:p>
        </w:tc>
        <w:tc>
          <w:tcPr>
            <w:tcW w:w="183" w:type="pct"/>
            <w:tcBorders>
              <w:top w:val="nil"/>
              <w:left w:val="nil"/>
              <w:bottom w:val="nil"/>
              <w:right w:val="nil"/>
            </w:tcBorders>
            <w:shd w:val="clear" w:color="auto" w:fill="auto"/>
            <w:noWrap/>
            <w:vAlign w:val="bottom"/>
            <w:hideMark/>
          </w:tcPr>
          <w:p w14:paraId="3F6E73A9" w14:textId="77777777" w:rsidR="00107491" w:rsidRPr="00107491" w:rsidRDefault="00107491" w:rsidP="00107491">
            <w:pPr>
              <w:rPr>
                <w:sz w:val="20"/>
                <w:szCs w:val="20"/>
                <w:lang w:val="en-US" w:eastAsia="en-US"/>
              </w:rPr>
            </w:pPr>
          </w:p>
        </w:tc>
      </w:tr>
      <w:tr w:rsidR="00107491" w:rsidRPr="00107491" w14:paraId="5BCDCC0F" w14:textId="77777777" w:rsidTr="00107491">
        <w:trPr>
          <w:gridAfter w:val="1"/>
          <w:wAfter w:w="35" w:type="pct"/>
          <w:trHeight w:val="300"/>
        </w:trPr>
        <w:tc>
          <w:tcPr>
            <w:tcW w:w="1056" w:type="pct"/>
            <w:tcBorders>
              <w:top w:val="nil"/>
              <w:left w:val="single" w:sz="8" w:space="0" w:color="auto"/>
              <w:bottom w:val="single" w:sz="8" w:space="0" w:color="auto"/>
              <w:right w:val="single" w:sz="8" w:space="0" w:color="auto"/>
            </w:tcBorders>
            <w:shd w:val="clear" w:color="auto" w:fill="auto"/>
            <w:noWrap/>
            <w:vAlign w:val="center"/>
            <w:hideMark/>
          </w:tcPr>
          <w:p w14:paraId="4813758A" w14:textId="77777777" w:rsidR="00601D9B" w:rsidRDefault="000E53A0">
            <w:pPr>
              <w:jc w:val="both"/>
              <w:rPr>
                <w:rFonts w:ascii="Calibri" w:hAnsi="Calibri" w:cs="Calibri"/>
                <w:color w:val="000000"/>
                <w:sz w:val="18"/>
                <w:szCs w:val="18"/>
                <w:lang w:val="en-US" w:eastAsia="en-US"/>
              </w:rPr>
            </w:pPr>
            <w:r w:rsidRPr="00107491">
              <w:rPr>
                <w:rFonts w:ascii="Calibri" w:hAnsi="Calibri" w:cs="Calibri"/>
                <w:color w:val="000000"/>
                <w:sz w:val="18"/>
                <w:szCs w:val="18"/>
                <w:lang w:val="en-US" w:eastAsia="en-US"/>
              </w:rPr>
              <w:t>Unité commerciale Atlas</w:t>
            </w:r>
          </w:p>
        </w:tc>
        <w:tc>
          <w:tcPr>
            <w:tcW w:w="1221" w:type="pct"/>
            <w:gridSpan w:val="3"/>
            <w:tcBorders>
              <w:top w:val="single" w:sz="8" w:space="0" w:color="auto"/>
              <w:left w:val="nil"/>
              <w:bottom w:val="single" w:sz="8" w:space="0" w:color="auto"/>
              <w:right w:val="single" w:sz="8" w:space="0" w:color="000000"/>
            </w:tcBorders>
            <w:shd w:val="clear" w:color="auto" w:fill="auto"/>
            <w:noWrap/>
            <w:vAlign w:val="center"/>
            <w:hideMark/>
          </w:tcPr>
          <w:p w14:paraId="2D90FDBC" w14:textId="77777777" w:rsidR="00601D9B" w:rsidRDefault="000E53A0">
            <w:pPr>
              <w:jc w:val="both"/>
              <w:rPr>
                <w:rFonts w:ascii="Calibri" w:hAnsi="Calibri" w:cs="Calibri"/>
                <w:color w:val="000000"/>
                <w:sz w:val="18"/>
                <w:szCs w:val="18"/>
                <w:lang w:val="en-US" w:eastAsia="en-US"/>
              </w:rPr>
            </w:pPr>
            <w:r w:rsidRPr="00107491">
              <w:rPr>
                <w:rFonts w:ascii="Calibri" w:hAnsi="Calibri" w:cs="Calibri"/>
                <w:color w:val="000000"/>
                <w:sz w:val="18"/>
                <w:szCs w:val="18"/>
                <w:lang w:val="en-US" w:eastAsia="en-US"/>
              </w:rPr>
              <w:t>Xxx10</w:t>
            </w:r>
          </w:p>
        </w:tc>
        <w:tc>
          <w:tcPr>
            <w:tcW w:w="258" w:type="pct"/>
            <w:tcBorders>
              <w:top w:val="nil"/>
              <w:left w:val="nil"/>
              <w:bottom w:val="nil"/>
              <w:right w:val="nil"/>
            </w:tcBorders>
            <w:shd w:val="clear" w:color="auto" w:fill="auto"/>
            <w:noWrap/>
            <w:vAlign w:val="bottom"/>
            <w:hideMark/>
          </w:tcPr>
          <w:p w14:paraId="2E62DD87" w14:textId="77777777" w:rsidR="00107491" w:rsidRPr="00107491" w:rsidRDefault="00107491" w:rsidP="00107491">
            <w:pPr>
              <w:jc w:val="both"/>
              <w:rPr>
                <w:rFonts w:ascii="Calibri" w:hAnsi="Calibri" w:cs="Calibri"/>
                <w:color w:val="000000"/>
                <w:sz w:val="18"/>
                <w:szCs w:val="18"/>
                <w:lang w:val="en-US" w:eastAsia="en-US"/>
              </w:rPr>
            </w:pPr>
          </w:p>
        </w:tc>
        <w:tc>
          <w:tcPr>
            <w:tcW w:w="458" w:type="pct"/>
            <w:tcBorders>
              <w:top w:val="nil"/>
              <w:left w:val="nil"/>
              <w:bottom w:val="nil"/>
              <w:right w:val="nil"/>
            </w:tcBorders>
            <w:shd w:val="clear" w:color="auto" w:fill="auto"/>
            <w:noWrap/>
            <w:vAlign w:val="bottom"/>
            <w:hideMark/>
          </w:tcPr>
          <w:p w14:paraId="21D961C8" w14:textId="77777777" w:rsidR="00107491" w:rsidRPr="00107491" w:rsidRDefault="00107491" w:rsidP="00107491">
            <w:pPr>
              <w:rPr>
                <w:sz w:val="20"/>
                <w:szCs w:val="20"/>
                <w:lang w:val="en-US" w:eastAsia="en-US"/>
              </w:rPr>
            </w:pPr>
          </w:p>
        </w:tc>
        <w:tc>
          <w:tcPr>
            <w:tcW w:w="254" w:type="pct"/>
            <w:tcBorders>
              <w:top w:val="nil"/>
              <w:left w:val="nil"/>
              <w:bottom w:val="nil"/>
              <w:right w:val="nil"/>
            </w:tcBorders>
            <w:shd w:val="clear" w:color="auto" w:fill="auto"/>
            <w:noWrap/>
            <w:vAlign w:val="bottom"/>
            <w:hideMark/>
          </w:tcPr>
          <w:p w14:paraId="2B88F20D" w14:textId="77777777" w:rsidR="00107491" w:rsidRPr="00107491" w:rsidRDefault="00107491" w:rsidP="00107491">
            <w:pPr>
              <w:rPr>
                <w:sz w:val="20"/>
                <w:szCs w:val="20"/>
                <w:lang w:val="en-US" w:eastAsia="en-US"/>
              </w:rPr>
            </w:pPr>
          </w:p>
        </w:tc>
        <w:tc>
          <w:tcPr>
            <w:tcW w:w="273" w:type="pct"/>
            <w:tcBorders>
              <w:top w:val="nil"/>
              <w:left w:val="nil"/>
              <w:bottom w:val="nil"/>
              <w:right w:val="nil"/>
            </w:tcBorders>
            <w:shd w:val="clear" w:color="auto" w:fill="auto"/>
            <w:noWrap/>
            <w:vAlign w:val="bottom"/>
            <w:hideMark/>
          </w:tcPr>
          <w:p w14:paraId="3FBA9FA2" w14:textId="77777777" w:rsidR="00107491" w:rsidRPr="00107491" w:rsidRDefault="00107491" w:rsidP="00107491">
            <w:pPr>
              <w:rPr>
                <w:sz w:val="20"/>
                <w:szCs w:val="20"/>
                <w:lang w:val="en-US" w:eastAsia="en-US"/>
              </w:rPr>
            </w:pPr>
          </w:p>
        </w:tc>
        <w:tc>
          <w:tcPr>
            <w:tcW w:w="250" w:type="pct"/>
            <w:tcBorders>
              <w:top w:val="nil"/>
              <w:left w:val="nil"/>
              <w:bottom w:val="nil"/>
              <w:right w:val="nil"/>
            </w:tcBorders>
            <w:shd w:val="clear" w:color="auto" w:fill="auto"/>
            <w:noWrap/>
            <w:vAlign w:val="bottom"/>
            <w:hideMark/>
          </w:tcPr>
          <w:p w14:paraId="758AEB8E" w14:textId="77777777" w:rsidR="00107491" w:rsidRPr="00107491" w:rsidRDefault="00107491" w:rsidP="00107491">
            <w:pPr>
              <w:rPr>
                <w:sz w:val="20"/>
                <w:szCs w:val="20"/>
                <w:lang w:val="en-US" w:eastAsia="en-US"/>
              </w:rPr>
            </w:pPr>
          </w:p>
        </w:tc>
        <w:tc>
          <w:tcPr>
            <w:tcW w:w="250" w:type="pct"/>
            <w:tcBorders>
              <w:top w:val="nil"/>
              <w:left w:val="nil"/>
              <w:bottom w:val="nil"/>
              <w:right w:val="nil"/>
            </w:tcBorders>
            <w:shd w:val="clear" w:color="auto" w:fill="auto"/>
            <w:noWrap/>
            <w:vAlign w:val="bottom"/>
            <w:hideMark/>
          </w:tcPr>
          <w:p w14:paraId="6D7BA164" w14:textId="77777777" w:rsidR="00107491" w:rsidRPr="00107491" w:rsidRDefault="00107491" w:rsidP="00107491">
            <w:pPr>
              <w:rPr>
                <w:sz w:val="20"/>
                <w:szCs w:val="20"/>
                <w:lang w:val="en-US" w:eastAsia="en-US"/>
              </w:rPr>
            </w:pPr>
          </w:p>
        </w:tc>
        <w:tc>
          <w:tcPr>
            <w:tcW w:w="250" w:type="pct"/>
            <w:tcBorders>
              <w:top w:val="nil"/>
              <w:left w:val="nil"/>
              <w:bottom w:val="nil"/>
              <w:right w:val="nil"/>
            </w:tcBorders>
            <w:shd w:val="clear" w:color="auto" w:fill="auto"/>
            <w:noWrap/>
            <w:vAlign w:val="bottom"/>
            <w:hideMark/>
          </w:tcPr>
          <w:p w14:paraId="3AEB6E71" w14:textId="77777777" w:rsidR="00107491" w:rsidRPr="00107491" w:rsidRDefault="00107491" w:rsidP="00107491">
            <w:pPr>
              <w:rPr>
                <w:sz w:val="20"/>
                <w:szCs w:val="20"/>
                <w:lang w:val="en-US" w:eastAsia="en-US"/>
              </w:rPr>
            </w:pPr>
          </w:p>
        </w:tc>
        <w:tc>
          <w:tcPr>
            <w:tcW w:w="250" w:type="pct"/>
            <w:tcBorders>
              <w:top w:val="nil"/>
              <w:left w:val="nil"/>
              <w:bottom w:val="nil"/>
              <w:right w:val="nil"/>
            </w:tcBorders>
            <w:shd w:val="clear" w:color="auto" w:fill="auto"/>
            <w:noWrap/>
            <w:vAlign w:val="bottom"/>
            <w:hideMark/>
          </w:tcPr>
          <w:p w14:paraId="74F8BB4A" w14:textId="77777777" w:rsidR="00107491" w:rsidRPr="00107491" w:rsidRDefault="00107491" w:rsidP="00107491">
            <w:pPr>
              <w:rPr>
                <w:sz w:val="20"/>
                <w:szCs w:val="20"/>
                <w:lang w:val="en-US" w:eastAsia="en-US"/>
              </w:rPr>
            </w:pPr>
          </w:p>
        </w:tc>
        <w:tc>
          <w:tcPr>
            <w:tcW w:w="261" w:type="pct"/>
            <w:tcBorders>
              <w:top w:val="nil"/>
              <w:left w:val="nil"/>
              <w:bottom w:val="nil"/>
              <w:right w:val="nil"/>
            </w:tcBorders>
            <w:shd w:val="clear" w:color="auto" w:fill="auto"/>
            <w:noWrap/>
            <w:vAlign w:val="bottom"/>
            <w:hideMark/>
          </w:tcPr>
          <w:p w14:paraId="053608B6" w14:textId="77777777" w:rsidR="00107491" w:rsidRPr="00107491" w:rsidRDefault="00107491" w:rsidP="00107491">
            <w:pPr>
              <w:rPr>
                <w:sz w:val="20"/>
                <w:szCs w:val="20"/>
                <w:lang w:val="en-US" w:eastAsia="en-US"/>
              </w:rPr>
            </w:pPr>
          </w:p>
        </w:tc>
        <w:tc>
          <w:tcPr>
            <w:tcW w:w="183" w:type="pct"/>
            <w:tcBorders>
              <w:top w:val="nil"/>
              <w:left w:val="nil"/>
              <w:bottom w:val="nil"/>
              <w:right w:val="nil"/>
            </w:tcBorders>
            <w:shd w:val="clear" w:color="auto" w:fill="auto"/>
            <w:noWrap/>
            <w:vAlign w:val="bottom"/>
            <w:hideMark/>
          </w:tcPr>
          <w:p w14:paraId="04F8E74B" w14:textId="77777777" w:rsidR="00107491" w:rsidRPr="00107491" w:rsidRDefault="00107491" w:rsidP="00107491">
            <w:pPr>
              <w:rPr>
                <w:sz w:val="20"/>
                <w:szCs w:val="20"/>
                <w:lang w:val="en-US" w:eastAsia="en-US"/>
              </w:rPr>
            </w:pPr>
          </w:p>
        </w:tc>
      </w:tr>
      <w:tr w:rsidR="00107491" w:rsidRPr="00107491" w14:paraId="22A60BF5" w14:textId="77777777" w:rsidTr="00107491">
        <w:trPr>
          <w:gridAfter w:val="1"/>
          <w:wAfter w:w="35" w:type="pct"/>
          <w:trHeight w:val="300"/>
        </w:trPr>
        <w:tc>
          <w:tcPr>
            <w:tcW w:w="1056" w:type="pct"/>
            <w:tcBorders>
              <w:top w:val="nil"/>
              <w:left w:val="single" w:sz="8" w:space="0" w:color="auto"/>
              <w:bottom w:val="single" w:sz="8" w:space="0" w:color="auto"/>
              <w:right w:val="single" w:sz="8" w:space="0" w:color="auto"/>
            </w:tcBorders>
            <w:shd w:val="clear" w:color="auto" w:fill="auto"/>
            <w:noWrap/>
            <w:vAlign w:val="center"/>
            <w:hideMark/>
          </w:tcPr>
          <w:p w14:paraId="011A54EA" w14:textId="77777777" w:rsidR="00601D9B" w:rsidRPr="000E53A0" w:rsidRDefault="000E53A0">
            <w:pPr>
              <w:jc w:val="both"/>
              <w:rPr>
                <w:rFonts w:ascii="Calibri" w:hAnsi="Calibri" w:cs="Calibri"/>
                <w:color w:val="000000"/>
                <w:sz w:val="18"/>
                <w:szCs w:val="18"/>
                <w:lang w:val="fr-FR" w:eastAsia="en-US"/>
              </w:rPr>
            </w:pPr>
            <w:bookmarkStart w:id="54" w:name="RANGE!A6"/>
            <w:r w:rsidRPr="000E53A0">
              <w:rPr>
                <w:rFonts w:ascii="Calibri" w:hAnsi="Calibri" w:cs="Calibri"/>
                <w:color w:val="000000"/>
                <w:sz w:val="18"/>
                <w:szCs w:val="18"/>
                <w:lang w:val="fr-FR" w:eastAsia="en-US"/>
              </w:rPr>
              <w:t xml:space="preserve">Titre du projet de sortie primaire de l'Atlas comme dans l'Atlas : </w:t>
            </w:r>
            <w:bookmarkEnd w:id="54"/>
          </w:p>
        </w:tc>
        <w:tc>
          <w:tcPr>
            <w:tcW w:w="1221" w:type="pct"/>
            <w:gridSpan w:val="3"/>
            <w:tcBorders>
              <w:top w:val="single" w:sz="8" w:space="0" w:color="auto"/>
              <w:left w:val="nil"/>
              <w:bottom w:val="single" w:sz="8" w:space="0" w:color="auto"/>
              <w:right w:val="single" w:sz="8" w:space="0" w:color="000000"/>
            </w:tcBorders>
            <w:shd w:val="clear" w:color="auto" w:fill="auto"/>
            <w:noWrap/>
            <w:vAlign w:val="center"/>
            <w:hideMark/>
          </w:tcPr>
          <w:p w14:paraId="6A3832FA" w14:textId="77777777" w:rsidR="00601D9B" w:rsidRDefault="000E53A0">
            <w:pPr>
              <w:jc w:val="both"/>
              <w:rPr>
                <w:rFonts w:ascii="Calibri" w:hAnsi="Calibri" w:cs="Calibri"/>
                <w:color w:val="000000"/>
                <w:sz w:val="18"/>
                <w:szCs w:val="18"/>
                <w:lang w:val="en-US" w:eastAsia="en-US"/>
              </w:rPr>
            </w:pPr>
            <w:r w:rsidRPr="00107491">
              <w:rPr>
                <w:rFonts w:ascii="Calibri" w:hAnsi="Calibri" w:cs="Calibri"/>
                <w:color w:val="000000"/>
                <w:sz w:val="18"/>
                <w:szCs w:val="18"/>
                <w:lang w:val="en-US" w:eastAsia="en-US"/>
              </w:rPr>
              <w:t>xxxxxxxxxxxxxxxxxxxxxxx</w:t>
            </w:r>
          </w:p>
        </w:tc>
        <w:tc>
          <w:tcPr>
            <w:tcW w:w="258" w:type="pct"/>
            <w:tcBorders>
              <w:top w:val="nil"/>
              <w:left w:val="nil"/>
              <w:bottom w:val="nil"/>
              <w:right w:val="nil"/>
            </w:tcBorders>
            <w:shd w:val="clear" w:color="auto" w:fill="auto"/>
            <w:noWrap/>
            <w:vAlign w:val="bottom"/>
            <w:hideMark/>
          </w:tcPr>
          <w:p w14:paraId="090893D7" w14:textId="77777777" w:rsidR="00107491" w:rsidRPr="00107491" w:rsidRDefault="00107491" w:rsidP="00107491">
            <w:pPr>
              <w:jc w:val="both"/>
              <w:rPr>
                <w:rFonts w:ascii="Calibri" w:hAnsi="Calibri" w:cs="Calibri"/>
                <w:color w:val="000000"/>
                <w:sz w:val="18"/>
                <w:szCs w:val="18"/>
                <w:lang w:val="en-US" w:eastAsia="en-US"/>
              </w:rPr>
            </w:pPr>
          </w:p>
        </w:tc>
        <w:tc>
          <w:tcPr>
            <w:tcW w:w="458" w:type="pct"/>
            <w:tcBorders>
              <w:top w:val="nil"/>
              <w:left w:val="nil"/>
              <w:bottom w:val="nil"/>
              <w:right w:val="nil"/>
            </w:tcBorders>
            <w:shd w:val="clear" w:color="auto" w:fill="auto"/>
            <w:noWrap/>
            <w:vAlign w:val="bottom"/>
            <w:hideMark/>
          </w:tcPr>
          <w:p w14:paraId="291C5714" w14:textId="77777777" w:rsidR="00107491" w:rsidRPr="00107491" w:rsidRDefault="00107491" w:rsidP="00107491">
            <w:pPr>
              <w:rPr>
                <w:sz w:val="20"/>
                <w:szCs w:val="20"/>
                <w:lang w:val="en-US" w:eastAsia="en-US"/>
              </w:rPr>
            </w:pPr>
          </w:p>
        </w:tc>
        <w:tc>
          <w:tcPr>
            <w:tcW w:w="254" w:type="pct"/>
            <w:tcBorders>
              <w:top w:val="nil"/>
              <w:left w:val="nil"/>
              <w:bottom w:val="nil"/>
              <w:right w:val="nil"/>
            </w:tcBorders>
            <w:shd w:val="clear" w:color="auto" w:fill="auto"/>
            <w:noWrap/>
            <w:vAlign w:val="bottom"/>
            <w:hideMark/>
          </w:tcPr>
          <w:p w14:paraId="3F45680B" w14:textId="77777777" w:rsidR="00107491" w:rsidRPr="00107491" w:rsidRDefault="00107491" w:rsidP="00107491">
            <w:pPr>
              <w:rPr>
                <w:sz w:val="20"/>
                <w:szCs w:val="20"/>
                <w:lang w:val="en-US" w:eastAsia="en-US"/>
              </w:rPr>
            </w:pPr>
          </w:p>
        </w:tc>
        <w:tc>
          <w:tcPr>
            <w:tcW w:w="273" w:type="pct"/>
            <w:tcBorders>
              <w:top w:val="nil"/>
              <w:left w:val="nil"/>
              <w:bottom w:val="nil"/>
              <w:right w:val="nil"/>
            </w:tcBorders>
            <w:shd w:val="clear" w:color="auto" w:fill="auto"/>
            <w:noWrap/>
            <w:vAlign w:val="bottom"/>
            <w:hideMark/>
          </w:tcPr>
          <w:p w14:paraId="64B5364D" w14:textId="77777777" w:rsidR="00107491" w:rsidRPr="00107491" w:rsidRDefault="00107491" w:rsidP="00107491">
            <w:pPr>
              <w:rPr>
                <w:sz w:val="20"/>
                <w:szCs w:val="20"/>
                <w:lang w:val="en-US" w:eastAsia="en-US"/>
              </w:rPr>
            </w:pPr>
          </w:p>
        </w:tc>
        <w:tc>
          <w:tcPr>
            <w:tcW w:w="250" w:type="pct"/>
            <w:tcBorders>
              <w:top w:val="nil"/>
              <w:left w:val="nil"/>
              <w:bottom w:val="nil"/>
              <w:right w:val="nil"/>
            </w:tcBorders>
            <w:shd w:val="clear" w:color="auto" w:fill="auto"/>
            <w:noWrap/>
            <w:vAlign w:val="bottom"/>
            <w:hideMark/>
          </w:tcPr>
          <w:p w14:paraId="16F10CAE" w14:textId="77777777" w:rsidR="00107491" w:rsidRPr="00107491" w:rsidRDefault="00107491" w:rsidP="00107491">
            <w:pPr>
              <w:rPr>
                <w:sz w:val="20"/>
                <w:szCs w:val="20"/>
                <w:lang w:val="en-US" w:eastAsia="en-US"/>
              </w:rPr>
            </w:pPr>
          </w:p>
        </w:tc>
        <w:tc>
          <w:tcPr>
            <w:tcW w:w="250" w:type="pct"/>
            <w:tcBorders>
              <w:top w:val="nil"/>
              <w:left w:val="nil"/>
              <w:bottom w:val="nil"/>
              <w:right w:val="nil"/>
            </w:tcBorders>
            <w:shd w:val="clear" w:color="auto" w:fill="auto"/>
            <w:noWrap/>
            <w:vAlign w:val="bottom"/>
            <w:hideMark/>
          </w:tcPr>
          <w:p w14:paraId="3880277C" w14:textId="77777777" w:rsidR="00107491" w:rsidRPr="00107491" w:rsidRDefault="00107491" w:rsidP="00107491">
            <w:pPr>
              <w:rPr>
                <w:sz w:val="20"/>
                <w:szCs w:val="20"/>
                <w:lang w:val="en-US" w:eastAsia="en-US"/>
              </w:rPr>
            </w:pPr>
          </w:p>
        </w:tc>
        <w:tc>
          <w:tcPr>
            <w:tcW w:w="250" w:type="pct"/>
            <w:tcBorders>
              <w:top w:val="nil"/>
              <w:left w:val="nil"/>
              <w:bottom w:val="nil"/>
              <w:right w:val="nil"/>
            </w:tcBorders>
            <w:shd w:val="clear" w:color="auto" w:fill="auto"/>
            <w:noWrap/>
            <w:vAlign w:val="bottom"/>
            <w:hideMark/>
          </w:tcPr>
          <w:p w14:paraId="27778356" w14:textId="77777777" w:rsidR="00107491" w:rsidRPr="00107491" w:rsidRDefault="00107491" w:rsidP="00107491">
            <w:pPr>
              <w:rPr>
                <w:sz w:val="20"/>
                <w:szCs w:val="20"/>
                <w:lang w:val="en-US" w:eastAsia="en-US"/>
              </w:rPr>
            </w:pPr>
          </w:p>
        </w:tc>
        <w:tc>
          <w:tcPr>
            <w:tcW w:w="250" w:type="pct"/>
            <w:tcBorders>
              <w:top w:val="nil"/>
              <w:left w:val="nil"/>
              <w:bottom w:val="nil"/>
              <w:right w:val="nil"/>
            </w:tcBorders>
            <w:shd w:val="clear" w:color="auto" w:fill="auto"/>
            <w:noWrap/>
            <w:vAlign w:val="bottom"/>
            <w:hideMark/>
          </w:tcPr>
          <w:p w14:paraId="2EF63211" w14:textId="77777777" w:rsidR="00107491" w:rsidRPr="00107491" w:rsidRDefault="00107491" w:rsidP="00107491">
            <w:pPr>
              <w:rPr>
                <w:sz w:val="20"/>
                <w:szCs w:val="20"/>
                <w:lang w:val="en-US" w:eastAsia="en-US"/>
              </w:rPr>
            </w:pPr>
          </w:p>
        </w:tc>
        <w:tc>
          <w:tcPr>
            <w:tcW w:w="261" w:type="pct"/>
            <w:tcBorders>
              <w:top w:val="nil"/>
              <w:left w:val="nil"/>
              <w:bottom w:val="nil"/>
              <w:right w:val="nil"/>
            </w:tcBorders>
            <w:shd w:val="clear" w:color="auto" w:fill="auto"/>
            <w:noWrap/>
            <w:vAlign w:val="bottom"/>
            <w:hideMark/>
          </w:tcPr>
          <w:p w14:paraId="35EB7604" w14:textId="77777777" w:rsidR="00107491" w:rsidRPr="00107491" w:rsidRDefault="00107491" w:rsidP="00107491">
            <w:pPr>
              <w:rPr>
                <w:sz w:val="20"/>
                <w:szCs w:val="20"/>
                <w:lang w:val="en-US" w:eastAsia="en-US"/>
              </w:rPr>
            </w:pPr>
          </w:p>
        </w:tc>
        <w:tc>
          <w:tcPr>
            <w:tcW w:w="183" w:type="pct"/>
            <w:tcBorders>
              <w:top w:val="nil"/>
              <w:left w:val="nil"/>
              <w:bottom w:val="nil"/>
              <w:right w:val="nil"/>
            </w:tcBorders>
            <w:shd w:val="clear" w:color="auto" w:fill="auto"/>
            <w:noWrap/>
            <w:vAlign w:val="bottom"/>
            <w:hideMark/>
          </w:tcPr>
          <w:p w14:paraId="251B4801" w14:textId="77777777" w:rsidR="00107491" w:rsidRPr="00107491" w:rsidRDefault="00107491" w:rsidP="00107491">
            <w:pPr>
              <w:rPr>
                <w:sz w:val="20"/>
                <w:szCs w:val="20"/>
                <w:lang w:val="en-US" w:eastAsia="en-US"/>
              </w:rPr>
            </w:pPr>
          </w:p>
        </w:tc>
      </w:tr>
      <w:tr w:rsidR="00107491" w:rsidRPr="00107491" w14:paraId="094EA69A" w14:textId="77777777" w:rsidTr="00107491">
        <w:trPr>
          <w:gridAfter w:val="1"/>
          <w:wAfter w:w="35" w:type="pct"/>
          <w:trHeight w:val="300"/>
        </w:trPr>
        <w:tc>
          <w:tcPr>
            <w:tcW w:w="1056" w:type="pct"/>
            <w:tcBorders>
              <w:top w:val="nil"/>
              <w:left w:val="single" w:sz="8" w:space="0" w:color="auto"/>
              <w:bottom w:val="single" w:sz="8" w:space="0" w:color="auto"/>
              <w:right w:val="single" w:sz="8" w:space="0" w:color="auto"/>
            </w:tcBorders>
            <w:shd w:val="clear" w:color="auto" w:fill="auto"/>
            <w:noWrap/>
            <w:vAlign w:val="center"/>
            <w:hideMark/>
          </w:tcPr>
          <w:p w14:paraId="57257551" w14:textId="77777777" w:rsidR="00601D9B" w:rsidRDefault="000E53A0">
            <w:pPr>
              <w:jc w:val="both"/>
              <w:rPr>
                <w:rFonts w:ascii="Calibri" w:hAnsi="Calibri" w:cs="Calibri"/>
                <w:color w:val="000000"/>
                <w:sz w:val="18"/>
                <w:szCs w:val="18"/>
                <w:lang w:val="en-US" w:eastAsia="en-US"/>
              </w:rPr>
            </w:pPr>
            <w:r w:rsidRPr="00107491">
              <w:rPr>
                <w:rFonts w:ascii="Calibri" w:hAnsi="Calibri" w:cs="Calibri"/>
                <w:color w:val="000000"/>
                <w:sz w:val="18"/>
                <w:szCs w:val="18"/>
                <w:lang w:val="en-US" w:eastAsia="en-US"/>
              </w:rPr>
              <w:t xml:space="preserve">PNUD-FEM PIMS n°. </w:t>
            </w:r>
          </w:p>
        </w:tc>
        <w:tc>
          <w:tcPr>
            <w:tcW w:w="1221" w:type="pct"/>
            <w:gridSpan w:val="3"/>
            <w:tcBorders>
              <w:top w:val="single" w:sz="8" w:space="0" w:color="auto"/>
              <w:left w:val="nil"/>
              <w:bottom w:val="single" w:sz="8" w:space="0" w:color="auto"/>
              <w:right w:val="single" w:sz="8" w:space="0" w:color="000000"/>
            </w:tcBorders>
            <w:shd w:val="clear" w:color="auto" w:fill="auto"/>
            <w:noWrap/>
            <w:vAlign w:val="center"/>
            <w:hideMark/>
          </w:tcPr>
          <w:p w14:paraId="531290EC" w14:textId="77777777" w:rsidR="00601D9B" w:rsidRDefault="000E53A0">
            <w:pPr>
              <w:jc w:val="both"/>
              <w:rPr>
                <w:rFonts w:ascii="Calibri" w:hAnsi="Calibri" w:cs="Calibri"/>
                <w:color w:val="000000"/>
                <w:sz w:val="18"/>
                <w:szCs w:val="18"/>
                <w:lang w:val="en-US" w:eastAsia="en-US"/>
              </w:rPr>
            </w:pPr>
            <w:r w:rsidRPr="00107491">
              <w:rPr>
                <w:rFonts w:ascii="Calibri" w:hAnsi="Calibri" w:cs="Calibri"/>
                <w:color w:val="000000"/>
                <w:sz w:val="18"/>
                <w:szCs w:val="18"/>
                <w:lang w:val="en-US" w:eastAsia="en-US"/>
              </w:rPr>
              <w:t>xxxx</w:t>
            </w:r>
          </w:p>
        </w:tc>
        <w:tc>
          <w:tcPr>
            <w:tcW w:w="258" w:type="pct"/>
            <w:tcBorders>
              <w:top w:val="nil"/>
              <w:left w:val="nil"/>
              <w:bottom w:val="nil"/>
              <w:right w:val="nil"/>
            </w:tcBorders>
            <w:shd w:val="clear" w:color="auto" w:fill="auto"/>
            <w:noWrap/>
            <w:vAlign w:val="bottom"/>
            <w:hideMark/>
          </w:tcPr>
          <w:p w14:paraId="0A4E882D" w14:textId="77777777" w:rsidR="00107491" w:rsidRPr="00107491" w:rsidRDefault="00107491" w:rsidP="00107491">
            <w:pPr>
              <w:jc w:val="both"/>
              <w:rPr>
                <w:rFonts w:ascii="Calibri" w:hAnsi="Calibri" w:cs="Calibri"/>
                <w:color w:val="000000"/>
                <w:sz w:val="18"/>
                <w:szCs w:val="18"/>
                <w:lang w:val="en-US" w:eastAsia="en-US"/>
              </w:rPr>
            </w:pPr>
          </w:p>
        </w:tc>
        <w:tc>
          <w:tcPr>
            <w:tcW w:w="458" w:type="pct"/>
            <w:tcBorders>
              <w:top w:val="nil"/>
              <w:left w:val="nil"/>
              <w:bottom w:val="nil"/>
              <w:right w:val="nil"/>
            </w:tcBorders>
            <w:shd w:val="clear" w:color="auto" w:fill="auto"/>
            <w:noWrap/>
            <w:vAlign w:val="bottom"/>
            <w:hideMark/>
          </w:tcPr>
          <w:p w14:paraId="01CAE30B" w14:textId="77777777" w:rsidR="00107491" w:rsidRPr="00107491" w:rsidRDefault="00107491" w:rsidP="00107491">
            <w:pPr>
              <w:rPr>
                <w:sz w:val="20"/>
                <w:szCs w:val="20"/>
                <w:lang w:val="en-US" w:eastAsia="en-US"/>
              </w:rPr>
            </w:pPr>
          </w:p>
        </w:tc>
        <w:tc>
          <w:tcPr>
            <w:tcW w:w="254" w:type="pct"/>
            <w:tcBorders>
              <w:top w:val="nil"/>
              <w:left w:val="nil"/>
              <w:bottom w:val="nil"/>
              <w:right w:val="nil"/>
            </w:tcBorders>
            <w:shd w:val="clear" w:color="auto" w:fill="auto"/>
            <w:noWrap/>
            <w:vAlign w:val="bottom"/>
            <w:hideMark/>
          </w:tcPr>
          <w:p w14:paraId="5F74D56A" w14:textId="77777777" w:rsidR="00107491" w:rsidRPr="00107491" w:rsidRDefault="00107491" w:rsidP="00107491">
            <w:pPr>
              <w:rPr>
                <w:sz w:val="20"/>
                <w:szCs w:val="20"/>
                <w:lang w:val="en-US" w:eastAsia="en-US"/>
              </w:rPr>
            </w:pPr>
          </w:p>
        </w:tc>
        <w:tc>
          <w:tcPr>
            <w:tcW w:w="273" w:type="pct"/>
            <w:tcBorders>
              <w:top w:val="nil"/>
              <w:left w:val="nil"/>
              <w:bottom w:val="nil"/>
              <w:right w:val="nil"/>
            </w:tcBorders>
            <w:shd w:val="clear" w:color="auto" w:fill="auto"/>
            <w:noWrap/>
            <w:vAlign w:val="bottom"/>
            <w:hideMark/>
          </w:tcPr>
          <w:p w14:paraId="202C3B19" w14:textId="77777777" w:rsidR="00107491" w:rsidRPr="00107491" w:rsidRDefault="00107491" w:rsidP="00107491">
            <w:pPr>
              <w:rPr>
                <w:sz w:val="20"/>
                <w:szCs w:val="20"/>
                <w:lang w:val="en-US" w:eastAsia="en-US"/>
              </w:rPr>
            </w:pPr>
          </w:p>
        </w:tc>
        <w:tc>
          <w:tcPr>
            <w:tcW w:w="250" w:type="pct"/>
            <w:tcBorders>
              <w:top w:val="nil"/>
              <w:left w:val="nil"/>
              <w:bottom w:val="nil"/>
              <w:right w:val="nil"/>
            </w:tcBorders>
            <w:shd w:val="clear" w:color="auto" w:fill="auto"/>
            <w:noWrap/>
            <w:vAlign w:val="bottom"/>
            <w:hideMark/>
          </w:tcPr>
          <w:p w14:paraId="5BE3F4AA" w14:textId="77777777" w:rsidR="00107491" w:rsidRPr="00107491" w:rsidRDefault="00107491" w:rsidP="00107491">
            <w:pPr>
              <w:rPr>
                <w:sz w:val="20"/>
                <w:szCs w:val="20"/>
                <w:lang w:val="en-US" w:eastAsia="en-US"/>
              </w:rPr>
            </w:pPr>
          </w:p>
        </w:tc>
        <w:tc>
          <w:tcPr>
            <w:tcW w:w="250" w:type="pct"/>
            <w:tcBorders>
              <w:top w:val="nil"/>
              <w:left w:val="nil"/>
              <w:bottom w:val="nil"/>
              <w:right w:val="nil"/>
            </w:tcBorders>
            <w:shd w:val="clear" w:color="auto" w:fill="auto"/>
            <w:noWrap/>
            <w:vAlign w:val="bottom"/>
            <w:hideMark/>
          </w:tcPr>
          <w:p w14:paraId="532DFBA4" w14:textId="77777777" w:rsidR="00107491" w:rsidRPr="00107491" w:rsidRDefault="00107491" w:rsidP="00107491">
            <w:pPr>
              <w:rPr>
                <w:sz w:val="20"/>
                <w:szCs w:val="20"/>
                <w:lang w:val="en-US" w:eastAsia="en-US"/>
              </w:rPr>
            </w:pPr>
          </w:p>
        </w:tc>
        <w:tc>
          <w:tcPr>
            <w:tcW w:w="250" w:type="pct"/>
            <w:tcBorders>
              <w:top w:val="nil"/>
              <w:left w:val="nil"/>
              <w:bottom w:val="nil"/>
              <w:right w:val="nil"/>
            </w:tcBorders>
            <w:shd w:val="clear" w:color="auto" w:fill="auto"/>
            <w:noWrap/>
            <w:vAlign w:val="bottom"/>
            <w:hideMark/>
          </w:tcPr>
          <w:p w14:paraId="261BB346" w14:textId="77777777" w:rsidR="00107491" w:rsidRPr="00107491" w:rsidRDefault="00107491" w:rsidP="00107491">
            <w:pPr>
              <w:rPr>
                <w:sz w:val="20"/>
                <w:szCs w:val="20"/>
                <w:lang w:val="en-US" w:eastAsia="en-US"/>
              </w:rPr>
            </w:pPr>
          </w:p>
        </w:tc>
        <w:tc>
          <w:tcPr>
            <w:tcW w:w="250" w:type="pct"/>
            <w:tcBorders>
              <w:top w:val="nil"/>
              <w:left w:val="nil"/>
              <w:bottom w:val="nil"/>
              <w:right w:val="nil"/>
            </w:tcBorders>
            <w:shd w:val="clear" w:color="auto" w:fill="auto"/>
            <w:noWrap/>
            <w:vAlign w:val="bottom"/>
            <w:hideMark/>
          </w:tcPr>
          <w:p w14:paraId="0FB93F1A" w14:textId="77777777" w:rsidR="00107491" w:rsidRPr="00107491" w:rsidRDefault="00107491" w:rsidP="00107491">
            <w:pPr>
              <w:rPr>
                <w:sz w:val="20"/>
                <w:szCs w:val="20"/>
                <w:lang w:val="en-US" w:eastAsia="en-US"/>
              </w:rPr>
            </w:pPr>
          </w:p>
        </w:tc>
        <w:tc>
          <w:tcPr>
            <w:tcW w:w="261" w:type="pct"/>
            <w:tcBorders>
              <w:top w:val="nil"/>
              <w:left w:val="nil"/>
              <w:bottom w:val="nil"/>
              <w:right w:val="nil"/>
            </w:tcBorders>
            <w:shd w:val="clear" w:color="auto" w:fill="auto"/>
            <w:noWrap/>
            <w:vAlign w:val="bottom"/>
            <w:hideMark/>
          </w:tcPr>
          <w:p w14:paraId="50B6848A" w14:textId="77777777" w:rsidR="00107491" w:rsidRPr="00107491" w:rsidRDefault="00107491" w:rsidP="00107491">
            <w:pPr>
              <w:rPr>
                <w:sz w:val="20"/>
                <w:szCs w:val="20"/>
                <w:lang w:val="en-US" w:eastAsia="en-US"/>
              </w:rPr>
            </w:pPr>
          </w:p>
        </w:tc>
        <w:tc>
          <w:tcPr>
            <w:tcW w:w="183" w:type="pct"/>
            <w:tcBorders>
              <w:top w:val="nil"/>
              <w:left w:val="nil"/>
              <w:bottom w:val="nil"/>
              <w:right w:val="nil"/>
            </w:tcBorders>
            <w:shd w:val="clear" w:color="auto" w:fill="auto"/>
            <w:noWrap/>
            <w:vAlign w:val="bottom"/>
            <w:hideMark/>
          </w:tcPr>
          <w:p w14:paraId="05076F8A" w14:textId="77777777" w:rsidR="00107491" w:rsidRPr="00107491" w:rsidRDefault="00107491" w:rsidP="00107491">
            <w:pPr>
              <w:rPr>
                <w:sz w:val="20"/>
                <w:szCs w:val="20"/>
                <w:lang w:val="en-US" w:eastAsia="en-US"/>
              </w:rPr>
            </w:pPr>
          </w:p>
        </w:tc>
      </w:tr>
      <w:tr w:rsidR="00107491" w:rsidRPr="000E53A0" w14:paraId="3127E5B3" w14:textId="77777777" w:rsidTr="00107491">
        <w:trPr>
          <w:gridAfter w:val="1"/>
          <w:wAfter w:w="35" w:type="pct"/>
          <w:trHeight w:val="518"/>
        </w:trPr>
        <w:tc>
          <w:tcPr>
            <w:tcW w:w="1056" w:type="pct"/>
            <w:tcBorders>
              <w:top w:val="nil"/>
              <w:left w:val="single" w:sz="8" w:space="0" w:color="auto"/>
              <w:bottom w:val="single" w:sz="8" w:space="0" w:color="auto"/>
              <w:right w:val="single" w:sz="8" w:space="0" w:color="auto"/>
            </w:tcBorders>
            <w:shd w:val="clear" w:color="auto" w:fill="auto"/>
            <w:vAlign w:val="center"/>
            <w:hideMark/>
          </w:tcPr>
          <w:p w14:paraId="295A0E88" w14:textId="77777777" w:rsidR="00601D9B" w:rsidRPr="000E53A0" w:rsidRDefault="000E53A0">
            <w:pPr>
              <w:jc w:val="both"/>
              <w:rPr>
                <w:rFonts w:ascii="Calibri" w:hAnsi="Calibri" w:cs="Calibri"/>
                <w:color w:val="000000"/>
                <w:sz w:val="18"/>
                <w:szCs w:val="18"/>
                <w:lang w:val="fr-FR" w:eastAsia="en-US"/>
              </w:rPr>
            </w:pPr>
            <w:r w:rsidRPr="000E53A0">
              <w:rPr>
                <w:rFonts w:ascii="Calibri" w:hAnsi="Calibri" w:cs="Calibri"/>
                <w:color w:val="000000"/>
                <w:sz w:val="18"/>
                <w:szCs w:val="18"/>
                <w:lang w:val="fr-FR" w:eastAsia="en-US"/>
              </w:rPr>
              <w:t xml:space="preserve">Partenaire de mise en œuvre </w:t>
            </w:r>
          </w:p>
        </w:tc>
        <w:tc>
          <w:tcPr>
            <w:tcW w:w="1221" w:type="pct"/>
            <w:gridSpan w:val="3"/>
            <w:tcBorders>
              <w:top w:val="single" w:sz="8" w:space="0" w:color="auto"/>
              <w:left w:val="nil"/>
              <w:bottom w:val="single" w:sz="8" w:space="0" w:color="auto"/>
              <w:right w:val="single" w:sz="8" w:space="0" w:color="000000"/>
            </w:tcBorders>
            <w:shd w:val="clear" w:color="auto" w:fill="auto"/>
            <w:noWrap/>
            <w:vAlign w:val="center"/>
            <w:hideMark/>
          </w:tcPr>
          <w:p w14:paraId="7EEC2DCD" w14:textId="77777777" w:rsidR="00601D9B" w:rsidRPr="000E53A0" w:rsidRDefault="000E53A0">
            <w:pPr>
              <w:jc w:val="both"/>
              <w:rPr>
                <w:rFonts w:ascii="Calibri" w:hAnsi="Calibri" w:cs="Calibri"/>
                <w:color w:val="000000"/>
                <w:sz w:val="18"/>
                <w:szCs w:val="18"/>
                <w:lang w:val="fr-FR" w:eastAsia="en-US"/>
              </w:rPr>
            </w:pPr>
            <w:r w:rsidRPr="000E53A0">
              <w:rPr>
                <w:rFonts w:ascii="Calibri" w:hAnsi="Calibri" w:cs="Calibri"/>
                <w:color w:val="000000"/>
                <w:sz w:val="18"/>
                <w:szCs w:val="18"/>
                <w:lang w:val="fr-FR" w:eastAsia="en-US"/>
              </w:rPr>
              <w:t>Nom du partenaire de mise en œuvre (un seul partenaire de mise en œuvre peut être saisi ici)</w:t>
            </w:r>
          </w:p>
        </w:tc>
        <w:tc>
          <w:tcPr>
            <w:tcW w:w="258" w:type="pct"/>
            <w:tcBorders>
              <w:top w:val="nil"/>
              <w:left w:val="nil"/>
              <w:bottom w:val="nil"/>
              <w:right w:val="nil"/>
            </w:tcBorders>
            <w:shd w:val="clear" w:color="auto" w:fill="auto"/>
            <w:noWrap/>
            <w:vAlign w:val="bottom"/>
            <w:hideMark/>
          </w:tcPr>
          <w:p w14:paraId="45A60CBB" w14:textId="77777777" w:rsidR="00107491" w:rsidRPr="000E53A0" w:rsidRDefault="00107491" w:rsidP="00107491">
            <w:pPr>
              <w:jc w:val="both"/>
              <w:rPr>
                <w:rFonts w:ascii="Calibri" w:hAnsi="Calibri" w:cs="Calibri"/>
                <w:color w:val="000000"/>
                <w:sz w:val="18"/>
                <w:szCs w:val="18"/>
                <w:lang w:val="fr-FR" w:eastAsia="en-US"/>
              </w:rPr>
            </w:pPr>
          </w:p>
        </w:tc>
        <w:tc>
          <w:tcPr>
            <w:tcW w:w="458" w:type="pct"/>
            <w:tcBorders>
              <w:top w:val="nil"/>
              <w:left w:val="nil"/>
              <w:bottom w:val="nil"/>
              <w:right w:val="nil"/>
            </w:tcBorders>
            <w:shd w:val="clear" w:color="auto" w:fill="auto"/>
            <w:noWrap/>
            <w:vAlign w:val="bottom"/>
            <w:hideMark/>
          </w:tcPr>
          <w:p w14:paraId="0E433422" w14:textId="77777777" w:rsidR="00107491" w:rsidRPr="000E53A0" w:rsidRDefault="00107491" w:rsidP="00107491">
            <w:pPr>
              <w:rPr>
                <w:sz w:val="20"/>
                <w:szCs w:val="20"/>
                <w:lang w:val="fr-FR" w:eastAsia="en-US"/>
              </w:rPr>
            </w:pPr>
          </w:p>
        </w:tc>
        <w:tc>
          <w:tcPr>
            <w:tcW w:w="254" w:type="pct"/>
            <w:tcBorders>
              <w:top w:val="nil"/>
              <w:left w:val="nil"/>
              <w:bottom w:val="nil"/>
              <w:right w:val="nil"/>
            </w:tcBorders>
            <w:shd w:val="clear" w:color="auto" w:fill="auto"/>
            <w:noWrap/>
            <w:vAlign w:val="bottom"/>
            <w:hideMark/>
          </w:tcPr>
          <w:p w14:paraId="4333B9CB" w14:textId="77777777" w:rsidR="00107491" w:rsidRPr="000E53A0" w:rsidRDefault="00107491" w:rsidP="00107491">
            <w:pPr>
              <w:rPr>
                <w:sz w:val="20"/>
                <w:szCs w:val="20"/>
                <w:lang w:val="fr-FR" w:eastAsia="en-US"/>
              </w:rPr>
            </w:pPr>
          </w:p>
        </w:tc>
        <w:tc>
          <w:tcPr>
            <w:tcW w:w="273" w:type="pct"/>
            <w:tcBorders>
              <w:top w:val="nil"/>
              <w:left w:val="nil"/>
              <w:bottom w:val="nil"/>
              <w:right w:val="nil"/>
            </w:tcBorders>
            <w:shd w:val="clear" w:color="auto" w:fill="auto"/>
            <w:noWrap/>
            <w:vAlign w:val="bottom"/>
            <w:hideMark/>
          </w:tcPr>
          <w:p w14:paraId="326B787D" w14:textId="77777777" w:rsidR="00107491" w:rsidRPr="000E53A0" w:rsidRDefault="00107491" w:rsidP="00107491">
            <w:pPr>
              <w:rPr>
                <w:sz w:val="20"/>
                <w:szCs w:val="20"/>
                <w:lang w:val="fr-FR" w:eastAsia="en-US"/>
              </w:rPr>
            </w:pPr>
          </w:p>
        </w:tc>
        <w:tc>
          <w:tcPr>
            <w:tcW w:w="250" w:type="pct"/>
            <w:tcBorders>
              <w:top w:val="nil"/>
              <w:left w:val="nil"/>
              <w:bottom w:val="nil"/>
              <w:right w:val="nil"/>
            </w:tcBorders>
            <w:shd w:val="clear" w:color="auto" w:fill="auto"/>
            <w:noWrap/>
            <w:vAlign w:val="bottom"/>
            <w:hideMark/>
          </w:tcPr>
          <w:p w14:paraId="5FFA21C9" w14:textId="77777777" w:rsidR="00107491" w:rsidRPr="000E53A0" w:rsidRDefault="00107491" w:rsidP="00107491">
            <w:pPr>
              <w:rPr>
                <w:sz w:val="20"/>
                <w:szCs w:val="20"/>
                <w:lang w:val="fr-FR" w:eastAsia="en-US"/>
              </w:rPr>
            </w:pPr>
          </w:p>
        </w:tc>
        <w:tc>
          <w:tcPr>
            <w:tcW w:w="250" w:type="pct"/>
            <w:tcBorders>
              <w:top w:val="nil"/>
              <w:left w:val="nil"/>
              <w:bottom w:val="nil"/>
              <w:right w:val="nil"/>
            </w:tcBorders>
            <w:shd w:val="clear" w:color="auto" w:fill="auto"/>
            <w:noWrap/>
            <w:vAlign w:val="bottom"/>
            <w:hideMark/>
          </w:tcPr>
          <w:p w14:paraId="19EEF5B6" w14:textId="77777777" w:rsidR="00107491" w:rsidRPr="000E53A0" w:rsidRDefault="00107491" w:rsidP="00107491">
            <w:pPr>
              <w:rPr>
                <w:sz w:val="20"/>
                <w:szCs w:val="20"/>
                <w:lang w:val="fr-FR" w:eastAsia="en-US"/>
              </w:rPr>
            </w:pPr>
          </w:p>
        </w:tc>
        <w:tc>
          <w:tcPr>
            <w:tcW w:w="250" w:type="pct"/>
            <w:tcBorders>
              <w:top w:val="nil"/>
              <w:left w:val="nil"/>
              <w:bottom w:val="nil"/>
              <w:right w:val="nil"/>
            </w:tcBorders>
            <w:shd w:val="clear" w:color="auto" w:fill="auto"/>
            <w:noWrap/>
            <w:vAlign w:val="bottom"/>
            <w:hideMark/>
          </w:tcPr>
          <w:p w14:paraId="7F550AD9" w14:textId="77777777" w:rsidR="00107491" w:rsidRPr="000E53A0" w:rsidRDefault="00107491" w:rsidP="00107491">
            <w:pPr>
              <w:rPr>
                <w:sz w:val="20"/>
                <w:szCs w:val="20"/>
                <w:lang w:val="fr-FR" w:eastAsia="en-US"/>
              </w:rPr>
            </w:pPr>
          </w:p>
        </w:tc>
        <w:tc>
          <w:tcPr>
            <w:tcW w:w="250" w:type="pct"/>
            <w:tcBorders>
              <w:top w:val="nil"/>
              <w:left w:val="nil"/>
              <w:bottom w:val="nil"/>
              <w:right w:val="nil"/>
            </w:tcBorders>
            <w:shd w:val="clear" w:color="auto" w:fill="auto"/>
            <w:noWrap/>
            <w:vAlign w:val="bottom"/>
            <w:hideMark/>
          </w:tcPr>
          <w:p w14:paraId="7C8E2ED3" w14:textId="77777777" w:rsidR="00107491" w:rsidRPr="000E53A0" w:rsidRDefault="00107491" w:rsidP="00107491">
            <w:pPr>
              <w:rPr>
                <w:sz w:val="20"/>
                <w:szCs w:val="20"/>
                <w:lang w:val="fr-FR" w:eastAsia="en-US"/>
              </w:rPr>
            </w:pPr>
          </w:p>
        </w:tc>
        <w:tc>
          <w:tcPr>
            <w:tcW w:w="261" w:type="pct"/>
            <w:tcBorders>
              <w:top w:val="nil"/>
              <w:left w:val="nil"/>
              <w:bottom w:val="nil"/>
              <w:right w:val="nil"/>
            </w:tcBorders>
            <w:shd w:val="clear" w:color="auto" w:fill="auto"/>
            <w:noWrap/>
            <w:vAlign w:val="bottom"/>
            <w:hideMark/>
          </w:tcPr>
          <w:p w14:paraId="75A74890" w14:textId="77777777" w:rsidR="00107491" w:rsidRPr="000E53A0" w:rsidRDefault="00107491" w:rsidP="00107491">
            <w:pPr>
              <w:rPr>
                <w:sz w:val="20"/>
                <w:szCs w:val="20"/>
                <w:lang w:val="fr-FR" w:eastAsia="en-US"/>
              </w:rPr>
            </w:pPr>
          </w:p>
        </w:tc>
        <w:tc>
          <w:tcPr>
            <w:tcW w:w="183" w:type="pct"/>
            <w:tcBorders>
              <w:top w:val="nil"/>
              <w:left w:val="nil"/>
              <w:bottom w:val="nil"/>
              <w:right w:val="nil"/>
            </w:tcBorders>
            <w:shd w:val="clear" w:color="auto" w:fill="auto"/>
            <w:noWrap/>
            <w:vAlign w:val="bottom"/>
            <w:hideMark/>
          </w:tcPr>
          <w:p w14:paraId="2D97BC84" w14:textId="77777777" w:rsidR="00107491" w:rsidRPr="000E53A0" w:rsidRDefault="00107491" w:rsidP="00107491">
            <w:pPr>
              <w:rPr>
                <w:sz w:val="20"/>
                <w:szCs w:val="20"/>
                <w:lang w:val="fr-FR" w:eastAsia="en-US"/>
              </w:rPr>
            </w:pPr>
          </w:p>
        </w:tc>
      </w:tr>
      <w:tr w:rsidR="00107491" w:rsidRPr="000E53A0" w14:paraId="0F4EEBA6" w14:textId="77777777" w:rsidTr="00107491">
        <w:trPr>
          <w:gridAfter w:val="1"/>
          <w:wAfter w:w="35" w:type="pct"/>
          <w:trHeight w:val="373"/>
        </w:trPr>
        <w:tc>
          <w:tcPr>
            <w:tcW w:w="1056" w:type="pct"/>
            <w:tcBorders>
              <w:top w:val="nil"/>
              <w:left w:val="nil"/>
              <w:bottom w:val="nil"/>
              <w:right w:val="nil"/>
            </w:tcBorders>
            <w:shd w:val="clear" w:color="auto" w:fill="auto"/>
            <w:noWrap/>
            <w:vAlign w:val="bottom"/>
            <w:hideMark/>
          </w:tcPr>
          <w:p w14:paraId="62A3E462" w14:textId="77777777" w:rsidR="00107491" w:rsidRPr="000E53A0" w:rsidRDefault="00107491" w:rsidP="00107491">
            <w:pPr>
              <w:jc w:val="center"/>
              <w:rPr>
                <w:sz w:val="20"/>
                <w:szCs w:val="20"/>
                <w:lang w:val="fr-FR" w:eastAsia="en-US"/>
              </w:rPr>
            </w:pPr>
          </w:p>
        </w:tc>
        <w:tc>
          <w:tcPr>
            <w:tcW w:w="381" w:type="pct"/>
            <w:tcBorders>
              <w:top w:val="nil"/>
              <w:left w:val="nil"/>
              <w:bottom w:val="nil"/>
              <w:right w:val="nil"/>
            </w:tcBorders>
            <w:shd w:val="clear" w:color="auto" w:fill="auto"/>
            <w:noWrap/>
            <w:vAlign w:val="bottom"/>
            <w:hideMark/>
          </w:tcPr>
          <w:p w14:paraId="447D7412" w14:textId="77777777" w:rsidR="00107491" w:rsidRPr="000E53A0" w:rsidRDefault="00107491" w:rsidP="00107491">
            <w:pPr>
              <w:rPr>
                <w:sz w:val="20"/>
                <w:szCs w:val="20"/>
                <w:lang w:val="fr-FR" w:eastAsia="en-US"/>
              </w:rPr>
            </w:pPr>
          </w:p>
        </w:tc>
        <w:tc>
          <w:tcPr>
            <w:tcW w:w="453" w:type="pct"/>
            <w:tcBorders>
              <w:top w:val="nil"/>
              <w:left w:val="nil"/>
              <w:bottom w:val="nil"/>
              <w:right w:val="nil"/>
            </w:tcBorders>
            <w:shd w:val="clear" w:color="auto" w:fill="auto"/>
            <w:noWrap/>
            <w:vAlign w:val="bottom"/>
            <w:hideMark/>
          </w:tcPr>
          <w:p w14:paraId="1BDAA2AB" w14:textId="77777777" w:rsidR="00107491" w:rsidRPr="000E53A0" w:rsidRDefault="00107491" w:rsidP="00107491">
            <w:pPr>
              <w:rPr>
                <w:sz w:val="20"/>
                <w:szCs w:val="20"/>
                <w:lang w:val="fr-FR" w:eastAsia="en-US"/>
              </w:rPr>
            </w:pPr>
          </w:p>
        </w:tc>
        <w:tc>
          <w:tcPr>
            <w:tcW w:w="388" w:type="pct"/>
            <w:tcBorders>
              <w:top w:val="nil"/>
              <w:left w:val="nil"/>
              <w:bottom w:val="nil"/>
              <w:right w:val="nil"/>
            </w:tcBorders>
            <w:shd w:val="clear" w:color="auto" w:fill="auto"/>
            <w:noWrap/>
            <w:vAlign w:val="bottom"/>
            <w:hideMark/>
          </w:tcPr>
          <w:p w14:paraId="2D9F4294" w14:textId="77777777" w:rsidR="00107491" w:rsidRPr="000E53A0" w:rsidRDefault="00107491" w:rsidP="00107491">
            <w:pPr>
              <w:rPr>
                <w:sz w:val="20"/>
                <w:szCs w:val="20"/>
                <w:lang w:val="fr-FR" w:eastAsia="en-US"/>
              </w:rPr>
            </w:pPr>
          </w:p>
        </w:tc>
        <w:tc>
          <w:tcPr>
            <w:tcW w:w="258" w:type="pct"/>
            <w:tcBorders>
              <w:top w:val="nil"/>
              <w:left w:val="nil"/>
              <w:bottom w:val="nil"/>
              <w:right w:val="nil"/>
            </w:tcBorders>
            <w:shd w:val="clear" w:color="auto" w:fill="auto"/>
            <w:noWrap/>
            <w:vAlign w:val="bottom"/>
            <w:hideMark/>
          </w:tcPr>
          <w:p w14:paraId="51C9F40B" w14:textId="77777777" w:rsidR="00107491" w:rsidRPr="000E53A0" w:rsidRDefault="00107491" w:rsidP="00107491">
            <w:pPr>
              <w:rPr>
                <w:sz w:val="20"/>
                <w:szCs w:val="20"/>
                <w:lang w:val="fr-FR" w:eastAsia="en-US"/>
              </w:rPr>
            </w:pPr>
          </w:p>
        </w:tc>
        <w:tc>
          <w:tcPr>
            <w:tcW w:w="458" w:type="pct"/>
            <w:tcBorders>
              <w:top w:val="nil"/>
              <w:left w:val="nil"/>
              <w:bottom w:val="nil"/>
              <w:right w:val="nil"/>
            </w:tcBorders>
            <w:shd w:val="clear" w:color="auto" w:fill="auto"/>
            <w:noWrap/>
            <w:vAlign w:val="bottom"/>
            <w:hideMark/>
          </w:tcPr>
          <w:p w14:paraId="4BA42063" w14:textId="77777777" w:rsidR="00107491" w:rsidRPr="000E53A0" w:rsidRDefault="00107491" w:rsidP="00107491">
            <w:pPr>
              <w:rPr>
                <w:sz w:val="20"/>
                <w:szCs w:val="20"/>
                <w:lang w:val="fr-FR" w:eastAsia="en-US"/>
              </w:rPr>
            </w:pPr>
          </w:p>
        </w:tc>
        <w:tc>
          <w:tcPr>
            <w:tcW w:w="254" w:type="pct"/>
            <w:tcBorders>
              <w:top w:val="nil"/>
              <w:left w:val="nil"/>
              <w:bottom w:val="nil"/>
              <w:right w:val="nil"/>
            </w:tcBorders>
            <w:shd w:val="clear" w:color="auto" w:fill="auto"/>
            <w:noWrap/>
            <w:vAlign w:val="bottom"/>
            <w:hideMark/>
          </w:tcPr>
          <w:p w14:paraId="727B605C" w14:textId="77777777" w:rsidR="00107491" w:rsidRPr="000E53A0" w:rsidRDefault="00107491" w:rsidP="00107491">
            <w:pPr>
              <w:rPr>
                <w:sz w:val="20"/>
                <w:szCs w:val="20"/>
                <w:lang w:val="fr-FR" w:eastAsia="en-US"/>
              </w:rPr>
            </w:pPr>
          </w:p>
        </w:tc>
        <w:tc>
          <w:tcPr>
            <w:tcW w:w="273" w:type="pct"/>
            <w:tcBorders>
              <w:top w:val="nil"/>
              <w:left w:val="nil"/>
              <w:bottom w:val="nil"/>
              <w:right w:val="nil"/>
            </w:tcBorders>
            <w:shd w:val="clear" w:color="auto" w:fill="auto"/>
            <w:noWrap/>
            <w:vAlign w:val="bottom"/>
            <w:hideMark/>
          </w:tcPr>
          <w:p w14:paraId="022CA6EE" w14:textId="77777777" w:rsidR="00107491" w:rsidRPr="000E53A0" w:rsidRDefault="00107491" w:rsidP="00107491">
            <w:pPr>
              <w:rPr>
                <w:sz w:val="20"/>
                <w:szCs w:val="20"/>
                <w:lang w:val="fr-FR" w:eastAsia="en-US"/>
              </w:rPr>
            </w:pPr>
          </w:p>
        </w:tc>
        <w:tc>
          <w:tcPr>
            <w:tcW w:w="250" w:type="pct"/>
            <w:tcBorders>
              <w:top w:val="nil"/>
              <w:left w:val="nil"/>
              <w:bottom w:val="nil"/>
              <w:right w:val="nil"/>
            </w:tcBorders>
            <w:shd w:val="clear" w:color="auto" w:fill="auto"/>
            <w:noWrap/>
            <w:vAlign w:val="bottom"/>
            <w:hideMark/>
          </w:tcPr>
          <w:p w14:paraId="060CB588" w14:textId="77777777" w:rsidR="00107491" w:rsidRPr="000E53A0" w:rsidRDefault="00107491" w:rsidP="00107491">
            <w:pPr>
              <w:rPr>
                <w:sz w:val="20"/>
                <w:szCs w:val="20"/>
                <w:lang w:val="fr-FR" w:eastAsia="en-US"/>
              </w:rPr>
            </w:pPr>
          </w:p>
        </w:tc>
        <w:tc>
          <w:tcPr>
            <w:tcW w:w="250" w:type="pct"/>
            <w:tcBorders>
              <w:top w:val="nil"/>
              <w:left w:val="nil"/>
              <w:bottom w:val="nil"/>
              <w:right w:val="nil"/>
            </w:tcBorders>
            <w:shd w:val="clear" w:color="auto" w:fill="auto"/>
            <w:noWrap/>
            <w:vAlign w:val="bottom"/>
            <w:hideMark/>
          </w:tcPr>
          <w:p w14:paraId="309CD74F" w14:textId="77777777" w:rsidR="00107491" w:rsidRPr="000E53A0" w:rsidRDefault="00107491" w:rsidP="00107491">
            <w:pPr>
              <w:rPr>
                <w:sz w:val="20"/>
                <w:szCs w:val="20"/>
                <w:lang w:val="fr-FR" w:eastAsia="en-US"/>
              </w:rPr>
            </w:pPr>
          </w:p>
        </w:tc>
        <w:tc>
          <w:tcPr>
            <w:tcW w:w="250" w:type="pct"/>
            <w:tcBorders>
              <w:top w:val="nil"/>
              <w:left w:val="nil"/>
              <w:bottom w:val="nil"/>
              <w:right w:val="nil"/>
            </w:tcBorders>
            <w:shd w:val="clear" w:color="auto" w:fill="auto"/>
            <w:noWrap/>
            <w:vAlign w:val="bottom"/>
            <w:hideMark/>
          </w:tcPr>
          <w:p w14:paraId="0BFCC550" w14:textId="77777777" w:rsidR="00107491" w:rsidRPr="000E53A0" w:rsidRDefault="00107491" w:rsidP="00107491">
            <w:pPr>
              <w:rPr>
                <w:sz w:val="20"/>
                <w:szCs w:val="20"/>
                <w:lang w:val="fr-FR" w:eastAsia="en-US"/>
              </w:rPr>
            </w:pPr>
          </w:p>
        </w:tc>
        <w:tc>
          <w:tcPr>
            <w:tcW w:w="250" w:type="pct"/>
            <w:tcBorders>
              <w:top w:val="nil"/>
              <w:left w:val="nil"/>
              <w:bottom w:val="nil"/>
              <w:right w:val="nil"/>
            </w:tcBorders>
            <w:shd w:val="clear" w:color="auto" w:fill="auto"/>
            <w:noWrap/>
            <w:vAlign w:val="bottom"/>
            <w:hideMark/>
          </w:tcPr>
          <w:p w14:paraId="7B2A4D90" w14:textId="77777777" w:rsidR="00107491" w:rsidRPr="000E53A0" w:rsidRDefault="00107491" w:rsidP="00107491">
            <w:pPr>
              <w:rPr>
                <w:sz w:val="20"/>
                <w:szCs w:val="20"/>
                <w:lang w:val="fr-FR" w:eastAsia="en-US"/>
              </w:rPr>
            </w:pPr>
          </w:p>
        </w:tc>
        <w:tc>
          <w:tcPr>
            <w:tcW w:w="261" w:type="pct"/>
            <w:tcBorders>
              <w:top w:val="nil"/>
              <w:left w:val="nil"/>
              <w:bottom w:val="nil"/>
              <w:right w:val="nil"/>
            </w:tcBorders>
            <w:shd w:val="clear" w:color="auto" w:fill="auto"/>
            <w:noWrap/>
            <w:vAlign w:val="bottom"/>
            <w:hideMark/>
          </w:tcPr>
          <w:p w14:paraId="20EE780D" w14:textId="77777777" w:rsidR="00107491" w:rsidRPr="000E53A0" w:rsidRDefault="00107491" w:rsidP="00107491">
            <w:pPr>
              <w:rPr>
                <w:sz w:val="20"/>
                <w:szCs w:val="20"/>
                <w:lang w:val="fr-FR" w:eastAsia="en-US"/>
              </w:rPr>
            </w:pPr>
          </w:p>
        </w:tc>
        <w:tc>
          <w:tcPr>
            <w:tcW w:w="183" w:type="pct"/>
            <w:tcBorders>
              <w:top w:val="nil"/>
              <w:left w:val="nil"/>
              <w:bottom w:val="nil"/>
              <w:right w:val="nil"/>
            </w:tcBorders>
            <w:shd w:val="clear" w:color="auto" w:fill="auto"/>
            <w:noWrap/>
            <w:vAlign w:val="bottom"/>
            <w:hideMark/>
          </w:tcPr>
          <w:p w14:paraId="778047C9" w14:textId="77777777" w:rsidR="00107491" w:rsidRPr="000E53A0" w:rsidRDefault="00107491" w:rsidP="00107491">
            <w:pPr>
              <w:rPr>
                <w:sz w:val="20"/>
                <w:szCs w:val="20"/>
                <w:lang w:val="fr-FR" w:eastAsia="en-US"/>
              </w:rPr>
            </w:pPr>
          </w:p>
        </w:tc>
      </w:tr>
      <w:tr w:rsidR="00107491" w:rsidRPr="00107491" w14:paraId="004DDDCD" w14:textId="77777777" w:rsidTr="00107491">
        <w:trPr>
          <w:gridAfter w:val="1"/>
          <w:wAfter w:w="35" w:type="pct"/>
          <w:trHeight w:val="673"/>
        </w:trPr>
        <w:tc>
          <w:tcPr>
            <w:tcW w:w="1056"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61B2FC12" w14:textId="77777777" w:rsidR="00601D9B" w:rsidRDefault="000E53A0">
            <w:pPr>
              <w:jc w:val="center"/>
              <w:rPr>
                <w:rFonts w:ascii="Calibri" w:hAnsi="Calibri" w:cs="Calibri"/>
                <w:b/>
                <w:bCs/>
                <w:color w:val="000000"/>
                <w:sz w:val="18"/>
                <w:szCs w:val="18"/>
                <w:lang w:val="en-US" w:eastAsia="en-US"/>
              </w:rPr>
            </w:pPr>
            <w:r w:rsidRPr="00107491">
              <w:rPr>
                <w:rFonts w:ascii="Calibri" w:hAnsi="Calibri" w:cs="Calibri"/>
                <w:b/>
                <w:bCs/>
                <w:color w:val="000000"/>
                <w:sz w:val="18"/>
                <w:szCs w:val="18"/>
                <w:lang w:val="en-US" w:eastAsia="en-US"/>
              </w:rPr>
              <w:t>Activité Atlas (composante FEM)</w:t>
            </w:r>
          </w:p>
        </w:tc>
        <w:tc>
          <w:tcPr>
            <w:tcW w:w="38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A7D244B" w14:textId="77777777" w:rsidR="00601D9B" w:rsidRPr="000E53A0" w:rsidRDefault="000E53A0">
            <w:pPr>
              <w:jc w:val="center"/>
              <w:rPr>
                <w:rFonts w:ascii="Calibri" w:hAnsi="Calibri" w:cs="Calibri"/>
                <w:b/>
                <w:bCs/>
                <w:color w:val="000000"/>
                <w:sz w:val="18"/>
                <w:szCs w:val="18"/>
                <w:lang w:val="fr-FR" w:eastAsia="en-US"/>
              </w:rPr>
            </w:pPr>
            <w:r w:rsidRPr="000E53A0">
              <w:rPr>
                <w:rFonts w:ascii="Calibri" w:hAnsi="Calibri" w:cs="Calibri"/>
                <w:b/>
                <w:bCs/>
                <w:color w:val="000000"/>
                <w:sz w:val="18"/>
                <w:szCs w:val="18"/>
                <w:lang w:val="fr-FR" w:eastAsia="en-US"/>
              </w:rPr>
              <w:t xml:space="preserve">Agent d'exécution d'Atlas (Partie </w:t>
            </w:r>
            <w:proofErr w:type="gramStart"/>
            <w:r w:rsidRPr="000E53A0">
              <w:rPr>
                <w:rFonts w:ascii="Calibri" w:hAnsi="Calibri" w:cs="Calibri"/>
                <w:b/>
                <w:bCs/>
                <w:color w:val="000000"/>
                <w:sz w:val="18"/>
                <w:szCs w:val="18"/>
                <w:lang w:val="fr-FR" w:eastAsia="en-US"/>
              </w:rPr>
              <w:t>responsable[</w:t>
            </w:r>
            <w:proofErr w:type="gramEnd"/>
            <w:r w:rsidRPr="000E53A0">
              <w:rPr>
                <w:rFonts w:ascii="Calibri" w:hAnsi="Calibri" w:cs="Calibri"/>
                <w:b/>
                <w:bCs/>
                <w:color w:val="000000"/>
                <w:sz w:val="18"/>
                <w:szCs w:val="18"/>
                <w:lang w:val="fr-FR" w:eastAsia="en-US"/>
              </w:rPr>
              <w:t>2] , PI ou PNUD)</w:t>
            </w:r>
          </w:p>
        </w:tc>
        <w:tc>
          <w:tcPr>
            <w:tcW w:w="45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DE61E5A" w14:textId="77777777" w:rsidR="00601D9B" w:rsidRDefault="000E53A0">
            <w:pPr>
              <w:jc w:val="center"/>
              <w:rPr>
                <w:rFonts w:ascii="Calibri" w:hAnsi="Calibri" w:cs="Calibri"/>
                <w:b/>
                <w:bCs/>
                <w:color w:val="000000"/>
                <w:sz w:val="18"/>
                <w:szCs w:val="18"/>
                <w:lang w:val="en-US" w:eastAsia="en-US"/>
              </w:rPr>
            </w:pPr>
            <w:r w:rsidRPr="00107491">
              <w:rPr>
                <w:rFonts w:ascii="Calibri" w:hAnsi="Calibri" w:cs="Calibri"/>
                <w:b/>
                <w:bCs/>
                <w:color w:val="000000"/>
                <w:sz w:val="18"/>
                <w:szCs w:val="18"/>
                <w:lang w:val="en-US" w:eastAsia="en-US"/>
              </w:rPr>
              <w:t>ID du fonds Atlas</w:t>
            </w:r>
          </w:p>
        </w:tc>
        <w:tc>
          <w:tcPr>
            <w:tcW w:w="388" w:type="pct"/>
            <w:vMerge w:val="restart"/>
            <w:tcBorders>
              <w:top w:val="single" w:sz="8" w:space="0" w:color="auto"/>
              <w:left w:val="single" w:sz="8" w:space="0" w:color="auto"/>
              <w:bottom w:val="nil"/>
              <w:right w:val="single" w:sz="8" w:space="0" w:color="auto"/>
            </w:tcBorders>
            <w:shd w:val="clear" w:color="auto" w:fill="auto"/>
            <w:vAlign w:val="center"/>
            <w:hideMark/>
          </w:tcPr>
          <w:p w14:paraId="202712A7" w14:textId="77777777" w:rsidR="00601D9B" w:rsidRDefault="000E53A0">
            <w:pPr>
              <w:jc w:val="center"/>
              <w:rPr>
                <w:rFonts w:ascii="Calibri" w:hAnsi="Calibri" w:cs="Calibri"/>
                <w:b/>
                <w:bCs/>
                <w:color w:val="000000"/>
                <w:sz w:val="18"/>
                <w:szCs w:val="18"/>
                <w:lang w:val="en-US" w:eastAsia="en-US"/>
              </w:rPr>
            </w:pPr>
            <w:r w:rsidRPr="00107491">
              <w:rPr>
                <w:rFonts w:ascii="Calibri" w:hAnsi="Calibri" w:cs="Calibri"/>
                <w:b/>
                <w:bCs/>
                <w:color w:val="000000"/>
                <w:sz w:val="18"/>
                <w:szCs w:val="18"/>
                <w:lang w:val="en-US" w:eastAsia="en-US"/>
              </w:rPr>
              <w:t>Nom du donateur</w:t>
            </w:r>
          </w:p>
        </w:tc>
        <w:tc>
          <w:tcPr>
            <w:tcW w:w="25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6034DBD" w14:textId="77777777" w:rsidR="00601D9B" w:rsidRPr="000E53A0" w:rsidRDefault="000E53A0">
            <w:pPr>
              <w:jc w:val="center"/>
              <w:rPr>
                <w:rFonts w:ascii="Calibri" w:hAnsi="Calibri" w:cs="Calibri"/>
                <w:b/>
                <w:bCs/>
                <w:color w:val="000000"/>
                <w:sz w:val="18"/>
                <w:szCs w:val="18"/>
                <w:lang w:val="fr-FR" w:eastAsia="en-US"/>
              </w:rPr>
            </w:pPr>
            <w:bookmarkStart w:id="55" w:name="RANGE!E10"/>
            <w:r w:rsidRPr="000E53A0">
              <w:rPr>
                <w:rFonts w:ascii="Calibri" w:hAnsi="Calibri" w:cs="Calibri"/>
                <w:b/>
                <w:bCs/>
                <w:color w:val="000000"/>
                <w:sz w:val="18"/>
                <w:szCs w:val="18"/>
                <w:lang w:val="fr-FR" w:eastAsia="en-US"/>
              </w:rPr>
              <w:t xml:space="preserve">Code de compte budgétaire Atlas [3] </w:t>
            </w:r>
            <w:bookmarkEnd w:id="55"/>
          </w:p>
        </w:tc>
        <w:tc>
          <w:tcPr>
            <w:tcW w:w="45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7CA0090" w14:textId="77777777" w:rsidR="00601D9B" w:rsidRPr="000E53A0" w:rsidRDefault="000E53A0">
            <w:pPr>
              <w:jc w:val="center"/>
              <w:rPr>
                <w:rFonts w:ascii="Calibri" w:hAnsi="Calibri" w:cs="Calibri"/>
                <w:b/>
                <w:bCs/>
                <w:color w:val="000000"/>
                <w:sz w:val="18"/>
                <w:szCs w:val="18"/>
                <w:lang w:val="fr-FR" w:eastAsia="en-US"/>
              </w:rPr>
            </w:pPr>
            <w:r w:rsidRPr="000E53A0">
              <w:rPr>
                <w:rFonts w:ascii="Calibri" w:hAnsi="Calibri" w:cs="Calibri"/>
                <w:b/>
                <w:bCs/>
                <w:color w:val="000000"/>
                <w:sz w:val="18"/>
                <w:szCs w:val="18"/>
                <w:lang w:val="fr-FR" w:eastAsia="en-US"/>
              </w:rPr>
              <w:t>Description du compte budgétaire ATLAS [3]</w:t>
            </w:r>
          </w:p>
        </w:tc>
        <w:tc>
          <w:tcPr>
            <w:tcW w:w="25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B8450EE" w14:textId="77777777" w:rsidR="00601D9B" w:rsidRDefault="000E53A0">
            <w:pPr>
              <w:jc w:val="center"/>
              <w:rPr>
                <w:rFonts w:ascii="Calibri" w:hAnsi="Calibri" w:cs="Calibri"/>
                <w:b/>
                <w:bCs/>
                <w:color w:val="000000"/>
                <w:sz w:val="18"/>
                <w:szCs w:val="18"/>
                <w:lang w:val="en-US" w:eastAsia="en-US"/>
              </w:rPr>
            </w:pPr>
            <w:r w:rsidRPr="00107491">
              <w:rPr>
                <w:rFonts w:ascii="Calibri" w:hAnsi="Calibri" w:cs="Calibri"/>
                <w:b/>
                <w:bCs/>
                <w:color w:val="000000"/>
                <w:sz w:val="18"/>
                <w:szCs w:val="18"/>
                <w:lang w:val="en-US" w:eastAsia="en-US"/>
              </w:rPr>
              <w:t>Montant Année [</w:t>
            </w:r>
            <w:r w:rsidRPr="00107491">
              <w:rPr>
                <w:rFonts w:ascii="Calibri" w:hAnsi="Calibri" w:cs="Calibri"/>
                <w:b/>
                <w:bCs/>
                <w:i/>
                <w:iCs/>
                <w:color w:val="000000"/>
                <w:sz w:val="18"/>
                <w:szCs w:val="18"/>
                <w:lang w:val="en-US" w:eastAsia="en-US"/>
              </w:rPr>
              <w:t>2022]</w:t>
            </w:r>
            <w:r w:rsidRPr="00107491">
              <w:rPr>
                <w:rFonts w:ascii="Calibri" w:hAnsi="Calibri" w:cs="Calibri"/>
                <w:b/>
                <w:bCs/>
                <w:i/>
                <w:iCs/>
                <w:color w:val="000000"/>
                <w:sz w:val="18"/>
                <w:szCs w:val="18"/>
                <w:lang w:val="en-US" w:eastAsia="en-US"/>
              </w:rPr>
              <w:br/>
            </w:r>
            <w:r w:rsidRPr="00107491">
              <w:rPr>
                <w:rFonts w:ascii="Calibri" w:hAnsi="Calibri" w:cs="Calibri"/>
                <w:b/>
                <w:bCs/>
                <w:color w:val="000000"/>
                <w:sz w:val="18"/>
                <w:szCs w:val="18"/>
                <w:lang w:val="en-US" w:eastAsia="en-US"/>
              </w:rPr>
              <w:t>(USD)</w:t>
            </w:r>
          </w:p>
        </w:tc>
        <w:tc>
          <w:tcPr>
            <w:tcW w:w="27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E219246" w14:textId="77777777" w:rsidR="00601D9B" w:rsidRDefault="000E53A0">
            <w:pPr>
              <w:jc w:val="center"/>
              <w:rPr>
                <w:rFonts w:ascii="Calibri" w:hAnsi="Calibri" w:cs="Calibri"/>
                <w:b/>
                <w:bCs/>
                <w:color w:val="000000"/>
                <w:sz w:val="18"/>
                <w:szCs w:val="18"/>
                <w:lang w:val="en-US" w:eastAsia="en-US"/>
              </w:rPr>
            </w:pPr>
            <w:r w:rsidRPr="00107491">
              <w:rPr>
                <w:rFonts w:ascii="Calibri" w:hAnsi="Calibri" w:cs="Calibri"/>
                <w:b/>
                <w:bCs/>
                <w:color w:val="000000"/>
                <w:sz w:val="18"/>
                <w:szCs w:val="18"/>
                <w:lang w:val="en-US" w:eastAsia="en-US"/>
              </w:rPr>
              <w:t>Montant Année [2023</w:t>
            </w:r>
            <w:r w:rsidRPr="00107491">
              <w:rPr>
                <w:rFonts w:ascii="Calibri" w:hAnsi="Calibri" w:cs="Calibri"/>
                <w:b/>
                <w:bCs/>
                <w:i/>
                <w:iCs/>
                <w:color w:val="000000"/>
                <w:sz w:val="18"/>
                <w:szCs w:val="18"/>
                <w:lang w:val="en-US" w:eastAsia="en-US"/>
              </w:rPr>
              <w:t>]</w:t>
            </w:r>
            <w:r w:rsidRPr="00107491">
              <w:rPr>
                <w:rFonts w:ascii="Calibri" w:hAnsi="Calibri" w:cs="Calibri"/>
                <w:b/>
                <w:bCs/>
                <w:i/>
                <w:iCs/>
                <w:color w:val="000000"/>
                <w:sz w:val="18"/>
                <w:szCs w:val="18"/>
                <w:lang w:val="en-US" w:eastAsia="en-US"/>
              </w:rPr>
              <w:br/>
            </w:r>
            <w:r w:rsidRPr="00107491">
              <w:rPr>
                <w:rFonts w:ascii="Calibri" w:hAnsi="Calibri" w:cs="Calibri"/>
                <w:b/>
                <w:bCs/>
                <w:color w:val="000000"/>
                <w:sz w:val="18"/>
                <w:szCs w:val="18"/>
                <w:lang w:val="en-US" w:eastAsia="en-US"/>
              </w:rPr>
              <w:t>(USD)</w:t>
            </w:r>
          </w:p>
        </w:tc>
        <w:tc>
          <w:tcPr>
            <w:tcW w:w="250"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8F58323" w14:textId="77777777" w:rsidR="00601D9B" w:rsidRDefault="000E53A0">
            <w:pPr>
              <w:jc w:val="center"/>
              <w:rPr>
                <w:rFonts w:ascii="Calibri" w:hAnsi="Calibri" w:cs="Calibri"/>
                <w:b/>
                <w:bCs/>
                <w:color w:val="000000"/>
                <w:sz w:val="18"/>
                <w:szCs w:val="18"/>
                <w:lang w:val="en-US" w:eastAsia="en-US"/>
              </w:rPr>
            </w:pPr>
            <w:r w:rsidRPr="00107491">
              <w:rPr>
                <w:rFonts w:ascii="Calibri" w:hAnsi="Calibri" w:cs="Calibri"/>
                <w:b/>
                <w:bCs/>
                <w:color w:val="000000"/>
                <w:sz w:val="18"/>
                <w:szCs w:val="18"/>
                <w:lang w:val="en-US" w:eastAsia="en-US"/>
              </w:rPr>
              <w:t>Montant Année [</w:t>
            </w:r>
            <w:r w:rsidRPr="00107491">
              <w:rPr>
                <w:rFonts w:ascii="Calibri" w:hAnsi="Calibri" w:cs="Calibri"/>
                <w:b/>
                <w:bCs/>
                <w:i/>
                <w:iCs/>
                <w:color w:val="000000"/>
                <w:sz w:val="18"/>
                <w:szCs w:val="18"/>
                <w:lang w:val="en-US" w:eastAsia="en-US"/>
              </w:rPr>
              <w:t>2024]</w:t>
            </w:r>
            <w:r w:rsidRPr="00107491">
              <w:rPr>
                <w:rFonts w:ascii="Calibri" w:hAnsi="Calibri" w:cs="Calibri"/>
                <w:b/>
                <w:bCs/>
                <w:i/>
                <w:iCs/>
                <w:color w:val="000000"/>
                <w:sz w:val="18"/>
                <w:szCs w:val="18"/>
                <w:lang w:val="en-US" w:eastAsia="en-US"/>
              </w:rPr>
              <w:br/>
            </w:r>
            <w:r w:rsidRPr="00107491">
              <w:rPr>
                <w:rFonts w:ascii="Calibri" w:hAnsi="Calibri" w:cs="Calibri"/>
                <w:b/>
                <w:bCs/>
                <w:color w:val="000000"/>
                <w:sz w:val="18"/>
                <w:szCs w:val="18"/>
                <w:lang w:val="en-US" w:eastAsia="en-US"/>
              </w:rPr>
              <w:t>(USD)</w:t>
            </w:r>
          </w:p>
        </w:tc>
        <w:tc>
          <w:tcPr>
            <w:tcW w:w="250"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DB4AB49" w14:textId="77777777" w:rsidR="00601D9B" w:rsidRDefault="000E53A0">
            <w:pPr>
              <w:jc w:val="center"/>
              <w:rPr>
                <w:rFonts w:ascii="Calibri" w:hAnsi="Calibri" w:cs="Calibri"/>
                <w:b/>
                <w:bCs/>
                <w:color w:val="000000"/>
                <w:sz w:val="18"/>
                <w:szCs w:val="18"/>
                <w:lang w:val="en-US" w:eastAsia="en-US"/>
              </w:rPr>
            </w:pPr>
            <w:r w:rsidRPr="00107491">
              <w:rPr>
                <w:rFonts w:ascii="Calibri" w:hAnsi="Calibri" w:cs="Calibri"/>
                <w:b/>
                <w:bCs/>
                <w:color w:val="000000"/>
                <w:sz w:val="18"/>
                <w:szCs w:val="18"/>
                <w:lang w:val="en-US" w:eastAsia="en-US"/>
              </w:rPr>
              <w:t>Montant Année [</w:t>
            </w:r>
            <w:r w:rsidRPr="00107491">
              <w:rPr>
                <w:rFonts w:ascii="Calibri" w:hAnsi="Calibri" w:cs="Calibri"/>
                <w:b/>
                <w:bCs/>
                <w:i/>
                <w:iCs/>
                <w:color w:val="000000"/>
                <w:sz w:val="18"/>
                <w:szCs w:val="18"/>
                <w:lang w:val="en-US" w:eastAsia="en-US"/>
              </w:rPr>
              <w:t>2025]</w:t>
            </w:r>
            <w:r w:rsidRPr="00107491">
              <w:rPr>
                <w:rFonts w:ascii="Calibri" w:hAnsi="Calibri" w:cs="Calibri"/>
                <w:b/>
                <w:bCs/>
                <w:i/>
                <w:iCs/>
                <w:color w:val="000000"/>
                <w:sz w:val="18"/>
                <w:szCs w:val="18"/>
                <w:lang w:val="en-US" w:eastAsia="en-US"/>
              </w:rPr>
              <w:br/>
            </w:r>
            <w:r w:rsidRPr="00107491">
              <w:rPr>
                <w:rFonts w:ascii="Calibri" w:hAnsi="Calibri" w:cs="Calibri"/>
                <w:b/>
                <w:bCs/>
                <w:color w:val="000000"/>
                <w:sz w:val="18"/>
                <w:szCs w:val="18"/>
                <w:lang w:val="en-US" w:eastAsia="en-US"/>
              </w:rPr>
              <w:t>(USD)</w:t>
            </w:r>
          </w:p>
        </w:tc>
        <w:tc>
          <w:tcPr>
            <w:tcW w:w="250"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71BD3A1" w14:textId="77777777" w:rsidR="00601D9B" w:rsidRDefault="000E53A0">
            <w:pPr>
              <w:jc w:val="center"/>
              <w:rPr>
                <w:rFonts w:ascii="Calibri" w:hAnsi="Calibri" w:cs="Calibri"/>
                <w:b/>
                <w:bCs/>
                <w:color w:val="000000"/>
                <w:sz w:val="18"/>
                <w:szCs w:val="18"/>
                <w:lang w:val="en-US" w:eastAsia="en-US"/>
              </w:rPr>
            </w:pPr>
            <w:r w:rsidRPr="00107491">
              <w:rPr>
                <w:rFonts w:ascii="Calibri" w:hAnsi="Calibri" w:cs="Calibri"/>
                <w:b/>
                <w:bCs/>
                <w:color w:val="000000"/>
                <w:sz w:val="18"/>
                <w:szCs w:val="18"/>
                <w:lang w:val="en-US" w:eastAsia="en-US"/>
              </w:rPr>
              <w:t>Montant Année [</w:t>
            </w:r>
            <w:r w:rsidRPr="00107491">
              <w:rPr>
                <w:rFonts w:ascii="Calibri" w:hAnsi="Calibri" w:cs="Calibri"/>
                <w:b/>
                <w:bCs/>
                <w:i/>
                <w:iCs/>
                <w:color w:val="000000"/>
                <w:sz w:val="18"/>
                <w:szCs w:val="18"/>
                <w:lang w:val="en-US" w:eastAsia="en-US"/>
              </w:rPr>
              <w:t>2026]</w:t>
            </w:r>
            <w:r w:rsidRPr="00107491">
              <w:rPr>
                <w:rFonts w:ascii="Calibri" w:hAnsi="Calibri" w:cs="Calibri"/>
                <w:b/>
                <w:bCs/>
                <w:i/>
                <w:iCs/>
                <w:color w:val="000000"/>
                <w:sz w:val="18"/>
                <w:szCs w:val="18"/>
                <w:lang w:val="en-US" w:eastAsia="en-US"/>
              </w:rPr>
              <w:br/>
            </w:r>
            <w:r w:rsidRPr="00107491">
              <w:rPr>
                <w:rFonts w:ascii="Calibri" w:hAnsi="Calibri" w:cs="Calibri"/>
                <w:b/>
                <w:bCs/>
                <w:color w:val="000000"/>
                <w:sz w:val="18"/>
                <w:szCs w:val="18"/>
                <w:lang w:val="en-US" w:eastAsia="en-US"/>
              </w:rPr>
              <w:t>(USD)</w:t>
            </w:r>
          </w:p>
        </w:tc>
        <w:tc>
          <w:tcPr>
            <w:tcW w:w="250"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192A599" w14:textId="77777777" w:rsidR="00601D9B" w:rsidRDefault="000E53A0">
            <w:pPr>
              <w:jc w:val="center"/>
              <w:rPr>
                <w:rFonts w:ascii="Calibri" w:hAnsi="Calibri" w:cs="Calibri"/>
                <w:b/>
                <w:bCs/>
                <w:color w:val="000000"/>
                <w:sz w:val="18"/>
                <w:szCs w:val="18"/>
                <w:lang w:val="en-US" w:eastAsia="en-US"/>
              </w:rPr>
            </w:pPr>
            <w:r w:rsidRPr="00107491">
              <w:rPr>
                <w:rFonts w:ascii="Calibri" w:hAnsi="Calibri" w:cs="Calibri"/>
                <w:b/>
                <w:bCs/>
                <w:color w:val="000000"/>
                <w:sz w:val="18"/>
                <w:szCs w:val="18"/>
                <w:lang w:val="en-US" w:eastAsia="en-US"/>
              </w:rPr>
              <w:t>Montant Année [</w:t>
            </w:r>
            <w:r w:rsidRPr="00107491">
              <w:rPr>
                <w:rFonts w:ascii="Calibri" w:hAnsi="Calibri" w:cs="Calibri"/>
                <w:b/>
                <w:bCs/>
                <w:i/>
                <w:iCs/>
                <w:color w:val="000000"/>
                <w:sz w:val="18"/>
                <w:szCs w:val="18"/>
                <w:lang w:val="en-US" w:eastAsia="en-US"/>
              </w:rPr>
              <w:t>2027]</w:t>
            </w:r>
            <w:r w:rsidRPr="00107491">
              <w:rPr>
                <w:rFonts w:ascii="Calibri" w:hAnsi="Calibri" w:cs="Calibri"/>
                <w:b/>
                <w:bCs/>
                <w:i/>
                <w:iCs/>
                <w:color w:val="000000"/>
                <w:sz w:val="18"/>
                <w:szCs w:val="18"/>
                <w:lang w:val="en-US" w:eastAsia="en-US"/>
              </w:rPr>
              <w:br/>
            </w:r>
            <w:r w:rsidRPr="00107491">
              <w:rPr>
                <w:rFonts w:ascii="Calibri" w:hAnsi="Calibri" w:cs="Calibri"/>
                <w:b/>
                <w:bCs/>
                <w:color w:val="000000"/>
                <w:sz w:val="18"/>
                <w:szCs w:val="18"/>
                <w:lang w:val="en-US" w:eastAsia="en-US"/>
              </w:rPr>
              <w:t>(USD)</w:t>
            </w:r>
          </w:p>
        </w:tc>
        <w:tc>
          <w:tcPr>
            <w:tcW w:w="261"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61E7BDD0" w14:textId="77777777" w:rsidR="00601D9B" w:rsidRDefault="000E53A0">
            <w:pPr>
              <w:jc w:val="center"/>
              <w:rPr>
                <w:rFonts w:ascii="Calibri" w:hAnsi="Calibri" w:cs="Calibri"/>
                <w:b/>
                <w:bCs/>
                <w:color w:val="000000"/>
                <w:sz w:val="18"/>
                <w:szCs w:val="18"/>
                <w:lang w:val="en-US" w:eastAsia="en-US"/>
              </w:rPr>
            </w:pPr>
            <w:r w:rsidRPr="00107491">
              <w:rPr>
                <w:rFonts w:ascii="Calibri" w:hAnsi="Calibri" w:cs="Calibri"/>
                <w:b/>
                <w:bCs/>
                <w:color w:val="000000"/>
                <w:sz w:val="18"/>
                <w:szCs w:val="18"/>
                <w:lang w:val="en-US" w:eastAsia="en-US"/>
              </w:rPr>
              <w:t>Total (USD)</w:t>
            </w:r>
          </w:p>
        </w:tc>
        <w:tc>
          <w:tcPr>
            <w:tcW w:w="18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269CF99" w14:textId="77777777" w:rsidR="00601D9B" w:rsidRDefault="000E53A0">
            <w:pPr>
              <w:jc w:val="center"/>
              <w:rPr>
                <w:rFonts w:ascii="Calibri" w:hAnsi="Calibri" w:cs="Calibri"/>
                <w:b/>
                <w:bCs/>
                <w:i/>
                <w:iCs/>
                <w:color w:val="000000"/>
                <w:sz w:val="18"/>
                <w:szCs w:val="18"/>
                <w:lang w:val="en-US" w:eastAsia="en-US"/>
              </w:rPr>
            </w:pPr>
            <w:r w:rsidRPr="00107491">
              <w:rPr>
                <w:rFonts w:ascii="Calibri" w:hAnsi="Calibri" w:cs="Calibri"/>
                <w:b/>
                <w:bCs/>
                <w:i/>
                <w:iCs/>
                <w:color w:val="000000"/>
                <w:sz w:val="18"/>
                <w:szCs w:val="18"/>
                <w:lang w:val="en-US" w:eastAsia="en-US"/>
              </w:rPr>
              <w:t>Voir la note budgétaire :</w:t>
            </w:r>
          </w:p>
        </w:tc>
      </w:tr>
      <w:tr w:rsidR="00107491" w:rsidRPr="00107491" w14:paraId="5D155877" w14:textId="77777777" w:rsidTr="00107491">
        <w:trPr>
          <w:trHeight w:val="803"/>
        </w:trPr>
        <w:tc>
          <w:tcPr>
            <w:tcW w:w="1056" w:type="pct"/>
            <w:vMerge/>
            <w:tcBorders>
              <w:top w:val="single" w:sz="8" w:space="0" w:color="auto"/>
              <w:left w:val="single" w:sz="8" w:space="0" w:color="auto"/>
              <w:bottom w:val="single" w:sz="8" w:space="0" w:color="000000"/>
              <w:right w:val="single" w:sz="8" w:space="0" w:color="auto"/>
            </w:tcBorders>
            <w:vAlign w:val="center"/>
            <w:hideMark/>
          </w:tcPr>
          <w:p w14:paraId="4642C44F" w14:textId="77777777" w:rsidR="00107491" w:rsidRPr="00107491" w:rsidRDefault="00107491" w:rsidP="00107491">
            <w:pPr>
              <w:rPr>
                <w:rFonts w:ascii="Calibri" w:hAnsi="Calibri" w:cs="Calibri"/>
                <w:b/>
                <w:bCs/>
                <w:color w:val="000000"/>
                <w:sz w:val="18"/>
                <w:szCs w:val="18"/>
                <w:lang w:val="en-US" w:eastAsia="en-US"/>
              </w:rPr>
            </w:pPr>
          </w:p>
        </w:tc>
        <w:tc>
          <w:tcPr>
            <w:tcW w:w="381" w:type="pct"/>
            <w:vMerge/>
            <w:tcBorders>
              <w:top w:val="single" w:sz="8" w:space="0" w:color="auto"/>
              <w:left w:val="single" w:sz="8" w:space="0" w:color="auto"/>
              <w:bottom w:val="single" w:sz="8" w:space="0" w:color="000000"/>
              <w:right w:val="single" w:sz="8" w:space="0" w:color="auto"/>
            </w:tcBorders>
            <w:vAlign w:val="center"/>
            <w:hideMark/>
          </w:tcPr>
          <w:p w14:paraId="0A71E571" w14:textId="77777777" w:rsidR="00107491" w:rsidRPr="00107491" w:rsidRDefault="00107491" w:rsidP="00107491">
            <w:pPr>
              <w:rPr>
                <w:rFonts w:ascii="Calibri" w:hAnsi="Calibri" w:cs="Calibri"/>
                <w:b/>
                <w:bCs/>
                <w:color w:val="000000"/>
                <w:sz w:val="18"/>
                <w:szCs w:val="18"/>
                <w:lang w:val="en-US" w:eastAsia="en-US"/>
              </w:rPr>
            </w:pPr>
          </w:p>
        </w:tc>
        <w:tc>
          <w:tcPr>
            <w:tcW w:w="453" w:type="pct"/>
            <w:vMerge/>
            <w:tcBorders>
              <w:top w:val="single" w:sz="8" w:space="0" w:color="auto"/>
              <w:left w:val="single" w:sz="8" w:space="0" w:color="auto"/>
              <w:bottom w:val="single" w:sz="8" w:space="0" w:color="000000"/>
              <w:right w:val="single" w:sz="8" w:space="0" w:color="auto"/>
            </w:tcBorders>
            <w:vAlign w:val="center"/>
            <w:hideMark/>
          </w:tcPr>
          <w:p w14:paraId="4E7BE0A3" w14:textId="77777777" w:rsidR="00107491" w:rsidRPr="00107491" w:rsidRDefault="00107491" w:rsidP="00107491">
            <w:pPr>
              <w:rPr>
                <w:rFonts w:ascii="Calibri" w:hAnsi="Calibri" w:cs="Calibri"/>
                <w:b/>
                <w:bCs/>
                <w:color w:val="000000"/>
                <w:sz w:val="18"/>
                <w:szCs w:val="18"/>
                <w:lang w:val="en-US" w:eastAsia="en-US"/>
              </w:rPr>
            </w:pPr>
          </w:p>
        </w:tc>
        <w:tc>
          <w:tcPr>
            <w:tcW w:w="388" w:type="pct"/>
            <w:vMerge/>
            <w:tcBorders>
              <w:top w:val="single" w:sz="8" w:space="0" w:color="auto"/>
              <w:left w:val="single" w:sz="8" w:space="0" w:color="auto"/>
              <w:bottom w:val="nil"/>
              <w:right w:val="single" w:sz="8" w:space="0" w:color="auto"/>
            </w:tcBorders>
            <w:vAlign w:val="center"/>
            <w:hideMark/>
          </w:tcPr>
          <w:p w14:paraId="0165BD16" w14:textId="77777777" w:rsidR="00107491" w:rsidRPr="00107491" w:rsidRDefault="00107491" w:rsidP="00107491">
            <w:pPr>
              <w:rPr>
                <w:rFonts w:ascii="Calibri" w:hAnsi="Calibri" w:cs="Calibri"/>
                <w:b/>
                <w:bCs/>
                <w:color w:val="000000"/>
                <w:sz w:val="18"/>
                <w:szCs w:val="18"/>
                <w:lang w:val="en-US" w:eastAsia="en-US"/>
              </w:rPr>
            </w:pPr>
          </w:p>
        </w:tc>
        <w:tc>
          <w:tcPr>
            <w:tcW w:w="258" w:type="pct"/>
            <w:vMerge/>
            <w:tcBorders>
              <w:top w:val="single" w:sz="8" w:space="0" w:color="auto"/>
              <w:left w:val="single" w:sz="8" w:space="0" w:color="auto"/>
              <w:bottom w:val="single" w:sz="8" w:space="0" w:color="000000"/>
              <w:right w:val="single" w:sz="8" w:space="0" w:color="auto"/>
            </w:tcBorders>
            <w:vAlign w:val="center"/>
            <w:hideMark/>
          </w:tcPr>
          <w:p w14:paraId="3713AFBD" w14:textId="77777777" w:rsidR="00107491" w:rsidRPr="00107491" w:rsidRDefault="00107491" w:rsidP="00107491">
            <w:pPr>
              <w:rPr>
                <w:rFonts w:ascii="Calibri" w:hAnsi="Calibri" w:cs="Calibri"/>
                <w:b/>
                <w:bCs/>
                <w:color w:val="000000"/>
                <w:sz w:val="18"/>
                <w:szCs w:val="18"/>
                <w:lang w:val="en-US" w:eastAsia="en-US"/>
              </w:rPr>
            </w:pPr>
          </w:p>
        </w:tc>
        <w:tc>
          <w:tcPr>
            <w:tcW w:w="458" w:type="pct"/>
            <w:vMerge/>
            <w:tcBorders>
              <w:top w:val="single" w:sz="8" w:space="0" w:color="auto"/>
              <w:left w:val="single" w:sz="8" w:space="0" w:color="auto"/>
              <w:bottom w:val="single" w:sz="8" w:space="0" w:color="000000"/>
              <w:right w:val="single" w:sz="8" w:space="0" w:color="auto"/>
            </w:tcBorders>
            <w:vAlign w:val="center"/>
            <w:hideMark/>
          </w:tcPr>
          <w:p w14:paraId="0949A8BA" w14:textId="77777777" w:rsidR="00107491" w:rsidRPr="00107491" w:rsidRDefault="00107491" w:rsidP="00107491">
            <w:pPr>
              <w:rPr>
                <w:rFonts w:ascii="Calibri" w:hAnsi="Calibri" w:cs="Calibri"/>
                <w:b/>
                <w:bCs/>
                <w:color w:val="000000"/>
                <w:sz w:val="18"/>
                <w:szCs w:val="18"/>
                <w:lang w:val="en-US" w:eastAsia="en-US"/>
              </w:rPr>
            </w:pPr>
          </w:p>
        </w:tc>
        <w:tc>
          <w:tcPr>
            <w:tcW w:w="254" w:type="pct"/>
            <w:vMerge/>
            <w:tcBorders>
              <w:top w:val="single" w:sz="8" w:space="0" w:color="auto"/>
              <w:left w:val="single" w:sz="8" w:space="0" w:color="auto"/>
              <w:bottom w:val="single" w:sz="8" w:space="0" w:color="000000"/>
              <w:right w:val="single" w:sz="8" w:space="0" w:color="auto"/>
            </w:tcBorders>
            <w:vAlign w:val="center"/>
            <w:hideMark/>
          </w:tcPr>
          <w:p w14:paraId="69DA95F3" w14:textId="77777777" w:rsidR="00107491" w:rsidRPr="00107491" w:rsidRDefault="00107491" w:rsidP="00107491">
            <w:pPr>
              <w:rPr>
                <w:rFonts w:ascii="Calibri" w:hAnsi="Calibri" w:cs="Calibri"/>
                <w:b/>
                <w:bCs/>
                <w:color w:val="000000"/>
                <w:sz w:val="18"/>
                <w:szCs w:val="18"/>
                <w:lang w:val="en-US" w:eastAsia="en-US"/>
              </w:rPr>
            </w:pPr>
          </w:p>
        </w:tc>
        <w:tc>
          <w:tcPr>
            <w:tcW w:w="273" w:type="pct"/>
            <w:vMerge/>
            <w:tcBorders>
              <w:top w:val="single" w:sz="8" w:space="0" w:color="auto"/>
              <w:left w:val="single" w:sz="8" w:space="0" w:color="auto"/>
              <w:bottom w:val="single" w:sz="8" w:space="0" w:color="000000"/>
              <w:right w:val="single" w:sz="8" w:space="0" w:color="auto"/>
            </w:tcBorders>
            <w:vAlign w:val="center"/>
            <w:hideMark/>
          </w:tcPr>
          <w:p w14:paraId="01B775D4" w14:textId="77777777" w:rsidR="00107491" w:rsidRPr="00107491" w:rsidRDefault="00107491" w:rsidP="00107491">
            <w:pPr>
              <w:rPr>
                <w:rFonts w:ascii="Calibri" w:hAnsi="Calibri" w:cs="Calibri"/>
                <w:b/>
                <w:bCs/>
                <w:color w:val="000000"/>
                <w:sz w:val="18"/>
                <w:szCs w:val="18"/>
                <w:lang w:val="en-US" w:eastAsia="en-US"/>
              </w:rPr>
            </w:pPr>
          </w:p>
        </w:tc>
        <w:tc>
          <w:tcPr>
            <w:tcW w:w="250" w:type="pct"/>
            <w:vMerge/>
            <w:tcBorders>
              <w:top w:val="single" w:sz="8" w:space="0" w:color="auto"/>
              <w:left w:val="single" w:sz="8" w:space="0" w:color="auto"/>
              <w:bottom w:val="single" w:sz="8" w:space="0" w:color="000000"/>
              <w:right w:val="single" w:sz="8" w:space="0" w:color="auto"/>
            </w:tcBorders>
            <w:vAlign w:val="center"/>
            <w:hideMark/>
          </w:tcPr>
          <w:p w14:paraId="763004BA" w14:textId="77777777" w:rsidR="00107491" w:rsidRPr="00107491" w:rsidRDefault="00107491" w:rsidP="00107491">
            <w:pPr>
              <w:rPr>
                <w:rFonts w:ascii="Calibri" w:hAnsi="Calibri" w:cs="Calibri"/>
                <w:b/>
                <w:bCs/>
                <w:color w:val="000000"/>
                <w:sz w:val="18"/>
                <w:szCs w:val="18"/>
                <w:lang w:val="en-US" w:eastAsia="en-US"/>
              </w:rPr>
            </w:pPr>
          </w:p>
        </w:tc>
        <w:tc>
          <w:tcPr>
            <w:tcW w:w="250" w:type="pct"/>
            <w:vMerge/>
            <w:tcBorders>
              <w:top w:val="single" w:sz="8" w:space="0" w:color="auto"/>
              <w:left w:val="single" w:sz="8" w:space="0" w:color="auto"/>
              <w:bottom w:val="single" w:sz="8" w:space="0" w:color="000000"/>
              <w:right w:val="single" w:sz="8" w:space="0" w:color="auto"/>
            </w:tcBorders>
            <w:vAlign w:val="center"/>
            <w:hideMark/>
          </w:tcPr>
          <w:p w14:paraId="2B32550D" w14:textId="77777777" w:rsidR="00107491" w:rsidRPr="00107491" w:rsidRDefault="00107491" w:rsidP="00107491">
            <w:pPr>
              <w:rPr>
                <w:rFonts w:ascii="Calibri" w:hAnsi="Calibri" w:cs="Calibri"/>
                <w:b/>
                <w:bCs/>
                <w:color w:val="000000"/>
                <w:sz w:val="18"/>
                <w:szCs w:val="18"/>
                <w:lang w:val="en-US" w:eastAsia="en-US"/>
              </w:rPr>
            </w:pPr>
          </w:p>
        </w:tc>
        <w:tc>
          <w:tcPr>
            <w:tcW w:w="250" w:type="pct"/>
            <w:vMerge/>
            <w:tcBorders>
              <w:top w:val="single" w:sz="8" w:space="0" w:color="auto"/>
              <w:left w:val="single" w:sz="8" w:space="0" w:color="auto"/>
              <w:bottom w:val="single" w:sz="8" w:space="0" w:color="000000"/>
              <w:right w:val="single" w:sz="8" w:space="0" w:color="auto"/>
            </w:tcBorders>
            <w:vAlign w:val="center"/>
            <w:hideMark/>
          </w:tcPr>
          <w:p w14:paraId="44F5997B" w14:textId="77777777" w:rsidR="00107491" w:rsidRPr="00107491" w:rsidRDefault="00107491" w:rsidP="00107491">
            <w:pPr>
              <w:rPr>
                <w:rFonts w:ascii="Calibri" w:hAnsi="Calibri" w:cs="Calibri"/>
                <w:b/>
                <w:bCs/>
                <w:color w:val="000000"/>
                <w:sz w:val="18"/>
                <w:szCs w:val="18"/>
                <w:lang w:val="en-US" w:eastAsia="en-US"/>
              </w:rPr>
            </w:pPr>
          </w:p>
        </w:tc>
        <w:tc>
          <w:tcPr>
            <w:tcW w:w="250" w:type="pct"/>
            <w:vMerge/>
            <w:tcBorders>
              <w:top w:val="single" w:sz="8" w:space="0" w:color="auto"/>
              <w:left w:val="single" w:sz="8" w:space="0" w:color="auto"/>
              <w:bottom w:val="single" w:sz="8" w:space="0" w:color="000000"/>
              <w:right w:val="single" w:sz="8" w:space="0" w:color="auto"/>
            </w:tcBorders>
            <w:vAlign w:val="center"/>
            <w:hideMark/>
          </w:tcPr>
          <w:p w14:paraId="1D0DE1A5" w14:textId="77777777" w:rsidR="00107491" w:rsidRPr="00107491" w:rsidRDefault="00107491" w:rsidP="00107491">
            <w:pPr>
              <w:rPr>
                <w:rFonts w:ascii="Calibri" w:hAnsi="Calibri" w:cs="Calibri"/>
                <w:b/>
                <w:bCs/>
                <w:color w:val="000000"/>
                <w:sz w:val="18"/>
                <w:szCs w:val="18"/>
                <w:lang w:val="en-US" w:eastAsia="en-US"/>
              </w:rPr>
            </w:pPr>
          </w:p>
        </w:tc>
        <w:tc>
          <w:tcPr>
            <w:tcW w:w="261" w:type="pct"/>
            <w:vMerge/>
            <w:tcBorders>
              <w:top w:val="single" w:sz="8" w:space="0" w:color="auto"/>
              <w:left w:val="single" w:sz="8" w:space="0" w:color="auto"/>
              <w:bottom w:val="single" w:sz="8" w:space="0" w:color="000000"/>
              <w:right w:val="single" w:sz="8" w:space="0" w:color="auto"/>
            </w:tcBorders>
            <w:vAlign w:val="center"/>
            <w:hideMark/>
          </w:tcPr>
          <w:p w14:paraId="3896483D" w14:textId="77777777" w:rsidR="00107491" w:rsidRPr="00107491" w:rsidRDefault="00107491" w:rsidP="00107491">
            <w:pPr>
              <w:rPr>
                <w:rFonts w:ascii="Calibri" w:hAnsi="Calibri" w:cs="Calibri"/>
                <w:b/>
                <w:bCs/>
                <w:color w:val="000000"/>
                <w:sz w:val="18"/>
                <w:szCs w:val="18"/>
                <w:lang w:val="en-US" w:eastAsia="en-US"/>
              </w:rPr>
            </w:pPr>
          </w:p>
        </w:tc>
        <w:tc>
          <w:tcPr>
            <w:tcW w:w="183" w:type="pct"/>
            <w:vMerge/>
            <w:tcBorders>
              <w:top w:val="single" w:sz="8" w:space="0" w:color="auto"/>
              <w:left w:val="single" w:sz="8" w:space="0" w:color="auto"/>
              <w:bottom w:val="single" w:sz="8" w:space="0" w:color="000000"/>
              <w:right w:val="single" w:sz="8" w:space="0" w:color="auto"/>
            </w:tcBorders>
            <w:vAlign w:val="center"/>
            <w:hideMark/>
          </w:tcPr>
          <w:p w14:paraId="785E2911" w14:textId="77777777" w:rsidR="00107491" w:rsidRPr="00107491" w:rsidRDefault="00107491" w:rsidP="00107491">
            <w:pPr>
              <w:rPr>
                <w:rFonts w:ascii="Calibri" w:hAnsi="Calibri" w:cs="Calibri"/>
                <w:b/>
                <w:bCs/>
                <w:i/>
                <w:iCs/>
                <w:color w:val="000000"/>
                <w:sz w:val="18"/>
                <w:szCs w:val="18"/>
                <w:lang w:val="en-US" w:eastAsia="en-US"/>
              </w:rPr>
            </w:pPr>
          </w:p>
        </w:tc>
        <w:tc>
          <w:tcPr>
            <w:tcW w:w="35" w:type="pct"/>
            <w:tcBorders>
              <w:top w:val="nil"/>
              <w:left w:val="nil"/>
              <w:bottom w:val="nil"/>
              <w:right w:val="nil"/>
            </w:tcBorders>
            <w:shd w:val="clear" w:color="auto" w:fill="auto"/>
            <w:noWrap/>
            <w:vAlign w:val="bottom"/>
            <w:hideMark/>
          </w:tcPr>
          <w:p w14:paraId="4F5A7A5E" w14:textId="77777777" w:rsidR="00107491" w:rsidRPr="00107491" w:rsidRDefault="00107491" w:rsidP="00107491">
            <w:pPr>
              <w:jc w:val="center"/>
              <w:rPr>
                <w:rFonts w:ascii="Calibri" w:hAnsi="Calibri" w:cs="Calibri"/>
                <w:b/>
                <w:bCs/>
                <w:i/>
                <w:iCs/>
                <w:color w:val="000000"/>
                <w:sz w:val="18"/>
                <w:szCs w:val="18"/>
                <w:lang w:val="en-US" w:eastAsia="en-US"/>
              </w:rPr>
            </w:pPr>
          </w:p>
        </w:tc>
      </w:tr>
      <w:tr w:rsidR="00107491" w:rsidRPr="00107491" w14:paraId="38C5D653" w14:textId="77777777" w:rsidTr="00107491">
        <w:trPr>
          <w:trHeight w:val="300"/>
        </w:trPr>
        <w:tc>
          <w:tcPr>
            <w:tcW w:w="1056" w:type="pct"/>
            <w:tcBorders>
              <w:top w:val="nil"/>
              <w:left w:val="single" w:sz="8" w:space="0" w:color="auto"/>
              <w:bottom w:val="nil"/>
              <w:right w:val="single" w:sz="8" w:space="0" w:color="auto"/>
            </w:tcBorders>
            <w:shd w:val="clear" w:color="auto" w:fill="auto"/>
            <w:vAlign w:val="center"/>
            <w:hideMark/>
          </w:tcPr>
          <w:p w14:paraId="16EFB1C9" w14:textId="77777777" w:rsidR="00107491" w:rsidRPr="00107491" w:rsidRDefault="00107491" w:rsidP="00107491">
            <w:pPr>
              <w:jc w:val="center"/>
              <w:rPr>
                <w:b/>
                <w:bCs/>
                <w:color w:val="000000"/>
                <w:sz w:val="18"/>
                <w:szCs w:val="18"/>
                <w:lang w:val="en-US" w:eastAsia="en-US"/>
              </w:rPr>
            </w:pPr>
            <w:r w:rsidRPr="00107491">
              <w:rPr>
                <w:b/>
                <w:bCs/>
                <w:color w:val="000000"/>
                <w:sz w:val="18"/>
                <w:szCs w:val="18"/>
                <w:lang w:val="en-US" w:eastAsia="en-US"/>
              </w:rPr>
              <w:t> </w:t>
            </w:r>
          </w:p>
        </w:tc>
        <w:tc>
          <w:tcPr>
            <w:tcW w:w="381" w:type="pct"/>
            <w:vMerge w:val="restart"/>
            <w:tcBorders>
              <w:top w:val="nil"/>
              <w:left w:val="single" w:sz="8" w:space="0" w:color="auto"/>
              <w:bottom w:val="double" w:sz="6" w:space="0" w:color="000000"/>
              <w:right w:val="single" w:sz="8" w:space="0" w:color="auto"/>
            </w:tcBorders>
            <w:shd w:val="clear" w:color="auto" w:fill="auto"/>
            <w:vAlign w:val="center"/>
            <w:hideMark/>
          </w:tcPr>
          <w:p w14:paraId="04843CB9"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Partie 1</w:t>
            </w:r>
          </w:p>
        </w:tc>
        <w:tc>
          <w:tcPr>
            <w:tcW w:w="453" w:type="pct"/>
            <w:tcBorders>
              <w:top w:val="nil"/>
              <w:left w:val="nil"/>
              <w:bottom w:val="nil"/>
              <w:right w:val="nil"/>
            </w:tcBorders>
            <w:shd w:val="clear" w:color="auto" w:fill="auto"/>
            <w:vAlign w:val="center"/>
            <w:hideMark/>
          </w:tcPr>
          <w:p w14:paraId="601A2A5F"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62000</w:t>
            </w:r>
          </w:p>
        </w:tc>
        <w:tc>
          <w:tcPr>
            <w:tcW w:w="388" w:type="pct"/>
            <w:tcBorders>
              <w:top w:val="single" w:sz="8" w:space="0" w:color="auto"/>
              <w:left w:val="single" w:sz="8" w:space="0" w:color="auto"/>
              <w:bottom w:val="nil"/>
              <w:right w:val="single" w:sz="8" w:space="0" w:color="auto"/>
            </w:tcBorders>
            <w:shd w:val="clear" w:color="auto" w:fill="auto"/>
            <w:vAlign w:val="center"/>
            <w:hideMark/>
          </w:tcPr>
          <w:p w14:paraId="66D85BF2"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GEF</w:t>
            </w:r>
          </w:p>
        </w:tc>
        <w:tc>
          <w:tcPr>
            <w:tcW w:w="258" w:type="pct"/>
            <w:tcBorders>
              <w:top w:val="nil"/>
              <w:left w:val="nil"/>
              <w:bottom w:val="nil"/>
              <w:right w:val="single" w:sz="8" w:space="0" w:color="auto"/>
            </w:tcBorders>
            <w:shd w:val="clear" w:color="auto" w:fill="auto"/>
            <w:noWrap/>
            <w:vAlign w:val="center"/>
            <w:hideMark/>
          </w:tcPr>
          <w:p w14:paraId="154C402A" w14:textId="77777777" w:rsidR="00601D9B" w:rsidRDefault="000E53A0">
            <w:pPr>
              <w:rPr>
                <w:color w:val="000000"/>
                <w:sz w:val="18"/>
                <w:szCs w:val="18"/>
                <w:lang w:val="en-US" w:eastAsia="en-US"/>
              </w:rPr>
            </w:pPr>
            <w:r w:rsidRPr="00107491">
              <w:rPr>
                <w:color w:val="000000"/>
                <w:sz w:val="18"/>
                <w:szCs w:val="18"/>
                <w:lang w:val="en-US" w:eastAsia="en-US"/>
              </w:rPr>
              <w:t>71200</w:t>
            </w:r>
          </w:p>
        </w:tc>
        <w:tc>
          <w:tcPr>
            <w:tcW w:w="458" w:type="pct"/>
            <w:tcBorders>
              <w:top w:val="nil"/>
              <w:left w:val="nil"/>
              <w:bottom w:val="nil"/>
              <w:right w:val="single" w:sz="8" w:space="0" w:color="auto"/>
            </w:tcBorders>
            <w:shd w:val="clear" w:color="auto" w:fill="auto"/>
            <w:vAlign w:val="center"/>
            <w:hideMark/>
          </w:tcPr>
          <w:p w14:paraId="2946384B" w14:textId="77777777" w:rsidR="00601D9B" w:rsidRDefault="000E53A0">
            <w:pPr>
              <w:rPr>
                <w:color w:val="000000"/>
                <w:sz w:val="18"/>
                <w:szCs w:val="18"/>
                <w:lang w:val="en-US" w:eastAsia="en-US"/>
              </w:rPr>
            </w:pPr>
            <w:r w:rsidRPr="00107491">
              <w:rPr>
                <w:color w:val="000000"/>
                <w:sz w:val="18"/>
                <w:szCs w:val="18"/>
                <w:lang w:val="en-US" w:eastAsia="en-US"/>
              </w:rPr>
              <w:t>Consultants internationaux</w:t>
            </w:r>
          </w:p>
        </w:tc>
        <w:tc>
          <w:tcPr>
            <w:tcW w:w="254" w:type="pct"/>
            <w:tcBorders>
              <w:top w:val="nil"/>
              <w:left w:val="nil"/>
              <w:bottom w:val="single" w:sz="8" w:space="0" w:color="auto"/>
              <w:right w:val="single" w:sz="8" w:space="0" w:color="auto"/>
            </w:tcBorders>
            <w:shd w:val="clear" w:color="auto" w:fill="auto"/>
            <w:noWrap/>
            <w:vAlign w:val="center"/>
            <w:hideMark/>
          </w:tcPr>
          <w:p w14:paraId="05EA4F18"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30,100 </w:t>
            </w:r>
          </w:p>
        </w:tc>
        <w:tc>
          <w:tcPr>
            <w:tcW w:w="273" w:type="pct"/>
            <w:tcBorders>
              <w:top w:val="nil"/>
              <w:left w:val="nil"/>
              <w:bottom w:val="single" w:sz="8" w:space="0" w:color="auto"/>
              <w:right w:val="single" w:sz="8" w:space="0" w:color="auto"/>
            </w:tcBorders>
            <w:shd w:val="clear" w:color="auto" w:fill="auto"/>
            <w:noWrap/>
            <w:vAlign w:val="center"/>
            <w:hideMark/>
          </w:tcPr>
          <w:p w14:paraId="08E907E4"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 </w:t>
            </w:r>
          </w:p>
        </w:tc>
        <w:tc>
          <w:tcPr>
            <w:tcW w:w="250" w:type="pct"/>
            <w:tcBorders>
              <w:top w:val="nil"/>
              <w:left w:val="nil"/>
              <w:bottom w:val="single" w:sz="8" w:space="0" w:color="auto"/>
              <w:right w:val="single" w:sz="8" w:space="0" w:color="auto"/>
            </w:tcBorders>
            <w:shd w:val="clear" w:color="auto" w:fill="auto"/>
            <w:noWrap/>
            <w:vAlign w:val="center"/>
            <w:hideMark/>
          </w:tcPr>
          <w:p w14:paraId="6EE063D5"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 </w:t>
            </w:r>
          </w:p>
        </w:tc>
        <w:tc>
          <w:tcPr>
            <w:tcW w:w="250" w:type="pct"/>
            <w:tcBorders>
              <w:top w:val="nil"/>
              <w:left w:val="nil"/>
              <w:bottom w:val="single" w:sz="8" w:space="0" w:color="auto"/>
              <w:right w:val="single" w:sz="8" w:space="0" w:color="auto"/>
            </w:tcBorders>
            <w:shd w:val="clear" w:color="auto" w:fill="auto"/>
            <w:noWrap/>
            <w:vAlign w:val="center"/>
            <w:hideMark/>
          </w:tcPr>
          <w:p w14:paraId="3162D073"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 </w:t>
            </w:r>
          </w:p>
        </w:tc>
        <w:tc>
          <w:tcPr>
            <w:tcW w:w="250" w:type="pct"/>
            <w:tcBorders>
              <w:top w:val="nil"/>
              <w:left w:val="nil"/>
              <w:bottom w:val="single" w:sz="8" w:space="0" w:color="auto"/>
              <w:right w:val="single" w:sz="8" w:space="0" w:color="auto"/>
            </w:tcBorders>
            <w:shd w:val="clear" w:color="auto" w:fill="auto"/>
            <w:noWrap/>
            <w:vAlign w:val="center"/>
            <w:hideMark/>
          </w:tcPr>
          <w:p w14:paraId="36E39F2C"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 </w:t>
            </w:r>
          </w:p>
        </w:tc>
        <w:tc>
          <w:tcPr>
            <w:tcW w:w="250" w:type="pct"/>
            <w:tcBorders>
              <w:top w:val="nil"/>
              <w:left w:val="nil"/>
              <w:bottom w:val="single" w:sz="8" w:space="0" w:color="auto"/>
              <w:right w:val="single" w:sz="8" w:space="0" w:color="auto"/>
            </w:tcBorders>
            <w:shd w:val="clear" w:color="auto" w:fill="auto"/>
            <w:noWrap/>
            <w:vAlign w:val="center"/>
            <w:hideMark/>
          </w:tcPr>
          <w:p w14:paraId="555E3B31"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 </w:t>
            </w:r>
          </w:p>
        </w:tc>
        <w:tc>
          <w:tcPr>
            <w:tcW w:w="261" w:type="pct"/>
            <w:tcBorders>
              <w:top w:val="nil"/>
              <w:left w:val="nil"/>
              <w:bottom w:val="single" w:sz="8" w:space="0" w:color="auto"/>
              <w:right w:val="single" w:sz="8" w:space="0" w:color="auto"/>
            </w:tcBorders>
            <w:shd w:val="clear" w:color="auto" w:fill="auto"/>
            <w:noWrap/>
            <w:vAlign w:val="center"/>
            <w:hideMark/>
          </w:tcPr>
          <w:p w14:paraId="1B11A956"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30,100 </w:t>
            </w:r>
          </w:p>
        </w:tc>
        <w:tc>
          <w:tcPr>
            <w:tcW w:w="183" w:type="pct"/>
            <w:tcBorders>
              <w:top w:val="nil"/>
              <w:left w:val="nil"/>
              <w:bottom w:val="single" w:sz="8" w:space="0" w:color="auto"/>
              <w:right w:val="single" w:sz="8" w:space="0" w:color="auto"/>
            </w:tcBorders>
            <w:shd w:val="clear" w:color="auto" w:fill="auto"/>
            <w:noWrap/>
            <w:vAlign w:val="center"/>
            <w:hideMark/>
          </w:tcPr>
          <w:p w14:paraId="0F99F640" w14:textId="77777777" w:rsidR="00601D9B" w:rsidRDefault="000E53A0">
            <w:pPr>
              <w:jc w:val="center"/>
              <w:rPr>
                <w:i/>
                <w:iCs/>
                <w:color w:val="000000"/>
                <w:sz w:val="18"/>
                <w:szCs w:val="18"/>
                <w:lang w:val="en-US" w:eastAsia="en-US"/>
              </w:rPr>
            </w:pPr>
            <w:r w:rsidRPr="00107491">
              <w:rPr>
                <w:i/>
                <w:iCs/>
                <w:color w:val="000000"/>
                <w:sz w:val="18"/>
                <w:szCs w:val="18"/>
                <w:lang w:val="en-US" w:eastAsia="en-US"/>
              </w:rPr>
              <w:t>1</w:t>
            </w:r>
          </w:p>
        </w:tc>
        <w:tc>
          <w:tcPr>
            <w:tcW w:w="35" w:type="pct"/>
            <w:vAlign w:val="center"/>
            <w:hideMark/>
          </w:tcPr>
          <w:p w14:paraId="2088BCF5" w14:textId="77777777" w:rsidR="00107491" w:rsidRPr="00107491" w:rsidRDefault="00107491" w:rsidP="00107491">
            <w:pPr>
              <w:rPr>
                <w:sz w:val="20"/>
                <w:szCs w:val="20"/>
                <w:lang w:val="en-US" w:eastAsia="en-US"/>
              </w:rPr>
            </w:pPr>
          </w:p>
        </w:tc>
      </w:tr>
      <w:tr w:rsidR="00107491" w:rsidRPr="00107491" w14:paraId="510F5971" w14:textId="77777777" w:rsidTr="00107491">
        <w:trPr>
          <w:trHeight w:val="555"/>
        </w:trPr>
        <w:tc>
          <w:tcPr>
            <w:tcW w:w="1056" w:type="pct"/>
            <w:tcBorders>
              <w:top w:val="nil"/>
              <w:left w:val="single" w:sz="8" w:space="0" w:color="auto"/>
              <w:bottom w:val="nil"/>
              <w:right w:val="single" w:sz="8" w:space="0" w:color="auto"/>
            </w:tcBorders>
            <w:shd w:val="clear" w:color="auto" w:fill="auto"/>
            <w:vAlign w:val="center"/>
            <w:hideMark/>
          </w:tcPr>
          <w:p w14:paraId="18BC0765"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 xml:space="preserve">COMPOSANTE 1 : </w:t>
            </w:r>
          </w:p>
        </w:tc>
        <w:tc>
          <w:tcPr>
            <w:tcW w:w="381" w:type="pct"/>
            <w:vMerge/>
            <w:tcBorders>
              <w:top w:val="nil"/>
              <w:left w:val="single" w:sz="8" w:space="0" w:color="auto"/>
              <w:bottom w:val="double" w:sz="6" w:space="0" w:color="000000"/>
              <w:right w:val="single" w:sz="8" w:space="0" w:color="auto"/>
            </w:tcBorders>
            <w:vAlign w:val="center"/>
            <w:hideMark/>
          </w:tcPr>
          <w:p w14:paraId="00746DFC" w14:textId="77777777" w:rsidR="00107491" w:rsidRPr="00107491" w:rsidRDefault="00107491" w:rsidP="00107491">
            <w:pPr>
              <w:rPr>
                <w:b/>
                <w:bCs/>
                <w:color w:val="000000"/>
                <w:sz w:val="18"/>
                <w:szCs w:val="18"/>
                <w:lang w:val="en-US" w:eastAsia="en-US"/>
              </w:rPr>
            </w:pPr>
          </w:p>
        </w:tc>
        <w:tc>
          <w:tcPr>
            <w:tcW w:w="453" w:type="pct"/>
            <w:tcBorders>
              <w:top w:val="nil"/>
              <w:left w:val="nil"/>
              <w:bottom w:val="nil"/>
              <w:right w:val="nil"/>
            </w:tcBorders>
            <w:shd w:val="clear" w:color="auto" w:fill="auto"/>
            <w:vAlign w:val="center"/>
            <w:hideMark/>
          </w:tcPr>
          <w:p w14:paraId="0DAC0A2E" w14:textId="77777777" w:rsidR="00107491" w:rsidRPr="00107491" w:rsidRDefault="00107491" w:rsidP="00107491">
            <w:pPr>
              <w:jc w:val="center"/>
              <w:rPr>
                <w:b/>
                <w:bCs/>
                <w:color w:val="000000"/>
                <w:sz w:val="18"/>
                <w:szCs w:val="18"/>
                <w:lang w:val="en-US" w:eastAsia="en-US"/>
              </w:rPr>
            </w:pPr>
          </w:p>
        </w:tc>
        <w:tc>
          <w:tcPr>
            <w:tcW w:w="388" w:type="pct"/>
            <w:tcBorders>
              <w:top w:val="nil"/>
              <w:left w:val="single" w:sz="8" w:space="0" w:color="auto"/>
              <w:bottom w:val="nil"/>
              <w:right w:val="single" w:sz="8" w:space="0" w:color="auto"/>
            </w:tcBorders>
            <w:shd w:val="clear" w:color="auto" w:fill="auto"/>
            <w:vAlign w:val="center"/>
            <w:hideMark/>
          </w:tcPr>
          <w:p w14:paraId="1C0F51F1" w14:textId="77777777" w:rsidR="00107491" w:rsidRPr="00107491" w:rsidRDefault="00107491" w:rsidP="00107491">
            <w:pPr>
              <w:jc w:val="center"/>
              <w:rPr>
                <w:b/>
                <w:bCs/>
                <w:color w:val="000000"/>
                <w:sz w:val="18"/>
                <w:szCs w:val="18"/>
                <w:lang w:val="en-US" w:eastAsia="en-US"/>
              </w:rPr>
            </w:pPr>
            <w:r w:rsidRPr="00107491">
              <w:rPr>
                <w:b/>
                <w:bCs/>
                <w:color w:val="000000"/>
                <w:sz w:val="18"/>
                <w:szCs w:val="18"/>
                <w:lang w:val="en-US" w:eastAsia="en-US"/>
              </w:rPr>
              <w:t> </w:t>
            </w:r>
          </w:p>
        </w:tc>
        <w:tc>
          <w:tcPr>
            <w:tcW w:w="258" w:type="pct"/>
            <w:tcBorders>
              <w:top w:val="single" w:sz="8" w:space="0" w:color="auto"/>
              <w:left w:val="nil"/>
              <w:bottom w:val="nil"/>
              <w:right w:val="single" w:sz="8" w:space="0" w:color="auto"/>
            </w:tcBorders>
            <w:shd w:val="clear" w:color="auto" w:fill="auto"/>
            <w:noWrap/>
            <w:vAlign w:val="center"/>
            <w:hideMark/>
          </w:tcPr>
          <w:p w14:paraId="12C7579E" w14:textId="77777777" w:rsidR="00601D9B" w:rsidRDefault="000E53A0">
            <w:pPr>
              <w:rPr>
                <w:color w:val="000000"/>
                <w:sz w:val="18"/>
                <w:szCs w:val="18"/>
                <w:lang w:val="en-US" w:eastAsia="en-US"/>
              </w:rPr>
            </w:pPr>
            <w:r w:rsidRPr="00107491">
              <w:rPr>
                <w:color w:val="000000"/>
                <w:sz w:val="18"/>
                <w:szCs w:val="18"/>
                <w:lang w:val="en-US" w:eastAsia="en-US"/>
              </w:rPr>
              <w:t>75700</w:t>
            </w:r>
          </w:p>
        </w:tc>
        <w:tc>
          <w:tcPr>
            <w:tcW w:w="458" w:type="pct"/>
            <w:tcBorders>
              <w:top w:val="single" w:sz="8" w:space="0" w:color="auto"/>
              <w:left w:val="nil"/>
              <w:bottom w:val="nil"/>
              <w:right w:val="single" w:sz="8" w:space="0" w:color="auto"/>
            </w:tcBorders>
            <w:shd w:val="clear" w:color="auto" w:fill="auto"/>
            <w:vAlign w:val="center"/>
            <w:hideMark/>
          </w:tcPr>
          <w:p w14:paraId="0479080E" w14:textId="77777777" w:rsidR="00601D9B" w:rsidRDefault="000E53A0">
            <w:pPr>
              <w:rPr>
                <w:color w:val="000000"/>
                <w:sz w:val="18"/>
                <w:szCs w:val="18"/>
                <w:lang w:val="en-US" w:eastAsia="en-US"/>
              </w:rPr>
            </w:pPr>
            <w:r w:rsidRPr="00107491">
              <w:rPr>
                <w:color w:val="000000"/>
                <w:sz w:val="18"/>
                <w:szCs w:val="18"/>
                <w:lang w:val="en-US" w:eastAsia="en-US"/>
              </w:rPr>
              <w:t>Formation, ateliers et conférences</w:t>
            </w:r>
          </w:p>
        </w:tc>
        <w:tc>
          <w:tcPr>
            <w:tcW w:w="254" w:type="pct"/>
            <w:tcBorders>
              <w:top w:val="nil"/>
              <w:left w:val="nil"/>
              <w:bottom w:val="single" w:sz="8" w:space="0" w:color="auto"/>
              <w:right w:val="single" w:sz="8" w:space="0" w:color="auto"/>
            </w:tcBorders>
            <w:shd w:val="clear" w:color="auto" w:fill="auto"/>
            <w:noWrap/>
            <w:vAlign w:val="center"/>
            <w:hideMark/>
          </w:tcPr>
          <w:p w14:paraId="3236AD08"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12,000 </w:t>
            </w:r>
          </w:p>
        </w:tc>
        <w:tc>
          <w:tcPr>
            <w:tcW w:w="273" w:type="pct"/>
            <w:tcBorders>
              <w:top w:val="nil"/>
              <w:left w:val="nil"/>
              <w:bottom w:val="single" w:sz="8" w:space="0" w:color="auto"/>
              <w:right w:val="single" w:sz="8" w:space="0" w:color="auto"/>
            </w:tcBorders>
            <w:shd w:val="clear" w:color="auto" w:fill="auto"/>
            <w:noWrap/>
            <w:vAlign w:val="center"/>
            <w:hideMark/>
          </w:tcPr>
          <w:p w14:paraId="7698E6FB"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29,200 </w:t>
            </w:r>
          </w:p>
        </w:tc>
        <w:tc>
          <w:tcPr>
            <w:tcW w:w="250" w:type="pct"/>
            <w:tcBorders>
              <w:top w:val="nil"/>
              <w:left w:val="nil"/>
              <w:bottom w:val="single" w:sz="8" w:space="0" w:color="auto"/>
              <w:right w:val="single" w:sz="8" w:space="0" w:color="auto"/>
            </w:tcBorders>
            <w:shd w:val="clear" w:color="auto" w:fill="auto"/>
            <w:noWrap/>
            <w:vAlign w:val="center"/>
            <w:hideMark/>
          </w:tcPr>
          <w:p w14:paraId="62E20FEC"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8,000 </w:t>
            </w:r>
          </w:p>
        </w:tc>
        <w:tc>
          <w:tcPr>
            <w:tcW w:w="250" w:type="pct"/>
            <w:tcBorders>
              <w:top w:val="nil"/>
              <w:left w:val="nil"/>
              <w:bottom w:val="single" w:sz="8" w:space="0" w:color="auto"/>
              <w:right w:val="single" w:sz="8" w:space="0" w:color="auto"/>
            </w:tcBorders>
            <w:shd w:val="clear" w:color="auto" w:fill="auto"/>
            <w:noWrap/>
            <w:vAlign w:val="center"/>
            <w:hideMark/>
          </w:tcPr>
          <w:p w14:paraId="1589C626"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8,000 </w:t>
            </w:r>
          </w:p>
        </w:tc>
        <w:tc>
          <w:tcPr>
            <w:tcW w:w="250" w:type="pct"/>
            <w:tcBorders>
              <w:top w:val="nil"/>
              <w:left w:val="nil"/>
              <w:bottom w:val="single" w:sz="8" w:space="0" w:color="auto"/>
              <w:right w:val="single" w:sz="8" w:space="0" w:color="auto"/>
            </w:tcBorders>
            <w:shd w:val="clear" w:color="auto" w:fill="auto"/>
            <w:noWrap/>
            <w:vAlign w:val="center"/>
            <w:hideMark/>
          </w:tcPr>
          <w:p w14:paraId="61836B7B"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8,000 </w:t>
            </w:r>
          </w:p>
        </w:tc>
        <w:tc>
          <w:tcPr>
            <w:tcW w:w="250" w:type="pct"/>
            <w:tcBorders>
              <w:top w:val="nil"/>
              <w:left w:val="nil"/>
              <w:bottom w:val="single" w:sz="8" w:space="0" w:color="auto"/>
              <w:right w:val="single" w:sz="8" w:space="0" w:color="auto"/>
            </w:tcBorders>
            <w:shd w:val="clear" w:color="auto" w:fill="auto"/>
            <w:noWrap/>
            <w:vAlign w:val="center"/>
            <w:hideMark/>
          </w:tcPr>
          <w:p w14:paraId="09BF390F"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8,000 </w:t>
            </w:r>
          </w:p>
        </w:tc>
        <w:tc>
          <w:tcPr>
            <w:tcW w:w="261" w:type="pct"/>
            <w:tcBorders>
              <w:top w:val="nil"/>
              <w:left w:val="nil"/>
              <w:bottom w:val="single" w:sz="8" w:space="0" w:color="auto"/>
              <w:right w:val="single" w:sz="8" w:space="0" w:color="auto"/>
            </w:tcBorders>
            <w:shd w:val="clear" w:color="auto" w:fill="auto"/>
            <w:noWrap/>
            <w:vAlign w:val="center"/>
            <w:hideMark/>
          </w:tcPr>
          <w:p w14:paraId="07FCB318"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73,200 </w:t>
            </w:r>
          </w:p>
        </w:tc>
        <w:tc>
          <w:tcPr>
            <w:tcW w:w="183" w:type="pct"/>
            <w:tcBorders>
              <w:top w:val="nil"/>
              <w:left w:val="nil"/>
              <w:bottom w:val="single" w:sz="8" w:space="0" w:color="auto"/>
              <w:right w:val="single" w:sz="8" w:space="0" w:color="auto"/>
            </w:tcBorders>
            <w:shd w:val="clear" w:color="auto" w:fill="auto"/>
            <w:noWrap/>
            <w:vAlign w:val="center"/>
            <w:hideMark/>
          </w:tcPr>
          <w:p w14:paraId="046F4D81" w14:textId="77777777" w:rsidR="00601D9B" w:rsidRDefault="000E53A0">
            <w:pPr>
              <w:jc w:val="center"/>
              <w:rPr>
                <w:i/>
                <w:iCs/>
                <w:color w:val="000000"/>
                <w:sz w:val="18"/>
                <w:szCs w:val="18"/>
                <w:lang w:val="en-US" w:eastAsia="en-US"/>
              </w:rPr>
            </w:pPr>
            <w:r w:rsidRPr="00107491">
              <w:rPr>
                <w:i/>
                <w:iCs/>
                <w:color w:val="000000"/>
                <w:sz w:val="18"/>
                <w:szCs w:val="18"/>
                <w:lang w:val="en-US" w:eastAsia="en-US"/>
              </w:rPr>
              <w:t>2</w:t>
            </w:r>
          </w:p>
        </w:tc>
        <w:tc>
          <w:tcPr>
            <w:tcW w:w="35" w:type="pct"/>
            <w:vAlign w:val="center"/>
            <w:hideMark/>
          </w:tcPr>
          <w:p w14:paraId="3CFD00AA" w14:textId="77777777" w:rsidR="00107491" w:rsidRPr="00107491" w:rsidRDefault="00107491" w:rsidP="00107491">
            <w:pPr>
              <w:rPr>
                <w:sz w:val="20"/>
                <w:szCs w:val="20"/>
                <w:lang w:val="en-US" w:eastAsia="en-US"/>
              </w:rPr>
            </w:pPr>
          </w:p>
        </w:tc>
      </w:tr>
      <w:tr w:rsidR="00107491" w:rsidRPr="00107491" w14:paraId="779B7951" w14:textId="77777777" w:rsidTr="00107491">
        <w:trPr>
          <w:trHeight w:val="555"/>
        </w:trPr>
        <w:tc>
          <w:tcPr>
            <w:tcW w:w="1056" w:type="pct"/>
            <w:tcBorders>
              <w:top w:val="nil"/>
              <w:left w:val="single" w:sz="8" w:space="0" w:color="auto"/>
              <w:bottom w:val="nil"/>
              <w:right w:val="single" w:sz="8" w:space="0" w:color="auto"/>
            </w:tcBorders>
            <w:shd w:val="clear" w:color="auto" w:fill="auto"/>
            <w:vAlign w:val="center"/>
            <w:hideMark/>
          </w:tcPr>
          <w:p w14:paraId="54E71C2A" w14:textId="77777777" w:rsidR="00601D9B" w:rsidRPr="000E53A0" w:rsidRDefault="000E53A0">
            <w:pPr>
              <w:jc w:val="both"/>
              <w:rPr>
                <w:i/>
                <w:iCs/>
                <w:color w:val="000000"/>
                <w:sz w:val="18"/>
                <w:szCs w:val="18"/>
                <w:lang w:val="fr-FR" w:eastAsia="en-US"/>
              </w:rPr>
            </w:pPr>
            <w:r w:rsidRPr="000E53A0">
              <w:rPr>
                <w:i/>
                <w:iCs/>
                <w:color w:val="000000"/>
                <w:sz w:val="18"/>
                <w:szCs w:val="18"/>
                <w:lang w:val="fr-FR" w:eastAsia="en-US"/>
              </w:rPr>
              <w:t>Renforcer la coordination et le suivi pour la neutralité de la dégradation des terres et la sécurité climatique</w:t>
            </w:r>
          </w:p>
        </w:tc>
        <w:tc>
          <w:tcPr>
            <w:tcW w:w="381" w:type="pct"/>
            <w:vMerge/>
            <w:tcBorders>
              <w:top w:val="nil"/>
              <w:left w:val="single" w:sz="8" w:space="0" w:color="auto"/>
              <w:bottom w:val="double" w:sz="6" w:space="0" w:color="000000"/>
              <w:right w:val="single" w:sz="8" w:space="0" w:color="auto"/>
            </w:tcBorders>
            <w:vAlign w:val="center"/>
            <w:hideMark/>
          </w:tcPr>
          <w:p w14:paraId="4130687A" w14:textId="77777777" w:rsidR="00107491" w:rsidRPr="000E53A0" w:rsidRDefault="00107491" w:rsidP="00107491">
            <w:pPr>
              <w:rPr>
                <w:b/>
                <w:bCs/>
                <w:color w:val="000000"/>
                <w:sz w:val="18"/>
                <w:szCs w:val="18"/>
                <w:lang w:val="fr-FR" w:eastAsia="en-US"/>
              </w:rPr>
            </w:pPr>
          </w:p>
        </w:tc>
        <w:tc>
          <w:tcPr>
            <w:tcW w:w="453" w:type="pct"/>
            <w:tcBorders>
              <w:top w:val="nil"/>
              <w:left w:val="nil"/>
              <w:bottom w:val="nil"/>
              <w:right w:val="nil"/>
            </w:tcBorders>
            <w:shd w:val="clear" w:color="auto" w:fill="auto"/>
            <w:vAlign w:val="center"/>
            <w:hideMark/>
          </w:tcPr>
          <w:p w14:paraId="7924D567" w14:textId="77777777" w:rsidR="00107491" w:rsidRPr="000E53A0" w:rsidRDefault="00107491" w:rsidP="00107491">
            <w:pPr>
              <w:jc w:val="both"/>
              <w:rPr>
                <w:i/>
                <w:iCs/>
                <w:color w:val="000000"/>
                <w:sz w:val="18"/>
                <w:szCs w:val="18"/>
                <w:lang w:val="fr-FR" w:eastAsia="en-US"/>
              </w:rPr>
            </w:pPr>
          </w:p>
        </w:tc>
        <w:tc>
          <w:tcPr>
            <w:tcW w:w="388" w:type="pct"/>
            <w:tcBorders>
              <w:top w:val="nil"/>
              <w:left w:val="single" w:sz="8" w:space="0" w:color="auto"/>
              <w:bottom w:val="nil"/>
              <w:right w:val="single" w:sz="8" w:space="0" w:color="auto"/>
            </w:tcBorders>
            <w:shd w:val="clear" w:color="auto" w:fill="auto"/>
            <w:vAlign w:val="center"/>
            <w:hideMark/>
          </w:tcPr>
          <w:p w14:paraId="151BBC65" w14:textId="77777777" w:rsidR="00107491" w:rsidRPr="000E53A0" w:rsidRDefault="00107491" w:rsidP="00107491">
            <w:pPr>
              <w:jc w:val="center"/>
              <w:rPr>
                <w:b/>
                <w:bCs/>
                <w:color w:val="000000"/>
                <w:sz w:val="18"/>
                <w:szCs w:val="18"/>
                <w:lang w:val="fr-FR" w:eastAsia="en-US"/>
              </w:rPr>
            </w:pPr>
            <w:r w:rsidRPr="000E53A0">
              <w:rPr>
                <w:b/>
                <w:bCs/>
                <w:color w:val="000000"/>
                <w:sz w:val="18"/>
                <w:szCs w:val="18"/>
                <w:lang w:val="fr-FR" w:eastAsia="en-US"/>
              </w:rPr>
              <w:t> </w:t>
            </w:r>
          </w:p>
        </w:tc>
        <w:tc>
          <w:tcPr>
            <w:tcW w:w="258" w:type="pct"/>
            <w:tcBorders>
              <w:top w:val="single" w:sz="8" w:space="0" w:color="auto"/>
              <w:left w:val="nil"/>
              <w:bottom w:val="nil"/>
              <w:right w:val="single" w:sz="8" w:space="0" w:color="auto"/>
            </w:tcBorders>
            <w:shd w:val="clear" w:color="auto" w:fill="auto"/>
            <w:noWrap/>
            <w:vAlign w:val="center"/>
            <w:hideMark/>
          </w:tcPr>
          <w:p w14:paraId="6417186D" w14:textId="77777777" w:rsidR="00601D9B" w:rsidRDefault="000E53A0">
            <w:pPr>
              <w:rPr>
                <w:color w:val="000000"/>
                <w:sz w:val="18"/>
                <w:szCs w:val="18"/>
                <w:lang w:val="en-US" w:eastAsia="en-US"/>
              </w:rPr>
            </w:pPr>
            <w:r w:rsidRPr="00107491">
              <w:rPr>
                <w:color w:val="000000"/>
                <w:sz w:val="18"/>
                <w:szCs w:val="18"/>
                <w:lang w:val="en-US" w:eastAsia="en-US"/>
              </w:rPr>
              <w:t>72500</w:t>
            </w:r>
          </w:p>
        </w:tc>
        <w:tc>
          <w:tcPr>
            <w:tcW w:w="458" w:type="pct"/>
            <w:tcBorders>
              <w:top w:val="single" w:sz="8" w:space="0" w:color="auto"/>
              <w:left w:val="nil"/>
              <w:bottom w:val="nil"/>
              <w:right w:val="single" w:sz="8" w:space="0" w:color="auto"/>
            </w:tcBorders>
            <w:shd w:val="clear" w:color="auto" w:fill="auto"/>
            <w:vAlign w:val="center"/>
            <w:hideMark/>
          </w:tcPr>
          <w:p w14:paraId="6510EE1A" w14:textId="77777777" w:rsidR="00601D9B" w:rsidRDefault="000E53A0">
            <w:pPr>
              <w:rPr>
                <w:color w:val="000000"/>
                <w:sz w:val="18"/>
                <w:szCs w:val="18"/>
                <w:lang w:val="en-US" w:eastAsia="en-US"/>
              </w:rPr>
            </w:pPr>
            <w:r w:rsidRPr="00107491">
              <w:rPr>
                <w:color w:val="000000"/>
                <w:sz w:val="18"/>
                <w:szCs w:val="18"/>
                <w:lang w:val="en-US" w:eastAsia="en-US"/>
              </w:rPr>
              <w:t>Fournitures</w:t>
            </w:r>
          </w:p>
        </w:tc>
        <w:tc>
          <w:tcPr>
            <w:tcW w:w="254" w:type="pct"/>
            <w:tcBorders>
              <w:top w:val="nil"/>
              <w:left w:val="nil"/>
              <w:bottom w:val="single" w:sz="8" w:space="0" w:color="auto"/>
              <w:right w:val="single" w:sz="8" w:space="0" w:color="auto"/>
            </w:tcBorders>
            <w:shd w:val="clear" w:color="auto" w:fill="auto"/>
            <w:noWrap/>
            <w:vAlign w:val="center"/>
            <w:hideMark/>
          </w:tcPr>
          <w:p w14:paraId="558B59D9"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 </w:t>
            </w:r>
          </w:p>
        </w:tc>
        <w:tc>
          <w:tcPr>
            <w:tcW w:w="273" w:type="pct"/>
            <w:tcBorders>
              <w:top w:val="nil"/>
              <w:left w:val="nil"/>
              <w:bottom w:val="single" w:sz="8" w:space="0" w:color="auto"/>
              <w:right w:val="single" w:sz="8" w:space="0" w:color="auto"/>
            </w:tcBorders>
            <w:shd w:val="clear" w:color="auto" w:fill="auto"/>
            <w:noWrap/>
            <w:vAlign w:val="center"/>
            <w:hideMark/>
          </w:tcPr>
          <w:p w14:paraId="5E02C414"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 </w:t>
            </w:r>
          </w:p>
        </w:tc>
        <w:tc>
          <w:tcPr>
            <w:tcW w:w="250" w:type="pct"/>
            <w:tcBorders>
              <w:top w:val="nil"/>
              <w:left w:val="nil"/>
              <w:bottom w:val="single" w:sz="8" w:space="0" w:color="auto"/>
              <w:right w:val="single" w:sz="8" w:space="0" w:color="auto"/>
            </w:tcBorders>
            <w:shd w:val="clear" w:color="auto" w:fill="auto"/>
            <w:noWrap/>
            <w:vAlign w:val="center"/>
            <w:hideMark/>
          </w:tcPr>
          <w:p w14:paraId="2B2922D6"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500 </w:t>
            </w:r>
          </w:p>
        </w:tc>
        <w:tc>
          <w:tcPr>
            <w:tcW w:w="250" w:type="pct"/>
            <w:tcBorders>
              <w:top w:val="nil"/>
              <w:left w:val="nil"/>
              <w:bottom w:val="single" w:sz="8" w:space="0" w:color="auto"/>
              <w:right w:val="single" w:sz="8" w:space="0" w:color="auto"/>
            </w:tcBorders>
            <w:shd w:val="clear" w:color="auto" w:fill="auto"/>
            <w:noWrap/>
            <w:vAlign w:val="center"/>
            <w:hideMark/>
          </w:tcPr>
          <w:p w14:paraId="642A30F9"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 </w:t>
            </w:r>
          </w:p>
        </w:tc>
        <w:tc>
          <w:tcPr>
            <w:tcW w:w="250" w:type="pct"/>
            <w:tcBorders>
              <w:top w:val="nil"/>
              <w:left w:val="nil"/>
              <w:bottom w:val="single" w:sz="8" w:space="0" w:color="auto"/>
              <w:right w:val="single" w:sz="8" w:space="0" w:color="auto"/>
            </w:tcBorders>
            <w:shd w:val="clear" w:color="auto" w:fill="auto"/>
            <w:noWrap/>
            <w:vAlign w:val="center"/>
            <w:hideMark/>
          </w:tcPr>
          <w:p w14:paraId="41A5BA5E"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 </w:t>
            </w:r>
          </w:p>
        </w:tc>
        <w:tc>
          <w:tcPr>
            <w:tcW w:w="250" w:type="pct"/>
            <w:tcBorders>
              <w:top w:val="nil"/>
              <w:left w:val="nil"/>
              <w:bottom w:val="single" w:sz="8" w:space="0" w:color="auto"/>
              <w:right w:val="single" w:sz="8" w:space="0" w:color="auto"/>
            </w:tcBorders>
            <w:shd w:val="clear" w:color="auto" w:fill="auto"/>
            <w:noWrap/>
            <w:vAlign w:val="center"/>
            <w:hideMark/>
          </w:tcPr>
          <w:p w14:paraId="0DEB6FEF"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 </w:t>
            </w:r>
          </w:p>
        </w:tc>
        <w:tc>
          <w:tcPr>
            <w:tcW w:w="261" w:type="pct"/>
            <w:tcBorders>
              <w:top w:val="nil"/>
              <w:left w:val="nil"/>
              <w:bottom w:val="single" w:sz="8" w:space="0" w:color="auto"/>
              <w:right w:val="single" w:sz="8" w:space="0" w:color="auto"/>
            </w:tcBorders>
            <w:shd w:val="clear" w:color="auto" w:fill="auto"/>
            <w:noWrap/>
            <w:vAlign w:val="center"/>
            <w:hideMark/>
          </w:tcPr>
          <w:p w14:paraId="1C31D7C1"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500 </w:t>
            </w:r>
          </w:p>
        </w:tc>
        <w:tc>
          <w:tcPr>
            <w:tcW w:w="183" w:type="pct"/>
            <w:tcBorders>
              <w:top w:val="nil"/>
              <w:left w:val="nil"/>
              <w:bottom w:val="single" w:sz="8" w:space="0" w:color="auto"/>
              <w:right w:val="single" w:sz="8" w:space="0" w:color="auto"/>
            </w:tcBorders>
            <w:shd w:val="clear" w:color="auto" w:fill="auto"/>
            <w:vAlign w:val="center"/>
            <w:hideMark/>
          </w:tcPr>
          <w:p w14:paraId="3F2EB5DE" w14:textId="77777777" w:rsidR="00601D9B" w:rsidRDefault="000E53A0">
            <w:pPr>
              <w:jc w:val="center"/>
              <w:rPr>
                <w:i/>
                <w:iCs/>
                <w:color w:val="000000"/>
                <w:sz w:val="18"/>
                <w:szCs w:val="18"/>
                <w:lang w:val="en-US" w:eastAsia="en-US"/>
              </w:rPr>
            </w:pPr>
            <w:r w:rsidRPr="00107491">
              <w:rPr>
                <w:i/>
                <w:iCs/>
                <w:color w:val="000000"/>
                <w:sz w:val="18"/>
                <w:szCs w:val="18"/>
                <w:lang w:val="en-US" w:eastAsia="en-US"/>
              </w:rPr>
              <w:t>3</w:t>
            </w:r>
          </w:p>
        </w:tc>
        <w:tc>
          <w:tcPr>
            <w:tcW w:w="35" w:type="pct"/>
            <w:vAlign w:val="center"/>
            <w:hideMark/>
          </w:tcPr>
          <w:p w14:paraId="7E03ECAC" w14:textId="77777777" w:rsidR="00107491" w:rsidRPr="00107491" w:rsidRDefault="00107491" w:rsidP="00107491">
            <w:pPr>
              <w:rPr>
                <w:sz w:val="20"/>
                <w:szCs w:val="20"/>
                <w:lang w:val="en-US" w:eastAsia="en-US"/>
              </w:rPr>
            </w:pPr>
          </w:p>
        </w:tc>
      </w:tr>
      <w:tr w:rsidR="00107491" w:rsidRPr="00107491" w14:paraId="644C7723" w14:textId="77777777" w:rsidTr="00107491">
        <w:trPr>
          <w:trHeight w:val="555"/>
        </w:trPr>
        <w:tc>
          <w:tcPr>
            <w:tcW w:w="1056" w:type="pct"/>
            <w:tcBorders>
              <w:top w:val="nil"/>
              <w:left w:val="single" w:sz="8" w:space="0" w:color="auto"/>
              <w:bottom w:val="nil"/>
              <w:right w:val="single" w:sz="8" w:space="0" w:color="auto"/>
            </w:tcBorders>
            <w:shd w:val="clear" w:color="auto" w:fill="auto"/>
            <w:vAlign w:val="center"/>
            <w:hideMark/>
          </w:tcPr>
          <w:p w14:paraId="228A1BED" w14:textId="77777777" w:rsidR="00107491" w:rsidRPr="00107491" w:rsidRDefault="00107491" w:rsidP="00107491">
            <w:pPr>
              <w:rPr>
                <w:rFonts w:ascii="Calibri" w:hAnsi="Calibri" w:cs="Calibri"/>
                <w:color w:val="000000"/>
                <w:sz w:val="18"/>
                <w:szCs w:val="18"/>
                <w:lang w:val="en-US" w:eastAsia="en-US"/>
              </w:rPr>
            </w:pPr>
            <w:r w:rsidRPr="00107491">
              <w:rPr>
                <w:rFonts w:ascii="Calibri" w:hAnsi="Calibri" w:cs="Calibri"/>
                <w:color w:val="000000"/>
                <w:sz w:val="18"/>
                <w:szCs w:val="18"/>
                <w:lang w:val="en-US" w:eastAsia="en-US"/>
              </w:rPr>
              <w:t> </w:t>
            </w:r>
          </w:p>
        </w:tc>
        <w:tc>
          <w:tcPr>
            <w:tcW w:w="381" w:type="pct"/>
            <w:vMerge/>
            <w:tcBorders>
              <w:top w:val="nil"/>
              <w:left w:val="single" w:sz="8" w:space="0" w:color="auto"/>
              <w:bottom w:val="double" w:sz="6" w:space="0" w:color="000000"/>
              <w:right w:val="single" w:sz="8" w:space="0" w:color="auto"/>
            </w:tcBorders>
            <w:vAlign w:val="center"/>
            <w:hideMark/>
          </w:tcPr>
          <w:p w14:paraId="275E248C" w14:textId="77777777" w:rsidR="00107491" w:rsidRPr="00107491" w:rsidRDefault="00107491" w:rsidP="00107491">
            <w:pPr>
              <w:rPr>
                <w:b/>
                <w:bCs/>
                <w:color w:val="000000"/>
                <w:sz w:val="18"/>
                <w:szCs w:val="18"/>
                <w:lang w:val="en-US" w:eastAsia="en-US"/>
              </w:rPr>
            </w:pPr>
          </w:p>
        </w:tc>
        <w:tc>
          <w:tcPr>
            <w:tcW w:w="453" w:type="pct"/>
            <w:tcBorders>
              <w:top w:val="nil"/>
              <w:left w:val="nil"/>
              <w:bottom w:val="nil"/>
              <w:right w:val="nil"/>
            </w:tcBorders>
            <w:shd w:val="clear" w:color="auto" w:fill="auto"/>
            <w:vAlign w:val="center"/>
            <w:hideMark/>
          </w:tcPr>
          <w:p w14:paraId="61ACD358" w14:textId="77777777" w:rsidR="00107491" w:rsidRPr="00107491" w:rsidRDefault="00107491" w:rsidP="00107491">
            <w:pPr>
              <w:rPr>
                <w:rFonts w:ascii="Calibri" w:hAnsi="Calibri" w:cs="Calibri"/>
                <w:color w:val="000000"/>
                <w:sz w:val="18"/>
                <w:szCs w:val="18"/>
                <w:lang w:val="en-US" w:eastAsia="en-US"/>
              </w:rPr>
            </w:pPr>
          </w:p>
        </w:tc>
        <w:tc>
          <w:tcPr>
            <w:tcW w:w="388" w:type="pct"/>
            <w:tcBorders>
              <w:top w:val="nil"/>
              <w:left w:val="single" w:sz="8" w:space="0" w:color="auto"/>
              <w:bottom w:val="nil"/>
              <w:right w:val="single" w:sz="8" w:space="0" w:color="auto"/>
            </w:tcBorders>
            <w:shd w:val="clear" w:color="auto" w:fill="auto"/>
            <w:vAlign w:val="center"/>
            <w:hideMark/>
          </w:tcPr>
          <w:p w14:paraId="3E34B18F" w14:textId="77777777" w:rsidR="00107491" w:rsidRPr="00107491" w:rsidRDefault="00107491" w:rsidP="00107491">
            <w:pPr>
              <w:jc w:val="center"/>
              <w:rPr>
                <w:b/>
                <w:bCs/>
                <w:color w:val="000000"/>
                <w:sz w:val="18"/>
                <w:szCs w:val="18"/>
                <w:lang w:val="en-US" w:eastAsia="en-US"/>
              </w:rPr>
            </w:pPr>
            <w:r w:rsidRPr="00107491">
              <w:rPr>
                <w:b/>
                <w:bCs/>
                <w:color w:val="000000"/>
                <w:sz w:val="18"/>
                <w:szCs w:val="18"/>
                <w:lang w:val="en-US" w:eastAsia="en-US"/>
              </w:rPr>
              <w:t> </w:t>
            </w:r>
          </w:p>
        </w:tc>
        <w:tc>
          <w:tcPr>
            <w:tcW w:w="258" w:type="pct"/>
            <w:tcBorders>
              <w:top w:val="single" w:sz="8" w:space="0" w:color="auto"/>
              <w:left w:val="nil"/>
              <w:bottom w:val="nil"/>
              <w:right w:val="single" w:sz="8" w:space="0" w:color="auto"/>
            </w:tcBorders>
            <w:shd w:val="clear" w:color="auto" w:fill="auto"/>
            <w:noWrap/>
            <w:vAlign w:val="center"/>
            <w:hideMark/>
          </w:tcPr>
          <w:p w14:paraId="068C8595" w14:textId="77777777" w:rsidR="00601D9B" w:rsidRDefault="000E53A0">
            <w:pPr>
              <w:rPr>
                <w:color w:val="000000"/>
                <w:sz w:val="18"/>
                <w:szCs w:val="18"/>
                <w:lang w:val="en-US" w:eastAsia="en-US"/>
              </w:rPr>
            </w:pPr>
            <w:r w:rsidRPr="00107491">
              <w:rPr>
                <w:color w:val="000000"/>
                <w:sz w:val="18"/>
                <w:szCs w:val="18"/>
                <w:lang w:val="en-US" w:eastAsia="en-US"/>
              </w:rPr>
              <w:t>71600</w:t>
            </w:r>
          </w:p>
        </w:tc>
        <w:tc>
          <w:tcPr>
            <w:tcW w:w="458" w:type="pct"/>
            <w:tcBorders>
              <w:top w:val="single" w:sz="8" w:space="0" w:color="auto"/>
              <w:left w:val="nil"/>
              <w:bottom w:val="nil"/>
              <w:right w:val="single" w:sz="8" w:space="0" w:color="auto"/>
            </w:tcBorders>
            <w:shd w:val="clear" w:color="auto" w:fill="auto"/>
            <w:vAlign w:val="center"/>
            <w:hideMark/>
          </w:tcPr>
          <w:p w14:paraId="57ED554F" w14:textId="77777777" w:rsidR="00601D9B" w:rsidRDefault="000E53A0">
            <w:pPr>
              <w:rPr>
                <w:color w:val="000000"/>
                <w:sz w:val="18"/>
                <w:szCs w:val="18"/>
                <w:lang w:val="en-US" w:eastAsia="en-US"/>
              </w:rPr>
            </w:pPr>
            <w:r w:rsidRPr="00107491">
              <w:rPr>
                <w:color w:val="000000"/>
                <w:sz w:val="18"/>
                <w:szCs w:val="18"/>
                <w:lang w:val="en-US" w:eastAsia="en-US"/>
              </w:rPr>
              <w:t>Voyage</w:t>
            </w:r>
          </w:p>
        </w:tc>
        <w:tc>
          <w:tcPr>
            <w:tcW w:w="254" w:type="pct"/>
            <w:tcBorders>
              <w:top w:val="nil"/>
              <w:left w:val="nil"/>
              <w:bottom w:val="single" w:sz="8" w:space="0" w:color="auto"/>
              <w:right w:val="single" w:sz="8" w:space="0" w:color="auto"/>
            </w:tcBorders>
            <w:shd w:val="clear" w:color="auto" w:fill="auto"/>
            <w:noWrap/>
            <w:vAlign w:val="center"/>
            <w:hideMark/>
          </w:tcPr>
          <w:p w14:paraId="46EE89AC"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10,360 </w:t>
            </w:r>
          </w:p>
        </w:tc>
        <w:tc>
          <w:tcPr>
            <w:tcW w:w="273" w:type="pct"/>
            <w:tcBorders>
              <w:top w:val="nil"/>
              <w:left w:val="nil"/>
              <w:bottom w:val="single" w:sz="8" w:space="0" w:color="auto"/>
              <w:right w:val="single" w:sz="8" w:space="0" w:color="auto"/>
            </w:tcBorders>
            <w:shd w:val="clear" w:color="auto" w:fill="auto"/>
            <w:noWrap/>
            <w:vAlign w:val="center"/>
            <w:hideMark/>
          </w:tcPr>
          <w:p w14:paraId="48245A62"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4,000 </w:t>
            </w:r>
          </w:p>
        </w:tc>
        <w:tc>
          <w:tcPr>
            <w:tcW w:w="250" w:type="pct"/>
            <w:tcBorders>
              <w:top w:val="nil"/>
              <w:left w:val="nil"/>
              <w:bottom w:val="single" w:sz="8" w:space="0" w:color="auto"/>
              <w:right w:val="single" w:sz="8" w:space="0" w:color="auto"/>
            </w:tcBorders>
            <w:shd w:val="clear" w:color="auto" w:fill="auto"/>
            <w:noWrap/>
            <w:vAlign w:val="center"/>
            <w:hideMark/>
          </w:tcPr>
          <w:p w14:paraId="35AC45B5"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 </w:t>
            </w:r>
          </w:p>
        </w:tc>
        <w:tc>
          <w:tcPr>
            <w:tcW w:w="250" w:type="pct"/>
            <w:tcBorders>
              <w:top w:val="nil"/>
              <w:left w:val="nil"/>
              <w:bottom w:val="single" w:sz="8" w:space="0" w:color="auto"/>
              <w:right w:val="single" w:sz="8" w:space="0" w:color="auto"/>
            </w:tcBorders>
            <w:shd w:val="clear" w:color="auto" w:fill="auto"/>
            <w:noWrap/>
            <w:vAlign w:val="center"/>
            <w:hideMark/>
          </w:tcPr>
          <w:p w14:paraId="2CFAFE02"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 </w:t>
            </w:r>
          </w:p>
        </w:tc>
        <w:tc>
          <w:tcPr>
            <w:tcW w:w="250" w:type="pct"/>
            <w:tcBorders>
              <w:top w:val="nil"/>
              <w:left w:val="nil"/>
              <w:bottom w:val="single" w:sz="8" w:space="0" w:color="auto"/>
              <w:right w:val="single" w:sz="8" w:space="0" w:color="auto"/>
            </w:tcBorders>
            <w:shd w:val="clear" w:color="auto" w:fill="auto"/>
            <w:noWrap/>
            <w:vAlign w:val="center"/>
            <w:hideMark/>
          </w:tcPr>
          <w:p w14:paraId="33EF509E"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 </w:t>
            </w:r>
          </w:p>
        </w:tc>
        <w:tc>
          <w:tcPr>
            <w:tcW w:w="250" w:type="pct"/>
            <w:tcBorders>
              <w:top w:val="nil"/>
              <w:left w:val="nil"/>
              <w:bottom w:val="single" w:sz="8" w:space="0" w:color="auto"/>
              <w:right w:val="single" w:sz="8" w:space="0" w:color="auto"/>
            </w:tcBorders>
            <w:shd w:val="clear" w:color="auto" w:fill="auto"/>
            <w:noWrap/>
            <w:vAlign w:val="center"/>
            <w:hideMark/>
          </w:tcPr>
          <w:p w14:paraId="7EF49895"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 </w:t>
            </w:r>
          </w:p>
        </w:tc>
        <w:tc>
          <w:tcPr>
            <w:tcW w:w="261" w:type="pct"/>
            <w:tcBorders>
              <w:top w:val="nil"/>
              <w:left w:val="nil"/>
              <w:bottom w:val="single" w:sz="8" w:space="0" w:color="auto"/>
              <w:right w:val="single" w:sz="8" w:space="0" w:color="auto"/>
            </w:tcBorders>
            <w:shd w:val="clear" w:color="auto" w:fill="auto"/>
            <w:noWrap/>
            <w:vAlign w:val="center"/>
            <w:hideMark/>
          </w:tcPr>
          <w:p w14:paraId="088E8E82"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14,360 </w:t>
            </w:r>
          </w:p>
        </w:tc>
        <w:tc>
          <w:tcPr>
            <w:tcW w:w="183" w:type="pct"/>
            <w:tcBorders>
              <w:top w:val="nil"/>
              <w:left w:val="nil"/>
              <w:bottom w:val="single" w:sz="8" w:space="0" w:color="auto"/>
              <w:right w:val="single" w:sz="8" w:space="0" w:color="auto"/>
            </w:tcBorders>
            <w:shd w:val="clear" w:color="auto" w:fill="auto"/>
            <w:vAlign w:val="center"/>
            <w:hideMark/>
          </w:tcPr>
          <w:p w14:paraId="5FFDC6CC" w14:textId="77777777" w:rsidR="00601D9B" w:rsidRDefault="000E53A0">
            <w:pPr>
              <w:jc w:val="center"/>
              <w:rPr>
                <w:i/>
                <w:iCs/>
                <w:color w:val="000000"/>
                <w:sz w:val="18"/>
                <w:szCs w:val="18"/>
                <w:lang w:val="en-US" w:eastAsia="en-US"/>
              </w:rPr>
            </w:pPr>
            <w:r w:rsidRPr="00107491">
              <w:rPr>
                <w:i/>
                <w:iCs/>
                <w:color w:val="000000"/>
                <w:sz w:val="18"/>
                <w:szCs w:val="18"/>
                <w:lang w:val="en-US" w:eastAsia="en-US"/>
              </w:rPr>
              <w:t>4</w:t>
            </w:r>
          </w:p>
        </w:tc>
        <w:tc>
          <w:tcPr>
            <w:tcW w:w="35" w:type="pct"/>
            <w:vAlign w:val="center"/>
            <w:hideMark/>
          </w:tcPr>
          <w:p w14:paraId="25C07B71" w14:textId="77777777" w:rsidR="00107491" w:rsidRPr="00107491" w:rsidRDefault="00107491" w:rsidP="00107491">
            <w:pPr>
              <w:rPr>
                <w:sz w:val="20"/>
                <w:szCs w:val="20"/>
                <w:lang w:val="en-US" w:eastAsia="en-US"/>
              </w:rPr>
            </w:pPr>
          </w:p>
        </w:tc>
      </w:tr>
      <w:tr w:rsidR="00107491" w:rsidRPr="00107491" w14:paraId="6FA196BD" w14:textId="77777777" w:rsidTr="00107491">
        <w:trPr>
          <w:trHeight w:val="555"/>
        </w:trPr>
        <w:tc>
          <w:tcPr>
            <w:tcW w:w="1056" w:type="pct"/>
            <w:tcBorders>
              <w:top w:val="nil"/>
              <w:left w:val="single" w:sz="8" w:space="0" w:color="auto"/>
              <w:bottom w:val="nil"/>
              <w:right w:val="single" w:sz="8" w:space="0" w:color="auto"/>
            </w:tcBorders>
            <w:shd w:val="clear" w:color="auto" w:fill="auto"/>
            <w:vAlign w:val="center"/>
            <w:hideMark/>
          </w:tcPr>
          <w:p w14:paraId="648378CB" w14:textId="77777777" w:rsidR="00107491" w:rsidRPr="00107491" w:rsidRDefault="00107491" w:rsidP="00107491">
            <w:pPr>
              <w:rPr>
                <w:rFonts w:ascii="Calibri" w:hAnsi="Calibri" w:cs="Calibri"/>
                <w:color w:val="000000"/>
                <w:sz w:val="18"/>
                <w:szCs w:val="18"/>
                <w:lang w:val="en-US" w:eastAsia="en-US"/>
              </w:rPr>
            </w:pPr>
            <w:r w:rsidRPr="00107491">
              <w:rPr>
                <w:rFonts w:ascii="Calibri" w:hAnsi="Calibri" w:cs="Calibri"/>
                <w:color w:val="000000"/>
                <w:sz w:val="18"/>
                <w:szCs w:val="18"/>
                <w:lang w:val="en-US" w:eastAsia="en-US"/>
              </w:rPr>
              <w:lastRenderedPageBreak/>
              <w:t> </w:t>
            </w:r>
          </w:p>
        </w:tc>
        <w:tc>
          <w:tcPr>
            <w:tcW w:w="381" w:type="pct"/>
            <w:vMerge/>
            <w:tcBorders>
              <w:top w:val="nil"/>
              <w:left w:val="single" w:sz="8" w:space="0" w:color="auto"/>
              <w:bottom w:val="double" w:sz="6" w:space="0" w:color="000000"/>
              <w:right w:val="single" w:sz="8" w:space="0" w:color="auto"/>
            </w:tcBorders>
            <w:vAlign w:val="center"/>
            <w:hideMark/>
          </w:tcPr>
          <w:p w14:paraId="22BDDFFC" w14:textId="77777777" w:rsidR="00107491" w:rsidRPr="00107491" w:rsidRDefault="00107491" w:rsidP="00107491">
            <w:pPr>
              <w:rPr>
                <w:b/>
                <w:bCs/>
                <w:color w:val="000000"/>
                <w:sz w:val="18"/>
                <w:szCs w:val="18"/>
                <w:lang w:val="en-US" w:eastAsia="en-US"/>
              </w:rPr>
            </w:pPr>
          </w:p>
        </w:tc>
        <w:tc>
          <w:tcPr>
            <w:tcW w:w="453" w:type="pct"/>
            <w:tcBorders>
              <w:top w:val="nil"/>
              <w:left w:val="nil"/>
              <w:bottom w:val="nil"/>
              <w:right w:val="nil"/>
            </w:tcBorders>
            <w:shd w:val="clear" w:color="auto" w:fill="auto"/>
            <w:vAlign w:val="center"/>
            <w:hideMark/>
          </w:tcPr>
          <w:p w14:paraId="69469106" w14:textId="77777777" w:rsidR="00107491" w:rsidRPr="00107491" w:rsidRDefault="00107491" w:rsidP="00107491">
            <w:pPr>
              <w:rPr>
                <w:rFonts w:ascii="Calibri" w:hAnsi="Calibri" w:cs="Calibri"/>
                <w:color w:val="000000"/>
                <w:sz w:val="18"/>
                <w:szCs w:val="18"/>
                <w:lang w:val="en-US" w:eastAsia="en-US"/>
              </w:rPr>
            </w:pPr>
          </w:p>
        </w:tc>
        <w:tc>
          <w:tcPr>
            <w:tcW w:w="388" w:type="pct"/>
            <w:tcBorders>
              <w:top w:val="nil"/>
              <w:left w:val="single" w:sz="8" w:space="0" w:color="auto"/>
              <w:bottom w:val="nil"/>
              <w:right w:val="single" w:sz="8" w:space="0" w:color="auto"/>
            </w:tcBorders>
            <w:shd w:val="clear" w:color="auto" w:fill="auto"/>
            <w:vAlign w:val="center"/>
            <w:hideMark/>
          </w:tcPr>
          <w:p w14:paraId="53368226" w14:textId="77777777" w:rsidR="00107491" w:rsidRPr="00107491" w:rsidRDefault="00107491" w:rsidP="00107491">
            <w:pPr>
              <w:jc w:val="center"/>
              <w:rPr>
                <w:b/>
                <w:bCs/>
                <w:color w:val="000000"/>
                <w:sz w:val="18"/>
                <w:szCs w:val="18"/>
                <w:lang w:val="en-US" w:eastAsia="en-US"/>
              </w:rPr>
            </w:pPr>
            <w:r w:rsidRPr="00107491">
              <w:rPr>
                <w:b/>
                <w:bCs/>
                <w:color w:val="000000"/>
                <w:sz w:val="18"/>
                <w:szCs w:val="18"/>
                <w:lang w:val="en-US" w:eastAsia="en-US"/>
              </w:rPr>
              <w:t> </w:t>
            </w:r>
          </w:p>
        </w:tc>
        <w:tc>
          <w:tcPr>
            <w:tcW w:w="258" w:type="pct"/>
            <w:tcBorders>
              <w:top w:val="single" w:sz="8" w:space="0" w:color="auto"/>
              <w:left w:val="nil"/>
              <w:bottom w:val="nil"/>
              <w:right w:val="single" w:sz="8" w:space="0" w:color="auto"/>
            </w:tcBorders>
            <w:shd w:val="clear" w:color="auto" w:fill="auto"/>
            <w:noWrap/>
            <w:vAlign w:val="center"/>
            <w:hideMark/>
          </w:tcPr>
          <w:p w14:paraId="6D2BC604" w14:textId="77777777" w:rsidR="00601D9B" w:rsidRDefault="000E53A0">
            <w:pPr>
              <w:rPr>
                <w:color w:val="000000"/>
                <w:sz w:val="18"/>
                <w:szCs w:val="18"/>
                <w:lang w:val="en-US" w:eastAsia="en-US"/>
              </w:rPr>
            </w:pPr>
            <w:r w:rsidRPr="00107491">
              <w:rPr>
                <w:color w:val="000000"/>
                <w:sz w:val="18"/>
                <w:szCs w:val="18"/>
                <w:lang w:val="en-US" w:eastAsia="en-US"/>
              </w:rPr>
              <w:t>71400</w:t>
            </w:r>
          </w:p>
        </w:tc>
        <w:tc>
          <w:tcPr>
            <w:tcW w:w="458" w:type="pct"/>
            <w:tcBorders>
              <w:top w:val="single" w:sz="8" w:space="0" w:color="auto"/>
              <w:left w:val="nil"/>
              <w:bottom w:val="single" w:sz="8" w:space="0" w:color="auto"/>
              <w:right w:val="single" w:sz="8" w:space="0" w:color="auto"/>
            </w:tcBorders>
            <w:shd w:val="clear" w:color="auto" w:fill="auto"/>
            <w:vAlign w:val="center"/>
            <w:hideMark/>
          </w:tcPr>
          <w:p w14:paraId="43587BF7" w14:textId="77777777" w:rsidR="00601D9B" w:rsidRDefault="000E53A0">
            <w:pPr>
              <w:rPr>
                <w:color w:val="000000"/>
                <w:sz w:val="18"/>
                <w:szCs w:val="18"/>
                <w:lang w:val="en-US" w:eastAsia="en-US"/>
              </w:rPr>
            </w:pPr>
            <w:r w:rsidRPr="00107491">
              <w:rPr>
                <w:color w:val="000000"/>
                <w:sz w:val="18"/>
                <w:szCs w:val="18"/>
                <w:lang w:val="en-US" w:eastAsia="en-US"/>
              </w:rPr>
              <w:t>Services contractuels - Individuel</w:t>
            </w:r>
          </w:p>
        </w:tc>
        <w:tc>
          <w:tcPr>
            <w:tcW w:w="254" w:type="pct"/>
            <w:tcBorders>
              <w:top w:val="nil"/>
              <w:left w:val="nil"/>
              <w:bottom w:val="single" w:sz="8" w:space="0" w:color="auto"/>
              <w:right w:val="single" w:sz="8" w:space="0" w:color="auto"/>
            </w:tcBorders>
            <w:shd w:val="clear" w:color="auto" w:fill="auto"/>
            <w:noWrap/>
            <w:vAlign w:val="center"/>
            <w:hideMark/>
          </w:tcPr>
          <w:p w14:paraId="34989DF4"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20,000 </w:t>
            </w:r>
          </w:p>
        </w:tc>
        <w:tc>
          <w:tcPr>
            <w:tcW w:w="273" w:type="pct"/>
            <w:tcBorders>
              <w:top w:val="nil"/>
              <w:left w:val="nil"/>
              <w:bottom w:val="single" w:sz="8" w:space="0" w:color="auto"/>
              <w:right w:val="single" w:sz="8" w:space="0" w:color="auto"/>
            </w:tcBorders>
            <w:shd w:val="clear" w:color="auto" w:fill="auto"/>
            <w:noWrap/>
            <w:vAlign w:val="center"/>
            <w:hideMark/>
          </w:tcPr>
          <w:p w14:paraId="5DF070B5"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5,000 </w:t>
            </w:r>
          </w:p>
        </w:tc>
        <w:tc>
          <w:tcPr>
            <w:tcW w:w="250" w:type="pct"/>
            <w:tcBorders>
              <w:top w:val="nil"/>
              <w:left w:val="nil"/>
              <w:bottom w:val="single" w:sz="8" w:space="0" w:color="auto"/>
              <w:right w:val="single" w:sz="8" w:space="0" w:color="auto"/>
            </w:tcBorders>
            <w:shd w:val="clear" w:color="auto" w:fill="auto"/>
            <w:noWrap/>
            <w:vAlign w:val="center"/>
            <w:hideMark/>
          </w:tcPr>
          <w:p w14:paraId="6C20AC23"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 </w:t>
            </w:r>
          </w:p>
        </w:tc>
        <w:tc>
          <w:tcPr>
            <w:tcW w:w="250" w:type="pct"/>
            <w:tcBorders>
              <w:top w:val="nil"/>
              <w:left w:val="nil"/>
              <w:bottom w:val="single" w:sz="8" w:space="0" w:color="auto"/>
              <w:right w:val="single" w:sz="8" w:space="0" w:color="auto"/>
            </w:tcBorders>
            <w:shd w:val="clear" w:color="auto" w:fill="auto"/>
            <w:noWrap/>
            <w:vAlign w:val="center"/>
            <w:hideMark/>
          </w:tcPr>
          <w:p w14:paraId="3C78B97E"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 </w:t>
            </w:r>
          </w:p>
        </w:tc>
        <w:tc>
          <w:tcPr>
            <w:tcW w:w="250" w:type="pct"/>
            <w:tcBorders>
              <w:top w:val="nil"/>
              <w:left w:val="nil"/>
              <w:bottom w:val="single" w:sz="8" w:space="0" w:color="auto"/>
              <w:right w:val="single" w:sz="8" w:space="0" w:color="auto"/>
            </w:tcBorders>
            <w:shd w:val="clear" w:color="auto" w:fill="auto"/>
            <w:noWrap/>
            <w:vAlign w:val="center"/>
            <w:hideMark/>
          </w:tcPr>
          <w:p w14:paraId="7E70FD7F"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 </w:t>
            </w:r>
          </w:p>
        </w:tc>
        <w:tc>
          <w:tcPr>
            <w:tcW w:w="250" w:type="pct"/>
            <w:tcBorders>
              <w:top w:val="nil"/>
              <w:left w:val="nil"/>
              <w:bottom w:val="single" w:sz="8" w:space="0" w:color="auto"/>
              <w:right w:val="single" w:sz="8" w:space="0" w:color="auto"/>
            </w:tcBorders>
            <w:shd w:val="clear" w:color="auto" w:fill="auto"/>
            <w:noWrap/>
            <w:vAlign w:val="center"/>
            <w:hideMark/>
          </w:tcPr>
          <w:p w14:paraId="4FB9F276"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 </w:t>
            </w:r>
          </w:p>
        </w:tc>
        <w:tc>
          <w:tcPr>
            <w:tcW w:w="261" w:type="pct"/>
            <w:tcBorders>
              <w:top w:val="nil"/>
              <w:left w:val="nil"/>
              <w:bottom w:val="single" w:sz="8" w:space="0" w:color="auto"/>
              <w:right w:val="single" w:sz="8" w:space="0" w:color="auto"/>
            </w:tcBorders>
            <w:shd w:val="clear" w:color="auto" w:fill="auto"/>
            <w:noWrap/>
            <w:vAlign w:val="center"/>
            <w:hideMark/>
          </w:tcPr>
          <w:p w14:paraId="2B97867D"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25,000 </w:t>
            </w:r>
          </w:p>
        </w:tc>
        <w:tc>
          <w:tcPr>
            <w:tcW w:w="183" w:type="pct"/>
            <w:tcBorders>
              <w:top w:val="nil"/>
              <w:left w:val="nil"/>
              <w:bottom w:val="single" w:sz="8" w:space="0" w:color="auto"/>
              <w:right w:val="single" w:sz="8" w:space="0" w:color="auto"/>
            </w:tcBorders>
            <w:shd w:val="clear" w:color="auto" w:fill="auto"/>
            <w:vAlign w:val="center"/>
            <w:hideMark/>
          </w:tcPr>
          <w:p w14:paraId="6F0F3948" w14:textId="77777777" w:rsidR="00601D9B" w:rsidRDefault="000E53A0">
            <w:pPr>
              <w:jc w:val="center"/>
              <w:rPr>
                <w:i/>
                <w:iCs/>
                <w:color w:val="000000"/>
                <w:sz w:val="18"/>
                <w:szCs w:val="18"/>
                <w:lang w:val="en-US" w:eastAsia="en-US"/>
              </w:rPr>
            </w:pPr>
            <w:r w:rsidRPr="00107491">
              <w:rPr>
                <w:i/>
                <w:iCs/>
                <w:color w:val="000000"/>
                <w:sz w:val="18"/>
                <w:szCs w:val="18"/>
                <w:lang w:val="en-US" w:eastAsia="en-US"/>
              </w:rPr>
              <w:t>5</w:t>
            </w:r>
          </w:p>
        </w:tc>
        <w:tc>
          <w:tcPr>
            <w:tcW w:w="35" w:type="pct"/>
            <w:vAlign w:val="center"/>
            <w:hideMark/>
          </w:tcPr>
          <w:p w14:paraId="36157120" w14:textId="77777777" w:rsidR="00107491" w:rsidRPr="00107491" w:rsidRDefault="00107491" w:rsidP="00107491">
            <w:pPr>
              <w:rPr>
                <w:sz w:val="20"/>
                <w:szCs w:val="20"/>
                <w:lang w:val="en-US" w:eastAsia="en-US"/>
              </w:rPr>
            </w:pPr>
          </w:p>
        </w:tc>
      </w:tr>
      <w:tr w:rsidR="00107491" w:rsidRPr="00107491" w14:paraId="036E73E3" w14:textId="77777777" w:rsidTr="00107491">
        <w:trPr>
          <w:trHeight w:val="555"/>
        </w:trPr>
        <w:tc>
          <w:tcPr>
            <w:tcW w:w="1056" w:type="pct"/>
            <w:tcBorders>
              <w:top w:val="nil"/>
              <w:left w:val="single" w:sz="8" w:space="0" w:color="auto"/>
              <w:bottom w:val="nil"/>
              <w:right w:val="single" w:sz="8" w:space="0" w:color="auto"/>
            </w:tcBorders>
            <w:shd w:val="clear" w:color="auto" w:fill="auto"/>
            <w:vAlign w:val="center"/>
            <w:hideMark/>
          </w:tcPr>
          <w:p w14:paraId="2520C0C1" w14:textId="77777777" w:rsidR="00107491" w:rsidRPr="00107491" w:rsidRDefault="00107491" w:rsidP="00107491">
            <w:pPr>
              <w:rPr>
                <w:rFonts w:ascii="Calibri" w:hAnsi="Calibri" w:cs="Calibri"/>
                <w:color w:val="000000"/>
                <w:sz w:val="18"/>
                <w:szCs w:val="18"/>
                <w:lang w:val="en-US" w:eastAsia="en-US"/>
              </w:rPr>
            </w:pPr>
            <w:r w:rsidRPr="00107491">
              <w:rPr>
                <w:rFonts w:ascii="Calibri" w:hAnsi="Calibri" w:cs="Calibri"/>
                <w:color w:val="000000"/>
                <w:sz w:val="18"/>
                <w:szCs w:val="18"/>
                <w:lang w:val="en-US" w:eastAsia="en-US"/>
              </w:rPr>
              <w:t> </w:t>
            </w:r>
          </w:p>
        </w:tc>
        <w:tc>
          <w:tcPr>
            <w:tcW w:w="381" w:type="pct"/>
            <w:vMerge/>
            <w:tcBorders>
              <w:top w:val="nil"/>
              <w:left w:val="single" w:sz="8" w:space="0" w:color="auto"/>
              <w:bottom w:val="double" w:sz="6" w:space="0" w:color="000000"/>
              <w:right w:val="single" w:sz="8" w:space="0" w:color="auto"/>
            </w:tcBorders>
            <w:vAlign w:val="center"/>
            <w:hideMark/>
          </w:tcPr>
          <w:p w14:paraId="748F7BC2" w14:textId="77777777" w:rsidR="00107491" w:rsidRPr="00107491" w:rsidRDefault="00107491" w:rsidP="00107491">
            <w:pPr>
              <w:rPr>
                <w:b/>
                <w:bCs/>
                <w:color w:val="000000"/>
                <w:sz w:val="18"/>
                <w:szCs w:val="18"/>
                <w:lang w:val="en-US" w:eastAsia="en-US"/>
              </w:rPr>
            </w:pPr>
          </w:p>
        </w:tc>
        <w:tc>
          <w:tcPr>
            <w:tcW w:w="453" w:type="pct"/>
            <w:tcBorders>
              <w:top w:val="nil"/>
              <w:left w:val="nil"/>
              <w:bottom w:val="single" w:sz="8" w:space="0" w:color="auto"/>
              <w:right w:val="nil"/>
            </w:tcBorders>
            <w:shd w:val="clear" w:color="auto" w:fill="auto"/>
            <w:vAlign w:val="center"/>
            <w:hideMark/>
          </w:tcPr>
          <w:p w14:paraId="3F8BC4E7" w14:textId="77777777" w:rsidR="00107491" w:rsidRPr="00107491" w:rsidRDefault="00107491" w:rsidP="00107491">
            <w:pPr>
              <w:rPr>
                <w:rFonts w:ascii="Calibri" w:hAnsi="Calibri" w:cs="Calibri"/>
                <w:color w:val="000000"/>
                <w:sz w:val="18"/>
                <w:szCs w:val="18"/>
                <w:lang w:val="en-US" w:eastAsia="en-US"/>
              </w:rPr>
            </w:pPr>
            <w:r w:rsidRPr="00107491">
              <w:rPr>
                <w:rFonts w:ascii="Calibri" w:hAnsi="Calibri" w:cs="Calibri"/>
                <w:color w:val="000000"/>
                <w:sz w:val="18"/>
                <w:szCs w:val="18"/>
                <w:lang w:val="en-US" w:eastAsia="en-US"/>
              </w:rPr>
              <w:t> </w:t>
            </w:r>
          </w:p>
        </w:tc>
        <w:tc>
          <w:tcPr>
            <w:tcW w:w="388" w:type="pct"/>
            <w:tcBorders>
              <w:top w:val="nil"/>
              <w:left w:val="single" w:sz="8" w:space="0" w:color="auto"/>
              <w:bottom w:val="single" w:sz="8" w:space="0" w:color="auto"/>
              <w:right w:val="single" w:sz="8" w:space="0" w:color="auto"/>
            </w:tcBorders>
            <w:shd w:val="clear" w:color="auto" w:fill="auto"/>
            <w:vAlign w:val="center"/>
            <w:hideMark/>
          </w:tcPr>
          <w:p w14:paraId="700D9C78" w14:textId="77777777" w:rsidR="00107491" w:rsidRPr="00107491" w:rsidRDefault="00107491" w:rsidP="00107491">
            <w:pPr>
              <w:jc w:val="center"/>
              <w:rPr>
                <w:b/>
                <w:bCs/>
                <w:color w:val="000000"/>
                <w:sz w:val="18"/>
                <w:szCs w:val="18"/>
                <w:lang w:val="en-US" w:eastAsia="en-US"/>
              </w:rPr>
            </w:pPr>
            <w:r w:rsidRPr="00107491">
              <w:rPr>
                <w:b/>
                <w:bCs/>
                <w:color w:val="000000"/>
                <w:sz w:val="18"/>
                <w:szCs w:val="18"/>
                <w:lang w:val="en-US" w:eastAsia="en-US"/>
              </w:rPr>
              <w:t> </w:t>
            </w:r>
          </w:p>
        </w:tc>
        <w:tc>
          <w:tcPr>
            <w:tcW w:w="258" w:type="pct"/>
            <w:tcBorders>
              <w:top w:val="nil"/>
              <w:left w:val="nil"/>
              <w:bottom w:val="single" w:sz="8" w:space="0" w:color="auto"/>
              <w:right w:val="single" w:sz="8" w:space="0" w:color="auto"/>
            </w:tcBorders>
            <w:shd w:val="clear" w:color="auto" w:fill="auto"/>
            <w:noWrap/>
            <w:vAlign w:val="center"/>
            <w:hideMark/>
          </w:tcPr>
          <w:p w14:paraId="55389D88" w14:textId="77777777" w:rsidR="00107491" w:rsidRPr="00107491" w:rsidRDefault="00107491" w:rsidP="00107491">
            <w:pPr>
              <w:jc w:val="center"/>
              <w:rPr>
                <w:color w:val="000000"/>
                <w:sz w:val="18"/>
                <w:szCs w:val="18"/>
                <w:lang w:val="en-US" w:eastAsia="en-US"/>
              </w:rPr>
            </w:pPr>
            <w:r w:rsidRPr="00107491">
              <w:rPr>
                <w:color w:val="000000"/>
                <w:sz w:val="18"/>
                <w:szCs w:val="18"/>
                <w:lang w:val="en-US" w:eastAsia="en-US"/>
              </w:rPr>
              <w:t> </w:t>
            </w:r>
          </w:p>
        </w:tc>
        <w:tc>
          <w:tcPr>
            <w:tcW w:w="458" w:type="pct"/>
            <w:tcBorders>
              <w:top w:val="nil"/>
              <w:left w:val="nil"/>
              <w:bottom w:val="single" w:sz="8" w:space="0" w:color="auto"/>
              <w:right w:val="single" w:sz="8" w:space="0" w:color="auto"/>
            </w:tcBorders>
            <w:shd w:val="clear" w:color="auto" w:fill="auto"/>
            <w:noWrap/>
            <w:vAlign w:val="center"/>
            <w:hideMark/>
          </w:tcPr>
          <w:p w14:paraId="780040A5" w14:textId="77777777" w:rsidR="00601D9B" w:rsidRDefault="000E53A0">
            <w:pPr>
              <w:jc w:val="both"/>
              <w:rPr>
                <w:b/>
                <w:bCs/>
                <w:color w:val="000000"/>
                <w:sz w:val="18"/>
                <w:szCs w:val="18"/>
                <w:lang w:val="en-US" w:eastAsia="en-US"/>
              </w:rPr>
            </w:pPr>
            <w:r w:rsidRPr="00107491">
              <w:rPr>
                <w:b/>
                <w:bCs/>
                <w:color w:val="000000"/>
                <w:sz w:val="18"/>
                <w:szCs w:val="18"/>
                <w:lang w:val="en-US" w:eastAsia="en-US"/>
              </w:rPr>
              <w:t>Sous-total FEM</w:t>
            </w:r>
          </w:p>
        </w:tc>
        <w:tc>
          <w:tcPr>
            <w:tcW w:w="254" w:type="pct"/>
            <w:tcBorders>
              <w:top w:val="nil"/>
              <w:left w:val="nil"/>
              <w:bottom w:val="single" w:sz="8" w:space="0" w:color="auto"/>
              <w:right w:val="single" w:sz="8" w:space="0" w:color="auto"/>
            </w:tcBorders>
            <w:shd w:val="clear" w:color="auto" w:fill="auto"/>
            <w:noWrap/>
            <w:vAlign w:val="center"/>
            <w:hideMark/>
          </w:tcPr>
          <w:p w14:paraId="3CBCFCC4"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 xml:space="preserve">              72,460 </w:t>
            </w:r>
          </w:p>
        </w:tc>
        <w:tc>
          <w:tcPr>
            <w:tcW w:w="273" w:type="pct"/>
            <w:tcBorders>
              <w:top w:val="nil"/>
              <w:left w:val="nil"/>
              <w:bottom w:val="single" w:sz="8" w:space="0" w:color="auto"/>
              <w:right w:val="single" w:sz="8" w:space="0" w:color="auto"/>
            </w:tcBorders>
            <w:shd w:val="clear" w:color="auto" w:fill="auto"/>
            <w:noWrap/>
            <w:vAlign w:val="center"/>
            <w:hideMark/>
          </w:tcPr>
          <w:p w14:paraId="3939CABD"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 xml:space="preserve">                38,200 </w:t>
            </w:r>
          </w:p>
        </w:tc>
        <w:tc>
          <w:tcPr>
            <w:tcW w:w="250" w:type="pct"/>
            <w:tcBorders>
              <w:top w:val="nil"/>
              <w:left w:val="nil"/>
              <w:bottom w:val="single" w:sz="8" w:space="0" w:color="auto"/>
              <w:right w:val="single" w:sz="8" w:space="0" w:color="auto"/>
            </w:tcBorders>
            <w:shd w:val="clear" w:color="auto" w:fill="auto"/>
            <w:noWrap/>
            <w:vAlign w:val="center"/>
            <w:hideMark/>
          </w:tcPr>
          <w:p w14:paraId="79237ED6"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 xml:space="preserve">                8,500 </w:t>
            </w:r>
          </w:p>
        </w:tc>
        <w:tc>
          <w:tcPr>
            <w:tcW w:w="250" w:type="pct"/>
            <w:tcBorders>
              <w:top w:val="nil"/>
              <w:left w:val="nil"/>
              <w:bottom w:val="single" w:sz="8" w:space="0" w:color="auto"/>
              <w:right w:val="single" w:sz="8" w:space="0" w:color="auto"/>
            </w:tcBorders>
            <w:shd w:val="clear" w:color="auto" w:fill="auto"/>
            <w:noWrap/>
            <w:vAlign w:val="center"/>
            <w:hideMark/>
          </w:tcPr>
          <w:p w14:paraId="61C5D133"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 xml:space="preserve">                8,000 </w:t>
            </w:r>
          </w:p>
        </w:tc>
        <w:tc>
          <w:tcPr>
            <w:tcW w:w="250" w:type="pct"/>
            <w:tcBorders>
              <w:top w:val="nil"/>
              <w:left w:val="nil"/>
              <w:bottom w:val="single" w:sz="8" w:space="0" w:color="auto"/>
              <w:right w:val="single" w:sz="8" w:space="0" w:color="auto"/>
            </w:tcBorders>
            <w:shd w:val="clear" w:color="auto" w:fill="auto"/>
            <w:noWrap/>
            <w:vAlign w:val="center"/>
            <w:hideMark/>
          </w:tcPr>
          <w:p w14:paraId="7CF77C4C"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 xml:space="preserve">                8,000 </w:t>
            </w:r>
          </w:p>
        </w:tc>
        <w:tc>
          <w:tcPr>
            <w:tcW w:w="250" w:type="pct"/>
            <w:tcBorders>
              <w:top w:val="nil"/>
              <w:left w:val="nil"/>
              <w:bottom w:val="single" w:sz="8" w:space="0" w:color="auto"/>
              <w:right w:val="single" w:sz="8" w:space="0" w:color="auto"/>
            </w:tcBorders>
            <w:shd w:val="clear" w:color="auto" w:fill="auto"/>
            <w:noWrap/>
            <w:vAlign w:val="center"/>
            <w:hideMark/>
          </w:tcPr>
          <w:p w14:paraId="3D686998"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 xml:space="preserve">                8,000 </w:t>
            </w:r>
          </w:p>
        </w:tc>
        <w:tc>
          <w:tcPr>
            <w:tcW w:w="261" w:type="pct"/>
            <w:tcBorders>
              <w:top w:val="nil"/>
              <w:left w:val="nil"/>
              <w:bottom w:val="single" w:sz="8" w:space="0" w:color="auto"/>
              <w:right w:val="single" w:sz="8" w:space="0" w:color="auto"/>
            </w:tcBorders>
            <w:shd w:val="clear" w:color="auto" w:fill="auto"/>
            <w:noWrap/>
            <w:vAlign w:val="center"/>
            <w:hideMark/>
          </w:tcPr>
          <w:p w14:paraId="69A7BAF7"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 xml:space="preserve">             143,160 </w:t>
            </w:r>
          </w:p>
        </w:tc>
        <w:tc>
          <w:tcPr>
            <w:tcW w:w="183" w:type="pct"/>
            <w:tcBorders>
              <w:top w:val="nil"/>
              <w:left w:val="nil"/>
              <w:bottom w:val="single" w:sz="8" w:space="0" w:color="auto"/>
              <w:right w:val="single" w:sz="8" w:space="0" w:color="auto"/>
            </w:tcBorders>
            <w:shd w:val="clear" w:color="auto" w:fill="auto"/>
            <w:vAlign w:val="center"/>
            <w:hideMark/>
          </w:tcPr>
          <w:p w14:paraId="62BC9242" w14:textId="77777777" w:rsidR="00107491" w:rsidRPr="00107491" w:rsidRDefault="00107491" w:rsidP="00107491">
            <w:pPr>
              <w:jc w:val="center"/>
              <w:rPr>
                <w:b/>
                <w:bCs/>
                <w:i/>
                <w:iCs/>
                <w:color w:val="000000"/>
                <w:sz w:val="18"/>
                <w:szCs w:val="18"/>
                <w:lang w:val="en-US" w:eastAsia="en-US"/>
              </w:rPr>
            </w:pPr>
            <w:r w:rsidRPr="00107491">
              <w:rPr>
                <w:b/>
                <w:bCs/>
                <w:i/>
                <w:iCs/>
                <w:color w:val="000000"/>
                <w:sz w:val="18"/>
                <w:szCs w:val="18"/>
                <w:lang w:val="en-US" w:eastAsia="en-US"/>
              </w:rPr>
              <w:t> </w:t>
            </w:r>
          </w:p>
        </w:tc>
        <w:tc>
          <w:tcPr>
            <w:tcW w:w="35" w:type="pct"/>
            <w:vAlign w:val="center"/>
            <w:hideMark/>
          </w:tcPr>
          <w:p w14:paraId="7743E9D4" w14:textId="77777777" w:rsidR="00107491" w:rsidRPr="00107491" w:rsidRDefault="00107491" w:rsidP="00107491">
            <w:pPr>
              <w:rPr>
                <w:sz w:val="20"/>
                <w:szCs w:val="20"/>
                <w:lang w:val="en-US" w:eastAsia="en-US"/>
              </w:rPr>
            </w:pPr>
          </w:p>
        </w:tc>
      </w:tr>
      <w:tr w:rsidR="00107491" w:rsidRPr="00107491" w14:paraId="12DC6337" w14:textId="77777777" w:rsidTr="00107491">
        <w:trPr>
          <w:trHeight w:val="555"/>
        </w:trPr>
        <w:tc>
          <w:tcPr>
            <w:tcW w:w="1056" w:type="pct"/>
            <w:tcBorders>
              <w:top w:val="nil"/>
              <w:left w:val="single" w:sz="8" w:space="0" w:color="auto"/>
              <w:bottom w:val="nil"/>
              <w:right w:val="single" w:sz="8" w:space="0" w:color="auto"/>
            </w:tcBorders>
            <w:shd w:val="clear" w:color="auto" w:fill="auto"/>
            <w:vAlign w:val="center"/>
            <w:hideMark/>
          </w:tcPr>
          <w:p w14:paraId="3F608755" w14:textId="77777777" w:rsidR="00107491" w:rsidRPr="00107491" w:rsidRDefault="00107491" w:rsidP="00107491">
            <w:pPr>
              <w:rPr>
                <w:rFonts w:ascii="Calibri" w:hAnsi="Calibri" w:cs="Calibri"/>
                <w:color w:val="000000"/>
                <w:sz w:val="18"/>
                <w:szCs w:val="18"/>
                <w:lang w:val="en-US" w:eastAsia="en-US"/>
              </w:rPr>
            </w:pPr>
            <w:r w:rsidRPr="00107491">
              <w:rPr>
                <w:rFonts w:ascii="Calibri" w:hAnsi="Calibri" w:cs="Calibri"/>
                <w:color w:val="000000"/>
                <w:sz w:val="18"/>
                <w:szCs w:val="18"/>
                <w:lang w:val="en-US" w:eastAsia="en-US"/>
              </w:rPr>
              <w:t> </w:t>
            </w:r>
          </w:p>
        </w:tc>
        <w:tc>
          <w:tcPr>
            <w:tcW w:w="381" w:type="pct"/>
            <w:vMerge/>
            <w:tcBorders>
              <w:top w:val="nil"/>
              <w:left w:val="single" w:sz="8" w:space="0" w:color="auto"/>
              <w:bottom w:val="double" w:sz="6" w:space="0" w:color="000000"/>
              <w:right w:val="single" w:sz="8" w:space="0" w:color="auto"/>
            </w:tcBorders>
            <w:vAlign w:val="center"/>
            <w:hideMark/>
          </w:tcPr>
          <w:p w14:paraId="7534A6BC" w14:textId="77777777" w:rsidR="00107491" w:rsidRPr="00107491" w:rsidRDefault="00107491" w:rsidP="00107491">
            <w:pPr>
              <w:rPr>
                <w:b/>
                <w:bCs/>
                <w:color w:val="000000"/>
                <w:sz w:val="18"/>
                <w:szCs w:val="18"/>
                <w:lang w:val="en-US" w:eastAsia="en-US"/>
              </w:rPr>
            </w:pPr>
          </w:p>
        </w:tc>
        <w:tc>
          <w:tcPr>
            <w:tcW w:w="453" w:type="pct"/>
            <w:vMerge w:val="restart"/>
            <w:tcBorders>
              <w:top w:val="nil"/>
              <w:left w:val="single" w:sz="8" w:space="0" w:color="auto"/>
              <w:bottom w:val="double" w:sz="6" w:space="0" w:color="000000"/>
              <w:right w:val="single" w:sz="8" w:space="0" w:color="auto"/>
            </w:tcBorders>
            <w:shd w:val="clear" w:color="auto" w:fill="auto"/>
            <w:vAlign w:val="center"/>
            <w:hideMark/>
          </w:tcPr>
          <w:p w14:paraId="7FED78D9"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62160</w:t>
            </w:r>
          </w:p>
        </w:tc>
        <w:tc>
          <w:tcPr>
            <w:tcW w:w="388" w:type="pct"/>
            <w:vMerge w:val="restart"/>
            <w:tcBorders>
              <w:top w:val="nil"/>
              <w:left w:val="single" w:sz="8" w:space="0" w:color="auto"/>
              <w:bottom w:val="double" w:sz="6" w:space="0" w:color="000000"/>
              <w:right w:val="single" w:sz="8" w:space="0" w:color="auto"/>
            </w:tcBorders>
            <w:shd w:val="clear" w:color="auto" w:fill="auto"/>
            <w:vAlign w:val="center"/>
            <w:hideMark/>
          </w:tcPr>
          <w:p w14:paraId="54421517" w14:textId="77777777" w:rsidR="00601D9B" w:rsidRDefault="000E53A0">
            <w:pPr>
              <w:jc w:val="center"/>
              <w:rPr>
                <w:b/>
                <w:bCs/>
                <w:color w:val="000000"/>
                <w:sz w:val="18"/>
                <w:szCs w:val="18"/>
                <w:lang w:val="en-US" w:eastAsia="en-US"/>
              </w:rPr>
            </w:pPr>
            <w:bookmarkStart w:id="56" w:name="RANGE!D18"/>
            <w:r w:rsidRPr="00107491">
              <w:rPr>
                <w:b/>
                <w:bCs/>
                <w:color w:val="000000"/>
                <w:sz w:val="18"/>
                <w:szCs w:val="18"/>
                <w:lang w:val="en-US" w:eastAsia="en-US"/>
              </w:rPr>
              <w:t xml:space="preserve">LDCF </w:t>
            </w:r>
            <w:bookmarkEnd w:id="56"/>
          </w:p>
        </w:tc>
        <w:tc>
          <w:tcPr>
            <w:tcW w:w="258" w:type="pct"/>
            <w:tcBorders>
              <w:top w:val="nil"/>
              <w:left w:val="nil"/>
              <w:bottom w:val="nil"/>
              <w:right w:val="single" w:sz="8" w:space="0" w:color="auto"/>
            </w:tcBorders>
            <w:shd w:val="clear" w:color="auto" w:fill="auto"/>
            <w:noWrap/>
            <w:vAlign w:val="center"/>
            <w:hideMark/>
          </w:tcPr>
          <w:p w14:paraId="063001BB" w14:textId="77777777" w:rsidR="00601D9B" w:rsidRDefault="000E53A0">
            <w:pPr>
              <w:rPr>
                <w:color w:val="000000"/>
                <w:sz w:val="18"/>
                <w:szCs w:val="18"/>
                <w:lang w:val="en-US" w:eastAsia="en-US"/>
              </w:rPr>
            </w:pPr>
            <w:r w:rsidRPr="00107491">
              <w:rPr>
                <w:color w:val="000000"/>
                <w:sz w:val="18"/>
                <w:szCs w:val="18"/>
                <w:lang w:val="en-US" w:eastAsia="en-US"/>
              </w:rPr>
              <w:t>71200</w:t>
            </w:r>
          </w:p>
        </w:tc>
        <w:tc>
          <w:tcPr>
            <w:tcW w:w="458" w:type="pct"/>
            <w:tcBorders>
              <w:top w:val="nil"/>
              <w:left w:val="nil"/>
              <w:bottom w:val="nil"/>
              <w:right w:val="single" w:sz="8" w:space="0" w:color="auto"/>
            </w:tcBorders>
            <w:shd w:val="clear" w:color="auto" w:fill="auto"/>
            <w:vAlign w:val="center"/>
            <w:hideMark/>
          </w:tcPr>
          <w:p w14:paraId="7ABF0566" w14:textId="77777777" w:rsidR="00601D9B" w:rsidRDefault="000E53A0">
            <w:pPr>
              <w:rPr>
                <w:color w:val="000000"/>
                <w:sz w:val="18"/>
                <w:szCs w:val="18"/>
                <w:lang w:val="en-US" w:eastAsia="en-US"/>
              </w:rPr>
            </w:pPr>
            <w:r w:rsidRPr="00107491">
              <w:rPr>
                <w:color w:val="000000"/>
                <w:sz w:val="18"/>
                <w:szCs w:val="18"/>
                <w:lang w:val="en-US" w:eastAsia="en-US"/>
              </w:rPr>
              <w:t>Consultants internationaux</w:t>
            </w:r>
          </w:p>
        </w:tc>
        <w:tc>
          <w:tcPr>
            <w:tcW w:w="254" w:type="pct"/>
            <w:tcBorders>
              <w:top w:val="nil"/>
              <w:left w:val="nil"/>
              <w:bottom w:val="single" w:sz="8" w:space="0" w:color="auto"/>
              <w:right w:val="single" w:sz="8" w:space="0" w:color="auto"/>
            </w:tcBorders>
            <w:shd w:val="clear" w:color="auto" w:fill="auto"/>
            <w:noWrap/>
            <w:vAlign w:val="center"/>
            <w:hideMark/>
          </w:tcPr>
          <w:p w14:paraId="0D3F092D"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35,000 </w:t>
            </w:r>
          </w:p>
        </w:tc>
        <w:tc>
          <w:tcPr>
            <w:tcW w:w="273" w:type="pct"/>
            <w:tcBorders>
              <w:top w:val="nil"/>
              <w:left w:val="nil"/>
              <w:bottom w:val="single" w:sz="8" w:space="0" w:color="auto"/>
              <w:right w:val="single" w:sz="8" w:space="0" w:color="auto"/>
            </w:tcBorders>
            <w:shd w:val="clear" w:color="auto" w:fill="auto"/>
            <w:noWrap/>
            <w:vAlign w:val="center"/>
            <w:hideMark/>
          </w:tcPr>
          <w:p w14:paraId="464FC536"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 </w:t>
            </w:r>
          </w:p>
        </w:tc>
        <w:tc>
          <w:tcPr>
            <w:tcW w:w="250" w:type="pct"/>
            <w:tcBorders>
              <w:top w:val="nil"/>
              <w:left w:val="nil"/>
              <w:bottom w:val="single" w:sz="8" w:space="0" w:color="auto"/>
              <w:right w:val="single" w:sz="8" w:space="0" w:color="auto"/>
            </w:tcBorders>
            <w:shd w:val="clear" w:color="auto" w:fill="auto"/>
            <w:noWrap/>
            <w:vAlign w:val="center"/>
            <w:hideMark/>
          </w:tcPr>
          <w:p w14:paraId="7D4D757D"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 </w:t>
            </w:r>
          </w:p>
        </w:tc>
        <w:tc>
          <w:tcPr>
            <w:tcW w:w="250" w:type="pct"/>
            <w:tcBorders>
              <w:top w:val="nil"/>
              <w:left w:val="nil"/>
              <w:bottom w:val="single" w:sz="8" w:space="0" w:color="auto"/>
              <w:right w:val="single" w:sz="8" w:space="0" w:color="auto"/>
            </w:tcBorders>
            <w:shd w:val="clear" w:color="auto" w:fill="auto"/>
            <w:noWrap/>
            <w:vAlign w:val="center"/>
            <w:hideMark/>
          </w:tcPr>
          <w:p w14:paraId="1FA14A8D"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 </w:t>
            </w:r>
          </w:p>
        </w:tc>
        <w:tc>
          <w:tcPr>
            <w:tcW w:w="250" w:type="pct"/>
            <w:tcBorders>
              <w:top w:val="nil"/>
              <w:left w:val="nil"/>
              <w:bottom w:val="single" w:sz="8" w:space="0" w:color="auto"/>
              <w:right w:val="single" w:sz="8" w:space="0" w:color="auto"/>
            </w:tcBorders>
            <w:shd w:val="clear" w:color="auto" w:fill="auto"/>
            <w:noWrap/>
            <w:vAlign w:val="center"/>
            <w:hideMark/>
          </w:tcPr>
          <w:p w14:paraId="09B5CCBB"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 </w:t>
            </w:r>
          </w:p>
        </w:tc>
        <w:tc>
          <w:tcPr>
            <w:tcW w:w="250" w:type="pct"/>
            <w:tcBorders>
              <w:top w:val="nil"/>
              <w:left w:val="nil"/>
              <w:bottom w:val="single" w:sz="8" w:space="0" w:color="auto"/>
              <w:right w:val="single" w:sz="8" w:space="0" w:color="auto"/>
            </w:tcBorders>
            <w:shd w:val="clear" w:color="auto" w:fill="auto"/>
            <w:noWrap/>
            <w:vAlign w:val="center"/>
            <w:hideMark/>
          </w:tcPr>
          <w:p w14:paraId="1E7BDCAE"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 </w:t>
            </w:r>
          </w:p>
        </w:tc>
        <w:tc>
          <w:tcPr>
            <w:tcW w:w="261" w:type="pct"/>
            <w:tcBorders>
              <w:top w:val="nil"/>
              <w:left w:val="nil"/>
              <w:bottom w:val="single" w:sz="8" w:space="0" w:color="auto"/>
              <w:right w:val="single" w:sz="8" w:space="0" w:color="auto"/>
            </w:tcBorders>
            <w:shd w:val="clear" w:color="auto" w:fill="auto"/>
            <w:noWrap/>
            <w:vAlign w:val="center"/>
            <w:hideMark/>
          </w:tcPr>
          <w:p w14:paraId="10CDC246"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35,000 </w:t>
            </w:r>
          </w:p>
        </w:tc>
        <w:tc>
          <w:tcPr>
            <w:tcW w:w="183" w:type="pct"/>
            <w:tcBorders>
              <w:top w:val="nil"/>
              <w:left w:val="nil"/>
              <w:bottom w:val="single" w:sz="8" w:space="0" w:color="auto"/>
              <w:right w:val="single" w:sz="8" w:space="0" w:color="auto"/>
            </w:tcBorders>
            <w:shd w:val="clear" w:color="auto" w:fill="auto"/>
            <w:vAlign w:val="center"/>
            <w:hideMark/>
          </w:tcPr>
          <w:p w14:paraId="40A2C0B6" w14:textId="77777777" w:rsidR="00601D9B" w:rsidRDefault="000E53A0">
            <w:pPr>
              <w:jc w:val="center"/>
              <w:rPr>
                <w:i/>
                <w:iCs/>
                <w:color w:val="000000"/>
                <w:sz w:val="18"/>
                <w:szCs w:val="18"/>
                <w:lang w:val="en-US" w:eastAsia="en-US"/>
              </w:rPr>
            </w:pPr>
            <w:r w:rsidRPr="00107491">
              <w:rPr>
                <w:i/>
                <w:iCs/>
                <w:color w:val="000000"/>
                <w:sz w:val="18"/>
                <w:szCs w:val="18"/>
                <w:lang w:val="en-US" w:eastAsia="en-US"/>
              </w:rPr>
              <w:t>6</w:t>
            </w:r>
          </w:p>
        </w:tc>
        <w:tc>
          <w:tcPr>
            <w:tcW w:w="35" w:type="pct"/>
            <w:vAlign w:val="center"/>
            <w:hideMark/>
          </w:tcPr>
          <w:p w14:paraId="3EC7D252" w14:textId="77777777" w:rsidR="00107491" w:rsidRPr="00107491" w:rsidRDefault="00107491" w:rsidP="00107491">
            <w:pPr>
              <w:rPr>
                <w:sz w:val="20"/>
                <w:szCs w:val="20"/>
                <w:lang w:val="en-US" w:eastAsia="en-US"/>
              </w:rPr>
            </w:pPr>
          </w:p>
        </w:tc>
      </w:tr>
      <w:tr w:rsidR="00107491" w:rsidRPr="00107491" w14:paraId="6E7847EC" w14:textId="77777777" w:rsidTr="00107491">
        <w:trPr>
          <w:trHeight w:val="555"/>
        </w:trPr>
        <w:tc>
          <w:tcPr>
            <w:tcW w:w="1056" w:type="pct"/>
            <w:tcBorders>
              <w:top w:val="nil"/>
              <w:left w:val="single" w:sz="8" w:space="0" w:color="auto"/>
              <w:bottom w:val="nil"/>
              <w:right w:val="single" w:sz="8" w:space="0" w:color="auto"/>
            </w:tcBorders>
            <w:shd w:val="clear" w:color="auto" w:fill="auto"/>
            <w:vAlign w:val="center"/>
            <w:hideMark/>
          </w:tcPr>
          <w:p w14:paraId="2BD6FD23" w14:textId="77777777" w:rsidR="00107491" w:rsidRPr="00107491" w:rsidRDefault="00107491" w:rsidP="00107491">
            <w:pPr>
              <w:rPr>
                <w:rFonts w:ascii="Calibri" w:hAnsi="Calibri" w:cs="Calibri"/>
                <w:color w:val="000000"/>
                <w:sz w:val="18"/>
                <w:szCs w:val="18"/>
                <w:lang w:val="en-US" w:eastAsia="en-US"/>
              </w:rPr>
            </w:pPr>
            <w:r w:rsidRPr="00107491">
              <w:rPr>
                <w:rFonts w:ascii="Calibri" w:hAnsi="Calibri" w:cs="Calibri"/>
                <w:color w:val="000000"/>
                <w:sz w:val="18"/>
                <w:szCs w:val="18"/>
                <w:lang w:val="en-US" w:eastAsia="en-US"/>
              </w:rPr>
              <w:t> </w:t>
            </w:r>
          </w:p>
        </w:tc>
        <w:tc>
          <w:tcPr>
            <w:tcW w:w="381" w:type="pct"/>
            <w:vMerge/>
            <w:tcBorders>
              <w:top w:val="nil"/>
              <w:left w:val="single" w:sz="8" w:space="0" w:color="auto"/>
              <w:bottom w:val="double" w:sz="6" w:space="0" w:color="000000"/>
              <w:right w:val="single" w:sz="8" w:space="0" w:color="auto"/>
            </w:tcBorders>
            <w:vAlign w:val="center"/>
            <w:hideMark/>
          </w:tcPr>
          <w:p w14:paraId="71B9FE7B" w14:textId="77777777" w:rsidR="00107491" w:rsidRPr="00107491" w:rsidRDefault="00107491" w:rsidP="00107491">
            <w:pPr>
              <w:rPr>
                <w:b/>
                <w:bCs/>
                <w:color w:val="000000"/>
                <w:sz w:val="18"/>
                <w:szCs w:val="18"/>
                <w:lang w:val="en-US" w:eastAsia="en-US"/>
              </w:rPr>
            </w:pPr>
          </w:p>
        </w:tc>
        <w:tc>
          <w:tcPr>
            <w:tcW w:w="453" w:type="pct"/>
            <w:vMerge/>
            <w:tcBorders>
              <w:top w:val="nil"/>
              <w:left w:val="single" w:sz="8" w:space="0" w:color="auto"/>
              <w:bottom w:val="double" w:sz="6" w:space="0" w:color="000000"/>
              <w:right w:val="single" w:sz="8" w:space="0" w:color="auto"/>
            </w:tcBorders>
            <w:vAlign w:val="center"/>
            <w:hideMark/>
          </w:tcPr>
          <w:p w14:paraId="07649B90" w14:textId="77777777" w:rsidR="00107491" w:rsidRPr="00107491" w:rsidRDefault="00107491" w:rsidP="00107491">
            <w:pPr>
              <w:rPr>
                <w:b/>
                <w:bCs/>
                <w:color w:val="000000"/>
                <w:sz w:val="18"/>
                <w:szCs w:val="18"/>
                <w:lang w:val="en-US" w:eastAsia="en-US"/>
              </w:rPr>
            </w:pPr>
          </w:p>
        </w:tc>
        <w:tc>
          <w:tcPr>
            <w:tcW w:w="388" w:type="pct"/>
            <w:vMerge/>
            <w:tcBorders>
              <w:top w:val="nil"/>
              <w:left w:val="single" w:sz="8" w:space="0" w:color="auto"/>
              <w:bottom w:val="double" w:sz="6" w:space="0" w:color="000000"/>
              <w:right w:val="single" w:sz="8" w:space="0" w:color="auto"/>
            </w:tcBorders>
            <w:vAlign w:val="center"/>
            <w:hideMark/>
          </w:tcPr>
          <w:p w14:paraId="39B0A5ED" w14:textId="77777777" w:rsidR="00107491" w:rsidRPr="00107491" w:rsidRDefault="00107491" w:rsidP="00107491">
            <w:pPr>
              <w:rPr>
                <w:b/>
                <w:bCs/>
                <w:color w:val="000000"/>
                <w:sz w:val="18"/>
                <w:szCs w:val="18"/>
                <w:lang w:val="en-US" w:eastAsia="en-US"/>
              </w:rPr>
            </w:pPr>
          </w:p>
        </w:tc>
        <w:tc>
          <w:tcPr>
            <w:tcW w:w="258" w:type="pct"/>
            <w:tcBorders>
              <w:top w:val="single" w:sz="8" w:space="0" w:color="auto"/>
              <w:left w:val="nil"/>
              <w:bottom w:val="nil"/>
              <w:right w:val="single" w:sz="8" w:space="0" w:color="auto"/>
            </w:tcBorders>
            <w:shd w:val="clear" w:color="auto" w:fill="auto"/>
            <w:noWrap/>
            <w:vAlign w:val="center"/>
            <w:hideMark/>
          </w:tcPr>
          <w:p w14:paraId="48DA3AEE" w14:textId="77777777" w:rsidR="00601D9B" w:rsidRDefault="000E53A0">
            <w:pPr>
              <w:rPr>
                <w:color w:val="000000"/>
                <w:sz w:val="18"/>
                <w:szCs w:val="18"/>
                <w:lang w:val="en-US" w:eastAsia="en-US"/>
              </w:rPr>
            </w:pPr>
            <w:r w:rsidRPr="00107491">
              <w:rPr>
                <w:color w:val="000000"/>
                <w:sz w:val="18"/>
                <w:szCs w:val="18"/>
                <w:lang w:val="en-US" w:eastAsia="en-US"/>
              </w:rPr>
              <w:t>71300</w:t>
            </w:r>
          </w:p>
        </w:tc>
        <w:tc>
          <w:tcPr>
            <w:tcW w:w="458" w:type="pct"/>
            <w:tcBorders>
              <w:top w:val="single" w:sz="8" w:space="0" w:color="auto"/>
              <w:left w:val="nil"/>
              <w:bottom w:val="nil"/>
              <w:right w:val="single" w:sz="8" w:space="0" w:color="auto"/>
            </w:tcBorders>
            <w:shd w:val="clear" w:color="auto" w:fill="auto"/>
            <w:vAlign w:val="center"/>
            <w:hideMark/>
          </w:tcPr>
          <w:p w14:paraId="7713A163" w14:textId="77777777" w:rsidR="00601D9B" w:rsidRDefault="000E53A0">
            <w:pPr>
              <w:rPr>
                <w:color w:val="000000"/>
                <w:sz w:val="18"/>
                <w:szCs w:val="18"/>
                <w:lang w:val="en-US" w:eastAsia="en-US"/>
              </w:rPr>
            </w:pPr>
            <w:r w:rsidRPr="00107491">
              <w:rPr>
                <w:color w:val="000000"/>
                <w:sz w:val="18"/>
                <w:szCs w:val="18"/>
                <w:lang w:val="en-US" w:eastAsia="en-US"/>
              </w:rPr>
              <w:t>Consultants locaux</w:t>
            </w:r>
          </w:p>
        </w:tc>
        <w:tc>
          <w:tcPr>
            <w:tcW w:w="254" w:type="pct"/>
            <w:tcBorders>
              <w:top w:val="nil"/>
              <w:left w:val="nil"/>
              <w:bottom w:val="single" w:sz="8" w:space="0" w:color="auto"/>
              <w:right w:val="single" w:sz="8" w:space="0" w:color="auto"/>
            </w:tcBorders>
            <w:shd w:val="clear" w:color="auto" w:fill="auto"/>
            <w:noWrap/>
            <w:vAlign w:val="center"/>
            <w:hideMark/>
          </w:tcPr>
          <w:p w14:paraId="47234681"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18,000 </w:t>
            </w:r>
          </w:p>
        </w:tc>
        <w:tc>
          <w:tcPr>
            <w:tcW w:w="273" w:type="pct"/>
            <w:tcBorders>
              <w:top w:val="nil"/>
              <w:left w:val="nil"/>
              <w:bottom w:val="single" w:sz="8" w:space="0" w:color="auto"/>
              <w:right w:val="single" w:sz="8" w:space="0" w:color="auto"/>
            </w:tcBorders>
            <w:shd w:val="clear" w:color="auto" w:fill="auto"/>
            <w:noWrap/>
            <w:vAlign w:val="center"/>
            <w:hideMark/>
          </w:tcPr>
          <w:p w14:paraId="2F54A04D"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19,800 </w:t>
            </w:r>
          </w:p>
        </w:tc>
        <w:tc>
          <w:tcPr>
            <w:tcW w:w="250" w:type="pct"/>
            <w:tcBorders>
              <w:top w:val="nil"/>
              <w:left w:val="nil"/>
              <w:bottom w:val="single" w:sz="8" w:space="0" w:color="auto"/>
              <w:right w:val="single" w:sz="8" w:space="0" w:color="auto"/>
            </w:tcBorders>
            <w:shd w:val="clear" w:color="auto" w:fill="auto"/>
            <w:noWrap/>
            <w:vAlign w:val="center"/>
            <w:hideMark/>
          </w:tcPr>
          <w:p w14:paraId="5C9670DA"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 </w:t>
            </w:r>
          </w:p>
        </w:tc>
        <w:tc>
          <w:tcPr>
            <w:tcW w:w="250" w:type="pct"/>
            <w:tcBorders>
              <w:top w:val="nil"/>
              <w:left w:val="nil"/>
              <w:bottom w:val="single" w:sz="8" w:space="0" w:color="auto"/>
              <w:right w:val="single" w:sz="8" w:space="0" w:color="auto"/>
            </w:tcBorders>
            <w:shd w:val="clear" w:color="auto" w:fill="auto"/>
            <w:noWrap/>
            <w:vAlign w:val="center"/>
            <w:hideMark/>
          </w:tcPr>
          <w:p w14:paraId="127454F5"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 </w:t>
            </w:r>
          </w:p>
        </w:tc>
        <w:tc>
          <w:tcPr>
            <w:tcW w:w="250" w:type="pct"/>
            <w:tcBorders>
              <w:top w:val="nil"/>
              <w:left w:val="nil"/>
              <w:bottom w:val="single" w:sz="8" w:space="0" w:color="auto"/>
              <w:right w:val="single" w:sz="8" w:space="0" w:color="auto"/>
            </w:tcBorders>
            <w:shd w:val="clear" w:color="auto" w:fill="auto"/>
            <w:noWrap/>
            <w:vAlign w:val="center"/>
            <w:hideMark/>
          </w:tcPr>
          <w:p w14:paraId="13EBF4DA"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 </w:t>
            </w:r>
          </w:p>
        </w:tc>
        <w:tc>
          <w:tcPr>
            <w:tcW w:w="250" w:type="pct"/>
            <w:tcBorders>
              <w:top w:val="nil"/>
              <w:left w:val="nil"/>
              <w:bottom w:val="single" w:sz="8" w:space="0" w:color="auto"/>
              <w:right w:val="single" w:sz="8" w:space="0" w:color="auto"/>
            </w:tcBorders>
            <w:shd w:val="clear" w:color="auto" w:fill="auto"/>
            <w:noWrap/>
            <w:vAlign w:val="center"/>
            <w:hideMark/>
          </w:tcPr>
          <w:p w14:paraId="5E1D0B5C"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6,000 </w:t>
            </w:r>
          </w:p>
        </w:tc>
        <w:tc>
          <w:tcPr>
            <w:tcW w:w="261" w:type="pct"/>
            <w:tcBorders>
              <w:top w:val="nil"/>
              <w:left w:val="nil"/>
              <w:bottom w:val="single" w:sz="8" w:space="0" w:color="auto"/>
              <w:right w:val="single" w:sz="8" w:space="0" w:color="auto"/>
            </w:tcBorders>
            <w:shd w:val="clear" w:color="auto" w:fill="auto"/>
            <w:noWrap/>
            <w:vAlign w:val="center"/>
            <w:hideMark/>
          </w:tcPr>
          <w:p w14:paraId="1B49C328"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43,800 </w:t>
            </w:r>
          </w:p>
        </w:tc>
        <w:tc>
          <w:tcPr>
            <w:tcW w:w="183" w:type="pct"/>
            <w:tcBorders>
              <w:top w:val="nil"/>
              <w:left w:val="nil"/>
              <w:bottom w:val="single" w:sz="8" w:space="0" w:color="auto"/>
              <w:right w:val="single" w:sz="8" w:space="0" w:color="auto"/>
            </w:tcBorders>
            <w:shd w:val="clear" w:color="auto" w:fill="auto"/>
            <w:vAlign w:val="center"/>
            <w:hideMark/>
          </w:tcPr>
          <w:p w14:paraId="77D09D3C" w14:textId="77777777" w:rsidR="00601D9B" w:rsidRDefault="000E53A0">
            <w:pPr>
              <w:jc w:val="center"/>
              <w:rPr>
                <w:i/>
                <w:iCs/>
                <w:color w:val="000000"/>
                <w:sz w:val="18"/>
                <w:szCs w:val="18"/>
                <w:lang w:val="en-US" w:eastAsia="en-US"/>
              </w:rPr>
            </w:pPr>
            <w:r w:rsidRPr="00107491">
              <w:rPr>
                <w:i/>
                <w:iCs/>
                <w:color w:val="000000"/>
                <w:sz w:val="18"/>
                <w:szCs w:val="18"/>
                <w:lang w:val="en-US" w:eastAsia="en-US"/>
              </w:rPr>
              <w:t>7</w:t>
            </w:r>
          </w:p>
        </w:tc>
        <w:tc>
          <w:tcPr>
            <w:tcW w:w="35" w:type="pct"/>
            <w:vAlign w:val="center"/>
            <w:hideMark/>
          </w:tcPr>
          <w:p w14:paraId="192D007C" w14:textId="77777777" w:rsidR="00107491" w:rsidRPr="00107491" w:rsidRDefault="00107491" w:rsidP="00107491">
            <w:pPr>
              <w:rPr>
                <w:sz w:val="20"/>
                <w:szCs w:val="20"/>
                <w:lang w:val="en-US" w:eastAsia="en-US"/>
              </w:rPr>
            </w:pPr>
          </w:p>
        </w:tc>
      </w:tr>
      <w:tr w:rsidR="00107491" w:rsidRPr="00107491" w14:paraId="20DAB76E" w14:textId="77777777" w:rsidTr="00107491">
        <w:trPr>
          <w:trHeight w:val="555"/>
        </w:trPr>
        <w:tc>
          <w:tcPr>
            <w:tcW w:w="1056" w:type="pct"/>
            <w:tcBorders>
              <w:top w:val="nil"/>
              <w:left w:val="single" w:sz="8" w:space="0" w:color="auto"/>
              <w:bottom w:val="nil"/>
              <w:right w:val="single" w:sz="8" w:space="0" w:color="auto"/>
            </w:tcBorders>
            <w:shd w:val="clear" w:color="auto" w:fill="auto"/>
            <w:vAlign w:val="center"/>
            <w:hideMark/>
          </w:tcPr>
          <w:p w14:paraId="176C0F64" w14:textId="77777777" w:rsidR="00107491" w:rsidRPr="00107491" w:rsidRDefault="00107491" w:rsidP="00107491">
            <w:pPr>
              <w:rPr>
                <w:rFonts w:ascii="Calibri" w:hAnsi="Calibri" w:cs="Calibri"/>
                <w:color w:val="000000"/>
                <w:sz w:val="18"/>
                <w:szCs w:val="18"/>
                <w:lang w:val="en-US" w:eastAsia="en-US"/>
              </w:rPr>
            </w:pPr>
            <w:r w:rsidRPr="00107491">
              <w:rPr>
                <w:rFonts w:ascii="Calibri" w:hAnsi="Calibri" w:cs="Calibri"/>
                <w:color w:val="000000"/>
                <w:sz w:val="18"/>
                <w:szCs w:val="18"/>
                <w:lang w:val="en-US" w:eastAsia="en-US"/>
              </w:rPr>
              <w:t> </w:t>
            </w:r>
          </w:p>
        </w:tc>
        <w:tc>
          <w:tcPr>
            <w:tcW w:w="381" w:type="pct"/>
            <w:vMerge/>
            <w:tcBorders>
              <w:top w:val="nil"/>
              <w:left w:val="single" w:sz="8" w:space="0" w:color="auto"/>
              <w:bottom w:val="double" w:sz="6" w:space="0" w:color="000000"/>
              <w:right w:val="single" w:sz="8" w:space="0" w:color="auto"/>
            </w:tcBorders>
            <w:vAlign w:val="center"/>
            <w:hideMark/>
          </w:tcPr>
          <w:p w14:paraId="27971D1C" w14:textId="77777777" w:rsidR="00107491" w:rsidRPr="00107491" w:rsidRDefault="00107491" w:rsidP="00107491">
            <w:pPr>
              <w:rPr>
                <w:b/>
                <w:bCs/>
                <w:color w:val="000000"/>
                <w:sz w:val="18"/>
                <w:szCs w:val="18"/>
                <w:lang w:val="en-US" w:eastAsia="en-US"/>
              </w:rPr>
            </w:pPr>
          </w:p>
        </w:tc>
        <w:tc>
          <w:tcPr>
            <w:tcW w:w="453" w:type="pct"/>
            <w:vMerge/>
            <w:tcBorders>
              <w:top w:val="nil"/>
              <w:left w:val="single" w:sz="8" w:space="0" w:color="auto"/>
              <w:bottom w:val="double" w:sz="6" w:space="0" w:color="000000"/>
              <w:right w:val="single" w:sz="8" w:space="0" w:color="auto"/>
            </w:tcBorders>
            <w:vAlign w:val="center"/>
            <w:hideMark/>
          </w:tcPr>
          <w:p w14:paraId="6B449456" w14:textId="77777777" w:rsidR="00107491" w:rsidRPr="00107491" w:rsidRDefault="00107491" w:rsidP="00107491">
            <w:pPr>
              <w:rPr>
                <w:b/>
                <w:bCs/>
                <w:color w:val="000000"/>
                <w:sz w:val="18"/>
                <w:szCs w:val="18"/>
                <w:lang w:val="en-US" w:eastAsia="en-US"/>
              </w:rPr>
            </w:pPr>
          </w:p>
        </w:tc>
        <w:tc>
          <w:tcPr>
            <w:tcW w:w="388" w:type="pct"/>
            <w:vMerge/>
            <w:tcBorders>
              <w:top w:val="nil"/>
              <w:left w:val="single" w:sz="8" w:space="0" w:color="auto"/>
              <w:bottom w:val="double" w:sz="6" w:space="0" w:color="000000"/>
              <w:right w:val="single" w:sz="8" w:space="0" w:color="auto"/>
            </w:tcBorders>
            <w:vAlign w:val="center"/>
            <w:hideMark/>
          </w:tcPr>
          <w:p w14:paraId="40FB86ED" w14:textId="77777777" w:rsidR="00107491" w:rsidRPr="00107491" w:rsidRDefault="00107491" w:rsidP="00107491">
            <w:pPr>
              <w:rPr>
                <w:b/>
                <w:bCs/>
                <w:color w:val="000000"/>
                <w:sz w:val="18"/>
                <w:szCs w:val="18"/>
                <w:lang w:val="en-US" w:eastAsia="en-US"/>
              </w:rPr>
            </w:pPr>
          </w:p>
        </w:tc>
        <w:tc>
          <w:tcPr>
            <w:tcW w:w="258" w:type="pct"/>
            <w:tcBorders>
              <w:top w:val="single" w:sz="8" w:space="0" w:color="auto"/>
              <w:left w:val="nil"/>
              <w:bottom w:val="nil"/>
              <w:right w:val="single" w:sz="8" w:space="0" w:color="auto"/>
            </w:tcBorders>
            <w:shd w:val="clear" w:color="auto" w:fill="auto"/>
            <w:noWrap/>
            <w:vAlign w:val="center"/>
            <w:hideMark/>
          </w:tcPr>
          <w:p w14:paraId="0C740A4B" w14:textId="77777777" w:rsidR="00601D9B" w:rsidRDefault="000E53A0">
            <w:pPr>
              <w:rPr>
                <w:color w:val="000000"/>
                <w:sz w:val="18"/>
                <w:szCs w:val="18"/>
                <w:lang w:val="en-US" w:eastAsia="en-US"/>
              </w:rPr>
            </w:pPr>
            <w:r w:rsidRPr="00107491">
              <w:rPr>
                <w:color w:val="000000"/>
                <w:sz w:val="18"/>
                <w:szCs w:val="18"/>
                <w:lang w:val="en-US" w:eastAsia="en-US"/>
              </w:rPr>
              <w:t>71400</w:t>
            </w:r>
          </w:p>
        </w:tc>
        <w:tc>
          <w:tcPr>
            <w:tcW w:w="458" w:type="pct"/>
            <w:tcBorders>
              <w:top w:val="single" w:sz="8" w:space="0" w:color="auto"/>
              <w:left w:val="nil"/>
              <w:bottom w:val="nil"/>
              <w:right w:val="single" w:sz="8" w:space="0" w:color="auto"/>
            </w:tcBorders>
            <w:shd w:val="clear" w:color="auto" w:fill="auto"/>
            <w:vAlign w:val="center"/>
            <w:hideMark/>
          </w:tcPr>
          <w:p w14:paraId="5ABB8AB4" w14:textId="77777777" w:rsidR="00601D9B" w:rsidRDefault="000E53A0">
            <w:pPr>
              <w:rPr>
                <w:color w:val="000000"/>
                <w:sz w:val="18"/>
                <w:szCs w:val="18"/>
                <w:lang w:val="en-US" w:eastAsia="en-US"/>
              </w:rPr>
            </w:pPr>
            <w:r w:rsidRPr="00107491">
              <w:rPr>
                <w:color w:val="000000"/>
                <w:sz w:val="18"/>
                <w:szCs w:val="18"/>
                <w:lang w:val="en-US" w:eastAsia="en-US"/>
              </w:rPr>
              <w:t>Services contractuels - Individuel</w:t>
            </w:r>
          </w:p>
        </w:tc>
        <w:tc>
          <w:tcPr>
            <w:tcW w:w="254" w:type="pct"/>
            <w:tcBorders>
              <w:top w:val="nil"/>
              <w:left w:val="nil"/>
              <w:bottom w:val="single" w:sz="8" w:space="0" w:color="auto"/>
              <w:right w:val="single" w:sz="8" w:space="0" w:color="auto"/>
            </w:tcBorders>
            <w:shd w:val="clear" w:color="auto" w:fill="auto"/>
            <w:noWrap/>
            <w:vAlign w:val="center"/>
            <w:hideMark/>
          </w:tcPr>
          <w:p w14:paraId="67C502B7"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12,500 </w:t>
            </w:r>
          </w:p>
        </w:tc>
        <w:tc>
          <w:tcPr>
            <w:tcW w:w="273" w:type="pct"/>
            <w:tcBorders>
              <w:top w:val="nil"/>
              <w:left w:val="nil"/>
              <w:bottom w:val="single" w:sz="8" w:space="0" w:color="auto"/>
              <w:right w:val="single" w:sz="8" w:space="0" w:color="auto"/>
            </w:tcBorders>
            <w:shd w:val="clear" w:color="auto" w:fill="auto"/>
            <w:noWrap/>
            <w:vAlign w:val="center"/>
            <w:hideMark/>
          </w:tcPr>
          <w:p w14:paraId="0C0612D5"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 </w:t>
            </w:r>
          </w:p>
        </w:tc>
        <w:tc>
          <w:tcPr>
            <w:tcW w:w="250" w:type="pct"/>
            <w:tcBorders>
              <w:top w:val="nil"/>
              <w:left w:val="nil"/>
              <w:bottom w:val="single" w:sz="8" w:space="0" w:color="auto"/>
              <w:right w:val="single" w:sz="8" w:space="0" w:color="auto"/>
            </w:tcBorders>
            <w:shd w:val="clear" w:color="auto" w:fill="auto"/>
            <w:noWrap/>
            <w:vAlign w:val="center"/>
            <w:hideMark/>
          </w:tcPr>
          <w:p w14:paraId="600D1B84"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 </w:t>
            </w:r>
          </w:p>
        </w:tc>
        <w:tc>
          <w:tcPr>
            <w:tcW w:w="250" w:type="pct"/>
            <w:tcBorders>
              <w:top w:val="nil"/>
              <w:left w:val="nil"/>
              <w:bottom w:val="single" w:sz="8" w:space="0" w:color="auto"/>
              <w:right w:val="single" w:sz="8" w:space="0" w:color="auto"/>
            </w:tcBorders>
            <w:shd w:val="clear" w:color="auto" w:fill="auto"/>
            <w:noWrap/>
            <w:vAlign w:val="center"/>
            <w:hideMark/>
          </w:tcPr>
          <w:p w14:paraId="71E5823F"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 </w:t>
            </w:r>
          </w:p>
        </w:tc>
        <w:tc>
          <w:tcPr>
            <w:tcW w:w="250" w:type="pct"/>
            <w:tcBorders>
              <w:top w:val="nil"/>
              <w:left w:val="nil"/>
              <w:bottom w:val="single" w:sz="8" w:space="0" w:color="auto"/>
              <w:right w:val="single" w:sz="8" w:space="0" w:color="auto"/>
            </w:tcBorders>
            <w:shd w:val="clear" w:color="auto" w:fill="auto"/>
            <w:noWrap/>
            <w:vAlign w:val="center"/>
            <w:hideMark/>
          </w:tcPr>
          <w:p w14:paraId="0CC2AF4A"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 </w:t>
            </w:r>
          </w:p>
        </w:tc>
        <w:tc>
          <w:tcPr>
            <w:tcW w:w="250" w:type="pct"/>
            <w:tcBorders>
              <w:top w:val="nil"/>
              <w:left w:val="nil"/>
              <w:bottom w:val="single" w:sz="8" w:space="0" w:color="auto"/>
              <w:right w:val="single" w:sz="8" w:space="0" w:color="auto"/>
            </w:tcBorders>
            <w:shd w:val="clear" w:color="auto" w:fill="auto"/>
            <w:noWrap/>
            <w:vAlign w:val="center"/>
            <w:hideMark/>
          </w:tcPr>
          <w:p w14:paraId="23CB5BDD"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12,500 </w:t>
            </w:r>
          </w:p>
        </w:tc>
        <w:tc>
          <w:tcPr>
            <w:tcW w:w="261" w:type="pct"/>
            <w:tcBorders>
              <w:top w:val="nil"/>
              <w:left w:val="nil"/>
              <w:bottom w:val="single" w:sz="8" w:space="0" w:color="auto"/>
              <w:right w:val="single" w:sz="8" w:space="0" w:color="auto"/>
            </w:tcBorders>
            <w:shd w:val="clear" w:color="auto" w:fill="auto"/>
            <w:noWrap/>
            <w:vAlign w:val="center"/>
            <w:hideMark/>
          </w:tcPr>
          <w:p w14:paraId="4B8FE6AE"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25,000 </w:t>
            </w:r>
          </w:p>
        </w:tc>
        <w:tc>
          <w:tcPr>
            <w:tcW w:w="183" w:type="pct"/>
            <w:tcBorders>
              <w:top w:val="nil"/>
              <w:left w:val="nil"/>
              <w:bottom w:val="single" w:sz="8" w:space="0" w:color="auto"/>
              <w:right w:val="single" w:sz="8" w:space="0" w:color="auto"/>
            </w:tcBorders>
            <w:shd w:val="clear" w:color="auto" w:fill="auto"/>
            <w:vAlign w:val="center"/>
            <w:hideMark/>
          </w:tcPr>
          <w:p w14:paraId="6A91804B" w14:textId="77777777" w:rsidR="00601D9B" w:rsidRDefault="000E53A0">
            <w:pPr>
              <w:jc w:val="center"/>
              <w:rPr>
                <w:i/>
                <w:iCs/>
                <w:color w:val="000000"/>
                <w:sz w:val="18"/>
                <w:szCs w:val="18"/>
                <w:lang w:val="en-US" w:eastAsia="en-US"/>
              </w:rPr>
            </w:pPr>
            <w:r w:rsidRPr="00107491">
              <w:rPr>
                <w:i/>
                <w:iCs/>
                <w:color w:val="000000"/>
                <w:sz w:val="18"/>
                <w:szCs w:val="18"/>
                <w:lang w:val="en-US" w:eastAsia="en-US"/>
              </w:rPr>
              <w:t>8</w:t>
            </w:r>
          </w:p>
        </w:tc>
        <w:tc>
          <w:tcPr>
            <w:tcW w:w="35" w:type="pct"/>
            <w:vAlign w:val="center"/>
            <w:hideMark/>
          </w:tcPr>
          <w:p w14:paraId="6AF3AA57" w14:textId="77777777" w:rsidR="00107491" w:rsidRPr="00107491" w:rsidRDefault="00107491" w:rsidP="00107491">
            <w:pPr>
              <w:rPr>
                <w:sz w:val="20"/>
                <w:szCs w:val="20"/>
                <w:lang w:val="en-US" w:eastAsia="en-US"/>
              </w:rPr>
            </w:pPr>
          </w:p>
        </w:tc>
      </w:tr>
      <w:tr w:rsidR="00107491" w:rsidRPr="00107491" w14:paraId="287D1FA5" w14:textId="77777777" w:rsidTr="00107491">
        <w:trPr>
          <w:trHeight w:val="555"/>
        </w:trPr>
        <w:tc>
          <w:tcPr>
            <w:tcW w:w="1056" w:type="pct"/>
            <w:tcBorders>
              <w:top w:val="nil"/>
              <w:left w:val="single" w:sz="8" w:space="0" w:color="auto"/>
              <w:bottom w:val="nil"/>
              <w:right w:val="single" w:sz="8" w:space="0" w:color="auto"/>
            </w:tcBorders>
            <w:shd w:val="clear" w:color="auto" w:fill="auto"/>
            <w:vAlign w:val="center"/>
            <w:hideMark/>
          </w:tcPr>
          <w:p w14:paraId="01BBB920" w14:textId="77777777" w:rsidR="00107491" w:rsidRPr="00107491" w:rsidRDefault="00107491" w:rsidP="00107491">
            <w:pPr>
              <w:rPr>
                <w:rFonts w:ascii="Calibri" w:hAnsi="Calibri" w:cs="Calibri"/>
                <w:color w:val="000000"/>
                <w:sz w:val="18"/>
                <w:szCs w:val="18"/>
                <w:lang w:val="en-US" w:eastAsia="en-US"/>
              </w:rPr>
            </w:pPr>
            <w:r w:rsidRPr="00107491">
              <w:rPr>
                <w:rFonts w:ascii="Calibri" w:hAnsi="Calibri" w:cs="Calibri"/>
                <w:color w:val="000000"/>
                <w:sz w:val="18"/>
                <w:szCs w:val="18"/>
                <w:lang w:val="en-US" w:eastAsia="en-US"/>
              </w:rPr>
              <w:t> </w:t>
            </w:r>
          </w:p>
        </w:tc>
        <w:tc>
          <w:tcPr>
            <w:tcW w:w="381" w:type="pct"/>
            <w:vMerge/>
            <w:tcBorders>
              <w:top w:val="nil"/>
              <w:left w:val="single" w:sz="8" w:space="0" w:color="auto"/>
              <w:bottom w:val="double" w:sz="6" w:space="0" w:color="000000"/>
              <w:right w:val="single" w:sz="8" w:space="0" w:color="auto"/>
            </w:tcBorders>
            <w:vAlign w:val="center"/>
            <w:hideMark/>
          </w:tcPr>
          <w:p w14:paraId="19B9C304" w14:textId="77777777" w:rsidR="00107491" w:rsidRPr="00107491" w:rsidRDefault="00107491" w:rsidP="00107491">
            <w:pPr>
              <w:rPr>
                <w:b/>
                <w:bCs/>
                <w:color w:val="000000"/>
                <w:sz w:val="18"/>
                <w:szCs w:val="18"/>
                <w:lang w:val="en-US" w:eastAsia="en-US"/>
              </w:rPr>
            </w:pPr>
          </w:p>
        </w:tc>
        <w:tc>
          <w:tcPr>
            <w:tcW w:w="453" w:type="pct"/>
            <w:vMerge/>
            <w:tcBorders>
              <w:top w:val="nil"/>
              <w:left w:val="single" w:sz="8" w:space="0" w:color="auto"/>
              <w:bottom w:val="double" w:sz="6" w:space="0" w:color="000000"/>
              <w:right w:val="single" w:sz="8" w:space="0" w:color="auto"/>
            </w:tcBorders>
            <w:vAlign w:val="center"/>
            <w:hideMark/>
          </w:tcPr>
          <w:p w14:paraId="067B2163" w14:textId="77777777" w:rsidR="00107491" w:rsidRPr="00107491" w:rsidRDefault="00107491" w:rsidP="00107491">
            <w:pPr>
              <w:rPr>
                <w:b/>
                <w:bCs/>
                <w:color w:val="000000"/>
                <w:sz w:val="18"/>
                <w:szCs w:val="18"/>
                <w:lang w:val="en-US" w:eastAsia="en-US"/>
              </w:rPr>
            </w:pPr>
          </w:p>
        </w:tc>
        <w:tc>
          <w:tcPr>
            <w:tcW w:w="388" w:type="pct"/>
            <w:vMerge/>
            <w:tcBorders>
              <w:top w:val="nil"/>
              <w:left w:val="single" w:sz="8" w:space="0" w:color="auto"/>
              <w:bottom w:val="double" w:sz="6" w:space="0" w:color="000000"/>
              <w:right w:val="single" w:sz="8" w:space="0" w:color="auto"/>
            </w:tcBorders>
            <w:vAlign w:val="center"/>
            <w:hideMark/>
          </w:tcPr>
          <w:p w14:paraId="3CBC8E89" w14:textId="77777777" w:rsidR="00107491" w:rsidRPr="00107491" w:rsidRDefault="00107491" w:rsidP="00107491">
            <w:pPr>
              <w:rPr>
                <w:b/>
                <w:bCs/>
                <w:color w:val="000000"/>
                <w:sz w:val="18"/>
                <w:szCs w:val="18"/>
                <w:lang w:val="en-US" w:eastAsia="en-US"/>
              </w:rPr>
            </w:pPr>
          </w:p>
        </w:tc>
        <w:tc>
          <w:tcPr>
            <w:tcW w:w="258" w:type="pct"/>
            <w:tcBorders>
              <w:top w:val="single" w:sz="8" w:space="0" w:color="auto"/>
              <w:left w:val="nil"/>
              <w:bottom w:val="nil"/>
              <w:right w:val="single" w:sz="8" w:space="0" w:color="auto"/>
            </w:tcBorders>
            <w:shd w:val="clear" w:color="auto" w:fill="auto"/>
            <w:noWrap/>
            <w:vAlign w:val="center"/>
            <w:hideMark/>
          </w:tcPr>
          <w:p w14:paraId="28B4E0C2" w14:textId="77777777" w:rsidR="00601D9B" w:rsidRDefault="000E53A0">
            <w:pPr>
              <w:rPr>
                <w:color w:val="000000"/>
                <w:sz w:val="18"/>
                <w:szCs w:val="18"/>
                <w:lang w:val="en-US" w:eastAsia="en-US"/>
              </w:rPr>
            </w:pPr>
            <w:r w:rsidRPr="00107491">
              <w:rPr>
                <w:color w:val="000000"/>
                <w:sz w:val="18"/>
                <w:szCs w:val="18"/>
                <w:lang w:val="en-US" w:eastAsia="en-US"/>
              </w:rPr>
              <w:t>75700</w:t>
            </w:r>
          </w:p>
        </w:tc>
        <w:tc>
          <w:tcPr>
            <w:tcW w:w="458" w:type="pct"/>
            <w:tcBorders>
              <w:top w:val="single" w:sz="8" w:space="0" w:color="auto"/>
              <w:left w:val="nil"/>
              <w:bottom w:val="single" w:sz="8" w:space="0" w:color="auto"/>
              <w:right w:val="single" w:sz="8" w:space="0" w:color="auto"/>
            </w:tcBorders>
            <w:shd w:val="clear" w:color="auto" w:fill="auto"/>
            <w:vAlign w:val="center"/>
            <w:hideMark/>
          </w:tcPr>
          <w:p w14:paraId="3E1F34CA" w14:textId="77777777" w:rsidR="00601D9B" w:rsidRDefault="000E53A0">
            <w:pPr>
              <w:rPr>
                <w:color w:val="000000"/>
                <w:sz w:val="18"/>
                <w:szCs w:val="18"/>
                <w:lang w:val="en-US" w:eastAsia="en-US"/>
              </w:rPr>
            </w:pPr>
            <w:r w:rsidRPr="00107491">
              <w:rPr>
                <w:color w:val="000000"/>
                <w:sz w:val="18"/>
                <w:szCs w:val="18"/>
                <w:lang w:val="en-US" w:eastAsia="en-US"/>
              </w:rPr>
              <w:t>Formation, ateliers et conférences</w:t>
            </w:r>
          </w:p>
        </w:tc>
        <w:tc>
          <w:tcPr>
            <w:tcW w:w="254" w:type="pct"/>
            <w:tcBorders>
              <w:top w:val="nil"/>
              <w:left w:val="nil"/>
              <w:bottom w:val="single" w:sz="8" w:space="0" w:color="auto"/>
              <w:right w:val="single" w:sz="8" w:space="0" w:color="auto"/>
            </w:tcBorders>
            <w:shd w:val="clear" w:color="auto" w:fill="auto"/>
            <w:noWrap/>
            <w:vAlign w:val="center"/>
            <w:hideMark/>
          </w:tcPr>
          <w:p w14:paraId="4E38F9B5"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4,350 </w:t>
            </w:r>
          </w:p>
        </w:tc>
        <w:tc>
          <w:tcPr>
            <w:tcW w:w="273" w:type="pct"/>
            <w:tcBorders>
              <w:top w:val="nil"/>
              <w:left w:val="nil"/>
              <w:bottom w:val="single" w:sz="8" w:space="0" w:color="auto"/>
              <w:right w:val="single" w:sz="8" w:space="0" w:color="auto"/>
            </w:tcBorders>
            <w:shd w:val="clear" w:color="auto" w:fill="auto"/>
            <w:noWrap/>
            <w:vAlign w:val="center"/>
            <w:hideMark/>
          </w:tcPr>
          <w:p w14:paraId="7AD063CD"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34,875 </w:t>
            </w:r>
          </w:p>
        </w:tc>
        <w:tc>
          <w:tcPr>
            <w:tcW w:w="250" w:type="pct"/>
            <w:tcBorders>
              <w:top w:val="nil"/>
              <w:left w:val="nil"/>
              <w:bottom w:val="single" w:sz="8" w:space="0" w:color="auto"/>
              <w:right w:val="single" w:sz="8" w:space="0" w:color="auto"/>
            </w:tcBorders>
            <w:shd w:val="clear" w:color="auto" w:fill="auto"/>
            <w:noWrap/>
            <w:vAlign w:val="center"/>
            <w:hideMark/>
          </w:tcPr>
          <w:p w14:paraId="2791A184"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 </w:t>
            </w:r>
          </w:p>
        </w:tc>
        <w:tc>
          <w:tcPr>
            <w:tcW w:w="250" w:type="pct"/>
            <w:tcBorders>
              <w:top w:val="nil"/>
              <w:left w:val="nil"/>
              <w:bottom w:val="single" w:sz="8" w:space="0" w:color="auto"/>
              <w:right w:val="single" w:sz="8" w:space="0" w:color="auto"/>
            </w:tcBorders>
            <w:shd w:val="clear" w:color="auto" w:fill="auto"/>
            <w:noWrap/>
            <w:vAlign w:val="center"/>
            <w:hideMark/>
          </w:tcPr>
          <w:p w14:paraId="18EE0A1D"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 </w:t>
            </w:r>
          </w:p>
        </w:tc>
        <w:tc>
          <w:tcPr>
            <w:tcW w:w="250" w:type="pct"/>
            <w:tcBorders>
              <w:top w:val="nil"/>
              <w:left w:val="nil"/>
              <w:bottom w:val="single" w:sz="8" w:space="0" w:color="auto"/>
              <w:right w:val="single" w:sz="8" w:space="0" w:color="auto"/>
            </w:tcBorders>
            <w:shd w:val="clear" w:color="auto" w:fill="auto"/>
            <w:noWrap/>
            <w:vAlign w:val="center"/>
            <w:hideMark/>
          </w:tcPr>
          <w:p w14:paraId="7F06C71C"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 </w:t>
            </w:r>
          </w:p>
        </w:tc>
        <w:tc>
          <w:tcPr>
            <w:tcW w:w="250" w:type="pct"/>
            <w:tcBorders>
              <w:top w:val="nil"/>
              <w:left w:val="nil"/>
              <w:bottom w:val="single" w:sz="8" w:space="0" w:color="auto"/>
              <w:right w:val="single" w:sz="8" w:space="0" w:color="auto"/>
            </w:tcBorders>
            <w:shd w:val="clear" w:color="auto" w:fill="auto"/>
            <w:noWrap/>
            <w:vAlign w:val="center"/>
            <w:hideMark/>
          </w:tcPr>
          <w:p w14:paraId="42116F70"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34,875 </w:t>
            </w:r>
          </w:p>
        </w:tc>
        <w:tc>
          <w:tcPr>
            <w:tcW w:w="261" w:type="pct"/>
            <w:tcBorders>
              <w:top w:val="nil"/>
              <w:left w:val="nil"/>
              <w:bottom w:val="single" w:sz="8" w:space="0" w:color="auto"/>
              <w:right w:val="single" w:sz="8" w:space="0" w:color="auto"/>
            </w:tcBorders>
            <w:shd w:val="clear" w:color="auto" w:fill="auto"/>
            <w:noWrap/>
            <w:vAlign w:val="center"/>
            <w:hideMark/>
          </w:tcPr>
          <w:p w14:paraId="31ECF5AD"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74,100 </w:t>
            </w:r>
          </w:p>
        </w:tc>
        <w:tc>
          <w:tcPr>
            <w:tcW w:w="183" w:type="pct"/>
            <w:tcBorders>
              <w:top w:val="nil"/>
              <w:left w:val="nil"/>
              <w:bottom w:val="single" w:sz="8" w:space="0" w:color="auto"/>
              <w:right w:val="single" w:sz="8" w:space="0" w:color="auto"/>
            </w:tcBorders>
            <w:shd w:val="clear" w:color="auto" w:fill="auto"/>
            <w:vAlign w:val="center"/>
            <w:hideMark/>
          </w:tcPr>
          <w:p w14:paraId="6A99CD74" w14:textId="77777777" w:rsidR="00601D9B" w:rsidRDefault="000E53A0">
            <w:pPr>
              <w:jc w:val="center"/>
              <w:rPr>
                <w:i/>
                <w:iCs/>
                <w:color w:val="000000"/>
                <w:sz w:val="18"/>
                <w:szCs w:val="18"/>
                <w:lang w:val="en-US" w:eastAsia="en-US"/>
              </w:rPr>
            </w:pPr>
            <w:r w:rsidRPr="00107491">
              <w:rPr>
                <w:i/>
                <w:iCs/>
                <w:color w:val="000000"/>
                <w:sz w:val="18"/>
                <w:szCs w:val="18"/>
                <w:lang w:val="en-US" w:eastAsia="en-US"/>
              </w:rPr>
              <w:t>9</w:t>
            </w:r>
          </w:p>
        </w:tc>
        <w:tc>
          <w:tcPr>
            <w:tcW w:w="35" w:type="pct"/>
            <w:vAlign w:val="center"/>
            <w:hideMark/>
          </w:tcPr>
          <w:p w14:paraId="296BD2A7" w14:textId="77777777" w:rsidR="00107491" w:rsidRPr="00107491" w:rsidRDefault="00107491" w:rsidP="00107491">
            <w:pPr>
              <w:rPr>
                <w:sz w:val="20"/>
                <w:szCs w:val="20"/>
                <w:lang w:val="en-US" w:eastAsia="en-US"/>
              </w:rPr>
            </w:pPr>
          </w:p>
        </w:tc>
      </w:tr>
      <w:tr w:rsidR="00107491" w:rsidRPr="00107491" w14:paraId="00A69176" w14:textId="77777777" w:rsidTr="00107491">
        <w:trPr>
          <w:trHeight w:val="300"/>
        </w:trPr>
        <w:tc>
          <w:tcPr>
            <w:tcW w:w="1056" w:type="pct"/>
            <w:tcBorders>
              <w:top w:val="nil"/>
              <w:left w:val="single" w:sz="8" w:space="0" w:color="auto"/>
              <w:bottom w:val="nil"/>
              <w:right w:val="single" w:sz="8" w:space="0" w:color="auto"/>
            </w:tcBorders>
            <w:shd w:val="clear" w:color="auto" w:fill="auto"/>
            <w:vAlign w:val="center"/>
            <w:hideMark/>
          </w:tcPr>
          <w:p w14:paraId="6333C1A6" w14:textId="77777777" w:rsidR="00107491" w:rsidRPr="00107491" w:rsidRDefault="00107491" w:rsidP="00107491">
            <w:pPr>
              <w:rPr>
                <w:rFonts w:ascii="Calibri" w:hAnsi="Calibri" w:cs="Calibri"/>
                <w:color w:val="000000"/>
                <w:sz w:val="18"/>
                <w:szCs w:val="18"/>
                <w:lang w:val="en-US" w:eastAsia="en-US"/>
              </w:rPr>
            </w:pPr>
            <w:r w:rsidRPr="00107491">
              <w:rPr>
                <w:rFonts w:ascii="Calibri" w:hAnsi="Calibri" w:cs="Calibri"/>
                <w:color w:val="000000"/>
                <w:sz w:val="18"/>
                <w:szCs w:val="18"/>
                <w:lang w:val="en-US" w:eastAsia="en-US"/>
              </w:rPr>
              <w:t> </w:t>
            </w:r>
          </w:p>
        </w:tc>
        <w:tc>
          <w:tcPr>
            <w:tcW w:w="381" w:type="pct"/>
            <w:vMerge/>
            <w:tcBorders>
              <w:top w:val="nil"/>
              <w:left w:val="single" w:sz="8" w:space="0" w:color="auto"/>
              <w:bottom w:val="double" w:sz="6" w:space="0" w:color="000000"/>
              <w:right w:val="single" w:sz="8" w:space="0" w:color="auto"/>
            </w:tcBorders>
            <w:vAlign w:val="center"/>
            <w:hideMark/>
          </w:tcPr>
          <w:p w14:paraId="5398ECCC" w14:textId="77777777" w:rsidR="00107491" w:rsidRPr="00107491" w:rsidRDefault="00107491" w:rsidP="00107491">
            <w:pPr>
              <w:rPr>
                <w:b/>
                <w:bCs/>
                <w:color w:val="000000"/>
                <w:sz w:val="18"/>
                <w:szCs w:val="18"/>
                <w:lang w:val="en-US" w:eastAsia="en-US"/>
              </w:rPr>
            </w:pPr>
          </w:p>
        </w:tc>
        <w:tc>
          <w:tcPr>
            <w:tcW w:w="453" w:type="pct"/>
            <w:vMerge/>
            <w:tcBorders>
              <w:top w:val="nil"/>
              <w:left w:val="single" w:sz="8" w:space="0" w:color="auto"/>
              <w:bottom w:val="double" w:sz="6" w:space="0" w:color="000000"/>
              <w:right w:val="single" w:sz="8" w:space="0" w:color="auto"/>
            </w:tcBorders>
            <w:vAlign w:val="center"/>
            <w:hideMark/>
          </w:tcPr>
          <w:p w14:paraId="2CC132BD" w14:textId="77777777" w:rsidR="00107491" w:rsidRPr="00107491" w:rsidRDefault="00107491" w:rsidP="00107491">
            <w:pPr>
              <w:rPr>
                <w:b/>
                <w:bCs/>
                <w:color w:val="000000"/>
                <w:sz w:val="18"/>
                <w:szCs w:val="18"/>
                <w:lang w:val="en-US" w:eastAsia="en-US"/>
              </w:rPr>
            </w:pPr>
          </w:p>
        </w:tc>
        <w:tc>
          <w:tcPr>
            <w:tcW w:w="388" w:type="pct"/>
            <w:vMerge/>
            <w:tcBorders>
              <w:top w:val="nil"/>
              <w:left w:val="single" w:sz="8" w:space="0" w:color="auto"/>
              <w:bottom w:val="double" w:sz="6" w:space="0" w:color="000000"/>
              <w:right w:val="single" w:sz="8" w:space="0" w:color="auto"/>
            </w:tcBorders>
            <w:vAlign w:val="center"/>
            <w:hideMark/>
          </w:tcPr>
          <w:p w14:paraId="0AC45454" w14:textId="77777777" w:rsidR="00107491" w:rsidRPr="00107491" w:rsidRDefault="00107491" w:rsidP="00107491">
            <w:pPr>
              <w:rPr>
                <w:b/>
                <w:bCs/>
                <w:color w:val="000000"/>
                <w:sz w:val="18"/>
                <w:szCs w:val="18"/>
                <w:lang w:val="en-US" w:eastAsia="en-US"/>
              </w:rPr>
            </w:pPr>
          </w:p>
        </w:tc>
        <w:tc>
          <w:tcPr>
            <w:tcW w:w="258" w:type="pct"/>
            <w:tcBorders>
              <w:top w:val="single" w:sz="8" w:space="0" w:color="auto"/>
              <w:left w:val="nil"/>
              <w:bottom w:val="nil"/>
              <w:right w:val="single" w:sz="8" w:space="0" w:color="auto"/>
            </w:tcBorders>
            <w:shd w:val="clear" w:color="auto" w:fill="auto"/>
            <w:noWrap/>
            <w:vAlign w:val="center"/>
            <w:hideMark/>
          </w:tcPr>
          <w:p w14:paraId="28E3E1ED" w14:textId="77777777" w:rsidR="00601D9B" w:rsidRDefault="000E53A0">
            <w:pPr>
              <w:rPr>
                <w:color w:val="000000"/>
                <w:sz w:val="18"/>
                <w:szCs w:val="18"/>
                <w:lang w:val="en-US" w:eastAsia="en-US"/>
              </w:rPr>
            </w:pPr>
            <w:r w:rsidRPr="00107491">
              <w:rPr>
                <w:color w:val="000000"/>
                <w:sz w:val="18"/>
                <w:szCs w:val="18"/>
                <w:lang w:val="en-US" w:eastAsia="en-US"/>
              </w:rPr>
              <w:t>71600</w:t>
            </w:r>
          </w:p>
        </w:tc>
        <w:tc>
          <w:tcPr>
            <w:tcW w:w="458" w:type="pct"/>
            <w:tcBorders>
              <w:top w:val="nil"/>
              <w:left w:val="nil"/>
              <w:bottom w:val="single" w:sz="8" w:space="0" w:color="auto"/>
              <w:right w:val="single" w:sz="8" w:space="0" w:color="auto"/>
            </w:tcBorders>
            <w:shd w:val="clear" w:color="auto" w:fill="auto"/>
            <w:vAlign w:val="center"/>
            <w:hideMark/>
          </w:tcPr>
          <w:p w14:paraId="495EF88B" w14:textId="77777777" w:rsidR="00601D9B" w:rsidRDefault="000E53A0">
            <w:pPr>
              <w:rPr>
                <w:color w:val="000000"/>
                <w:sz w:val="18"/>
                <w:szCs w:val="18"/>
                <w:lang w:val="en-US" w:eastAsia="en-US"/>
              </w:rPr>
            </w:pPr>
            <w:r w:rsidRPr="00107491">
              <w:rPr>
                <w:color w:val="000000"/>
                <w:sz w:val="18"/>
                <w:szCs w:val="18"/>
                <w:lang w:val="en-US" w:eastAsia="en-US"/>
              </w:rPr>
              <w:t>Voyage</w:t>
            </w:r>
          </w:p>
        </w:tc>
        <w:tc>
          <w:tcPr>
            <w:tcW w:w="254" w:type="pct"/>
            <w:tcBorders>
              <w:top w:val="nil"/>
              <w:left w:val="nil"/>
              <w:bottom w:val="single" w:sz="8" w:space="0" w:color="auto"/>
              <w:right w:val="single" w:sz="8" w:space="0" w:color="auto"/>
            </w:tcBorders>
            <w:shd w:val="clear" w:color="auto" w:fill="auto"/>
            <w:noWrap/>
            <w:vAlign w:val="center"/>
            <w:hideMark/>
          </w:tcPr>
          <w:p w14:paraId="5B71D638"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8,360 </w:t>
            </w:r>
          </w:p>
        </w:tc>
        <w:tc>
          <w:tcPr>
            <w:tcW w:w="273" w:type="pct"/>
            <w:tcBorders>
              <w:top w:val="nil"/>
              <w:left w:val="nil"/>
              <w:bottom w:val="single" w:sz="8" w:space="0" w:color="auto"/>
              <w:right w:val="single" w:sz="8" w:space="0" w:color="auto"/>
            </w:tcBorders>
            <w:shd w:val="clear" w:color="auto" w:fill="auto"/>
            <w:noWrap/>
            <w:vAlign w:val="center"/>
            <w:hideMark/>
          </w:tcPr>
          <w:p w14:paraId="3934077F"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6,000 </w:t>
            </w:r>
          </w:p>
        </w:tc>
        <w:tc>
          <w:tcPr>
            <w:tcW w:w="250" w:type="pct"/>
            <w:tcBorders>
              <w:top w:val="nil"/>
              <w:left w:val="nil"/>
              <w:bottom w:val="single" w:sz="8" w:space="0" w:color="auto"/>
              <w:right w:val="single" w:sz="8" w:space="0" w:color="auto"/>
            </w:tcBorders>
            <w:shd w:val="clear" w:color="auto" w:fill="auto"/>
            <w:noWrap/>
            <w:vAlign w:val="center"/>
            <w:hideMark/>
          </w:tcPr>
          <w:p w14:paraId="1C107538"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 </w:t>
            </w:r>
          </w:p>
        </w:tc>
        <w:tc>
          <w:tcPr>
            <w:tcW w:w="250" w:type="pct"/>
            <w:tcBorders>
              <w:top w:val="nil"/>
              <w:left w:val="nil"/>
              <w:bottom w:val="single" w:sz="8" w:space="0" w:color="auto"/>
              <w:right w:val="single" w:sz="8" w:space="0" w:color="auto"/>
            </w:tcBorders>
            <w:shd w:val="clear" w:color="auto" w:fill="auto"/>
            <w:noWrap/>
            <w:vAlign w:val="center"/>
            <w:hideMark/>
          </w:tcPr>
          <w:p w14:paraId="3E6DB644"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 </w:t>
            </w:r>
          </w:p>
        </w:tc>
        <w:tc>
          <w:tcPr>
            <w:tcW w:w="250" w:type="pct"/>
            <w:tcBorders>
              <w:top w:val="nil"/>
              <w:left w:val="nil"/>
              <w:bottom w:val="single" w:sz="8" w:space="0" w:color="auto"/>
              <w:right w:val="single" w:sz="8" w:space="0" w:color="auto"/>
            </w:tcBorders>
            <w:shd w:val="clear" w:color="auto" w:fill="auto"/>
            <w:noWrap/>
            <w:vAlign w:val="center"/>
            <w:hideMark/>
          </w:tcPr>
          <w:p w14:paraId="11F62F24"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 </w:t>
            </w:r>
          </w:p>
        </w:tc>
        <w:tc>
          <w:tcPr>
            <w:tcW w:w="250" w:type="pct"/>
            <w:tcBorders>
              <w:top w:val="nil"/>
              <w:left w:val="nil"/>
              <w:bottom w:val="single" w:sz="8" w:space="0" w:color="auto"/>
              <w:right w:val="single" w:sz="8" w:space="0" w:color="auto"/>
            </w:tcBorders>
            <w:shd w:val="clear" w:color="auto" w:fill="auto"/>
            <w:noWrap/>
            <w:vAlign w:val="center"/>
            <w:hideMark/>
          </w:tcPr>
          <w:p w14:paraId="2C7B22CA"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2,000 </w:t>
            </w:r>
          </w:p>
        </w:tc>
        <w:tc>
          <w:tcPr>
            <w:tcW w:w="261" w:type="pct"/>
            <w:tcBorders>
              <w:top w:val="nil"/>
              <w:left w:val="nil"/>
              <w:bottom w:val="single" w:sz="8" w:space="0" w:color="auto"/>
              <w:right w:val="single" w:sz="8" w:space="0" w:color="auto"/>
            </w:tcBorders>
            <w:shd w:val="clear" w:color="auto" w:fill="auto"/>
            <w:noWrap/>
            <w:vAlign w:val="center"/>
            <w:hideMark/>
          </w:tcPr>
          <w:p w14:paraId="0AF26764"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16,360 </w:t>
            </w:r>
          </w:p>
        </w:tc>
        <w:tc>
          <w:tcPr>
            <w:tcW w:w="183" w:type="pct"/>
            <w:tcBorders>
              <w:top w:val="nil"/>
              <w:left w:val="nil"/>
              <w:bottom w:val="single" w:sz="8" w:space="0" w:color="auto"/>
              <w:right w:val="single" w:sz="8" w:space="0" w:color="auto"/>
            </w:tcBorders>
            <w:shd w:val="clear" w:color="auto" w:fill="auto"/>
            <w:vAlign w:val="center"/>
            <w:hideMark/>
          </w:tcPr>
          <w:p w14:paraId="10753029" w14:textId="77777777" w:rsidR="00601D9B" w:rsidRDefault="000E53A0">
            <w:pPr>
              <w:jc w:val="center"/>
              <w:rPr>
                <w:i/>
                <w:iCs/>
                <w:color w:val="000000"/>
                <w:sz w:val="18"/>
                <w:szCs w:val="18"/>
                <w:lang w:val="en-US" w:eastAsia="en-US"/>
              </w:rPr>
            </w:pPr>
            <w:r w:rsidRPr="00107491">
              <w:rPr>
                <w:i/>
                <w:iCs/>
                <w:color w:val="000000"/>
                <w:sz w:val="18"/>
                <w:szCs w:val="18"/>
                <w:lang w:val="en-US" w:eastAsia="en-US"/>
              </w:rPr>
              <w:t>10</w:t>
            </w:r>
          </w:p>
        </w:tc>
        <w:tc>
          <w:tcPr>
            <w:tcW w:w="35" w:type="pct"/>
            <w:vAlign w:val="center"/>
            <w:hideMark/>
          </w:tcPr>
          <w:p w14:paraId="7AC55DA6" w14:textId="77777777" w:rsidR="00107491" w:rsidRPr="00107491" w:rsidRDefault="00107491" w:rsidP="00107491">
            <w:pPr>
              <w:rPr>
                <w:sz w:val="20"/>
                <w:szCs w:val="20"/>
                <w:lang w:val="en-US" w:eastAsia="en-US"/>
              </w:rPr>
            </w:pPr>
          </w:p>
        </w:tc>
      </w:tr>
      <w:tr w:rsidR="00107491" w:rsidRPr="00107491" w14:paraId="01B1F846" w14:textId="77777777" w:rsidTr="00107491">
        <w:trPr>
          <w:trHeight w:val="300"/>
        </w:trPr>
        <w:tc>
          <w:tcPr>
            <w:tcW w:w="1056" w:type="pct"/>
            <w:tcBorders>
              <w:top w:val="nil"/>
              <w:left w:val="single" w:sz="8" w:space="0" w:color="auto"/>
              <w:bottom w:val="nil"/>
              <w:right w:val="single" w:sz="8" w:space="0" w:color="auto"/>
            </w:tcBorders>
            <w:shd w:val="clear" w:color="auto" w:fill="auto"/>
            <w:vAlign w:val="center"/>
            <w:hideMark/>
          </w:tcPr>
          <w:p w14:paraId="1126FB91" w14:textId="77777777" w:rsidR="00107491" w:rsidRPr="00107491" w:rsidRDefault="00107491" w:rsidP="00107491">
            <w:pPr>
              <w:rPr>
                <w:rFonts w:ascii="Calibri" w:hAnsi="Calibri" w:cs="Calibri"/>
                <w:color w:val="000000"/>
                <w:sz w:val="18"/>
                <w:szCs w:val="18"/>
                <w:lang w:val="en-US" w:eastAsia="en-US"/>
              </w:rPr>
            </w:pPr>
            <w:r w:rsidRPr="00107491">
              <w:rPr>
                <w:rFonts w:ascii="Calibri" w:hAnsi="Calibri" w:cs="Calibri"/>
                <w:color w:val="000000"/>
                <w:sz w:val="18"/>
                <w:szCs w:val="18"/>
                <w:lang w:val="en-US" w:eastAsia="en-US"/>
              </w:rPr>
              <w:t> </w:t>
            </w:r>
          </w:p>
        </w:tc>
        <w:tc>
          <w:tcPr>
            <w:tcW w:w="381" w:type="pct"/>
            <w:vMerge/>
            <w:tcBorders>
              <w:top w:val="nil"/>
              <w:left w:val="single" w:sz="8" w:space="0" w:color="auto"/>
              <w:bottom w:val="double" w:sz="6" w:space="0" w:color="000000"/>
              <w:right w:val="single" w:sz="8" w:space="0" w:color="auto"/>
            </w:tcBorders>
            <w:vAlign w:val="center"/>
            <w:hideMark/>
          </w:tcPr>
          <w:p w14:paraId="1F8D96C9" w14:textId="77777777" w:rsidR="00107491" w:rsidRPr="00107491" w:rsidRDefault="00107491" w:rsidP="00107491">
            <w:pPr>
              <w:rPr>
                <w:b/>
                <w:bCs/>
                <w:color w:val="000000"/>
                <w:sz w:val="18"/>
                <w:szCs w:val="18"/>
                <w:lang w:val="en-US" w:eastAsia="en-US"/>
              </w:rPr>
            </w:pPr>
          </w:p>
        </w:tc>
        <w:tc>
          <w:tcPr>
            <w:tcW w:w="453" w:type="pct"/>
            <w:vMerge/>
            <w:tcBorders>
              <w:top w:val="nil"/>
              <w:left w:val="single" w:sz="8" w:space="0" w:color="auto"/>
              <w:bottom w:val="double" w:sz="6" w:space="0" w:color="000000"/>
              <w:right w:val="single" w:sz="8" w:space="0" w:color="auto"/>
            </w:tcBorders>
            <w:vAlign w:val="center"/>
            <w:hideMark/>
          </w:tcPr>
          <w:p w14:paraId="15DE6956" w14:textId="77777777" w:rsidR="00107491" w:rsidRPr="00107491" w:rsidRDefault="00107491" w:rsidP="00107491">
            <w:pPr>
              <w:rPr>
                <w:b/>
                <w:bCs/>
                <w:color w:val="000000"/>
                <w:sz w:val="18"/>
                <w:szCs w:val="18"/>
                <w:lang w:val="en-US" w:eastAsia="en-US"/>
              </w:rPr>
            </w:pPr>
          </w:p>
        </w:tc>
        <w:tc>
          <w:tcPr>
            <w:tcW w:w="388" w:type="pct"/>
            <w:vMerge/>
            <w:tcBorders>
              <w:top w:val="nil"/>
              <w:left w:val="single" w:sz="8" w:space="0" w:color="auto"/>
              <w:bottom w:val="double" w:sz="6" w:space="0" w:color="000000"/>
              <w:right w:val="single" w:sz="8" w:space="0" w:color="auto"/>
            </w:tcBorders>
            <w:vAlign w:val="center"/>
            <w:hideMark/>
          </w:tcPr>
          <w:p w14:paraId="107BCEF1" w14:textId="77777777" w:rsidR="00107491" w:rsidRPr="00107491" w:rsidRDefault="00107491" w:rsidP="00107491">
            <w:pPr>
              <w:rPr>
                <w:b/>
                <w:bCs/>
                <w:color w:val="000000"/>
                <w:sz w:val="18"/>
                <w:szCs w:val="18"/>
                <w:lang w:val="en-US" w:eastAsia="en-US"/>
              </w:rPr>
            </w:pPr>
          </w:p>
        </w:tc>
        <w:tc>
          <w:tcPr>
            <w:tcW w:w="258" w:type="pct"/>
            <w:tcBorders>
              <w:top w:val="single" w:sz="8" w:space="0" w:color="auto"/>
              <w:left w:val="nil"/>
              <w:bottom w:val="nil"/>
              <w:right w:val="single" w:sz="8" w:space="0" w:color="auto"/>
            </w:tcBorders>
            <w:shd w:val="clear" w:color="auto" w:fill="auto"/>
            <w:noWrap/>
            <w:vAlign w:val="center"/>
            <w:hideMark/>
          </w:tcPr>
          <w:p w14:paraId="78BEA257" w14:textId="77777777" w:rsidR="00107491" w:rsidRPr="00107491" w:rsidRDefault="00107491" w:rsidP="00107491">
            <w:pPr>
              <w:jc w:val="center"/>
              <w:rPr>
                <w:color w:val="000000"/>
                <w:sz w:val="18"/>
                <w:szCs w:val="18"/>
                <w:lang w:val="en-US" w:eastAsia="en-US"/>
              </w:rPr>
            </w:pPr>
            <w:r w:rsidRPr="00107491">
              <w:rPr>
                <w:color w:val="000000"/>
                <w:sz w:val="18"/>
                <w:szCs w:val="18"/>
                <w:lang w:val="en-US" w:eastAsia="en-US"/>
              </w:rPr>
              <w:t> </w:t>
            </w:r>
          </w:p>
        </w:tc>
        <w:tc>
          <w:tcPr>
            <w:tcW w:w="458" w:type="pct"/>
            <w:tcBorders>
              <w:top w:val="nil"/>
              <w:left w:val="nil"/>
              <w:bottom w:val="double" w:sz="6" w:space="0" w:color="auto"/>
              <w:right w:val="single" w:sz="8" w:space="0" w:color="auto"/>
            </w:tcBorders>
            <w:shd w:val="clear" w:color="auto" w:fill="auto"/>
            <w:noWrap/>
            <w:vAlign w:val="center"/>
            <w:hideMark/>
          </w:tcPr>
          <w:p w14:paraId="4466E14C" w14:textId="77777777" w:rsidR="00601D9B" w:rsidRDefault="000E53A0">
            <w:pPr>
              <w:jc w:val="both"/>
              <w:rPr>
                <w:b/>
                <w:bCs/>
                <w:color w:val="000000"/>
                <w:sz w:val="18"/>
                <w:szCs w:val="18"/>
                <w:lang w:val="en-US" w:eastAsia="en-US"/>
              </w:rPr>
            </w:pPr>
            <w:r w:rsidRPr="00107491">
              <w:rPr>
                <w:b/>
                <w:bCs/>
                <w:color w:val="000000"/>
                <w:sz w:val="18"/>
                <w:szCs w:val="18"/>
                <w:lang w:val="en-US" w:eastAsia="en-US"/>
              </w:rPr>
              <w:t>Sous-total LDCF</w:t>
            </w:r>
          </w:p>
        </w:tc>
        <w:tc>
          <w:tcPr>
            <w:tcW w:w="254" w:type="pct"/>
            <w:tcBorders>
              <w:top w:val="nil"/>
              <w:left w:val="nil"/>
              <w:bottom w:val="double" w:sz="6" w:space="0" w:color="auto"/>
              <w:right w:val="single" w:sz="8" w:space="0" w:color="auto"/>
            </w:tcBorders>
            <w:shd w:val="clear" w:color="auto" w:fill="auto"/>
            <w:noWrap/>
            <w:vAlign w:val="center"/>
            <w:hideMark/>
          </w:tcPr>
          <w:p w14:paraId="39DE023E"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 xml:space="preserve">              78,210 </w:t>
            </w:r>
          </w:p>
        </w:tc>
        <w:tc>
          <w:tcPr>
            <w:tcW w:w="273" w:type="pct"/>
            <w:tcBorders>
              <w:top w:val="nil"/>
              <w:left w:val="nil"/>
              <w:bottom w:val="double" w:sz="6" w:space="0" w:color="auto"/>
              <w:right w:val="single" w:sz="8" w:space="0" w:color="auto"/>
            </w:tcBorders>
            <w:shd w:val="clear" w:color="auto" w:fill="auto"/>
            <w:noWrap/>
            <w:vAlign w:val="center"/>
            <w:hideMark/>
          </w:tcPr>
          <w:p w14:paraId="1508D201"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 xml:space="preserve">                60,675 </w:t>
            </w:r>
          </w:p>
        </w:tc>
        <w:tc>
          <w:tcPr>
            <w:tcW w:w="250" w:type="pct"/>
            <w:tcBorders>
              <w:top w:val="nil"/>
              <w:left w:val="nil"/>
              <w:bottom w:val="double" w:sz="6" w:space="0" w:color="auto"/>
              <w:right w:val="single" w:sz="8" w:space="0" w:color="auto"/>
            </w:tcBorders>
            <w:shd w:val="clear" w:color="auto" w:fill="auto"/>
            <w:noWrap/>
            <w:vAlign w:val="center"/>
            <w:hideMark/>
          </w:tcPr>
          <w:p w14:paraId="0E6D1CCD"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 xml:space="preserve">                     - </w:t>
            </w:r>
          </w:p>
        </w:tc>
        <w:tc>
          <w:tcPr>
            <w:tcW w:w="250" w:type="pct"/>
            <w:tcBorders>
              <w:top w:val="nil"/>
              <w:left w:val="nil"/>
              <w:bottom w:val="double" w:sz="6" w:space="0" w:color="auto"/>
              <w:right w:val="single" w:sz="8" w:space="0" w:color="auto"/>
            </w:tcBorders>
            <w:shd w:val="clear" w:color="auto" w:fill="auto"/>
            <w:noWrap/>
            <w:vAlign w:val="center"/>
            <w:hideMark/>
          </w:tcPr>
          <w:p w14:paraId="0AF68CF0"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 xml:space="preserve">                     - </w:t>
            </w:r>
          </w:p>
        </w:tc>
        <w:tc>
          <w:tcPr>
            <w:tcW w:w="250" w:type="pct"/>
            <w:tcBorders>
              <w:top w:val="nil"/>
              <w:left w:val="nil"/>
              <w:bottom w:val="double" w:sz="6" w:space="0" w:color="auto"/>
              <w:right w:val="single" w:sz="8" w:space="0" w:color="auto"/>
            </w:tcBorders>
            <w:shd w:val="clear" w:color="auto" w:fill="auto"/>
            <w:noWrap/>
            <w:vAlign w:val="center"/>
            <w:hideMark/>
          </w:tcPr>
          <w:p w14:paraId="2F8989F6"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 xml:space="preserve">                     - </w:t>
            </w:r>
          </w:p>
        </w:tc>
        <w:tc>
          <w:tcPr>
            <w:tcW w:w="250" w:type="pct"/>
            <w:tcBorders>
              <w:top w:val="nil"/>
              <w:left w:val="nil"/>
              <w:bottom w:val="double" w:sz="6" w:space="0" w:color="auto"/>
              <w:right w:val="single" w:sz="8" w:space="0" w:color="auto"/>
            </w:tcBorders>
            <w:shd w:val="clear" w:color="auto" w:fill="auto"/>
            <w:noWrap/>
            <w:vAlign w:val="center"/>
            <w:hideMark/>
          </w:tcPr>
          <w:p w14:paraId="4A7E73BD"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 xml:space="preserve">              55,375 </w:t>
            </w:r>
          </w:p>
        </w:tc>
        <w:tc>
          <w:tcPr>
            <w:tcW w:w="261" w:type="pct"/>
            <w:tcBorders>
              <w:top w:val="nil"/>
              <w:left w:val="nil"/>
              <w:bottom w:val="double" w:sz="6" w:space="0" w:color="auto"/>
              <w:right w:val="single" w:sz="8" w:space="0" w:color="auto"/>
            </w:tcBorders>
            <w:shd w:val="clear" w:color="auto" w:fill="auto"/>
            <w:noWrap/>
            <w:vAlign w:val="center"/>
            <w:hideMark/>
          </w:tcPr>
          <w:p w14:paraId="702AFD89"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 xml:space="preserve">             194,260 </w:t>
            </w:r>
          </w:p>
        </w:tc>
        <w:tc>
          <w:tcPr>
            <w:tcW w:w="183" w:type="pct"/>
            <w:tcBorders>
              <w:top w:val="nil"/>
              <w:left w:val="nil"/>
              <w:bottom w:val="double" w:sz="6" w:space="0" w:color="auto"/>
              <w:right w:val="single" w:sz="8" w:space="0" w:color="auto"/>
            </w:tcBorders>
            <w:shd w:val="clear" w:color="auto" w:fill="auto"/>
            <w:vAlign w:val="center"/>
            <w:hideMark/>
          </w:tcPr>
          <w:p w14:paraId="3C4D75D8" w14:textId="77777777" w:rsidR="00107491" w:rsidRPr="00107491" w:rsidRDefault="00107491" w:rsidP="00107491">
            <w:pPr>
              <w:jc w:val="center"/>
              <w:rPr>
                <w:i/>
                <w:iCs/>
                <w:color w:val="000000"/>
                <w:sz w:val="18"/>
                <w:szCs w:val="18"/>
                <w:lang w:val="en-US" w:eastAsia="en-US"/>
              </w:rPr>
            </w:pPr>
            <w:r w:rsidRPr="00107491">
              <w:rPr>
                <w:i/>
                <w:iCs/>
                <w:color w:val="000000"/>
                <w:sz w:val="18"/>
                <w:szCs w:val="18"/>
                <w:lang w:val="en-US" w:eastAsia="en-US"/>
              </w:rPr>
              <w:t> </w:t>
            </w:r>
          </w:p>
        </w:tc>
        <w:tc>
          <w:tcPr>
            <w:tcW w:w="35" w:type="pct"/>
            <w:vAlign w:val="center"/>
            <w:hideMark/>
          </w:tcPr>
          <w:p w14:paraId="02AEA9BA" w14:textId="77777777" w:rsidR="00107491" w:rsidRPr="00107491" w:rsidRDefault="00107491" w:rsidP="00107491">
            <w:pPr>
              <w:rPr>
                <w:sz w:val="20"/>
                <w:szCs w:val="20"/>
                <w:lang w:val="en-US" w:eastAsia="en-US"/>
              </w:rPr>
            </w:pPr>
          </w:p>
        </w:tc>
      </w:tr>
      <w:tr w:rsidR="00107491" w:rsidRPr="00107491" w14:paraId="002DD3C5" w14:textId="77777777" w:rsidTr="00107491">
        <w:trPr>
          <w:trHeight w:val="300"/>
        </w:trPr>
        <w:tc>
          <w:tcPr>
            <w:tcW w:w="1056" w:type="pct"/>
            <w:tcBorders>
              <w:top w:val="nil"/>
              <w:left w:val="single" w:sz="8" w:space="0" w:color="auto"/>
              <w:bottom w:val="double" w:sz="6" w:space="0" w:color="auto"/>
              <w:right w:val="single" w:sz="8" w:space="0" w:color="auto"/>
            </w:tcBorders>
            <w:shd w:val="clear" w:color="auto" w:fill="auto"/>
            <w:vAlign w:val="center"/>
            <w:hideMark/>
          </w:tcPr>
          <w:p w14:paraId="238E55A6" w14:textId="77777777" w:rsidR="00107491" w:rsidRPr="00107491" w:rsidRDefault="00107491" w:rsidP="00107491">
            <w:pPr>
              <w:rPr>
                <w:rFonts w:ascii="Calibri" w:hAnsi="Calibri" w:cs="Calibri"/>
                <w:color w:val="000000"/>
                <w:sz w:val="18"/>
                <w:szCs w:val="18"/>
                <w:lang w:val="en-US" w:eastAsia="en-US"/>
              </w:rPr>
            </w:pPr>
            <w:r w:rsidRPr="00107491">
              <w:rPr>
                <w:rFonts w:ascii="Calibri" w:hAnsi="Calibri" w:cs="Calibri"/>
                <w:color w:val="000000"/>
                <w:sz w:val="18"/>
                <w:szCs w:val="18"/>
                <w:lang w:val="en-US" w:eastAsia="en-US"/>
              </w:rPr>
              <w:t> </w:t>
            </w:r>
          </w:p>
        </w:tc>
        <w:tc>
          <w:tcPr>
            <w:tcW w:w="381" w:type="pct"/>
            <w:vMerge/>
            <w:tcBorders>
              <w:top w:val="nil"/>
              <w:left w:val="single" w:sz="8" w:space="0" w:color="auto"/>
              <w:bottom w:val="double" w:sz="6" w:space="0" w:color="000000"/>
              <w:right w:val="single" w:sz="8" w:space="0" w:color="auto"/>
            </w:tcBorders>
            <w:vAlign w:val="center"/>
            <w:hideMark/>
          </w:tcPr>
          <w:p w14:paraId="26787EF8" w14:textId="77777777" w:rsidR="00107491" w:rsidRPr="00107491" w:rsidRDefault="00107491" w:rsidP="00107491">
            <w:pPr>
              <w:rPr>
                <w:b/>
                <w:bCs/>
                <w:color w:val="000000"/>
                <w:sz w:val="18"/>
                <w:szCs w:val="18"/>
                <w:lang w:val="en-US" w:eastAsia="en-US"/>
              </w:rPr>
            </w:pPr>
          </w:p>
        </w:tc>
        <w:tc>
          <w:tcPr>
            <w:tcW w:w="453" w:type="pct"/>
            <w:tcBorders>
              <w:top w:val="nil"/>
              <w:left w:val="nil"/>
              <w:bottom w:val="double" w:sz="6" w:space="0" w:color="auto"/>
              <w:right w:val="single" w:sz="8" w:space="0" w:color="auto"/>
            </w:tcBorders>
            <w:shd w:val="clear" w:color="auto" w:fill="auto"/>
            <w:vAlign w:val="center"/>
            <w:hideMark/>
          </w:tcPr>
          <w:p w14:paraId="77ABAEBB" w14:textId="77777777" w:rsidR="00107491" w:rsidRPr="00107491" w:rsidRDefault="00107491" w:rsidP="00107491">
            <w:pPr>
              <w:jc w:val="center"/>
              <w:rPr>
                <w:b/>
                <w:bCs/>
                <w:color w:val="000000"/>
                <w:sz w:val="18"/>
                <w:szCs w:val="18"/>
                <w:lang w:val="en-US" w:eastAsia="en-US"/>
              </w:rPr>
            </w:pPr>
            <w:r w:rsidRPr="00107491">
              <w:rPr>
                <w:b/>
                <w:bCs/>
                <w:color w:val="000000"/>
                <w:sz w:val="18"/>
                <w:szCs w:val="18"/>
                <w:lang w:val="en-US" w:eastAsia="en-US"/>
              </w:rPr>
              <w:t> </w:t>
            </w:r>
          </w:p>
        </w:tc>
        <w:tc>
          <w:tcPr>
            <w:tcW w:w="388" w:type="pct"/>
            <w:tcBorders>
              <w:top w:val="nil"/>
              <w:left w:val="nil"/>
              <w:bottom w:val="double" w:sz="6" w:space="0" w:color="auto"/>
              <w:right w:val="single" w:sz="8" w:space="0" w:color="auto"/>
            </w:tcBorders>
            <w:shd w:val="clear" w:color="auto" w:fill="auto"/>
            <w:vAlign w:val="center"/>
            <w:hideMark/>
          </w:tcPr>
          <w:p w14:paraId="105B3672" w14:textId="77777777" w:rsidR="00107491" w:rsidRPr="00107491" w:rsidRDefault="00107491" w:rsidP="00107491">
            <w:pPr>
              <w:jc w:val="center"/>
              <w:rPr>
                <w:b/>
                <w:bCs/>
                <w:color w:val="000000"/>
                <w:sz w:val="18"/>
                <w:szCs w:val="18"/>
                <w:lang w:val="en-US" w:eastAsia="en-US"/>
              </w:rPr>
            </w:pPr>
            <w:r w:rsidRPr="00107491">
              <w:rPr>
                <w:b/>
                <w:bCs/>
                <w:color w:val="000000"/>
                <w:sz w:val="18"/>
                <w:szCs w:val="18"/>
                <w:lang w:val="en-US" w:eastAsia="en-US"/>
              </w:rPr>
              <w:t> </w:t>
            </w:r>
          </w:p>
        </w:tc>
        <w:tc>
          <w:tcPr>
            <w:tcW w:w="258" w:type="pct"/>
            <w:tcBorders>
              <w:top w:val="double" w:sz="6" w:space="0" w:color="auto"/>
              <w:left w:val="nil"/>
              <w:bottom w:val="double" w:sz="6" w:space="0" w:color="auto"/>
              <w:right w:val="single" w:sz="8" w:space="0" w:color="auto"/>
            </w:tcBorders>
            <w:shd w:val="clear" w:color="auto" w:fill="auto"/>
            <w:vAlign w:val="center"/>
            <w:hideMark/>
          </w:tcPr>
          <w:p w14:paraId="1644664B" w14:textId="77777777" w:rsidR="00107491" w:rsidRPr="00107491" w:rsidRDefault="00107491" w:rsidP="00107491">
            <w:pPr>
              <w:jc w:val="center"/>
              <w:rPr>
                <w:b/>
                <w:bCs/>
                <w:color w:val="000000"/>
                <w:sz w:val="18"/>
                <w:szCs w:val="18"/>
                <w:lang w:val="en-US" w:eastAsia="en-US"/>
              </w:rPr>
            </w:pPr>
            <w:r w:rsidRPr="00107491">
              <w:rPr>
                <w:b/>
                <w:bCs/>
                <w:color w:val="000000"/>
                <w:sz w:val="18"/>
                <w:szCs w:val="18"/>
                <w:lang w:val="en-US" w:eastAsia="en-US"/>
              </w:rPr>
              <w:t> </w:t>
            </w:r>
          </w:p>
        </w:tc>
        <w:tc>
          <w:tcPr>
            <w:tcW w:w="458" w:type="pct"/>
            <w:tcBorders>
              <w:top w:val="nil"/>
              <w:left w:val="nil"/>
              <w:bottom w:val="double" w:sz="6" w:space="0" w:color="auto"/>
              <w:right w:val="single" w:sz="8" w:space="0" w:color="auto"/>
            </w:tcBorders>
            <w:shd w:val="clear" w:color="auto" w:fill="auto"/>
            <w:vAlign w:val="center"/>
            <w:hideMark/>
          </w:tcPr>
          <w:p w14:paraId="59150B89" w14:textId="77777777" w:rsidR="00601D9B" w:rsidRDefault="000E53A0">
            <w:pPr>
              <w:jc w:val="both"/>
              <w:rPr>
                <w:b/>
                <w:bCs/>
                <w:color w:val="000000"/>
                <w:sz w:val="18"/>
                <w:szCs w:val="18"/>
                <w:lang w:val="en-US" w:eastAsia="en-US"/>
              </w:rPr>
            </w:pPr>
            <w:r w:rsidRPr="00107491">
              <w:rPr>
                <w:b/>
                <w:bCs/>
                <w:color w:val="000000"/>
                <w:sz w:val="18"/>
                <w:szCs w:val="18"/>
                <w:lang w:val="en-US" w:eastAsia="en-US"/>
              </w:rPr>
              <w:t>Total Résultat 1</w:t>
            </w:r>
          </w:p>
        </w:tc>
        <w:tc>
          <w:tcPr>
            <w:tcW w:w="254" w:type="pct"/>
            <w:tcBorders>
              <w:top w:val="nil"/>
              <w:left w:val="nil"/>
              <w:bottom w:val="double" w:sz="6" w:space="0" w:color="auto"/>
              <w:right w:val="single" w:sz="8" w:space="0" w:color="auto"/>
            </w:tcBorders>
            <w:shd w:val="clear" w:color="auto" w:fill="auto"/>
            <w:noWrap/>
            <w:vAlign w:val="center"/>
            <w:hideMark/>
          </w:tcPr>
          <w:p w14:paraId="17685AC4"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 xml:space="preserve">            150,670 </w:t>
            </w:r>
          </w:p>
        </w:tc>
        <w:tc>
          <w:tcPr>
            <w:tcW w:w="273" w:type="pct"/>
            <w:tcBorders>
              <w:top w:val="nil"/>
              <w:left w:val="nil"/>
              <w:bottom w:val="double" w:sz="6" w:space="0" w:color="auto"/>
              <w:right w:val="single" w:sz="8" w:space="0" w:color="auto"/>
            </w:tcBorders>
            <w:shd w:val="clear" w:color="auto" w:fill="auto"/>
            <w:noWrap/>
            <w:vAlign w:val="center"/>
            <w:hideMark/>
          </w:tcPr>
          <w:p w14:paraId="196EDC6F"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 xml:space="preserve">                98,875 </w:t>
            </w:r>
          </w:p>
        </w:tc>
        <w:tc>
          <w:tcPr>
            <w:tcW w:w="250" w:type="pct"/>
            <w:tcBorders>
              <w:top w:val="nil"/>
              <w:left w:val="nil"/>
              <w:bottom w:val="double" w:sz="6" w:space="0" w:color="auto"/>
              <w:right w:val="single" w:sz="8" w:space="0" w:color="auto"/>
            </w:tcBorders>
            <w:shd w:val="clear" w:color="auto" w:fill="auto"/>
            <w:noWrap/>
            <w:vAlign w:val="center"/>
            <w:hideMark/>
          </w:tcPr>
          <w:p w14:paraId="4D0B4FE3"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 xml:space="preserve">                8,500 </w:t>
            </w:r>
          </w:p>
        </w:tc>
        <w:tc>
          <w:tcPr>
            <w:tcW w:w="250" w:type="pct"/>
            <w:tcBorders>
              <w:top w:val="nil"/>
              <w:left w:val="nil"/>
              <w:bottom w:val="double" w:sz="6" w:space="0" w:color="auto"/>
              <w:right w:val="single" w:sz="8" w:space="0" w:color="auto"/>
            </w:tcBorders>
            <w:shd w:val="clear" w:color="auto" w:fill="auto"/>
            <w:noWrap/>
            <w:vAlign w:val="center"/>
            <w:hideMark/>
          </w:tcPr>
          <w:p w14:paraId="46048ED5"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 xml:space="preserve">                8,000 </w:t>
            </w:r>
          </w:p>
        </w:tc>
        <w:tc>
          <w:tcPr>
            <w:tcW w:w="250" w:type="pct"/>
            <w:tcBorders>
              <w:top w:val="nil"/>
              <w:left w:val="nil"/>
              <w:bottom w:val="double" w:sz="6" w:space="0" w:color="auto"/>
              <w:right w:val="single" w:sz="8" w:space="0" w:color="auto"/>
            </w:tcBorders>
            <w:shd w:val="clear" w:color="auto" w:fill="auto"/>
            <w:noWrap/>
            <w:vAlign w:val="center"/>
            <w:hideMark/>
          </w:tcPr>
          <w:p w14:paraId="37E85347"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 xml:space="preserve">                8,000 </w:t>
            </w:r>
          </w:p>
        </w:tc>
        <w:tc>
          <w:tcPr>
            <w:tcW w:w="250" w:type="pct"/>
            <w:tcBorders>
              <w:top w:val="nil"/>
              <w:left w:val="nil"/>
              <w:bottom w:val="double" w:sz="6" w:space="0" w:color="auto"/>
              <w:right w:val="single" w:sz="8" w:space="0" w:color="auto"/>
            </w:tcBorders>
            <w:shd w:val="clear" w:color="auto" w:fill="auto"/>
            <w:noWrap/>
            <w:vAlign w:val="center"/>
            <w:hideMark/>
          </w:tcPr>
          <w:p w14:paraId="66CF92B9"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 xml:space="preserve">              63,375 </w:t>
            </w:r>
          </w:p>
        </w:tc>
        <w:tc>
          <w:tcPr>
            <w:tcW w:w="261" w:type="pct"/>
            <w:tcBorders>
              <w:top w:val="nil"/>
              <w:left w:val="nil"/>
              <w:bottom w:val="double" w:sz="6" w:space="0" w:color="auto"/>
              <w:right w:val="single" w:sz="8" w:space="0" w:color="auto"/>
            </w:tcBorders>
            <w:shd w:val="clear" w:color="auto" w:fill="auto"/>
            <w:noWrap/>
            <w:vAlign w:val="center"/>
            <w:hideMark/>
          </w:tcPr>
          <w:p w14:paraId="443CAB6F"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 xml:space="preserve">             337,420 </w:t>
            </w:r>
          </w:p>
        </w:tc>
        <w:tc>
          <w:tcPr>
            <w:tcW w:w="183" w:type="pct"/>
            <w:tcBorders>
              <w:top w:val="nil"/>
              <w:left w:val="nil"/>
              <w:bottom w:val="double" w:sz="6" w:space="0" w:color="auto"/>
              <w:right w:val="single" w:sz="8" w:space="0" w:color="auto"/>
            </w:tcBorders>
            <w:shd w:val="clear" w:color="auto" w:fill="auto"/>
            <w:vAlign w:val="center"/>
            <w:hideMark/>
          </w:tcPr>
          <w:p w14:paraId="66898E33" w14:textId="77777777" w:rsidR="00107491" w:rsidRPr="00107491" w:rsidRDefault="00107491" w:rsidP="00107491">
            <w:pPr>
              <w:jc w:val="center"/>
              <w:rPr>
                <w:b/>
                <w:bCs/>
                <w:i/>
                <w:iCs/>
                <w:color w:val="000000"/>
                <w:sz w:val="18"/>
                <w:szCs w:val="18"/>
                <w:lang w:val="en-US" w:eastAsia="en-US"/>
              </w:rPr>
            </w:pPr>
            <w:r w:rsidRPr="00107491">
              <w:rPr>
                <w:b/>
                <w:bCs/>
                <w:i/>
                <w:iCs/>
                <w:color w:val="000000"/>
                <w:sz w:val="18"/>
                <w:szCs w:val="18"/>
                <w:lang w:val="en-US" w:eastAsia="en-US"/>
              </w:rPr>
              <w:t> </w:t>
            </w:r>
          </w:p>
        </w:tc>
        <w:tc>
          <w:tcPr>
            <w:tcW w:w="35" w:type="pct"/>
            <w:vAlign w:val="center"/>
            <w:hideMark/>
          </w:tcPr>
          <w:p w14:paraId="4621224E" w14:textId="77777777" w:rsidR="00107491" w:rsidRPr="00107491" w:rsidRDefault="00107491" w:rsidP="00107491">
            <w:pPr>
              <w:rPr>
                <w:sz w:val="20"/>
                <w:szCs w:val="20"/>
                <w:lang w:val="en-US" w:eastAsia="en-US"/>
              </w:rPr>
            </w:pPr>
          </w:p>
        </w:tc>
      </w:tr>
      <w:tr w:rsidR="00107491" w:rsidRPr="00107491" w14:paraId="28130F74" w14:textId="77777777" w:rsidTr="00107491">
        <w:trPr>
          <w:trHeight w:val="300"/>
        </w:trPr>
        <w:tc>
          <w:tcPr>
            <w:tcW w:w="1056" w:type="pct"/>
            <w:tcBorders>
              <w:top w:val="nil"/>
              <w:left w:val="single" w:sz="8" w:space="0" w:color="auto"/>
              <w:bottom w:val="nil"/>
              <w:right w:val="nil"/>
            </w:tcBorders>
            <w:shd w:val="clear" w:color="auto" w:fill="auto"/>
            <w:noWrap/>
            <w:vAlign w:val="center"/>
            <w:hideMark/>
          </w:tcPr>
          <w:p w14:paraId="7921E057" w14:textId="77777777" w:rsidR="00107491" w:rsidRPr="00107491" w:rsidRDefault="00107491" w:rsidP="00107491">
            <w:pPr>
              <w:jc w:val="center"/>
              <w:rPr>
                <w:b/>
                <w:bCs/>
                <w:color w:val="000000"/>
                <w:sz w:val="18"/>
                <w:szCs w:val="18"/>
                <w:lang w:val="en-US" w:eastAsia="en-US"/>
              </w:rPr>
            </w:pPr>
            <w:r w:rsidRPr="00107491">
              <w:rPr>
                <w:b/>
                <w:bCs/>
                <w:color w:val="000000"/>
                <w:sz w:val="18"/>
                <w:szCs w:val="18"/>
                <w:lang w:val="en-US" w:eastAsia="en-US"/>
              </w:rPr>
              <w:t> </w:t>
            </w:r>
          </w:p>
        </w:tc>
        <w:tc>
          <w:tcPr>
            <w:tcW w:w="381" w:type="pct"/>
            <w:vMerge w:val="restart"/>
            <w:tcBorders>
              <w:top w:val="nil"/>
              <w:left w:val="single" w:sz="8" w:space="0" w:color="auto"/>
              <w:bottom w:val="double" w:sz="6" w:space="0" w:color="000000"/>
              <w:right w:val="single" w:sz="8" w:space="0" w:color="auto"/>
            </w:tcBorders>
            <w:shd w:val="clear" w:color="auto" w:fill="auto"/>
            <w:vAlign w:val="center"/>
            <w:hideMark/>
          </w:tcPr>
          <w:p w14:paraId="23A85727"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Partie 1</w:t>
            </w:r>
          </w:p>
        </w:tc>
        <w:tc>
          <w:tcPr>
            <w:tcW w:w="453" w:type="pct"/>
            <w:tcBorders>
              <w:top w:val="nil"/>
              <w:left w:val="nil"/>
              <w:bottom w:val="nil"/>
              <w:right w:val="nil"/>
            </w:tcBorders>
            <w:shd w:val="clear" w:color="auto" w:fill="auto"/>
            <w:vAlign w:val="center"/>
            <w:hideMark/>
          </w:tcPr>
          <w:p w14:paraId="0C244A77"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62000</w:t>
            </w:r>
          </w:p>
        </w:tc>
        <w:tc>
          <w:tcPr>
            <w:tcW w:w="388" w:type="pct"/>
            <w:tcBorders>
              <w:top w:val="single" w:sz="8" w:space="0" w:color="auto"/>
              <w:left w:val="single" w:sz="8" w:space="0" w:color="auto"/>
              <w:bottom w:val="nil"/>
              <w:right w:val="single" w:sz="8" w:space="0" w:color="auto"/>
            </w:tcBorders>
            <w:shd w:val="clear" w:color="auto" w:fill="auto"/>
            <w:vAlign w:val="center"/>
            <w:hideMark/>
          </w:tcPr>
          <w:p w14:paraId="67495BCB"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GEF</w:t>
            </w:r>
          </w:p>
        </w:tc>
        <w:tc>
          <w:tcPr>
            <w:tcW w:w="258" w:type="pct"/>
            <w:tcBorders>
              <w:top w:val="single" w:sz="8" w:space="0" w:color="auto"/>
              <w:left w:val="nil"/>
              <w:bottom w:val="single" w:sz="8" w:space="0" w:color="auto"/>
              <w:right w:val="single" w:sz="8" w:space="0" w:color="auto"/>
            </w:tcBorders>
            <w:shd w:val="clear" w:color="auto" w:fill="auto"/>
            <w:noWrap/>
            <w:vAlign w:val="center"/>
            <w:hideMark/>
          </w:tcPr>
          <w:p w14:paraId="04536D2A" w14:textId="77777777" w:rsidR="00601D9B" w:rsidRDefault="000E53A0">
            <w:pPr>
              <w:rPr>
                <w:color w:val="000000"/>
                <w:sz w:val="18"/>
                <w:szCs w:val="18"/>
                <w:lang w:val="en-US" w:eastAsia="en-US"/>
              </w:rPr>
            </w:pPr>
            <w:r w:rsidRPr="00107491">
              <w:rPr>
                <w:color w:val="000000"/>
                <w:sz w:val="18"/>
                <w:szCs w:val="18"/>
                <w:lang w:val="en-US" w:eastAsia="en-US"/>
              </w:rPr>
              <w:t>71300</w:t>
            </w:r>
          </w:p>
        </w:tc>
        <w:tc>
          <w:tcPr>
            <w:tcW w:w="458" w:type="pct"/>
            <w:tcBorders>
              <w:top w:val="single" w:sz="8" w:space="0" w:color="auto"/>
              <w:left w:val="nil"/>
              <w:bottom w:val="nil"/>
              <w:right w:val="single" w:sz="8" w:space="0" w:color="auto"/>
            </w:tcBorders>
            <w:shd w:val="clear" w:color="auto" w:fill="auto"/>
            <w:vAlign w:val="center"/>
            <w:hideMark/>
          </w:tcPr>
          <w:p w14:paraId="0F8FA5C0" w14:textId="77777777" w:rsidR="00601D9B" w:rsidRDefault="000E53A0">
            <w:pPr>
              <w:rPr>
                <w:color w:val="000000"/>
                <w:sz w:val="18"/>
                <w:szCs w:val="18"/>
                <w:lang w:val="en-US" w:eastAsia="en-US"/>
              </w:rPr>
            </w:pPr>
            <w:r w:rsidRPr="00107491">
              <w:rPr>
                <w:color w:val="000000"/>
                <w:sz w:val="18"/>
                <w:szCs w:val="18"/>
                <w:lang w:val="en-US" w:eastAsia="en-US"/>
              </w:rPr>
              <w:t>Consultants locaux</w:t>
            </w:r>
          </w:p>
        </w:tc>
        <w:tc>
          <w:tcPr>
            <w:tcW w:w="254" w:type="pct"/>
            <w:tcBorders>
              <w:top w:val="nil"/>
              <w:left w:val="nil"/>
              <w:bottom w:val="single" w:sz="8" w:space="0" w:color="auto"/>
              <w:right w:val="single" w:sz="8" w:space="0" w:color="auto"/>
            </w:tcBorders>
            <w:shd w:val="clear" w:color="auto" w:fill="auto"/>
            <w:noWrap/>
            <w:vAlign w:val="center"/>
            <w:hideMark/>
          </w:tcPr>
          <w:p w14:paraId="14D660CA"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16,500 </w:t>
            </w:r>
          </w:p>
        </w:tc>
        <w:tc>
          <w:tcPr>
            <w:tcW w:w="273" w:type="pct"/>
            <w:tcBorders>
              <w:top w:val="nil"/>
              <w:left w:val="nil"/>
              <w:bottom w:val="single" w:sz="8" w:space="0" w:color="auto"/>
              <w:right w:val="single" w:sz="8" w:space="0" w:color="auto"/>
            </w:tcBorders>
            <w:shd w:val="clear" w:color="auto" w:fill="auto"/>
            <w:noWrap/>
            <w:vAlign w:val="center"/>
            <w:hideMark/>
          </w:tcPr>
          <w:p w14:paraId="7F4BD509"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27,000 </w:t>
            </w:r>
          </w:p>
        </w:tc>
        <w:tc>
          <w:tcPr>
            <w:tcW w:w="250" w:type="pct"/>
            <w:tcBorders>
              <w:top w:val="nil"/>
              <w:left w:val="nil"/>
              <w:bottom w:val="single" w:sz="8" w:space="0" w:color="auto"/>
              <w:right w:val="single" w:sz="8" w:space="0" w:color="auto"/>
            </w:tcBorders>
            <w:shd w:val="clear" w:color="auto" w:fill="auto"/>
            <w:noWrap/>
            <w:vAlign w:val="center"/>
            <w:hideMark/>
          </w:tcPr>
          <w:p w14:paraId="1B38A831"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15,000 </w:t>
            </w:r>
          </w:p>
        </w:tc>
        <w:tc>
          <w:tcPr>
            <w:tcW w:w="250" w:type="pct"/>
            <w:tcBorders>
              <w:top w:val="nil"/>
              <w:left w:val="nil"/>
              <w:bottom w:val="single" w:sz="8" w:space="0" w:color="auto"/>
              <w:right w:val="single" w:sz="8" w:space="0" w:color="auto"/>
            </w:tcBorders>
            <w:shd w:val="clear" w:color="auto" w:fill="auto"/>
            <w:noWrap/>
            <w:vAlign w:val="center"/>
            <w:hideMark/>
          </w:tcPr>
          <w:p w14:paraId="67992542"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15,000 </w:t>
            </w:r>
          </w:p>
        </w:tc>
        <w:tc>
          <w:tcPr>
            <w:tcW w:w="250" w:type="pct"/>
            <w:tcBorders>
              <w:top w:val="nil"/>
              <w:left w:val="nil"/>
              <w:bottom w:val="single" w:sz="8" w:space="0" w:color="auto"/>
              <w:right w:val="single" w:sz="8" w:space="0" w:color="auto"/>
            </w:tcBorders>
            <w:shd w:val="clear" w:color="auto" w:fill="auto"/>
            <w:noWrap/>
            <w:vAlign w:val="center"/>
            <w:hideMark/>
          </w:tcPr>
          <w:p w14:paraId="79373D6C"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15,000 </w:t>
            </w:r>
          </w:p>
        </w:tc>
        <w:tc>
          <w:tcPr>
            <w:tcW w:w="250" w:type="pct"/>
            <w:tcBorders>
              <w:top w:val="nil"/>
              <w:left w:val="nil"/>
              <w:bottom w:val="single" w:sz="8" w:space="0" w:color="auto"/>
              <w:right w:val="single" w:sz="8" w:space="0" w:color="auto"/>
            </w:tcBorders>
            <w:shd w:val="clear" w:color="auto" w:fill="auto"/>
            <w:noWrap/>
            <w:vAlign w:val="center"/>
            <w:hideMark/>
          </w:tcPr>
          <w:p w14:paraId="573C6061"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9,000 </w:t>
            </w:r>
          </w:p>
        </w:tc>
        <w:tc>
          <w:tcPr>
            <w:tcW w:w="261" w:type="pct"/>
            <w:tcBorders>
              <w:top w:val="nil"/>
              <w:left w:val="nil"/>
              <w:bottom w:val="single" w:sz="8" w:space="0" w:color="auto"/>
              <w:right w:val="single" w:sz="8" w:space="0" w:color="auto"/>
            </w:tcBorders>
            <w:shd w:val="clear" w:color="auto" w:fill="auto"/>
            <w:noWrap/>
            <w:vAlign w:val="center"/>
            <w:hideMark/>
          </w:tcPr>
          <w:p w14:paraId="424A44BA"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97,500 </w:t>
            </w:r>
          </w:p>
        </w:tc>
        <w:tc>
          <w:tcPr>
            <w:tcW w:w="183" w:type="pct"/>
            <w:tcBorders>
              <w:top w:val="nil"/>
              <w:left w:val="nil"/>
              <w:bottom w:val="single" w:sz="8" w:space="0" w:color="auto"/>
              <w:right w:val="single" w:sz="8" w:space="0" w:color="auto"/>
            </w:tcBorders>
            <w:shd w:val="clear" w:color="auto" w:fill="auto"/>
            <w:vAlign w:val="center"/>
            <w:hideMark/>
          </w:tcPr>
          <w:p w14:paraId="363B6518" w14:textId="77777777" w:rsidR="00601D9B" w:rsidRDefault="000E53A0">
            <w:pPr>
              <w:jc w:val="center"/>
              <w:rPr>
                <w:i/>
                <w:iCs/>
                <w:color w:val="000000"/>
                <w:sz w:val="18"/>
                <w:szCs w:val="18"/>
                <w:lang w:val="en-US" w:eastAsia="en-US"/>
              </w:rPr>
            </w:pPr>
            <w:r w:rsidRPr="00107491">
              <w:rPr>
                <w:i/>
                <w:iCs/>
                <w:color w:val="000000"/>
                <w:sz w:val="18"/>
                <w:szCs w:val="18"/>
                <w:lang w:val="en-US" w:eastAsia="en-US"/>
              </w:rPr>
              <w:t>11</w:t>
            </w:r>
          </w:p>
        </w:tc>
        <w:tc>
          <w:tcPr>
            <w:tcW w:w="35" w:type="pct"/>
            <w:vAlign w:val="center"/>
            <w:hideMark/>
          </w:tcPr>
          <w:p w14:paraId="1FA2152D" w14:textId="77777777" w:rsidR="00107491" w:rsidRPr="00107491" w:rsidRDefault="00107491" w:rsidP="00107491">
            <w:pPr>
              <w:rPr>
                <w:sz w:val="20"/>
                <w:szCs w:val="20"/>
                <w:lang w:val="en-US" w:eastAsia="en-US"/>
              </w:rPr>
            </w:pPr>
          </w:p>
        </w:tc>
      </w:tr>
      <w:tr w:rsidR="00107491" w:rsidRPr="00107491" w14:paraId="5CBF4780" w14:textId="77777777" w:rsidTr="00107491">
        <w:trPr>
          <w:trHeight w:val="300"/>
        </w:trPr>
        <w:tc>
          <w:tcPr>
            <w:tcW w:w="1056" w:type="pct"/>
            <w:tcBorders>
              <w:top w:val="nil"/>
              <w:left w:val="single" w:sz="8" w:space="0" w:color="auto"/>
              <w:bottom w:val="nil"/>
              <w:right w:val="nil"/>
            </w:tcBorders>
            <w:shd w:val="clear" w:color="auto" w:fill="auto"/>
            <w:noWrap/>
            <w:vAlign w:val="center"/>
            <w:hideMark/>
          </w:tcPr>
          <w:p w14:paraId="7E44A024"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 xml:space="preserve">COMPONENT 2 : </w:t>
            </w:r>
          </w:p>
        </w:tc>
        <w:tc>
          <w:tcPr>
            <w:tcW w:w="381" w:type="pct"/>
            <w:vMerge/>
            <w:tcBorders>
              <w:top w:val="nil"/>
              <w:left w:val="single" w:sz="8" w:space="0" w:color="auto"/>
              <w:bottom w:val="double" w:sz="6" w:space="0" w:color="000000"/>
              <w:right w:val="single" w:sz="8" w:space="0" w:color="auto"/>
            </w:tcBorders>
            <w:vAlign w:val="center"/>
            <w:hideMark/>
          </w:tcPr>
          <w:p w14:paraId="29C07E77" w14:textId="77777777" w:rsidR="00107491" w:rsidRPr="00107491" w:rsidRDefault="00107491" w:rsidP="00107491">
            <w:pPr>
              <w:rPr>
                <w:b/>
                <w:bCs/>
                <w:color w:val="000000"/>
                <w:sz w:val="18"/>
                <w:szCs w:val="18"/>
                <w:lang w:val="en-US" w:eastAsia="en-US"/>
              </w:rPr>
            </w:pPr>
          </w:p>
        </w:tc>
        <w:tc>
          <w:tcPr>
            <w:tcW w:w="453" w:type="pct"/>
            <w:tcBorders>
              <w:top w:val="nil"/>
              <w:left w:val="nil"/>
              <w:bottom w:val="nil"/>
              <w:right w:val="nil"/>
            </w:tcBorders>
            <w:shd w:val="clear" w:color="auto" w:fill="auto"/>
            <w:vAlign w:val="center"/>
            <w:hideMark/>
          </w:tcPr>
          <w:p w14:paraId="58C05898" w14:textId="77777777" w:rsidR="00107491" w:rsidRPr="00107491" w:rsidRDefault="00107491" w:rsidP="00107491">
            <w:pPr>
              <w:jc w:val="center"/>
              <w:rPr>
                <w:b/>
                <w:bCs/>
                <w:color w:val="000000"/>
                <w:sz w:val="18"/>
                <w:szCs w:val="18"/>
                <w:lang w:val="en-US" w:eastAsia="en-US"/>
              </w:rPr>
            </w:pPr>
          </w:p>
        </w:tc>
        <w:tc>
          <w:tcPr>
            <w:tcW w:w="388" w:type="pct"/>
            <w:tcBorders>
              <w:top w:val="nil"/>
              <w:left w:val="single" w:sz="8" w:space="0" w:color="auto"/>
              <w:bottom w:val="nil"/>
              <w:right w:val="single" w:sz="8" w:space="0" w:color="auto"/>
            </w:tcBorders>
            <w:shd w:val="clear" w:color="auto" w:fill="auto"/>
            <w:vAlign w:val="center"/>
            <w:hideMark/>
          </w:tcPr>
          <w:p w14:paraId="6613B65A" w14:textId="77777777" w:rsidR="00107491" w:rsidRPr="00107491" w:rsidRDefault="00107491" w:rsidP="00107491">
            <w:pPr>
              <w:jc w:val="center"/>
              <w:rPr>
                <w:b/>
                <w:bCs/>
                <w:color w:val="000000"/>
                <w:sz w:val="18"/>
                <w:szCs w:val="18"/>
                <w:lang w:val="en-US" w:eastAsia="en-US"/>
              </w:rPr>
            </w:pPr>
            <w:r w:rsidRPr="00107491">
              <w:rPr>
                <w:b/>
                <w:bCs/>
                <w:color w:val="000000"/>
                <w:sz w:val="18"/>
                <w:szCs w:val="18"/>
                <w:lang w:val="en-US" w:eastAsia="en-US"/>
              </w:rPr>
              <w:t> </w:t>
            </w:r>
          </w:p>
        </w:tc>
        <w:tc>
          <w:tcPr>
            <w:tcW w:w="258" w:type="pct"/>
            <w:tcBorders>
              <w:top w:val="nil"/>
              <w:left w:val="nil"/>
              <w:bottom w:val="single" w:sz="8" w:space="0" w:color="auto"/>
              <w:right w:val="single" w:sz="8" w:space="0" w:color="auto"/>
            </w:tcBorders>
            <w:shd w:val="clear" w:color="auto" w:fill="auto"/>
            <w:noWrap/>
            <w:vAlign w:val="center"/>
            <w:hideMark/>
          </w:tcPr>
          <w:p w14:paraId="1D47938F" w14:textId="77777777" w:rsidR="00601D9B" w:rsidRDefault="000E53A0">
            <w:pPr>
              <w:rPr>
                <w:color w:val="000000"/>
                <w:sz w:val="18"/>
                <w:szCs w:val="18"/>
                <w:lang w:val="en-US" w:eastAsia="en-US"/>
              </w:rPr>
            </w:pPr>
            <w:r w:rsidRPr="00107491">
              <w:rPr>
                <w:color w:val="000000"/>
                <w:sz w:val="18"/>
                <w:szCs w:val="18"/>
                <w:lang w:val="en-US" w:eastAsia="en-US"/>
              </w:rPr>
              <w:t>71600</w:t>
            </w:r>
          </w:p>
        </w:tc>
        <w:tc>
          <w:tcPr>
            <w:tcW w:w="458" w:type="pct"/>
            <w:tcBorders>
              <w:top w:val="single" w:sz="8" w:space="0" w:color="auto"/>
              <w:left w:val="nil"/>
              <w:bottom w:val="nil"/>
              <w:right w:val="single" w:sz="8" w:space="0" w:color="auto"/>
            </w:tcBorders>
            <w:shd w:val="clear" w:color="auto" w:fill="auto"/>
            <w:vAlign w:val="center"/>
            <w:hideMark/>
          </w:tcPr>
          <w:p w14:paraId="5DF487E6" w14:textId="77777777" w:rsidR="00601D9B" w:rsidRDefault="000E53A0">
            <w:pPr>
              <w:rPr>
                <w:color w:val="000000"/>
                <w:sz w:val="18"/>
                <w:szCs w:val="18"/>
                <w:lang w:val="en-US" w:eastAsia="en-US"/>
              </w:rPr>
            </w:pPr>
            <w:r w:rsidRPr="00107491">
              <w:rPr>
                <w:color w:val="000000"/>
                <w:sz w:val="18"/>
                <w:szCs w:val="18"/>
                <w:lang w:val="en-US" w:eastAsia="en-US"/>
              </w:rPr>
              <w:t>Voyage</w:t>
            </w:r>
          </w:p>
        </w:tc>
        <w:tc>
          <w:tcPr>
            <w:tcW w:w="254" w:type="pct"/>
            <w:tcBorders>
              <w:top w:val="nil"/>
              <w:left w:val="nil"/>
              <w:bottom w:val="single" w:sz="8" w:space="0" w:color="auto"/>
              <w:right w:val="single" w:sz="8" w:space="0" w:color="auto"/>
            </w:tcBorders>
            <w:shd w:val="clear" w:color="auto" w:fill="auto"/>
            <w:noWrap/>
            <w:vAlign w:val="center"/>
            <w:hideMark/>
          </w:tcPr>
          <w:p w14:paraId="090E702E"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20,125 </w:t>
            </w:r>
          </w:p>
        </w:tc>
        <w:tc>
          <w:tcPr>
            <w:tcW w:w="273" w:type="pct"/>
            <w:tcBorders>
              <w:top w:val="nil"/>
              <w:left w:val="nil"/>
              <w:bottom w:val="single" w:sz="8" w:space="0" w:color="auto"/>
              <w:right w:val="single" w:sz="8" w:space="0" w:color="auto"/>
            </w:tcBorders>
            <w:shd w:val="clear" w:color="auto" w:fill="auto"/>
            <w:noWrap/>
            <w:vAlign w:val="center"/>
            <w:hideMark/>
          </w:tcPr>
          <w:p w14:paraId="09F23E3A"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16,925 </w:t>
            </w:r>
          </w:p>
        </w:tc>
        <w:tc>
          <w:tcPr>
            <w:tcW w:w="250" w:type="pct"/>
            <w:tcBorders>
              <w:top w:val="nil"/>
              <w:left w:val="nil"/>
              <w:bottom w:val="single" w:sz="8" w:space="0" w:color="auto"/>
              <w:right w:val="single" w:sz="8" w:space="0" w:color="auto"/>
            </w:tcBorders>
            <w:shd w:val="clear" w:color="auto" w:fill="auto"/>
            <w:noWrap/>
            <w:vAlign w:val="center"/>
            <w:hideMark/>
          </w:tcPr>
          <w:p w14:paraId="2D49DC50"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12,925 </w:t>
            </w:r>
          </w:p>
        </w:tc>
        <w:tc>
          <w:tcPr>
            <w:tcW w:w="250" w:type="pct"/>
            <w:tcBorders>
              <w:top w:val="nil"/>
              <w:left w:val="nil"/>
              <w:bottom w:val="single" w:sz="8" w:space="0" w:color="auto"/>
              <w:right w:val="single" w:sz="8" w:space="0" w:color="auto"/>
            </w:tcBorders>
            <w:shd w:val="clear" w:color="auto" w:fill="auto"/>
            <w:noWrap/>
            <w:vAlign w:val="center"/>
            <w:hideMark/>
          </w:tcPr>
          <w:p w14:paraId="0595A71B"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12,925 </w:t>
            </w:r>
          </w:p>
        </w:tc>
        <w:tc>
          <w:tcPr>
            <w:tcW w:w="250" w:type="pct"/>
            <w:tcBorders>
              <w:top w:val="nil"/>
              <w:left w:val="nil"/>
              <w:bottom w:val="single" w:sz="8" w:space="0" w:color="auto"/>
              <w:right w:val="single" w:sz="8" w:space="0" w:color="auto"/>
            </w:tcBorders>
            <w:shd w:val="clear" w:color="auto" w:fill="auto"/>
            <w:noWrap/>
            <w:vAlign w:val="center"/>
            <w:hideMark/>
          </w:tcPr>
          <w:p w14:paraId="59387992"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12,925 </w:t>
            </w:r>
          </w:p>
        </w:tc>
        <w:tc>
          <w:tcPr>
            <w:tcW w:w="250" w:type="pct"/>
            <w:tcBorders>
              <w:top w:val="nil"/>
              <w:left w:val="nil"/>
              <w:bottom w:val="single" w:sz="8" w:space="0" w:color="auto"/>
              <w:right w:val="single" w:sz="8" w:space="0" w:color="auto"/>
            </w:tcBorders>
            <w:shd w:val="clear" w:color="auto" w:fill="auto"/>
            <w:noWrap/>
            <w:vAlign w:val="center"/>
            <w:hideMark/>
          </w:tcPr>
          <w:p w14:paraId="669CA9CF"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12,925 </w:t>
            </w:r>
          </w:p>
        </w:tc>
        <w:tc>
          <w:tcPr>
            <w:tcW w:w="261" w:type="pct"/>
            <w:tcBorders>
              <w:top w:val="nil"/>
              <w:left w:val="nil"/>
              <w:bottom w:val="single" w:sz="8" w:space="0" w:color="auto"/>
              <w:right w:val="single" w:sz="8" w:space="0" w:color="auto"/>
            </w:tcBorders>
            <w:shd w:val="clear" w:color="auto" w:fill="auto"/>
            <w:noWrap/>
            <w:vAlign w:val="center"/>
            <w:hideMark/>
          </w:tcPr>
          <w:p w14:paraId="232B46E3"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88,750 </w:t>
            </w:r>
          </w:p>
        </w:tc>
        <w:tc>
          <w:tcPr>
            <w:tcW w:w="183" w:type="pct"/>
            <w:tcBorders>
              <w:top w:val="nil"/>
              <w:left w:val="nil"/>
              <w:bottom w:val="single" w:sz="8" w:space="0" w:color="auto"/>
              <w:right w:val="single" w:sz="8" w:space="0" w:color="auto"/>
            </w:tcBorders>
            <w:shd w:val="clear" w:color="auto" w:fill="auto"/>
            <w:vAlign w:val="center"/>
            <w:hideMark/>
          </w:tcPr>
          <w:p w14:paraId="4E4B4064" w14:textId="77777777" w:rsidR="00601D9B" w:rsidRDefault="000E53A0">
            <w:pPr>
              <w:jc w:val="center"/>
              <w:rPr>
                <w:i/>
                <w:iCs/>
                <w:color w:val="000000"/>
                <w:sz w:val="18"/>
                <w:szCs w:val="18"/>
                <w:lang w:val="en-US" w:eastAsia="en-US"/>
              </w:rPr>
            </w:pPr>
            <w:r w:rsidRPr="00107491">
              <w:rPr>
                <w:i/>
                <w:iCs/>
                <w:color w:val="000000"/>
                <w:sz w:val="18"/>
                <w:szCs w:val="18"/>
                <w:lang w:val="en-US" w:eastAsia="en-US"/>
              </w:rPr>
              <w:t>12</w:t>
            </w:r>
          </w:p>
        </w:tc>
        <w:tc>
          <w:tcPr>
            <w:tcW w:w="35" w:type="pct"/>
            <w:vAlign w:val="center"/>
            <w:hideMark/>
          </w:tcPr>
          <w:p w14:paraId="37F21292" w14:textId="77777777" w:rsidR="00107491" w:rsidRPr="00107491" w:rsidRDefault="00107491" w:rsidP="00107491">
            <w:pPr>
              <w:rPr>
                <w:sz w:val="20"/>
                <w:szCs w:val="20"/>
                <w:lang w:val="en-US" w:eastAsia="en-US"/>
              </w:rPr>
            </w:pPr>
          </w:p>
        </w:tc>
      </w:tr>
      <w:tr w:rsidR="00107491" w:rsidRPr="00107491" w14:paraId="54E81222" w14:textId="77777777" w:rsidTr="00107491">
        <w:trPr>
          <w:trHeight w:val="680"/>
        </w:trPr>
        <w:tc>
          <w:tcPr>
            <w:tcW w:w="1056" w:type="pct"/>
            <w:tcBorders>
              <w:top w:val="nil"/>
              <w:left w:val="single" w:sz="8" w:space="0" w:color="auto"/>
              <w:bottom w:val="nil"/>
              <w:right w:val="nil"/>
            </w:tcBorders>
            <w:shd w:val="clear" w:color="auto" w:fill="auto"/>
            <w:noWrap/>
            <w:vAlign w:val="center"/>
            <w:hideMark/>
          </w:tcPr>
          <w:p w14:paraId="3126D8E3" w14:textId="77777777" w:rsidR="00601D9B" w:rsidRPr="000E53A0" w:rsidRDefault="000E53A0">
            <w:pPr>
              <w:jc w:val="both"/>
              <w:rPr>
                <w:i/>
                <w:iCs/>
                <w:color w:val="000000"/>
                <w:sz w:val="18"/>
                <w:szCs w:val="18"/>
                <w:lang w:val="fr-FR" w:eastAsia="en-US"/>
              </w:rPr>
            </w:pPr>
            <w:r w:rsidRPr="000E53A0">
              <w:rPr>
                <w:i/>
                <w:iCs/>
                <w:color w:val="000000"/>
                <w:sz w:val="18"/>
                <w:szCs w:val="18"/>
                <w:lang w:val="fr-FR" w:eastAsia="en-US"/>
              </w:rPr>
              <w:lastRenderedPageBreak/>
              <w:t xml:space="preserve">Renforcer la résilience des paysages de production dégradés avec des communautés vulnérables au changement climatique </w:t>
            </w:r>
          </w:p>
        </w:tc>
        <w:tc>
          <w:tcPr>
            <w:tcW w:w="381" w:type="pct"/>
            <w:vMerge/>
            <w:tcBorders>
              <w:top w:val="nil"/>
              <w:left w:val="single" w:sz="8" w:space="0" w:color="auto"/>
              <w:bottom w:val="double" w:sz="6" w:space="0" w:color="000000"/>
              <w:right w:val="single" w:sz="8" w:space="0" w:color="auto"/>
            </w:tcBorders>
            <w:vAlign w:val="center"/>
            <w:hideMark/>
          </w:tcPr>
          <w:p w14:paraId="3A5B38B5" w14:textId="77777777" w:rsidR="00107491" w:rsidRPr="000E53A0" w:rsidRDefault="00107491" w:rsidP="00107491">
            <w:pPr>
              <w:rPr>
                <w:b/>
                <w:bCs/>
                <w:color w:val="000000"/>
                <w:sz w:val="18"/>
                <w:szCs w:val="18"/>
                <w:lang w:val="fr-FR" w:eastAsia="en-US"/>
              </w:rPr>
            </w:pPr>
          </w:p>
        </w:tc>
        <w:tc>
          <w:tcPr>
            <w:tcW w:w="453" w:type="pct"/>
            <w:tcBorders>
              <w:top w:val="nil"/>
              <w:left w:val="nil"/>
              <w:bottom w:val="nil"/>
              <w:right w:val="nil"/>
            </w:tcBorders>
            <w:shd w:val="clear" w:color="auto" w:fill="auto"/>
            <w:vAlign w:val="center"/>
            <w:hideMark/>
          </w:tcPr>
          <w:p w14:paraId="589B5317" w14:textId="77777777" w:rsidR="00107491" w:rsidRPr="000E53A0" w:rsidRDefault="00107491" w:rsidP="00107491">
            <w:pPr>
              <w:jc w:val="both"/>
              <w:rPr>
                <w:i/>
                <w:iCs/>
                <w:color w:val="000000"/>
                <w:sz w:val="18"/>
                <w:szCs w:val="18"/>
                <w:lang w:val="fr-FR" w:eastAsia="en-US"/>
              </w:rPr>
            </w:pPr>
          </w:p>
        </w:tc>
        <w:tc>
          <w:tcPr>
            <w:tcW w:w="388" w:type="pct"/>
            <w:tcBorders>
              <w:top w:val="nil"/>
              <w:left w:val="single" w:sz="8" w:space="0" w:color="auto"/>
              <w:bottom w:val="nil"/>
              <w:right w:val="single" w:sz="8" w:space="0" w:color="auto"/>
            </w:tcBorders>
            <w:shd w:val="clear" w:color="auto" w:fill="auto"/>
            <w:vAlign w:val="center"/>
            <w:hideMark/>
          </w:tcPr>
          <w:p w14:paraId="59CF834E" w14:textId="77777777" w:rsidR="00107491" w:rsidRPr="000E53A0" w:rsidRDefault="00107491" w:rsidP="00107491">
            <w:pPr>
              <w:jc w:val="center"/>
              <w:rPr>
                <w:b/>
                <w:bCs/>
                <w:color w:val="000000"/>
                <w:sz w:val="18"/>
                <w:szCs w:val="18"/>
                <w:lang w:val="fr-FR" w:eastAsia="en-US"/>
              </w:rPr>
            </w:pPr>
            <w:r w:rsidRPr="000E53A0">
              <w:rPr>
                <w:b/>
                <w:bCs/>
                <w:color w:val="000000"/>
                <w:sz w:val="18"/>
                <w:szCs w:val="18"/>
                <w:lang w:val="fr-FR" w:eastAsia="en-US"/>
              </w:rPr>
              <w:t> </w:t>
            </w:r>
          </w:p>
        </w:tc>
        <w:tc>
          <w:tcPr>
            <w:tcW w:w="258" w:type="pct"/>
            <w:tcBorders>
              <w:top w:val="nil"/>
              <w:left w:val="nil"/>
              <w:bottom w:val="single" w:sz="8" w:space="0" w:color="auto"/>
              <w:right w:val="single" w:sz="8" w:space="0" w:color="auto"/>
            </w:tcBorders>
            <w:shd w:val="clear" w:color="auto" w:fill="auto"/>
            <w:noWrap/>
            <w:vAlign w:val="center"/>
            <w:hideMark/>
          </w:tcPr>
          <w:p w14:paraId="08ED1B09" w14:textId="77777777" w:rsidR="00601D9B" w:rsidRDefault="000E53A0">
            <w:pPr>
              <w:rPr>
                <w:color w:val="000000"/>
                <w:sz w:val="18"/>
                <w:szCs w:val="18"/>
                <w:lang w:val="en-US" w:eastAsia="en-US"/>
              </w:rPr>
            </w:pPr>
            <w:r w:rsidRPr="00107491">
              <w:rPr>
                <w:color w:val="000000"/>
                <w:sz w:val="18"/>
                <w:szCs w:val="18"/>
                <w:lang w:val="en-US" w:eastAsia="en-US"/>
              </w:rPr>
              <w:t>71400</w:t>
            </w:r>
          </w:p>
        </w:tc>
        <w:tc>
          <w:tcPr>
            <w:tcW w:w="458" w:type="pct"/>
            <w:tcBorders>
              <w:top w:val="single" w:sz="8" w:space="0" w:color="auto"/>
              <w:left w:val="nil"/>
              <w:bottom w:val="nil"/>
              <w:right w:val="single" w:sz="8" w:space="0" w:color="auto"/>
            </w:tcBorders>
            <w:shd w:val="clear" w:color="auto" w:fill="auto"/>
            <w:vAlign w:val="center"/>
            <w:hideMark/>
          </w:tcPr>
          <w:p w14:paraId="0B32D7A1" w14:textId="77777777" w:rsidR="00601D9B" w:rsidRDefault="000E53A0">
            <w:pPr>
              <w:rPr>
                <w:color w:val="000000"/>
                <w:sz w:val="18"/>
                <w:szCs w:val="18"/>
                <w:lang w:val="en-US" w:eastAsia="en-US"/>
              </w:rPr>
            </w:pPr>
            <w:r w:rsidRPr="00107491">
              <w:rPr>
                <w:color w:val="000000"/>
                <w:sz w:val="18"/>
                <w:szCs w:val="18"/>
                <w:lang w:val="en-US" w:eastAsia="en-US"/>
              </w:rPr>
              <w:t>Services contractuels - Individuel</w:t>
            </w:r>
          </w:p>
        </w:tc>
        <w:tc>
          <w:tcPr>
            <w:tcW w:w="254" w:type="pct"/>
            <w:tcBorders>
              <w:top w:val="nil"/>
              <w:left w:val="nil"/>
              <w:bottom w:val="single" w:sz="8" w:space="0" w:color="auto"/>
              <w:right w:val="single" w:sz="8" w:space="0" w:color="auto"/>
            </w:tcBorders>
            <w:shd w:val="clear" w:color="auto" w:fill="auto"/>
            <w:noWrap/>
            <w:vAlign w:val="center"/>
            <w:hideMark/>
          </w:tcPr>
          <w:p w14:paraId="3886E72C"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37,500 </w:t>
            </w:r>
          </w:p>
        </w:tc>
        <w:tc>
          <w:tcPr>
            <w:tcW w:w="273" w:type="pct"/>
            <w:tcBorders>
              <w:top w:val="nil"/>
              <w:left w:val="nil"/>
              <w:bottom w:val="single" w:sz="8" w:space="0" w:color="auto"/>
              <w:right w:val="single" w:sz="8" w:space="0" w:color="auto"/>
            </w:tcBorders>
            <w:shd w:val="clear" w:color="auto" w:fill="auto"/>
            <w:noWrap/>
            <w:vAlign w:val="center"/>
            <w:hideMark/>
          </w:tcPr>
          <w:p w14:paraId="2A5F58DB"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68,000 </w:t>
            </w:r>
          </w:p>
        </w:tc>
        <w:tc>
          <w:tcPr>
            <w:tcW w:w="250" w:type="pct"/>
            <w:tcBorders>
              <w:top w:val="nil"/>
              <w:left w:val="nil"/>
              <w:bottom w:val="single" w:sz="8" w:space="0" w:color="auto"/>
              <w:right w:val="single" w:sz="8" w:space="0" w:color="auto"/>
            </w:tcBorders>
            <w:shd w:val="clear" w:color="auto" w:fill="auto"/>
            <w:noWrap/>
            <w:vAlign w:val="center"/>
            <w:hideMark/>
          </w:tcPr>
          <w:p w14:paraId="26E0832E"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68,000 </w:t>
            </w:r>
          </w:p>
        </w:tc>
        <w:tc>
          <w:tcPr>
            <w:tcW w:w="250" w:type="pct"/>
            <w:tcBorders>
              <w:top w:val="nil"/>
              <w:left w:val="nil"/>
              <w:bottom w:val="single" w:sz="8" w:space="0" w:color="auto"/>
              <w:right w:val="single" w:sz="8" w:space="0" w:color="auto"/>
            </w:tcBorders>
            <w:shd w:val="clear" w:color="auto" w:fill="auto"/>
            <w:noWrap/>
            <w:vAlign w:val="center"/>
            <w:hideMark/>
          </w:tcPr>
          <w:p w14:paraId="0E154957"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68,000 </w:t>
            </w:r>
          </w:p>
        </w:tc>
        <w:tc>
          <w:tcPr>
            <w:tcW w:w="250" w:type="pct"/>
            <w:tcBorders>
              <w:top w:val="nil"/>
              <w:left w:val="nil"/>
              <w:bottom w:val="single" w:sz="8" w:space="0" w:color="auto"/>
              <w:right w:val="single" w:sz="8" w:space="0" w:color="auto"/>
            </w:tcBorders>
            <w:shd w:val="clear" w:color="auto" w:fill="auto"/>
            <w:noWrap/>
            <w:vAlign w:val="center"/>
            <w:hideMark/>
          </w:tcPr>
          <w:p w14:paraId="61AB48F9"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68,000 </w:t>
            </w:r>
          </w:p>
        </w:tc>
        <w:tc>
          <w:tcPr>
            <w:tcW w:w="250" w:type="pct"/>
            <w:tcBorders>
              <w:top w:val="nil"/>
              <w:left w:val="nil"/>
              <w:bottom w:val="single" w:sz="8" w:space="0" w:color="auto"/>
              <w:right w:val="single" w:sz="8" w:space="0" w:color="auto"/>
            </w:tcBorders>
            <w:shd w:val="clear" w:color="auto" w:fill="auto"/>
            <w:noWrap/>
            <w:vAlign w:val="center"/>
            <w:hideMark/>
          </w:tcPr>
          <w:p w14:paraId="031B6568"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68,000 </w:t>
            </w:r>
          </w:p>
        </w:tc>
        <w:tc>
          <w:tcPr>
            <w:tcW w:w="261" w:type="pct"/>
            <w:tcBorders>
              <w:top w:val="nil"/>
              <w:left w:val="nil"/>
              <w:bottom w:val="single" w:sz="8" w:space="0" w:color="auto"/>
              <w:right w:val="single" w:sz="8" w:space="0" w:color="auto"/>
            </w:tcBorders>
            <w:shd w:val="clear" w:color="auto" w:fill="auto"/>
            <w:noWrap/>
            <w:vAlign w:val="center"/>
            <w:hideMark/>
          </w:tcPr>
          <w:p w14:paraId="4D0DFE4D"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377,500 </w:t>
            </w:r>
          </w:p>
        </w:tc>
        <w:tc>
          <w:tcPr>
            <w:tcW w:w="183" w:type="pct"/>
            <w:tcBorders>
              <w:top w:val="nil"/>
              <w:left w:val="nil"/>
              <w:bottom w:val="single" w:sz="8" w:space="0" w:color="auto"/>
              <w:right w:val="single" w:sz="8" w:space="0" w:color="auto"/>
            </w:tcBorders>
            <w:shd w:val="clear" w:color="auto" w:fill="auto"/>
            <w:vAlign w:val="center"/>
            <w:hideMark/>
          </w:tcPr>
          <w:p w14:paraId="2CE1C0AB" w14:textId="77777777" w:rsidR="00601D9B" w:rsidRDefault="000E53A0">
            <w:pPr>
              <w:jc w:val="center"/>
              <w:rPr>
                <w:i/>
                <w:iCs/>
                <w:color w:val="000000"/>
                <w:sz w:val="18"/>
                <w:szCs w:val="18"/>
                <w:lang w:val="en-US" w:eastAsia="en-US"/>
              </w:rPr>
            </w:pPr>
            <w:r w:rsidRPr="00107491">
              <w:rPr>
                <w:i/>
                <w:iCs/>
                <w:color w:val="000000"/>
                <w:sz w:val="18"/>
                <w:szCs w:val="18"/>
                <w:lang w:val="en-US" w:eastAsia="en-US"/>
              </w:rPr>
              <w:t>13</w:t>
            </w:r>
          </w:p>
        </w:tc>
        <w:tc>
          <w:tcPr>
            <w:tcW w:w="35" w:type="pct"/>
            <w:vAlign w:val="center"/>
            <w:hideMark/>
          </w:tcPr>
          <w:p w14:paraId="6BA931CA" w14:textId="77777777" w:rsidR="00107491" w:rsidRPr="00107491" w:rsidRDefault="00107491" w:rsidP="00107491">
            <w:pPr>
              <w:rPr>
                <w:sz w:val="20"/>
                <w:szCs w:val="20"/>
                <w:lang w:val="en-US" w:eastAsia="en-US"/>
              </w:rPr>
            </w:pPr>
          </w:p>
        </w:tc>
      </w:tr>
      <w:tr w:rsidR="00107491" w:rsidRPr="00107491" w14:paraId="473E8EA3" w14:textId="77777777" w:rsidTr="00107491">
        <w:trPr>
          <w:trHeight w:val="300"/>
        </w:trPr>
        <w:tc>
          <w:tcPr>
            <w:tcW w:w="1056" w:type="pct"/>
            <w:tcBorders>
              <w:top w:val="nil"/>
              <w:left w:val="single" w:sz="8" w:space="0" w:color="auto"/>
              <w:bottom w:val="nil"/>
              <w:right w:val="nil"/>
            </w:tcBorders>
            <w:shd w:val="clear" w:color="auto" w:fill="auto"/>
            <w:noWrap/>
            <w:vAlign w:val="center"/>
            <w:hideMark/>
          </w:tcPr>
          <w:p w14:paraId="660C9703" w14:textId="77777777" w:rsidR="00107491" w:rsidRPr="00107491" w:rsidRDefault="00107491" w:rsidP="00107491">
            <w:pPr>
              <w:jc w:val="both"/>
              <w:rPr>
                <w:i/>
                <w:iCs/>
                <w:color w:val="000000"/>
                <w:sz w:val="18"/>
                <w:szCs w:val="18"/>
                <w:lang w:val="en-US" w:eastAsia="en-US"/>
              </w:rPr>
            </w:pPr>
            <w:r w:rsidRPr="00107491">
              <w:rPr>
                <w:i/>
                <w:iCs/>
                <w:color w:val="000000"/>
                <w:sz w:val="18"/>
                <w:szCs w:val="18"/>
                <w:lang w:val="en-US" w:eastAsia="en-US"/>
              </w:rPr>
              <w:t> </w:t>
            </w:r>
          </w:p>
        </w:tc>
        <w:tc>
          <w:tcPr>
            <w:tcW w:w="381" w:type="pct"/>
            <w:vMerge/>
            <w:tcBorders>
              <w:top w:val="nil"/>
              <w:left w:val="single" w:sz="8" w:space="0" w:color="auto"/>
              <w:bottom w:val="double" w:sz="6" w:space="0" w:color="000000"/>
              <w:right w:val="single" w:sz="8" w:space="0" w:color="auto"/>
            </w:tcBorders>
            <w:vAlign w:val="center"/>
            <w:hideMark/>
          </w:tcPr>
          <w:p w14:paraId="0C0A472D" w14:textId="77777777" w:rsidR="00107491" w:rsidRPr="00107491" w:rsidRDefault="00107491" w:rsidP="00107491">
            <w:pPr>
              <w:rPr>
                <w:b/>
                <w:bCs/>
                <w:color w:val="000000"/>
                <w:sz w:val="18"/>
                <w:szCs w:val="18"/>
                <w:lang w:val="en-US" w:eastAsia="en-US"/>
              </w:rPr>
            </w:pPr>
          </w:p>
        </w:tc>
        <w:tc>
          <w:tcPr>
            <w:tcW w:w="453" w:type="pct"/>
            <w:tcBorders>
              <w:top w:val="nil"/>
              <w:left w:val="nil"/>
              <w:bottom w:val="nil"/>
              <w:right w:val="nil"/>
            </w:tcBorders>
            <w:shd w:val="clear" w:color="auto" w:fill="auto"/>
            <w:vAlign w:val="center"/>
            <w:hideMark/>
          </w:tcPr>
          <w:p w14:paraId="01595135" w14:textId="77777777" w:rsidR="00107491" w:rsidRPr="00107491" w:rsidRDefault="00107491" w:rsidP="00107491">
            <w:pPr>
              <w:jc w:val="both"/>
              <w:rPr>
                <w:i/>
                <w:iCs/>
                <w:color w:val="000000"/>
                <w:sz w:val="18"/>
                <w:szCs w:val="18"/>
                <w:lang w:val="en-US" w:eastAsia="en-US"/>
              </w:rPr>
            </w:pPr>
          </w:p>
        </w:tc>
        <w:tc>
          <w:tcPr>
            <w:tcW w:w="388" w:type="pct"/>
            <w:tcBorders>
              <w:top w:val="nil"/>
              <w:left w:val="single" w:sz="8" w:space="0" w:color="auto"/>
              <w:bottom w:val="nil"/>
              <w:right w:val="single" w:sz="8" w:space="0" w:color="auto"/>
            </w:tcBorders>
            <w:shd w:val="clear" w:color="auto" w:fill="auto"/>
            <w:vAlign w:val="center"/>
            <w:hideMark/>
          </w:tcPr>
          <w:p w14:paraId="5A8D1925" w14:textId="77777777" w:rsidR="00107491" w:rsidRPr="00107491" w:rsidRDefault="00107491" w:rsidP="00107491">
            <w:pPr>
              <w:jc w:val="center"/>
              <w:rPr>
                <w:b/>
                <w:bCs/>
                <w:color w:val="000000"/>
                <w:sz w:val="18"/>
                <w:szCs w:val="18"/>
                <w:lang w:val="en-US" w:eastAsia="en-US"/>
              </w:rPr>
            </w:pPr>
            <w:r w:rsidRPr="00107491">
              <w:rPr>
                <w:b/>
                <w:bCs/>
                <w:color w:val="000000"/>
                <w:sz w:val="18"/>
                <w:szCs w:val="18"/>
                <w:lang w:val="en-US" w:eastAsia="en-US"/>
              </w:rPr>
              <w:t> </w:t>
            </w:r>
          </w:p>
        </w:tc>
        <w:tc>
          <w:tcPr>
            <w:tcW w:w="258" w:type="pct"/>
            <w:tcBorders>
              <w:top w:val="nil"/>
              <w:left w:val="nil"/>
              <w:bottom w:val="single" w:sz="8" w:space="0" w:color="auto"/>
              <w:right w:val="single" w:sz="8" w:space="0" w:color="auto"/>
            </w:tcBorders>
            <w:shd w:val="clear" w:color="auto" w:fill="auto"/>
            <w:noWrap/>
            <w:vAlign w:val="center"/>
            <w:hideMark/>
          </w:tcPr>
          <w:p w14:paraId="720A97CD" w14:textId="77777777" w:rsidR="00601D9B" w:rsidRDefault="000E53A0">
            <w:pPr>
              <w:rPr>
                <w:color w:val="000000"/>
                <w:sz w:val="18"/>
                <w:szCs w:val="18"/>
                <w:lang w:val="en-US" w:eastAsia="en-US"/>
              </w:rPr>
            </w:pPr>
            <w:r w:rsidRPr="00107491">
              <w:rPr>
                <w:color w:val="000000"/>
                <w:sz w:val="18"/>
                <w:szCs w:val="18"/>
                <w:lang w:val="en-US" w:eastAsia="en-US"/>
              </w:rPr>
              <w:t>72200</w:t>
            </w:r>
          </w:p>
        </w:tc>
        <w:tc>
          <w:tcPr>
            <w:tcW w:w="458" w:type="pct"/>
            <w:tcBorders>
              <w:top w:val="single" w:sz="8" w:space="0" w:color="auto"/>
              <w:left w:val="nil"/>
              <w:bottom w:val="nil"/>
              <w:right w:val="single" w:sz="8" w:space="0" w:color="auto"/>
            </w:tcBorders>
            <w:shd w:val="clear" w:color="auto" w:fill="auto"/>
            <w:vAlign w:val="center"/>
            <w:hideMark/>
          </w:tcPr>
          <w:p w14:paraId="1B6E8657" w14:textId="77777777" w:rsidR="00601D9B" w:rsidRDefault="000E53A0">
            <w:pPr>
              <w:rPr>
                <w:color w:val="000000"/>
                <w:sz w:val="18"/>
                <w:szCs w:val="18"/>
                <w:lang w:val="en-US" w:eastAsia="en-US"/>
              </w:rPr>
            </w:pPr>
            <w:r w:rsidRPr="00107491">
              <w:rPr>
                <w:color w:val="000000"/>
                <w:sz w:val="18"/>
                <w:szCs w:val="18"/>
                <w:lang w:val="en-US" w:eastAsia="en-US"/>
              </w:rPr>
              <w:t>Équipement et mobilier</w:t>
            </w:r>
          </w:p>
        </w:tc>
        <w:tc>
          <w:tcPr>
            <w:tcW w:w="254" w:type="pct"/>
            <w:tcBorders>
              <w:top w:val="nil"/>
              <w:left w:val="nil"/>
              <w:bottom w:val="single" w:sz="8" w:space="0" w:color="auto"/>
              <w:right w:val="single" w:sz="8" w:space="0" w:color="auto"/>
            </w:tcBorders>
            <w:shd w:val="clear" w:color="auto" w:fill="auto"/>
            <w:noWrap/>
            <w:vAlign w:val="center"/>
            <w:hideMark/>
          </w:tcPr>
          <w:p w14:paraId="7A247C9C"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9,000 </w:t>
            </w:r>
          </w:p>
        </w:tc>
        <w:tc>
          <w:tcPr>
            <w:tcW w:w="273" w:type="pct"/>
            <w:tcBorders>
              <w:top w:val="nil"/>
              <w:left w:val="nil"/>
              <w:bottom w:val="single" w:sz="8" w:space="0" w:color="auto"/>
              <w:right w:val="single" w:sz="8" w:space="0" w:color="auto"/>
            </w:tcBorders>
            <w:shd w:val="clear" w:color="auto" w:fill="auto"/>
            <w:noWrap/>
            <w:vAlign w:val="center"/>
            <w:hideMark/>
          </w:tcPr>
          <w:p w14:paraId="64CD7809"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59,625 </w:t>
            </w:r>
          </w:p>
        </w:tc>
        <w:tc>
          <w:tcPr>
            <w:tcW w:w="250" w:type="pct"/>
            <w:tcBorders>
              <w:top w:val="nil"/>
              <w:left w:val="nil"/>
              <w:bottom w:val="single" w:sz="8" w:space="0" w:color="auto"/>
              <w:right w:val="single" w:sz="8" w:space="0" w:color="auto"/>
            </w:tcBorders>
            <w:shd w:val="clear" w:color="auto" w:fill="auto"/>
            <w:noWrap/>
            <w:vAlign w:val="center"/>
            <w:hideMark/>
          </w:tcPr>
          <w:p w14:paraId="3982EBC7"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43,125 </w:t>
            </w:r>
          </w:p>
        </w:tc>
        <w:tc>
          <w:tcPr>
            <w:tcW w:w="250" w:type="pct"/>
            <w:tcBorders>
              <w:top w:val="nil"/>
              <w:left w:val="nil"/>
              <w:bottom w:val="single" w:sz="8" w:space="0" w:color="auto"/>
              <w:right w:val="single" w:sz="8" w:space="0" w:color="auto"/>
            </w:tcBorders>
            <w:shd w:val="clear" w:color="auto" w:fill="auto"/>
            <w:noWrap/>
            <w:vAlign w:val="center"/>
            <w:hideMark/>
          </w:tcPr>
          <w:p w14:paraId="6E9C0A75"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 </w:t>
            </w:r>
          </w:p>
        </w:tc>
        <w:tc>
          <w:tcPr>
            <w:tcW w:w="250" w:type="pct"/>
            <w:tcBorders>
              <w:top w:val="nil"/>
              <w:left w:val="nil"/>
              <w:bottom w:val="single" w:sz="8" w:space="0" w:color="auto"/>
              <w:right w:val="single" w:sz="8" w:space="0" w:color="auto"/>
            </w:tcBorders>
            <w:shd w:val="clear" w:color="auto" w:fill="auto"/>
            <w:noWrap/>
            <w:vAlign w:val="center"/>
            <w:hideMark/>
          </w:tcPr>
          <w:p w14:paraId="734A0A2F"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 </w:t>
            </w:r>
          </w:p>
        </w:tc>
        <w:tc>
          <w:tcPr>
            <w:tcW w:w="250" w:type="pct"/>
            <w:tcBorders>
              <w:top w:val="nil"/>
              <w:left w:val="nil"/>
              <w:bottom w:val="single" w:sz="8" w:space="0" w:color="auto"/>
              <w:right w:val="single" w:sz="8" w:space="0" w:color="auto"/>
            </w:tcBorders>
            <w:shd w:val="clear" w:color="auto" w:fill="auto"/>
            <w:noWrap/>
            <w:vAlign w:val="center"/>
            <w:hideMark/>
          </w:tcPr>
          <w:p w14:paraId="7A75ABA0"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 </w:t>
            </w:r>
          </w:p>
        </w:tc>
        <w:tc>
          <w:tcPr>
            <w:tcW w:w="261" w:type="pct"/>
            <w:tcBorders>
              <w:top w:val="nil"/>
              <w:left w:val="nil"/>
              <w:bottom w:val="single" w:sz="8" w:space="0" w:color="auto"/>
              <w:right w:val="single" w:sz="8" w:space="0" w:color="auto"/>
            </w:tcBorders>
            <w:shd w:val="clear" w:color="auto" w:fill="auto"/>
            <w:noWrap/>
            <w:vAlign w:val="center"/>
            <w:hideMark/>
          </w:tcPr>
          <w:p w14:paraId="0F461163"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111,750 </w:t>
            </w:r>
          </w:p>
        </w:tc>
        <w:tc>
          <w:tcPr>
            <w:tcW w:w="183" w:type="pct"/>
            <w:tcBorders>
              <w:top w:val="nil"/>
              <w:left w:val="nil"/>
              <w:bottom w:val="single" w:sz="8" w:space="0" w:color="auto"/>
              <w:right w:val="single" w:sz="8" w:space="0" w:color="auto"/>
            </w:tcBorders>
            <w:shd w:val="clear" w:color="auto" w:fill="auto"/>
            <w:vAlign w:val="center"/>
            <w:hideMark/>
          </w:tcPr>
          <w:p w14:paraId="0E15CAF9" w14:textId="77777777" w:rsidR="00601D9B" w:rsidRDefault="000E53A0">
            <w:pPr>
              <w:jc w:val="center"/>
              <w:rPr>
                <w:i/>
                <w:iCs/>
                <w:color w:val="000000"/>
                <w:sz w:val="18"/>
                <w:szCs w:val="18"/>
                <w:lang w:val="en-US" w:eastAsia="en-US"/>
              </w:rPr>
            </w:pPr>
            <w:r w:rsidRPr="00107491">
              <w:rPr>
                <w:i/>
                <w:iCs/>
                <w:color w:val="000000"/>
                <w:sz w:val="18"/>
                <w:szCs w:val="18"/>
                <w:lang w:val="en-US" w:eastAsia="en-US"/>
              </w:rPr>
              <w:t>14</w:t>
            </w:r>
          </w:p>
        </w:tc>
        <w:tc>
          <w:tcPr>
            <w:tcW w:w="35" w:type="pct"/>
            <w:vAlign w:val="center"/>
            <w:hideMark/>
          </w:tcPr>
          <w:p w14:paraId="75187B49" w14:textId="77777777" w:rsidR="00107491" w:rsidRPr="00107491" w:rsidRDefault="00107491" w:rsidP="00107491">
            <w:pPr>
              <w:rPr>
                <w:sz w:val="20"/>
                <w:szCs w:val="20"/>
                <w:lang w:val="en-US" w:eastAsia="en-US"/>
              </w:rPr>
            </w:pPr>
          </w:p>
        </w:tc>
      </w:tr>
      <w:tr w:rsidR="00107491" w:rsidRPr="00107491" w14:paraId="3F48C3A0" w14:textId="77777777" w:rsidTr="00107491">
        <w:trPr>
          <w:trHeight w:val="300"/>
        </w:trPr>
        <w:tc>
          <w:tcPr>
            <w:tcW w:w="1056" w:type="pct"/>
            <w:tcBorders>
              <w:top w:val="nil"/>
              <w:left w:val="single" w:sz="8" w:space="0" w:color="auto"/>
              <w:bottom w:val="nil"/>
              <w:right w:val="nil"/>
            </w:tcBorders>
            <w:shd w:val="clear" w:color="auto" w:fill="auto"/>
            <w:noWrap/>
            <w:vAlign w:val="center"/>
            <w:hideMark/>
          </w:tcPr>
          <w:p w14:paraId="45F2EB71" w14:textId="77777777" w:rsidR="00107491" w:rsidRPr="00107491" w:rsidRDefault="00107491" w:rsidP="00107491">
            <w:pPr>
              <w:jc w:val="both"/>
              <w:rPr>
                <w:i/>
                <w:iCs/>
                <w:color w:val="000000"/>
                <w:sz w:val="18"/>
                <w:szCs w:val="18"/>
                <w:lang w:val="en-US" w:eastAsia="en-US"/>
              </w:rPr>
            </w:pPr>
            <w:r w:rsidRPr="00107491">
              <w:rPr>
                <w:i/>
                <w:iCs/>
                <w:color w:val="000000"/>
                <w:sz w:val="18"/>
                <w:szCs w:val="18"/>
                <w:lang w:val="en-US" w:eastAsia="en-US"/>
              </w:rPr>
              <w:t> </w:t>
            </w:r>
          </w:p>
        </w:tc>
        <w:tc>
          <w:tcPr>
            <w:tcW w:w="381" w:type="pct"/>
            <w:vMerge/>
            <w:tcBorders>
              <w:top w:val="nil"/>
              <w:left w:val="single" w:sz="8" w:space="0" w:color="auto"/>
              <w:bottom w:val="double" w:sz="6" w:space="0" w:color="000000"/>
              <w:right w:val="single" w:sz="8" w:space="0" w:color="auto"/>
            </w:tcBorders>
            <w:vAlign w:val="center"/>
            <w:hideMark/>
          </w:tcPr>
          <w:p w14:paraId="133F1AEE" w14:textId="77777777" w:rsidR="00107491" w:rsidRPr="00107491" w:rsidRDefault="00107491" w:rsidP="00107491">
            <w:pPr>
              <w:rPr>
                <w:b/>
                <w:bCs/>
                <w:color w:val="000000"/>
                <w:sz w:val="18"/>
                <w:szCs w:val="18"/>
                <w:lang w:val="en-US" w:eastAsia="en-US"/>
              </w:rPr>
            </w:pPr>
          </w:p>
        </w:tc>
        <w:tc>
          <w:tcPr>
            <w:tcW w:w="453" w:type="pct"/>
            <w:tcBorders>
              <w:top w:val="nil"/>
              <w:left w:val="nil"/>
              <w:bottom w:val="nil"/>
              <w:right w:val="nil"/>
            </w:tcBorders>
            <w:shd w:val="clear" w:color="auto" w:fill="auto"/>
            <w:vAlign w:val="center"/>
            <w:hideMark/>
          </w:tcPr>
          <w:p w14:paraId="76F8DDDF" w14:textId="77777777" w:rsidR="00107491" w:rsidRPr="00107491" w:rsidRDefault="00107491" w:rsidP="00107491">
            <w:pPr>
              <w:jc w:val="both"/>
              <w:rPr>
                <w:i/>
                <w:iCs/>
                <w:color w:val="000000"/>
                <w:sz w:val="18"/>
                <w:szCs w:val="18"/>
                <w:lang w:val="en-US" w:eastAsia="en-US"/>
              </w:rPr>
            </w:pPr>
          </w:p>
        </w:tc>
        <w:tc>
          <w:tcPr>
            <w:tcW w:w="388" w:type="pct"/>
            <w:tcBorders>
              <w:top w:val="nil"/>
              <w:left w:val="single" w:sz="8" w:space="0" w:color="auto"/>
              <w:bottom w:val="nil"/>
              <w:right w:val="single" w:sz="8" w:space="0" w:color="auto"/>
            </w:tcBorders>
            <w:shd w:val="clear" w:color="auto" w:fill="auto"/>
            <w:vAlign w:val="center"/>
            <w:hideMark/>
          </w:tcPr>
          <w:p w14:paraId="4464A3CE" w14:textId="77777777" w:rsidR="00107491" w:rsidRPr="00107491" w:rsidRDefault="00107491" w:rsidP="00107491">
            <w:pPr>
              <w:jc w:val="center"/>
              <w:rPr>
                <w:b/>
                <w:bCs/>
                <w:color w:val="000000"/>
                <w:sz w:val="18"/>
                <w:szCs w:val="18"/>
                <w:lang w:val="en-US" w:eastAsia="en-US"/>
              </w:rPr>
            </w:pPr>
            <w:r w:rsidRPr="00107491">
              <w:rPr>
                <w:b/>
                <w:bCs/>
                <w:color w:val="000000"/>
                <w:sz w:val="18"/>
                <w:szCs w:val="18"/>
                <w:lang w:val="en-US" w:eastAsia="en-US"/>
              </w:rPr>
              <w:t> </w:t>
            </w:r>
          </w:p>
        </w:tc>
        <w:tc>
          <w:tcPr>
            <w:tcW w:w="258" w:type="pct"/>
            <w:tcBorders>
              <w:top w:val="nil"/>
              <w:left w:val="nil"/>
              <w:bottom w:val="single" w:sz="8" w:space="0" w:color="auto"/>
              <w:right w:val="single" w:sz="8" w:space="0" w:color="auto"/>
            </w:tcBorders>
            <w:shd w:val="clear" w:color="auto" w:fill="auto"/>
            <w:noWrap/>
            <w:vAlign w:val="center"/>
            <w:hideMark/>
          </w:tcPr>
          <w:p w14:paraId="63ECEFF9" w14:textId="77777777" w:rsidR="00601D9B" w:rsidRDefault="000E53A0">
            <w:pPr>
              <w:jc w:val="right"/>
              <w:rPr>
                <w:color w:val="000000"/>
                <w:sz w:val="18"/>
                <w:szCs w:val="18"/>
                <w:lang w:val="en-US" w:eastAsia="en-US"/>
              </w:rPr>
            </w:pPr>
            <w:r w:rsidRPr="00107491">
              <w:rPr>
                <w:color w:val="000000"/>
                <w:sz w:val="18"/>
                <w:szCs w:val="18"/>
                <w:lang w:val="en-US" w:eastAsia="en-US"/>
              </w:rPr>
              <w:t>72800</w:t>
            </w:r>
          </w:p>
        </w:tc>
        <w:tc>
          <w:tcPr>
            <w:tcW w:w="458" w:type="pct"/>
            <w:tcBorders>
              <w:top w:val="single" w:sz="8" w:space="0" w:color="auto"/>
              <w:left w:val="nil"/>
              <w:bottom w:val="nil"/>
              <w:right w:val="single" w:sz="8" w:space="0" w:color="auto"/>
            </w:tcBorders>
            <w:shd w:val="clear" w:color="auto" w:fill="auto"/>
            <w:vAlign w:val="center"/>
            <w:hideMark/>
          </w:tcPr>
          <w:p w14:paraId="13BF1101" w14:textId="77777777" w:rsidR="00601D9B" w:rsidRPr="000E53A0" w:rsidRDefault="000E53A0">
            <w:pPr>
              <w:rPr>
                <w:color w:val="000000"/>
                <w:sz w:val="18"/>
                <w:szCs w:val="18"/>
                <w:lang w:val="fr-FR" w:eastAsia="en-US"/>
              </w:rPr>
            </w:pPr>
            <w:r w:rsidRPr="000E53A0">
              <w:rPr>
                <w:color w:val="000000"/>
                <w:sz w:val="18"/>
                <w:szCs w:val="18"/>
                <w:lang w:val="fr-FR" w:eastAsia="en-US"/>
              </w:rPr>
              <w:t>Équipements de technologie de l'information</w:t>
            </w:r>
          </w:p>
        </w:tc>
        <w:tc>
          <w:tcPr>
            <w:tcW w:w="254" w:type="pct"/>
            <w:tcBorders>
              <w:top w:val="nil"/>
              <w:left w:val="nil"/>
              <w:bottom w:val="single" w:sz="8" w:space="0" w:color="auto"/>
              <w:right w:val="single" w:sz="8" w:space="0" w:color="auto"/>
            </w:tcBorders>
            <w:shd w:val="clear" w:color="auto" w:fill="auto"/>
            <w:noWrap/>
            <w:vAlign w:val="center"/>
            <w:hideMark/>
          </w:tcPr>
          <w:p w14:paraId="23FC1C45" w14:textId="77777777" w:rsidR="00601D9B" w:rsidRDefault="000E53A0">
            <w:pPr>
              <w:jc w:val="center"/>
              <w:rPr>
                <w:color w:val="000000"/>
                <w:sz w:val="18"/>
                <w:szCs w:val="18"/>
                <w:lang w:val="en-US" w:eastAsia="en-US"/>
              </w:rPr>
            </w:pPr>
            <w:r w:rsidRPr="000E53A0">
              <w:rPr>
                <w:color w:val="000000"/>
                <w:sz w:val="18"/>
                <w:szCs w:val="18"/>
                <w:lang w:val="fr-FR" w:eastAsia="en-US"/>
              </w:rPr>
              <w:t xml:space="preserve">                </w:t>
            </w:r>
            <w:r w:rsidRPr="00107491">
              <w:rPr>
                <w:color w:val="000000"/>
                <w:sz w:val="18"/>
                <w:szCs w:val="18"/>
                <w:lang w:val="en-US" w:eastAsia="en-US"/>
              </w:rPr>
              <w:t xml:space="preserve">9,000 </w:t>
            </w:r>
          </w:p>
        </w:tc>
        <w:tc>
          <w:tcPr>
            <w:tcW w:w="273" w:type="pct"/>
            <w:tcBorders>
              <w:top w:val="nil"/>
              <w:left w:val="nil"/>
              <w:bottom w:val="single" w:sz="8" w:space="0" w:color="auto"/>
              <w:right w:val="single" w:sz="8" w:space="0" w:color="auto"/>
            </w:tcBorders>
            <w:shd w:val="clear" w:color="auto" w:fill="auto"/>
            <w:noWrap/>
            <w:vAlign w:val="center"/>
            <w:hideMark/>
          </w:tcPr>
          <w:p w14:paraId="19D552CB"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 </w:t>
            </w:r>
          </w:p>
        </w:tc>
        <w:tc>
          <w:tcPr>
            <w:tcW w:w="250" w:type="pct"/>
            <w:tcBorders>
              <w:top w:val="nil"/>
              <w:left w:val="nil"/>
              <w:bottom w:val="single" w:sz="8" w:space="0" w:color="auto"/>
              <w:right w:val="single" w:sz="8" w:space="0" w:color="auto"/>
            </w:tcBorders>
            <w:shd w:val="clear" w:color="auto" w:fill="auto"/>
            <w:noWrap/>
            <w:vAlign w:val="center"/>
            <w:hideMark/>
          </w:tcPr>
          <w:p w14:paraId="27D5F36A"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 </w:t>
            </w:r>
          </w:p>
        </w:tc>
        <w:tc>
          <w:tcPr>
            <w:tcW w:w="250" w:type="pct"/>
            <w:tcBorders>
              <w:top w:val="nil"/>
              <w:left w:val="nil"/>
              <w:bottom w:val="single" w:sz="8" w:space="0" w:color="auto"/>
              <w:right w:val="single" w:sz="8" w:space="0" w:color="auto"/>
            </w:tcBorders>
            <w:shd w:val="clear" w:color="auto" w:fill="auto"/>
            <w:noWrap/>
            <w:vAlign w:val="center"/>
            <w:hideMark/>
          </w:tcPr>
          <w:p w14:paraId="55E7EFCA"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 </w:t>
            </w:r>
          </w:p>
        </w:tc>
        <w:tc>
          <w:tcPr>
            <w:tcW w:w="250" w:type="pct"/>
            <w:tcBorders>
              <w:top w:val="nil"/>
              <w:left w:val="nil"/>
              <w:bottom w:val="single" w:sz="8" w:space="0" w:color="auto"/>
              <w:right w:val="single" w:sz="8" w:space="0" w:color="auto"/>
            </w:tcBorders>
            <w:shd w:val="clear" w:color="auto" w:fill="auto"/>
            <w:noWrap/>
            <w:vAlign w:val="center"/>
            <w:hideMark/>
          </w:tcPr>
          <w:p w14:paraId="3DE700C2"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 </w:t>
            </w:r>
          </w:p>
        </w:tc>
        <w:tc>
          <w:tcPr>
            <w:tcW w:w="250" w:type="pct"/>
            <w:tcBorders>
              <w:top w:val="nil"/>
              <w:left w:val="nil"/>
              <w:bottom w:val="single" w:sz="8" w:space="0" w:color="auto"/>
              <w:right w:val="single" w:sz="8" w:space="0" w:color="auto"/>
            </w:tcBorders>
            <w:shd w:val="clear" w:color="auto" w:fill="auto"/>
            <w:noWrap/>
            <w:vAlign w:val="center"/>
            <w:hideMark/>
          </w:tcPr>
          <w:p w14:paraId="6214ED4A"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 </w:t>
            </w:r>
          </w:p>
        </w:tc>
        <w:tc>
          <w:tcPr>
            <w:tcW w:w="261" w:type="pct"/>
            <w:tcBorders>
              <w:top w:val="nil"/>
              <w:left w:val="nil"/>
              <w:bottom w:val="single" w:sz="8" w:space="0" w:color="auto"/>
              <w:right w:val="single" w:sz="8" w:space="0" w:color="auto"/>
            </w:tcBorders>
            <w:shd w:val="clear" w:color="auto" w:fill="auto"/>
            <w:noWrap/>
            <w:vAlign w:val="center"/>
            <w:hideMark/>
          </w:tcPr>
          <w:p w14:paraId="57E00F6A"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9,000 </w:t>
            </w:r>
          </w:p>
        </w:tc>
        <w:tc>
          <w:tcPr>
            <w:tcW w:w="183" w:type="pct"/>
            <w:tcBorders>
              <w:top w:val="nil"/>
              <w:left w:val="nil"/>
              <w:bottom w:val="single" w:sz="8" w:space="0" w:color="auto"/>
              <w:right w:val="single" w:sz="8" w:space="0" w:color="auto"/>
            </w:tcBorders>
            <w:shd w:val="clear" w:color="auto" w:fill="auto"/>
            <w:vAlign w:val="center"/>
            <w:hideMark/>
          </w:tcPr>
          <w:p w14:paraId="49BC460D" w14:textId="77777777" w:rsidR="00601D9B" w:rsidRDefault="000E53A0">
            <w:pPr>
              <w:jc w:val="center"/>
              <w:rPr>
                <w:i/>
                <w:iCs/>
                <w:color w:val="000000"/>
                <w:sz w:val="18"/>
                <w:szCs w:val="18"/>
                <w:lang w:val="en-US" w:eastAsia="en-US"/>
              </w:rPr>
            </w:pPr>
            <w:r w:rsidRPr="00107491">
              <w:rPr>
                <w:i/>
                <w:iCs/>
                <w:color w:val="000000"/>
                <w:sz w:val="18"/>
                <w:szCs w:val="18"/>
                <w:lang w:val="en-US" w:eastAsia="en-US"/>
              </w:rPr>
              <w:t>15</w:t>
            </w:r>
          </w:p>
        </w:tc>
        <w:tc>
          <w:tcPr>
            <w:tcW w:w="35" w:type="pct"/>
            <w:vAlign w:val="center"/>
            <w:hideMark/>
          </w:tcPr>
          <w:p w14:paraId="56D833D1" w14:textId="77777777" w:rsidR="00107491" w:rsidRPr="00107491" w:rsidRDefault="00107491" w:rsidP="00107491">
            <w:pPr>
              <w:rPr>
                <w:sz w:val="20"/>
                <w:szCs w:val="20"/>
                <w:lang w:val="en-US" w:eastAsia="en-US"/>
              </w:rPr>
            </w:pPr>
          </w:p>
        </w:tc>
      </w:tr>
      <w:tr w:rsidR="00107491" w:rsidRPr="00107491" w14:paraId="3C61B277" w14:textId="77777777" w:rsidTr="00107491">
        <w:trPr>
          <w:trHeight w:val="470"/>
        </w:trPr>
        <w:tc>
          <w:tcPr>
            <w:tcW w:w="1056" w:type="pct"/>
            <w:tcBorders>
              <w:top w:val="nil"/>
              <w:left w:val="single" w:sz="8" w:space="0" w:color="auto"/>
              <w:bottom w:val="nil"/>
              <w:right w:val="nil"/>
            </w:tcBorders>
            <w:shd w:val="clear" w:color="auto" w:fill="auto"/>
            <w:noWrap/>
            <w:vAlign w:val="center"/>
            <w:hideMark/>
          </w:tcPr>
          <w:p w14:paraId="65859DC6" w14:textId="77777777" w:rsidR="00107491" w:rsidRPr="00107491" w:rsidRDefault="00107491" w:rsidP="00107491">
            <w:pPr>
              <w:jc w:val="both"/>
              <w:rPr>
                <w:i/>
                <w:iCs/>
                <w:color w:val="000000"/>
                <w:sz w:val="18"/>
                <w:szCs w:val="18"/>
                <w:lang w:val="en-US" w:eastAsia="en-US"/>
              </w:rPr>
            </w:pPr>
            <w:r w:rsidRPr="00107491">
              <w:rPr>
                <w:i/>
                <w:iCs/>
                <w:color w:val="000000"/>
                <w:sz w:val="18"/>
                <w:szCs w:val="18"/>
                <w:lang w:val="en-US" w:eastAsia="en-US"/>
              </w:rPr>
              <w:t> </w:t>
            </w:r>
          </w:p>
        </w:tc>
        <w:tc>
          <w:tcPr>
            <w:tcW w:w="381" w:type="pct"/>
            <w:vMerge/>
            <w:tcBorders>
              <w:top w:val="nil"/>
              <w:left w:val="single" w:sz="8" w:space="0" w:color="auto"/>
              <w:bottom w:val="double" w:sz="6" w:space="0" w:color="000000"/>
              <w:right w:val="single" w:sz="8" w:space="0" w:color="auto"/>
            </w:tcBorders>
            <w:vAlign w:val="center"/>
            <w:hideMark/>
          </w:tcPr>
          <w:p w14:paraId="5202AE2A" w14:textId="77777777" w:rsidR="00107491" w:rsidRPr="00107491" w:rsidRDefault="00107491" w:rsidP="00107491">
            <w:pPr>
              <w:rPr>
                <w:b/>
                <w:bCs/>
                <w:color w:val="000000"/>
                <w:sz w:val="18"/>
                <w:szCs w:val="18"/>
                <w:lang w:val="en-US" w:eastAsia="en-US"/>
              </w:rPr>
            </w:pPr>
          </w:p>
        </w:tc>
        <w:tc>
          <w:tcPr>
            <w:tcW w:w="453" w:type="pct"/>
            <w:tcBorders>
              <w:top w:val="nil"/>
              <w:left w:val="nil"/>
              <w:bottom w:val="nil"/>
              <w:right w:val="nil"/>
            </w:tcBorders>
            <w:shd w:val="clear" w:color="auto" w:fill="auto"/>
            <w:vAlign w:val="center"/>
            <w:hideMark/>
          </w:tcPr>
          <w:p w14:paraId="4BE0570D" w14:textId="77777777" w:rsidR="00107491" w:rsidRPr="00107491" w:rsidRDefault="00107491" w:rsidP="00107491">
            <w:pPr>
              <w:jc w:val="both"/>
              <w:rPr>
                <w:i/>
                <w:iCs/>
                <w:color w:val="000000"/>
                <w:sz w:val="18"/>
                <w:szCs w:val="18"/>
                <w:lang w:val="en-US" w:eastAsia="en-US"/>
              </w:rPr>
            </w:pPr>
          </w:p>
        </w:tc>
        <w:tc>
          <w:tcPr>
            <w:tcW w:w="388" w:type="pct"/>
            <w:tcBorders>
              <w:top w:val="nil"/>
              <w:left w:val="single" w:sz="8" w:space="0" w:color="auto"/>
              <w:bottom w:val="nil"/>
              <w:right w:val="single" w:sz="8" w:space="0" w:color="auto"/>
            </w:tcBorders>
            <w:shd w:val="clear" w:color="auto" w:fill="auto"/>
            <w:vAlign w:val="center"/>
            <w:hideMark/>
          </w:tcPr>
          <w:p w14:paraId="787866BC" w14:textId="77777777" w:rsidR="00107491" w:rsidRPr="00107491" w:rsidRDefault="00107491" w:rsidP="00107491">
            <w:pPr>
              <w:jc w:val="center"/>
              <w:rPr>
                <w:b/>
                <w:bCs/>
                <w:color w:val="000000"/>
                <w:sz w:val="18"/>
                <w:szCs w:val="18"/>
                <w:lang w:val="en-US" w:eastAsia="en-US"/>
              </w:rPr>
            </w:pPr>
            <w:r w:rsidRPr="00107491">
              <w:rPr>
                <w:b/>
                <w:bCs/>
                <w:color w:val="000000"/>
                <w:sz w:val="18"/>
                <w:szCs w:val="18"/>
                <w:lang w:val="en-US" w:eastAsia="en-US"/>
              </w:rPr>
              <w:t> </w:t>
            </w:r>
          </w:p>
        </w:tc>
        <w:tc>
          <w:tcPr>
            <w:tcW w:w="258" w:type="pct"/>
            <w:tcBorders>
              <w:top w:val="nil"/>
              <w:left w:val="nil"/>
              <w:bottom w:val="single" w:sz="8" w:space="0" w:color="auto"/>
              <w:right w:val="single" w:sz="8" w:space="0" w:color="auto"/>
            </w:tcBorders>
            <w:shd w:val="clear" w:color="auto" w:fill="auto"/>
            <w:noWrap/>
            <w:vAlign w:val="center"/>
            <w:hideMark/>
          </w:tcPr>
          <w:p w14:paraId="3E0A3268" w14:textId="77777777" w:rsidR="00601D9B" w:rsidRDefault="000E53A0">
            <w:pPr>
              <w:rPr>
                <w:color w:val="000000"/>
                <w:sz w:val="18"/>
                <w:szCs w:val="18"/>
                <w:lang w:val="en-US" w:eastAsia="en-US"/>
              </w:rPr>
            </w:pPr>
            <w:r w:rsidRPr="00107491">
              <w:rPr>
                <w:color w:val="000000"/>
                <w:sz w:val="18"/>
                <w:szCs w:val="18"/>
                <w:lang w:val="en-US" w:eastAsia="en-US"/>
              </w:rPr>
              <w:t>75700</w:t>
            </w:r>
          </w:p>
        </w:tc>
        <w:tc>
          <w:tcPr>
            <w:tcW w:w="458" w:type="pct"/>
            <w:tcBorders>
              <w:top w:val="single" w:sz="8" w:space="0" w:color="auto"/>
              <w:left w:val="nil"/>
              <w:bottom w:val="nil"/>
              <w:right w:val="single" w:sz="8" w:space="0" w:color="auto"/>
            </w:tcBorders>
            <w:shd w:val="clear" w:color="auto" w:fill="auto"/>
            <w:vAlign w:val="center"/>
            <w:hideMark/>
          </w:tcPr>
          <w:p w14:paraId="283CA037" w14:textId="77777777" w:rsidR="00601D9B" w:rsidRDefault="000E53A0">
            <w:pPr>
              <w:rPr>
                <w:color w:val="000000"/>
                <w:sz w:val="18"/>
                <w:szCs w:val="18"/>
                <w:lang w:val="en-US" w:eastAsia="en-US"/>
              </w:rPr>
            </w:pPr>
            <w:r w:rsidRPr="00107491">
              <w:rPr>
                <w:color w:val="000000"/>
                <w:sz w:val="18"/>
                <w:szCs w:val="18"/>
                <w:lang w:val="en-US" w:eastAsia="en-US"/>
              </w:rPr>
              <w:t>Formation, ateliers et conférences</w:t>
            </w:r>
          </w:p>
        </w:tc>
        <w:tc>
          <w:tcPr>
            <w:tcW w:w="254" w:type="pct"/>
            <w:tcBorders>
              <w:top w:val="nil"/>
              <w:left w:val="nil"/>
              <w:bottom w:val="single" w:sz="8" w:space="0" w:color="auto"/>
              <w:right w:val="single" w:sz="8" w:space="0" w:color="auto"/>
            </w:tcBorders>
            <w:shd w:val="clear" w:color="auto" w:fill="auto"/>
            <w:noWrap/>
            <w:vAlign w:val="center"/>
            <w:hideMark/>
          </w:tcPr>
          <w:p w14:paraId="38DB2F0E"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15,200 </w:t>
            </w:r>
          </w:p>
        </w:tc>
        <w:tc>
          <w:tcPr>
            <w:tcW w:w="273" w:type="pct"/>
            <w:tcBorders>
              <w:top w:val="nil"/>
              <w:left w:val="nil"/>
              <w:bottom w:val="single" w:sz="8" w:space="0" w:color="auto"/>
              <w:right w:val="single" w:sz="8" w:space="0" w:color="auto"/>
            </w:tcBorders>
            <w:shd w:val="clear" w:color="auto" w:fill="auto"/>
            <w:noWrap/>
            <w:vAlign w:val="center"/>
            <w:hideMark/>
          </w:tcPr>
          <w:p w14:paraId="4BA8F417"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55,125 </w:t>
            </w:r>
          </w:p>
        </w:tc>
        <w:tc>
          <w:tcPr>
            <w:tcW w:w="250" w:type="pct"/>
            <w:tcBorders>
              <w:top w:val="nil"/>
              <w:left w:val="nil"/>
              <w:bottom w:val="single" w:sz="8" w:space="0" w:color="auto"/>
              <w:right w:val="single" w:sz="8" w:space="0" w:color="auto"/>
            </w:tcBorders>
            <w:shd w:val="clear" w:color="auto" w:fill="auto"/>
            <w:noWrap/>
            <w:vAlign w:val="center"/>
            <w:hideMark/>
          </w:tcPr>
          <w:p w14:paraId="2BA9058D"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30,000 </w:t>
            </w:r>
          </w:p>
        </w:tc>
        <w:tc>
          <w:tcPr>
            <w:tcW w:w="250" w:type="pct"/>
            <w:tcBorders>
              <w:top w:val="nil"/>
              <w:left w:val="nil"/>
              <w:bottom w:val="single" w:sz="8" w:space="0" w:color="auto"/>
              <w:right w:val="single" w:sz="8" w:space="0" w:color="auto"/>
            </w:tcBorders>
            <w:shd w:val="clear" w:color="auto" w:fill="auto"/>
            <w:noWrap/>
            <w:vAlign w:val="center"/>
            <w:hideMark/>
          </w:tcPr>
          <w:p w14:paraId="0E46BAFB"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30,000 </w:t>
            </w:r>
          </w:p>
        </w:tc>
        <w:tc>
          <w:tcPr>
            <w:tcW w:w="250" w:type="pct"/>
            <w:tcBorders>
              <w:top w:val="nil"/>
              <w:left w:val="nil"/>
              <w:bottom w:val="single" w:sz="8" w:space="0" w:color="auto"/>
              <w:right w:val="single" w:sz="8" w:space="0" w:color="auto"/>
            </w:tcBorders>
            <w:shd w:val="clear" w:color="auto" w:fill="auto"/>
            <w:noWrap/>
            <w:vAlign w:val="center"/>
            <w:hideMark/>
          </w:tcPr>
          <w:p w14:paraId="4A7FF0F8"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30,000 </w:t>
            </w:r>
          </w:p>
        </w:tc>
        <w:tc>
          <w:tcPr>
            <w:tcW w:w="250" w:type="pct"/>
            <w:tcBorders>
              <w:top w:val="nil"/>
              <w:left w:val="nil"/>
              <w:bottom w:val="single" w:sz="8" w:space="0" w:color="auto"/>
              <w:right w:val="single" w:sz="8" w:space="0" w:color="auto"/>
            </w:tcBorders>
            <w:shd w:val="clear" w:color="auto" w:fill="auto"/>
            <w:noWrap/>
            <w:vAlign w:val="center"/>
            <w:hideMark/>
          </w:tcPr>
          <w:p w14:paraId="294C465E"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48,000 </w:t>
            </w:r>
          </w:p>
        </w:tc>
        <w:tc>
          <w:tcPr>
            <w:tcW w:w="261" w:type="pct"/>
            <w:tcBorders>
              <w:top w:val="nil"/>
              <w:left w:val="nil"/>
              <w:bottom w:val="single" w:sz="8" w:space="0" w:color="auto"/>
              <w:right w:val="single" w:sz="8" w:space="0" w:color="auto"/>
            </w:tcBorders>
            <w:shd w:val="clear" w:color="auto" w:fill="auto"/>
            <w:noWrap/>
            <w:vAlign w:val="center"/>
            <w:hideMark/>
          </w:tcPr>
          <w:p w14:paraId="6E3449AE"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208,325 </w:t>
            </w:r>
          </w:p>
        </w:tc>
        <w:tc>
          <w:tcPr>
            <w:tcW w:w="183" w:type="pct"/>
            <w:tcBorders>
              <w:top w:val="nil"/>
              <w:left w:val="nil"/>
              <w:bottom w:val="single" w:sz="8" w:space="0" w:color="auto"/>
              <w:right w:val="single" w:sz="8" w:space="0" w:color="auto"/>
            </w:tcBorders>
            <w:shd w:val="clear" w:color="auto" w:fill="auto"/>
            <w:vAlign w:val="center"/>
            <w:hideMark/>
          </w:tcPr>
          <w:p w14:paraId="66FB87A1" w14:textId="77777777" w:rsidR="00601D9B" w:rsidRDefault="000E53A0">
            <w:pPr>
              <w:jc w:val="center"/>
              <w:rPr>
                <w:i/>
                <w:iCs/>
                <w:color w:val="000000"/>
                <w:sz w:val="18"/>
                <w:szCs w:val="18"/>
                <w:lang w:val="en-US" w:eastAsia="en-US"/>
              </w:rPr>
            </w:pPr>
            <w:r w:rsidRPr="00107491">
              <w:rPr>
                <w:i/>
                <w:iCs/>
                <w:color w:val="000000"/>
                <w:sz w:val="18"/>
                <w:szCs w:val="18"/>
                <w:lang w:val="en-US" w:eastAsia="en-US"/>
              </w:rPr>
              <w:t>16</w:t>
            </w:r>
          </w:p>
        </w:tc>
        <w:tc>
          <w:tcPr>
            <w:tcW w:w="35" w:type="pct"/>
            <w:vAlign w:val="center"/>
            <w:hideMark/>
          </w:tcPr>
          <w:p w14:paraId="5A8F0939" w14:textId="77777777" w:rsidR="00107491" w:rsidRPr="00107491" w:rsidRDefault="00107491" w:rsidP="00107491">
            <w:pPr>
              <w:rPr>
                <w:sz w:val="20"/>
                <w:szCs w:val="20"/>
                <w:lang w:val="en-US" w:eastAsia="en-US"/>
              </w:rPr>
            </w:pPr>
          </w:p>
        </w:tc>
      </w:tr>
      <w:tr w:rsidR="00107491" w:rsidRPr="00107491" w14:paraId="59DFF9DA" w14:textId="77777777" w:rsidTr="00107491">
        <w:trPr>
          <w:trHeight w:val="470"/>
        </w:trPr>
        <w:tc>
          <w:tcPr>
            <w:tcW w:w="1056" w:type="pct"/>
            <w:tcBorders>
              <w:top w:val="nil"/>
              <w:left w:val="single" w:sz="8" w:space="0" w:color="auto"/>
              <w:bottom w:val="nil"/>
              <w:right w:val="nil"/>
            </w:tcBorders>
            <w:shd w:val="clear" w:color="auto" w:fill="auto"/>
            <w:noWrap/>
            <w:vAlign w:val="center"/>
            <w:hideMark/>
          </w:tcPr>
          <w:p w14:paraId="0B084225" w14:textId="77777777" w:rsidR="00107491" w:rsidRPr="00107491" w:rsidRDefault="00107491" w:rsidP="00107491">
            <w:pPr>
              <w:jc w:val="both"/>
              <w:rPr>
                <w:i/>
                <w:iCs/>
                <w:color w:val="000000"/>
                <w:sz w:val="18"/>
                <w:szCs w:val="18"/>
                <w:lang w:val="en-US" w:eastAsia="en-US"/>
              </w:rPr>
            </w:pPr>
            <w:r w:rsidRPr="00107491">
              <w:rPr>
                <w:i/>
                <w:iCs/>
                <w:color w:val="000000"/>
                <w:sz w:val="18"/>
                <w:szCs w:val="18"/>
                <w:lang w:val="en-US" w:eastAsia="en-US"/>
              </w:rPr>
              <w:t> </w:t>
            </w:r>
          </w:p>
        </w:tc>
        <w:tc>
          <w:tcPr>
            <w:tcW w:w="381" w:type="pct"/>
            <w:vMerge/>
            <w:tcBorders>
              <w:top w:val="nil"/>
              <w:left w:val="single" w:sz="8" w:space="0" w:color="auto"/>
              <w:bottom w:val="double" w:sz="6" w:space="0" w:color="000000"/>
              <w:right w:val="single" w:sz="8" w:space="0" w:color="auto"/>
            </w:tcBorders>
            <w:vAlign w:val="center"/>
            <w:hideMark/>
          </w:tcPr>
          <w:p w14:paraId="56DE40C9" w14:textId="77777777" w:rsidR="00107491" w:rsidRPr="00107491" w:rsidRDefault="00107491" w:rsidP="00107491">
            <w:pPr>
              <w:rPr>
                <w:b/>
                <w:bCs/>
                <w:color w:val="000000"/>
                <w:sz w:val="18"/>
                <w:szCs w:val="18"/>
                <w:lang w:val="en-US" w:eastAsia="en-US"/>
              </w:rPr>
            </w:pPr>
          </w:p>
        </w:tc>
        <w:tc>
          <w:tcPr>
            <w:tcW w:w="453" w:type="pct"/>
            <w:tcBorders>
              <w:top w:val="nil"/>
              <w:left w:val="nil"/>
              <w:bottom w:val="nil"/>
              <w:right w:val="nil"/>
            </w:tcBorders>
            <w:shd w:val="clear" w:color="auto" w:fill="auto"/>
            <w:vAlign w:val="center"/>
            <w:hideMark/>
          </w:tcPr>
          <w:p w14:paraId="27683377" w14:textId="77777777" w:rsidR="00107491" w:rsidRPr="00107491" w:rsidRDefault="00107491" w:rsidP="00107491">
            <w:pPr>
              <w:jc w:val="both"/>
              <w:rPr>
                <w:i/>
                <w:iCs/>
                <w:color w:val="000000"/>
                <w:sz w:val="18"/>
                <w:szCs w:val="18"/>
                <w:lang w:val="en-US" w:eastAsia="en-US"/>
              </w:rPr>
            </w:pPr>
          </w:p>
        </w:tc>
        <w:tc>
          <w:tcPr>
            <w:tcW w:w="388" w:type="pct"/>
            <w:tcBorders>
              <w:top w:val="nil"/>
              <w:left w:val="single" w:sz="8" w:space="0" w:color="auto"/>
              <w:bottom w:val="nil"/>
              <w:right w:val="single" w:sz="8" w:space="0" w:color="auto"/>
            </w:tcBorders>
            <w:shd w:val="clear" w:color="auto" w:fill="auto"/>
            <w:vAlign w:val="center"/>
            <w:hideMark/>
          </w:tcPr>
          <w:p w14:paraId="638B2AE7" w14:textId="77777777" w:rsidR="00107491" w:rsidRPr="00107491" w:rsidRDefault="00107491" w:rsidP="00107491">
            <w:pPr>
              <w:jc w:val="center"/>
              <w:rPr>
                <w:b/>
                <w:bCs/>
                <w:color w:val="000000"/>
                <w:sz w:val="18"/>
                <w:szCs w:val="18"/>
                <w:lang w:val="en-US" w:eastAsia="en-US"/>
              </w:rPr>
            </w:pPr>
            <w:r w:rsidRPr="00107491">
              <w:rPr>
                <w:b/>
                <w:bCs/>
                <w:color w:val="000000"/>
                <w:sz w:val="18"/>
                <w:szCs w:val="18"/>
                <w:lang w:val="en-US" w:eastAsia="en-US"/>
              </w:rPr>
              <w:t> </w:t>
            </w:r>
          </w:p>
        </w:tc>
        <w:tc>
          <w:tcPr>
            <w:tcW w:w="258" w:type="pct"/>
            <w:tcBorders>
              <w:top w:val="nil"/>
              <w:left w:val="nil"/>
              <w:bottom w:val="single" w:sz="8" w:space="0" w:color="auto"/>
              <w:right w:val="single" w:sz="8" w:space="0" w:color="auto"/>
            </w:tcBorders>
            <w:shd w:val="clear" w:color="auto" w:fill="auto"/>
            <w:noWrap/>
            <w:vAlign w:val="center"/>
            <w:hideMark/>
          </w:tcPr>
          <w:p w14:paraId="6CF9D57A" w14:textId="77777777" w:rsidR="00601D9B" w:rsidRDefault="000E53A0">
            <w:pPr>
              <w:jc w:val="right"/>
              <w:rPr>
                <w:color w:val="000000"/>
                <w:sz w:val="18"/>
                <w:szCs w:val="18"/>
                <w:lang w:val="en-US" w:eastAsia="en-US"/>
              </w:rPr>
            </w:pPr>
            <w:r w:rsidRPr="00107491">
              <w:rPr>
                <w:color w:val="000000"/>
                <w:sz w:val="18"/>
                <w:szCs w:val="18"/>
                <w:lang w:val="en-US" w:eastAsia="en-US"/>
              </w:rPr>
              <w:t>72100</w:t>
            </w:r>
          </w:p>
        </w:tc>
        <w:tc>
          <w:tcPr>
            <w:tcW w:w="458" w:type="pct"/>
            <w:tcBorders>
              <w:top w:val="single" w:sz="8" w:space="0" w:color="auto"/>
              <w:left w:val="nil"/>
              <w:bottom w:val="nil"/>
              <w:right w:val="single" w:sz="8" w:space="0" w:color="auto"/>
            </w:tcBorders>
            <w:shd w:val="clear" w:color="auto" w:fill="auto"/>
            <w:vAlign w:val="center"/>
            <w:hideMark/>
          </w:tcPr>
          <w:p w14:paraId="477FA94C" w14:textId="77777777" w:rsidR="00601D9B" w:rsidRDefault="000E53A0">
            <w:pPr>
              <w:rPr>
                <w:color w:val="000000"/>
                <w:sz w:val="18"/>
                <w:szCs w:val="18"/>
                <w:lang w:val="en-US" w:eastAsia="en-US"/>
              </w:rPr>
            </w:pPr>
            <w:r w:rsidRPr="00107491">
              <w:rPr>
                <w:color w:val="000000"/>
                <w:sz w:val="18"/>
                <w:szCs w:val="18"/>
                <w:lang w:val="en-US" w:eastAsia="en-US"/>
              </w:rPr>
              <w:t>Services contractuels - Entreprises</w:t>
            </w:r>
          </w:p>
        </w:tc>
        <w:tc>
          <w:tcPr>
            <w:tcW w:w="254" w:type="pct"/>
            <w:tcBorders>
              <w:top w:val="nil"/>
              <w:left w:val="nil"/>
              <w:bottom w:val="single" w:sz="8" w:space="0" w:color="auto"/>
              <w:right w:val="single" w:sz="8" w:space="0" w:color="auto"/>
            </w:tcBorders>
            <w:shd w:val="clear" w:color="auto" w:fill="auto"/>
            <w:noWrap/>
            <w:vAlign w:val="center"/>
            <w:hideMark/>
          </w:tcPr>
          <w:p w14:paraId="078EABBE"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 </w:t>
            </w:r>
          </w:p>
        </w:tc>
        <w:tc>
          <w:tcPr>
            <w:tcW w:w="273" w:type="pct"/>
            <w:tcBorders>
              <w:top w:val="nil"/>
              <w:left w:val="nil"/>
              <w:bottom w:val="single" w:sz="8" w:space="0" w:color="auto"/>
              <w:right w:val="single" w:sz="8" w:space="0" w:color="auto"/>
            </w:tcBorders>
            <w:shd w:val="clear" w:color="auto" w:fill="auto"/>
            <w:noWrap/>
            <w:vAlign w:val="center"/>
            <w:hideMark/>
          </w:tcPr>
          <w:p w14:paraId="075F576B"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176,400 </w:t>
            </w:r>
          </w:p>
        </w:tc>
        <w:tc>
          <w:tcPr>
            <w:tcW w:w="250" w:type="pct"/>
            <w:tcBorders>
              <w:top w:val="nil"/>
              <w:left w:val="nil"/>
              <w:bottom w:val="single" w:sz="8" w:space="0" w:color="auto"/>
              <w:right w:val="single" w:sz="8" w:space="0" w:color="auto"/>
            </w:tcBorders>
            <w:shd w:val="clear" w:color="auto" w:fill="auto"/>
            <w:noWrap/>
            <w:vAlign w:val="center"/>
            <w:hideMark/>
          </w:tcPr>
          <w:p w14:paraId="6FA94A9B"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176,400 </w:t>
            </w:r>
          </w:p>
        </w:tc>
        <w:tc>
          <w:tcPr>
            <w:tcW w:w="250" w:type="pct"/>
            <w:tcBorders>
              <w:top w:val="nil"/>
              <w:left w:val="nil"/>
              <w:bottom w:val="single" w:sz="8" w:space="0" w:color="auto"/>
              <w:right w:val="single" w:sz="8" w:space="0" w:color="auto"/>
            </w:tcBorders>
            <w:shd w:val="clear" w:color="auto" w:fill="auto"/>
            <w:noWrap/>
            <w:vAlign w:val="center"/>
            <w:hideMark/>
          </w:tcPr>
          <w:p w14:paraId="4CA018FD"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176,400 </w:t>
            </w:r>
          </w:p>
        </w:tc>
        <w:tc>
          <w:tcPr>
            <w:tcW w:w="250" w:type="pct"/>
            <w:tcBorders>
              <w:top w:val="nil"/>
              <w:left w:val="nil"/>
              <w:bottom w:val="single" w:sz="8" w:space="0" w:color="auto"/>
              <w:right w:val="single" w:sz="8" w:space="0" w:color="auto"/>
            </w:tcBorders>
            <w:shd w:val="clear" w:color="auto" w:fill="auto"/>
            <w:noWrap/>
            <w:vAlign w:val="center"/>
            <w:hideMark/>
          </w:tcPr>
          <w:p w14:paraId="34EB8557"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176,400 </w:t>
            </w:r>
          </w:p>
        </w:tc>
        <w:tc>
          <w:tcPr>
            <w:tcW w:w="250" w:type="pct"/>
            <w:tcBorders>
              <w:top w:val="nil"/>
              <w:left w:val="nil"/>
              <w:bottom w:val="single" w:sz="8" w:space="0" w:color="auto"/>
              <w:right w:val="single" w:sz="8" w:space="0" w:color="auto"/>
            </w:tcBorders>
            <w:shd w:val="clear" w:color="auto" w:fill="auto"/>
            <w:noWrap/>
            <w:vAlign w:val="center"/>
            <w:hideMark/>
          </w:tcPr>
          <w:p w14:paraId="4A6735DE"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176,400 </w:t>
            </w:r>
          </w:p>
        </w:tc>
        <w:tc>
          <w:tcPr>
            <w:tcW w:w="261" w:type="pct"/>
            <w:tcBorders>
              <w:top w:val="nil"/>
              <w:left w:val="nil"/>
              <w:bottom w:val="single" w:sz="8" w:space="0" w:color="auto"/>
              <w:right w:val="single" w:sz="8" w:space="0" w:color="auto"/>
            </w:tcBorders>
            <w:shd w:val="clear" w:color="auto" w:fill="auto"/>
            <w:noWrap/>
            <w:vAlign w:val="center"/>
            <w:hideMark/>
          </w:tcPr>
          <w:p w14:paraId="748A68A0"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882,000 </w:t>
            </w:r>
          </w:p>
        </w:tc>
        <w:tc>
          <w:tcPr>
            <w:tcW w:w="183" w:type="pct"/>
            <w:tcBorders>
              <w:top w:val="nil"/>
              <w:left w:val="nil"/>
              <w:bottom w:val="single" w:sz="8" w:space="0" w:color="auto"/>
              <w:right w:val="single" w:sz="8" w:space="0" w:color="auto"/>
            </w:tcBorders>
            <w:shd w:val="clear" w:color="auto" w:fill="auto"/>
            <w:vAlign w:val="center"/>
            <w:hideMark/>
          </w:tcPr>
          <w:p w14:paraId="7CDCC04D" w14:textId="77777777" w:rsidR="00601D9B" w:rsidRDefault="000E53A0">
            <w:pPr>
              <w:jc w:val="center"/>
              <w:rPr>
                <w:i/>
                <w:iCs/>
                <w:color w:val="000000"/>
                <w:sz w:val="18"/>
                <w:szCs w:val="18"/>
                <w:lang w:val="en-US" w:eastAsia="en-US"/>
              </w:rPr>
            </w:pPr>
            <w:r w:rsidRPr="00107491">
              <w:rPr>
                <w:i/>
                <w:iCs/>
                <w:color w:val="000000"/>
                <w:sz w:val="18"/>
                <w:szCs w:val="18"/>
                <w:lang w:val="en-US" w:eastAsia="en-US"/>
              </w:rPr>
              <w:t>17</w:t>
            </w:r>
          </w:p>
        </w:tc>
        <w:tc>
          <w:tcPr>
            <w:tcW w:w="35" w:type="pct"/>
            <w:vAlign w:val="center"/>
            <w:hideMark/>
          </w:tcPr>
          <w:p w14:paraId="3BCA45AE" w14:textId="77777777" w:rsidR="00107491" w:rsidRPr="00107491" w:rsidRDefault="00107491" w:rsidP="00107491">
            <w:pPr>
              <w:rPr>
                <w:sz w:val="20"/>
                <w:szCs w:val="20"/>
                <w:lang w:val="en-US" w:eastAsia="en-US"/>
              </w:rPr>
            </w:pPr>
          </w:p>
        </w:tc>
      </w:tr>
      <w:tr w:rsidR="00107491" w:rsidRPr="00107491" w14:paraId="4845E998" w14:textId="77777777" w:rsidTr="00107491">
        <w:trPr>
          <w:trHeight w:val="510"/>
        </w:trPr>
        <w:tc>
          <w:tcPr>
            <w:tcW w:w="1056" w:type="pct"/>
            <w:tcBorders>
              <w:top w:val="nil"/>
              <w:left w:val="single" w:sz="8" w:space="0" w:color="auto"/>
              <w:bottom w:val="nil"/>
              <w:right w:val="nil"/>
            </w:tcBorders>
            <w:shd w:val="clear" w:color="auto" w:fill="auto"/>
            <w:noWrap/>
            <w:vAlign w:val="center"/>
            <w:hideMark/>
          </w:tcPr>
          <w:p w14:paraId="008111A4" w14:textId="77777777" w:rsidR="00107491" w:rsidRPr="00107491" w:rsidRDefault="00107491" w:rsidP="00107491">
            <w:pPr>
              <w:jc w:val="both"/>
              <w:rPr>
                <w:i/>
                <w:iCs/>
                <w:color w:val="000000"/>
                <w:sz w:val="18"/>
                <w:szCs w:val="18"/>
                <w:lang w:val="en-US" w:eastAsia="en-US"/>
              </w:rPr>
            </w:pPr>
            <w:r w:rsidRPr="00107491">
              <w:rPr>
                <w:i/>
                <w:iCs/>
                <w:color w:val="000000"/>
                <w:sz w:val="18"/>
                <w:szCs w:val="18"/>
                <w:lang w:val="en-US" w:eastAsia="en-US"/>
              </w:rPr>
              <w:t> </w:t>
            </w:r>
          </w:p>
        </w:tc>
        <w:tc>
          <w:tcPr>
            <w:tcW w:w="381" w:type="pct"/>
            <w:vMerge/>
            <w:tcBorders>
              <w:top w:val="nil"/>
              <w:left w:val="single" w:sz="8" w:space="0" w:color="auto"/>
              <w:bottom w:val="double" w:sz="6" w:space="0" w:color="000000"/>
              <w:right w:val="single" w:sz="8" w:space="0" w:color="auto"/>
            </w:tcBorders>
            <w:vAlign w:val="center"/>
            <w:hideMark/>
          </w:tcPr>
          <w:p w14:paraId="728E7433" w14:textId="77777777" w:rsidR="00107491" w:rsidRPr="00107491" w:rsidRDefault="00107491" w:rsidP="00107491">
            <w:pPr>
              <w:rPr>
                <w:b/>
                <w:bCs/>
                <w:color w:val="000000"/>
                <w:sz w:val="18"/>
                <w:szCs w:val="18"/>
                <w:lang w:val="en-US" w:eastAsia="en-US"/>
              </w:rPr>
            </w:pPr>
          </w:p>
        </w:tc>
        <w:tc>
          <w:tcPr>
            <w:tcW w:w="453" w:type="pct"/>
            <w:tcBorders>
              <w:top w:val="nil"/>
              <w:left w:val="nil"/>
              <w:bottom w:val="nil"/>
              <w:right w:val="nil"/>
            </w:tcBorders>
            <w:shd w:val="clear" w:color="auto" w:fill="auto"/>
            <w:vAlign w:val="center"/>
            <w:hideMark/>
          </w:tcPr>
          <w:p w14:paraId="5E0CCE80" w14:textId="77777777" w:rsidR="00107491" w:rsidRPr="00107491" w:rsidRDefault="00107491" w:rsidP="00107491">
            <w:pPr>
              <w:jc w:val="both"/>
              <w:rPr>
                <w:i/>
                <w:iCs/>
                <w:color w:val="000000"/>
                <w:sz w:val="18"/>
                <w:szCs w:val="18"/>
                <w:lang w:val="en-US" w:eastAsia="en-US"/>
              </w:rPr>
            </w:pPr>
          </w:p>
        </w:tc>
        <w:tc>
          <w:tcPr>
            <w:tcW w:w="388" w:type="pct"/>
            <w:tcBorders>
              <w:top w:val="nil"/>
              <w:left w:val="single" w:sz="8" w:space="0" w:color="auto"/>
              <w:bottom w:val="nil"/>
              <w:right w:val="single" w:sz="8" w:space="0" w:color="auto"/>
            </w:tcBorders>
            <w:shd w:val="clear" w:color="auto" w:fill="auto"/>
            <w:vAlign w:val="center"/>
            <w:hideMark/>
          </w:tcPr>
          <w:p w14:paraId="2C5AE130" w14:textId="77777777" w:rsidR="00107491" w:rsidRPr="00107491" w:rsidRDefault="00107491" w:rsidP="00107491">
            <w:pPr>
              <w:jc w:val="center"/>
              <w:rPr>
                <w:b/>
                <w:bCs/>
                <w:color w:val="000000"/>
                <w:sz w:val="18"/>
                <w:szCs w:val="18"/>
                <w:lang w:val="en-US" w:eastAsia="en-US"/>
              </w:rPr>
            </w:pPr>
            <w:r w:rsidRPr="00107491">
              <w:rPr>
                <w:b/>
                <w:bCs/>
                <w:color w:val="000000"/>
                <w:sz w:val="18"/>
                <w:szCs w:val="18"/>
                <w:lang w:val="en-US" w:eastAsia="en-US"/>
              </w:rPr>
              <w:t> </w:t>
            </w:r>
          </w:p>
        </w:tc>
        <w:tc>
          <w:tcPr>
            <w:tcW w:w="258" w:type="pct"/>
            <w:tcBorders>
              <w:top w:val="nil"/>
              <w:left w:val="nil"/>
              <w:bottom w:val="single" w:sz="8" w:space="0" w:color="auto"/>
              <w:right w:val="single" w:sz="8" w:space="0" w:color="auto"/>
            </w:tcBorders>
            <w:shd w:val="clear" w:color="auto" w:fill="auto"/>
            <w:noWrap/>
            <w:vAlign w:val="center"/>
            <w:hideMark/>
          </w:tcPr>
          <w:p w14:paraId="357DBC5D" w14:textId="77777777" w:rsidR="00601D9B" w:rsidRDefault="000E53A0">
            <w:pPr>
              <w:rPr>
                <w:color w:val="000000"/>
                <w:sz w:val="18"/>
                <w:szCs w:val="18"/>
                <w:lang w:val="en-US" w:eastAsia="en-US"/>
              </w:rPr>
            </w:pPr>
            <w:r w:rsidRPr="00107491">
              <w:rPr>
                <w:color w:val="000000"/>
                <w:sz w:val="18"/>
                <w:szCs w:val="18"/>
                <w:lang w:val="en-US" w:eastAsia="en-US"/>
              </w:rPr>
              <w:t>73100</w:t>
            </w:r>
          </w:p>
        </w:tc>
        <w:tc>
          <w:tcPr>
            <w:tcW w:w="458" w:type="pct"/>
            <w:tcBorders>
              <w:top w:val="single" w:sz="8" w:space="0" w:color="auto"/>
              <w:left w:val="nil"/>
              <w:bottom w:val="nil"/>
              <w:right w:val="single" w:sz="8" w:space="0" w:color="auto"/>
            </w:tcBorders>
            <w:shd w:val="clear" w:color="auto" w:fill="auto"/>
            <w:vAlign w:val="center"/>
            <w:hideMark/>
          </w:tcPr>
          <w:p w14:paraId="33B01207" w14:textId="77777777" w:rsidR="00601D9B" w:rsidRDefault="000E53A0">
            <w:pPr>
              <w:rPr>
                <w:color w:val="000000"/>
                <w:sz w:val="18"/>
                <w:szCs w:val="18"/>
                <w:lang w:val="en-US" w:eastAsia="en-US"/>
              </w:rPr>
            </w:pPr>
            <w:r w:rsidRPr="00107491">
              <w:rPr>
                <w:color w:val="000000"/>
                <w:sz w:val="18"/>
                <w:szCs w:val="18"/>
                <w:lang w:val="en-US" w:eastAsia="en-US"/>
              </w:rPr>
              <w:t>Location et entretien - locaux</w:t>
            </w:r>
          </w:p>
        </w:tc>
        <w:tc>
          <w:tcPr>
            <w:tcW w:w="254" w:type="pct"/>
            <w:tcBorders>
              <w:top w:val="nil"/>
              <w:left w:val="nil"/>
              <w:bottom w:val="single" w:sz="8" w:space="0" w:color="auto"/>
              <w:right w:val="single" w:sz="8" w:space="0" w:color="auto"/>
            </w:tcBorders>
            <w:shd w:val="clear" w:color="auto" w:fill="auto"/>
            <w:noWrap/>
            <w:vAlign w:val="center"/>
            <w:hideMark/>
          </w:tcPr>
          <w:p w14:paraId="04B07302"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6,000 </w:t>
            </w:r>
          </w:p>
        </w:tc>
        <w:tc>
          <w:tcPr>
            <w:tcW w:w="273" w:type="pct"/>
            <w:tcBorders>
              <w:top w:val="nil"/>
              <w:left w:val="nil"/>
              <w:bottom w:val="single" w:sz="8" w:space="0" w:color="auto"/>
              <w:right w:val="single" w:sz="8" w:space="0" w:color="auto"/>
            </w:tcBorders>
            <w:shd w:val="clear" w:color="auto" w:fill="auto"/>
            <w:noWrap/>
            <w:vAlign w:val="center"/>
            <w:hideMark/>
          </w:tcPr>
          <w:p w14:paraId="0038CCC0"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6,000 </w:t>
            </w:r>
          </w:p>
        </w:tc>
        <w:tc>
          <w:tcPr>
            <w:tcW w:w="250" w:type="pct"/>
            <w:tcBorders>
              <w:top w:val="nil"/>
              <w:left w:val="nil"/>
              <w:bottom w:val="single" w:sz="8" w:space="0" w:color="auto"/>
              <w:right w:val="single" w:sz="8" w:space="0" w:color="auto"/>
            </w:tcBorders>
            <w:shd w:val="clear" w:color="auto" w:fill="auto"/>
            <w:noWrap/>
            <w:vAlign w:val="center"/>
            <w:hideMark/>
          </w:tcPr>
          <w:p w14:paraId="1E139DFF"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6,000 </w:t>
            </w:r>
          </w:p>
        </w:tc>
        <w:tc>
          <w:tcPr>
            <w:tcW w:w="250" w:type="pct"/>
            <w:tcBorders>
              <w:top w:val="nil"/>
              <w:left w:val="nil"/>
              <w:bottom w:val="single" w:sz="8" w:space="0" w:color="auto"/>
              <w:right w:val="single" w:sz="8" w:space="0" w:color="auto"/>
            </w:tcBorders>
            <w:shd w:val="clear" w:color="auto" w:fill="auto"/>
            <w:noWrap/>
            <w:vAlign w:val="center"/>
            <w:hideMark/>
          </w:tcPr>
          <w:p w14:paraId="71A0F49C"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6,000 </w:t>
            </w:r>
          </w:p>
        </w:tc>
        <w:tc>
          <w:tcPr>
            <w:tcW w:w="250" w:type="pct"/>
            <w:tcBorders>
              <w:top w:val="nil"/>
              <w:left w:val="nil"/>
              <w:bottom w:val="single" w:sz="8" w:space="0" w:color="auto"/>
              <w:right w:val="single" w:sz="8" w:space="0" w:color="auto"/>
            </w:tcBorders>
            <w:shd w:val="clear" w:color="auto" w:fill="auto"/>
            <w:noWrap/>
            <w:vAlign w:val="center"/>
            <w:hideMark/>
          </w:tcPr>
          <w:p w14:paraId="46D4FD02"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6,000 </w:t>
            </w:r>
          </w:p>
        </w:tc>
        <w:tc>
          <w:tcPr>
            <w:tcW w:w="250" w:type="pct"/>
            <w:tcBorders>
              <w:top w:val="nil"/>
              <w:left w:val="nil"/>
              <w:bottom w:val="single" w:sz="8" w:space="0" w:color="auto"/>
              <w:right w:val="single" w:sz="8" w:space="0" w:color="auto"/>
            </w:tcBorders>
            <w:shd w:val="clear" w:color="auto" w:fill="auto"/>
            <w:noWrap/>
            <w:vAlign w:val="center"/>
            <w:hideMark/>
          </w:tcPr>
          <w:p w14:paraId="73FB04C6"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6,000 </w:t>
            </w:r>
          </w:p>
        </w:tc>
        <w:tc>
          <w:tcPr>
            <w:tcW w:w="261" w:type="pct"/>
            <w:tcBorders>
              <w:top w:val="nil"/>
              <w:left w:val="nil"/>
              <w:bottom w:val="single" w:sz="8" w:space="0" w:color="auto"/>
              <w:right w:val="single" w:sz="8" w:space="0" w:color="auto"/>
            </w:tcBorders>
            <w:shd w:val="clear" w:color="auto" w:fill="auto"/>
            <w:noWrap/>
            <w:vAlign w:val="center"/>
            <w:hideMark/>
          </w:tcPr>
          <w:p w14:paraId="7FF311F8"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36,000 </w:t>
            </w:r>
          </w:p>
        </w:tc>
        <w:tc>
          <w:tcPr>
            <w:tcW w:w="183" w:type="pct"/>
            <w:tcBorders>
              <w:top w:val="nil"/>
              <w:left w:val="nil"/>
              <w:bottom w:val="single" w:sz="8" w:space="0" w:color="auto"/>
              <w:right w:val="single" w:sz="8" w:space="0" w:color="auto"/>
            </w:tcBorders>
            <w:shd w:val="clear" w:color="auto" w:fill="auto"/>
            <w:vAlign w:val="center"/>
            <w:hideMark/>
          </w:tcPr>
          <w:p w14:paraId="2B05429E" w14:textId="77777777" w:rsidR="00601D9B" w:rsidRDefault="000E53A0">
            <w:pPr>
              <w:jc w:val="center"/>
              <w:rPr>
                <w:i/>
                <w:iCs/>
                <w:color w:val="000000"/>
                <w:sz w:val="18"/>
                <w:szCs w:val="18"/>
                <w:lang w:val="en-US" w:eastAsia="en-US"/>
              </w:rPr>
            </w:pPr>
            <w:r w:rsidRPr="00107491">
              <w:rPr>
                <w:i/>
                <w:iCs/>
                <w:color w:val="000000"/>
                <w:sz w:val="18"/>
                <w:szCs w:val="18"/>
                <w:lang w:val="en-US" w:eastAsia="en-US"/>
              </w:rPr>
              <w:t>18</w:t>
            </w:r>
          </w:p>
        </w:tc>
        <w:tc>
          <w:tcPr>
            <w:tcW w:w="35" w:type="pct"/>
            <w:vAlign w:val="center"/>
            <w:hideMark/>
          </w:tcPr>
          <w:p w14:paraId="03D9740E" w14:textId="77777777" w:rsidR="00107491" w:rsidRPr="00107491" w:rsidRDefault="00107491" w:rsidP="00107491">
            <w:pPr>
              <w:rPr>
                <w:sz w:val="20"/>
                <w:szCs w:val="20"/>
                <w:lang w:val="en-US" w:eastAsia="en-US"/>
              </w:rPr>
            </w:pPr>
          </w:p>
        </w:tc>
      </w:tr>
      <w:tr w:rsidR="00107491" w:rsidRPr="00107491" w14:paraId="295DC0AB" w14:textId="77777777" w:rsidTr="00107491">
        <w:trPr>
          <w:trHeight w:val="300"/>
        </w:trPr>
        <w:tc>
          <w:tcPr>
            <w:tcW w:w="1056" w:type="pct"/>
            <w:tcBorders>
              <w:top w:val="nil"/>
              <w:left w:val="single" w:sz="8" w:space="0" w:color="auto"/>
              <w:bottom w:val="nil"/>
              <w:right w:val="nil"/>
            </w:tcBorders>
            <w:shd w:val="clear" w:color="auto" w:fill="auto"/>
            <w:noWrap/>
            <w:vAlign w:val="center"/>
            <w:hideMark/>
          </w:tcPr>
          <w:p w14:paraId="3D1F4203" w14:textId="77777777" w:rsidR="00107491" w:rsidRPr="00107491" w:rsidRDefault="00107491" w:rsidP="00107491">
            <w:pPr>
              <w:jc w:val="both"/>
              <w:rPr>
                <w:i/>
                <w:iCs/>
                <w:color w:val="000000"/>
                <w:sz w:val="18"/>
                <w:szCs w:val="18"/>
                <w:lang w:val="en-US" w:eastAsia="en-US"/>
              </w:rPr>
            </w:pPr>
            <w:r w:rsidRPr="00107491">
              <w:rPr>
                <w:i/>
                <w:iCs/>
                <w:color w:val="000000"/>
                <w:sz w:val="18"/>
                <w:szCs w:val="18"/>
                <w:lang w:val="en-US" w:eastAsia="en-US"/>
              </w:rPr>
              <w:t> </w:t>
            </w:r>
          </w:p>
        </w:tc>
        <w:tc>
          <w:tcPr>
            <w:tcW w:w="381" w:type="pct"/>
            <w:vMerge/>
            <w:tcBorders>
              <w:top w:val="nil"/>
              <w:left w:val="single" w:sz="8" w:space="0" w:color="auto"/>
              <w:bottom w:val="double" w:sz="6" w:space="0" w:color="000000"/>
              <w:right w:val="single" w:sz="8" w:space="0" w:color="auto"/>
            </w:tcBorders>
            <w:vAlign w:val="center"/>
            <w:hideMark/>
          </w:tcPr>
          <w:p w14:paraId="7334461A" w14:textId="77777777" w:rsidR="00107491" w:rsidRPr="00107491" w:rsidRDefault="00107491" w:rsidP="00107491">
            <w:pPr>
              <w:rPr>
                <w:b/>
                <w:bCs/>
                <w:color w:val="000000"/>
                <w:sz w:val="18"/>
                <w:szCs w:val="18"/>
                <w:lang w:val="en-US" w:eastAsia="en-US"/>
              </w:rPr>
            </w:pPr>
          </w:p>
        </w:tc>
        <w:tc>
          <w:tcPr>
            <w:tcW w:w="453" w:type="pct"/>
            <w:tcBorders>
              <w:top w:val="nil"/>
              <w:left w:val="nil"/>
              <w:bottom w:val="nil"/>
              <w:right w:val="nil"/>
            </w:tcBorders>
            <w:shd w:val="clear" w:color="auto" w:fill="auto"/>
            <w:vAlign w:val="center"/>
            <w:hideMark/>
          </w:tcPr>
          <w:p w14:paraId="37724B8E" w14:textId="77777777" w:rsidR="00107491" w:rsidRPr="00107491" w:rsidRDefault="00107491" w:rsidP="00107491">
            <w:pPr>
              <w:jc w:val="both"/>
              <w:rPr>
                <w:i/>
                <w:iCs/>
                <w:color w:val="000000"/>
                <w:sz w:val="18"/>
                <w:szCs w:val="18"/>
                <w:lang w:val="en-US" w:eastAsia="en-US"/>
              </w:rPr>
            </w:pPr>
          </w:p>
        </w:tc>
        <w:tc>
          <w:tcPr>
            <w:tcW w:w="388" w:type="pct"/>
            <w:tcBorders>
              <w:top w:val="nil"/>
              <w:left w:val="single" w:sz="8" w:space="0" w:color="auto"/>
              <w:bottom w:val="nil"/>
              <w:right w:val="single" w:sz="8" w:space="0" w:color="auto"/>
            </w:tcBorders>
            <w:shd w:val="clear" w:color="auto" w:fill="auto"/>
            <w:vAlign w:val="center"/>
            <w:hideMark/>
          </w:tcPr>
          <w:p w14:paraId="36C96705" w14:textId="77777777" w:rsidR="00107491" w:rsidRPr="00107491" w:rsidRDefault="00107491" w:rsidP="00107491">
            <w:pPr>
              <w:jc w:val="center"/>
              <w:rPr>
                <w:b/>
                <w:bCs/>
                <w:color w:val="000000"/>
                <w:sz w:val="18"/>
                <w:szCs w:val="18"/>
                <w:lang w:val="en-US" w:eastAsia="en-US"/>
              </w:rPr>
            </w:pPr>
            <w:r w:rsidRPr="00107491">
              <w:rPr>
                <w:b/>
                <w:bCs/>
                <w:color w:val="000000"/>
                <w:sz w:val="18"/>
                <w:szCs w:val="18"/>
                <w:lang w:val="en-US" w:eastAsia="en-US"/>
              </w:rPr>
              <w:t> </w:t>
            </w:r>
          </w:p>
        </w:tc>
        <w:tc>
          <w:tcPr>
            <w:tcW w:w="258" w:type="pct"/>
            <w:tcBorders>
              <w:top w:val="nil"/>
              <w:left w:val="nil"/>
              <w:bottom w:val="single" w:sz="8" w:space="0" w:color="auto"/>
              <w:right w:val="single" w:sz="8" w:space="0" w:color="auto"/>
            </w:tcBorders>
            <w:shd w:val="clear" w:color="auto" w:fill="auto"/>
            <w:noWrap/>
            <w:vAlign w:val="center"/>
            <w:hideMark/>
          </w:tcPr>
          <w:p w14:paraId="6781FBE3" w14:textId="77777777" w:rsidR="00601D9B" w:rsidRDefault="000E53A0">
            <w:pPr>
              <w:jc w:val="right"/>
              <w:rPr>
                <w:color w:val="000000"/>
                <w:sz w:val="18"/>
                <w:szCs w:val="18"/>
                <w:lang w:val="en-US" w:eastAsia="en-US"/>
              </w:rPr>
            </w:pPr>
            <w:r w:rsidRPr="00107491">
              <w:rPr>
                <w:color w:val="000000"/>
                <w:sz w:val="18"/>
                <w:szCs w:val="18"/>
                <w:lang w:val="en-US" w:eastAsia="en-US"/>
              </w:rPr>
              <w:t>72500</w:t>
            </w:r>
          </w:p>
        </w:tc>
        <w:tc>
          <w:tcPr>
            <w:tcW w:w="458" w:type="pct"/>
            <w:tcBorders>
              <w:top w:val="single" w:sz="8" w:space="0" w:color="auto"/>
              <w:left w:val="nil"/>
              <w:bottom w:val="nil"/>
              <w:right w:val="single" w:sz="8" w:space="0" w:color="auto"/>
            </w:tcBorders>
            <w:shd w:val="clear" w:color="auto" w:fill="auto"/>
            <w:vAlign w:val="center"/>
            <w:hideMark/>
          </w:tcPr>
          <w:p w14:paraId="00A921D7" w14:textId="77777777" w:rsidR="00601D9B" w:rsidRDefault="000E53A0">
            <w:pPr>
              <w:rPr>
                <w:color w:val="000000"/>
                <w:sz w:val="18"/>
                <w:szCs w:val="18"/>
                <w:lang w:val="en-US" w:eastAsia="en-US"/>
              </w:rPr>
            </w:pPr>
            <w:r w:rsidRPr="00107491">
              <w:rPr>
                <w:color w:val="000000"/>
                <w:sz w:val="18"/>
                <w:szCs w:val="18"/>
                <w:lang w:val="en-US" w:eastAsia="en-US"/>
              </w:rPr>
              <w:t>Fournitures</w:t>
            </w:r>
          </w:p>
        </w:tc>
        <w:tc>
          <w:tcPr>
            <w:tcW w:w="254" w:type="pct"/>
            <w:tcBorders>
              <w:top w:val="nil"/>
              <w:left w:val="nil"/>
              <w:bottom w:val="single" w:sz="8" w:space="0" w:color="auto"/>
              <w:right w:val="single" w:sz="8" w:space="0" w:color="auto"/>
            </w:tcBorders>
            <w:shd w:val="clear" w:color="auto" w:fill="auto"/>
            <w:noWrap/>
            <w:vAlign w:val="center"/>
            <w:hideMark/>
          </w:tcPr>
          <w:p w14:paraId="7383D792"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3,000 </w:t>
            </w:r>
          </w:p>
        </w:tc>
        <w:tc>
          <w:tcPr>
            <w:tcW w:w="273" w:type="pct"/>
            <w:tcBorders>
              <w:top w:val="nil"/>
              <w:left w:val="nil"/>
              <w:bottom w:val="single" w:sz="8" w:space="0" w:color="auto"/>
              <w:right w:val="single" w:sz="8" w:space="0" w:color="auto"/>
            </w:tcBorders>
            <w:shd w:val="clear" w:color="auto" w:fill="auto"/>
            <w:noWrap/>
            <w:vAlign w:val="center"/>
            <w:hideMark/>
          </w:tcPr>
          <w:p w14:paraId="23F1EB29"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3,000 </w:t>
            </w:r>
          </w:p>
        </w:tc>
        <w:tc>
          <w:tcPr>
            <w:tcW w:w="250" w:type="pct"/>
            <w:tcBorders>
              <w:top w:val="nil"/>
              <w:left w:val="nil"/>
              <w:bottom w:val="single" w:sz="8" w:space="0" w:color="auto"/>
              <w:right w:val="single" w:sz="8" w:space="0" w:color="auto"/>
            </w:tcBorders>
            <w:shd w:val="clear" w:color="auto" w:fill="auto"/>
            <w:noWrap/>
            <w:vAlign w:val="center"/>
            <w:hideMark/>
          </w:tcPr>
          <w:p w14:paraId="12D7514C"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3,000 </w:t>
            </w:r>
          </w:p>
        </w:tc>
        <w:tc>
          <w:tcPr>
            <w:tcW w:w="250" w:type="pct"/>
            <w:tcBorders>
              <w:top w:val="nil"/>
              <w:left w:val="nil"/>
              <w:bottom w:val="single" w:sz="8" w:space="0" w:color="auto"/>
              <w:right w:val="single" w:sz="8" w:space="0" w:color="auto"/>
            </w:tcBorders>
            <w:shd w:val="clear" w:color="auto" w:fill="auto"/>
            <w:noWrap/>
            <w:vAlign w:val="center"/>
            <w:hideMark/>
          </w:tcPr>
          <w:p w14:paraId="69569C6F"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3,000 </w:t>
            </w:r>
          </w:p>
        </w:tc>
        <w:tc>
          <w:tcPr>
            <w:tcW w:w="250" w:type="pct"/>
            <w:tcBorders>
              <w:top w:val="nil"/>
              <w:left w:val="nil"/>
              <w:bottom w:val="single" w:sz="8" w:space="0" w:color="auto"/>
              <w:right w:val="single" w:sz="8" w:space="0" w:color="auto"/>
            </w:tcBorders>
            <w:shd w:val="clear" w:color="auto" w:fill="auto"/>
            <w:noWrap/>
            <w:vAlign w:val="center"/>
            <w:hideMark/>
          </w:tcPr>
          <w:p w14:paraId="3ABC47A2"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3,000 </w:t>
            </w:r>
          </w:p>
        </w:tc>
        <w:tc>
          <w:tcPr>
            <w:tcW w:w="250" w:type="pct"/>
            <w:tcBorders>
              <w:top w:val="nil"/>
              <w:left w:val="nil"/>
              <w:bottom w:val="single" w:sz="8" w:space="0" w:color="auto"/>
              <w:right w:val="single" w:sz="8" w:space="0" w:color="auto"/>
            </w:tcBorders>
            <w:shd w:val="clear" w:color="auto" w:fill="auto"/>
            <w:noWrap/>
            <w:vAlign w:val="center"/>
            <w:hideMark/>
          </w:tcPr>
          <w:p w14:paraId="6414EE9C"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3,000 </w:t>
            </w:r>
          </w:p>
        </w:tc>
        <w:tc>
          <w:tcPr>
            <w:tcW w:w="261" w:type="pct"/>
            <w:tcBorders>
              <w:top w:val="nil"/>
              <w:left w:val="nil"/>
              <w:bottom w:val="single" w:sz="8" w:space="0" w:color="auto"/>
              <w:right w:val="single" w:sz="8" w:space="0" w:color="auto"/>
            </w:tcBorders>
            <w:shd w:val="clear" w:color="auto" w:fill="auto"/>
            <w:noWrap/>
            <w:vAlign w:val="center"/>
            <w:hideMark/>
          </w:tcPr>
          <w:p w14:paraId="1212D1EF"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18,000 </w:t>
            </w:r>
          </w:p>
        </w:tc>
        <w:tc>
          <w:tcPr>
            <w:tcW w:w="183" w:type="pct"/>
            <w:tcBorders>
              <w:top w:val="nil"/>
              <w:left w:val="nil"/>
              <w:bottom w:val="single" w:sz="8" w:space="0" w:color="auto"/>
              <w:right w:val="single" w:sz="8" w:space="0" w:color="auto"/>
            </w:tcBorders>
            <w:shd w:val="clear" w:color="auto" w:fill="auto"/>
            <w:vAlign w:val="center"/>
            <w:hideMark/>
          </w:tcPr>
          <w:p w14:paraId="770C6994" w14:textId="77777777" w:rsidR="00601D9B" w:rsidRDefault="000E53A0">
            <w:pPr>
              <w:jc w:val="center"/>
              <w:rPr>
                <w:i/>
                <w:iCs/>
                <w:color w:val="000000"/>
                <w:sz w:val="18"/>
                <w:szCs w:val="18"/>
                <w:lang w:val="en-US" w:eastAsia="en-US"/>
              </w:rPr>
            </w:pPr>
            <w:r w:rsidRPr="00107491">
              <w:rPr>
                <w:i/>
                <w:iCs/>
                <w:color w:val="000000"/>
                <w:sz w:val="18"/>
                <w:szCs w:val="18"/>
                <w:lang w:val="en-US" w:eastAsia="en-US"/>
              </w:rPr>
              <w:t>19</w:t>
            </w:r>
          </w:p>
        </w:tc>
        <w:tc>
          <w:tcPr>
            <w:tcW w:w="35" w:type="pct"/>
            <w:vAlign w:val="center"/>
            <w:hideMark/>
          </w:tcPr>
          <w:p w14:paraId="323B55F7" w14:textId="77777777" w:rsidR="00107491" w:rsidRPr="00107491" w:rsidRDefault="00107491" w:rsidP="00107491">
            <w:pPr>
              <w:rPr>
                <w:sz w:val="20"/>
                <w:szCs w:val="20"/>
                <w:lang w:val="en-US" w:eastAsia="en-US"/>
              </w:rPr>
            </w:pPr>
          </w:p>
        </w:tc>
      </w:tr>
      <w:tr w:rsidR="00107491" w:rsidRPr="00107491" w14:paraId="461373FD" w14:textId="77777777" w:rsidTr="00107491">
        <w:trPr>
          <w:trHeight w:val="300"/>
        </w:trPr>
        <w:tc>
          <w:tcPr>
            <w:tcW w:w="1056" w:type="pct"/>
            <w:tcBorders>
              <w:top w:val="nil"/>
              <w:left w:val="single" w:sz="8" w:space="0" w:color="auto"/>
              <w:bottom w:val="nil"/>
              <w:right w:val="nil"/>
            </w:tcBorders>
            <w:shd w:val="clear" w:color="auto" w:fill="auto"/>
            <w:noWrap/>
            <w:vAlign w:val="center"/>
            <w:hideMark/>
          </w:tcPr>
          <w:p w14:paraId="0CB53518" w14:textId="77777777" w:rsidR="00107491" w:rsidRPr="00107491" w:rsidRDefault="00107491" w:rsidP="00107491">
            <w:pPr>
              <w:jc w:val="both"/>
              <w:rPr>
                <w:i/>
                <w:iCs/>
                <w:color w:val="000000"/>
                <w:sz w:val="18"/>
                <w:szCs w:val="18"/>
                <w:lang w:val="en-US" w:eastAsia="en-US"/>
              </w:rPr>
            </w:pPr>
            <w:r w:rsidRPr="00107491">
              <w:rPr>
                <w:i/>
                <w:iCs/>
                <w:color w:val="000000"/>
                <w:sz w:val="18"/>
                <w:szCs w:val="18"/>
                <w:lang w:val="en-US" w:eastAsia="en-US"/>
              </w:rPr>
              <w:t> </w:t>
            </w:r>
          </w:p>
        </w:tc>
        <w:tc>
          <w:tcPr>
            <w:tcW w:w="381" w:type="pct"/>
            <w:vMerge/>
            <w:tcBorders>
              <w:top w:val="nil"/>
              <w:left w:val="single" w:sz="8" w:space="0" w:color="auto"/>
              <w:bottom w:val="double" w:sz="6" w:space="0" w:color="000000"/>
              <w:right w:val="single" w:sz="8" w:space="0" w:color="auto"/>
            </w:tcBorders>
            <w:vAlign w:val="center"/>
            <w:hideMark/>
          </w:tcPr>
          <w:p w14:paraId="1EC28C73" w14:textId="77777777" w:rsidR="00107491" w:rsidRPr="00107491" w:rsidRDefault="00107491" w:rsidP="00107491">
            <w:pPr>
              <w:rPr>
                <w:b/>
                <w:bCs/>
                <w:color w:val="000000"/>
                <w:sz w:val="18"/>
                <w:szCs w:val="18"/>
                <w:lang w:val="en-US" w:eastAsia="en-US"/>
              </w:rPr>
            </w:pPr>
          </w:p>
        </w:tc>
        <w:tc>
          <w:tcPr>
            <w:tcW w:w="453" w:type="pct"/>
            <w:tcBorders>
              <w:top w:val="nil"/>
              <w:left w:val="nil"/>
              <w:bottom w:val="nil"/>
              <w:right w:val="nil"/>
            </w:tcBorders>
            <w:shd w:val="clear" w:color="auto" w:fill="auto"/>
            <w:vAlign w:val="center"/>
            <w:hideMark/>
          </w:tcPr>
          <w:p w14:paraId="2892CA22" w14:textId="77777777" w:rsidR="00107491" w:rsidRPr="00107491" w:rsidRDefault="00107491" w:rsidP="00107491">
            <w:pPr>
              <w:jc w:val="both"/>
              <w:rPr>
                <w:i/>
                <w:iCs/>
                <w:color w:val="000000"/>
                <w:sz w:val="18"/>
                <w:szCs w:val="18"/>
                <w:lang w:val="en-US" w:eastAsia="en-US"/>
              </w:rPr>
            </w:pPr>
          </w:p>
        </w:tc>
        <w:tc>
          <w:tcPr>
            <w:tcW w:w="388" w:type="pct"/>
            <w:tcBorders>
              <w:top w:val="nil"/>
              <w:left w:val="single" w:sz="8" w:space="0" w:color="auto"/>
              <w:bottom w:val="nil"/>
              <w:right w:val="single" w:sz="8" w:space="0" w:color="auto"/>
            </w:tcBorders>
            <w:shd w:val="clear" w:color="auto" w:fill="auto"/>
            <w:vAlign w:val="center"/>
            <w:hideMark/>
          </w:tcPr>
          <w:p w14:paraId="2261303A" w14:textId="77777777" w:rsidR="00107491" w:rsidRPr="00107491" w:rsidRDefault="00107491" w:rsidP="00107491">
            <w:pPr>
              <w:jc w:val="center"/>
              <w:rPr>
                <w:b/>
                <w:bCs/>
                <w:color w:val="000000"/>
                <w:sz w:val="18"/>
                <w:szCs w:val="18"/>
                <w:lang w:val="en-US" w:eastAsia="en-US"/>
              </w:rPr>
            </w:pPr>
            <w:r w:rsidRPr="00107491">
              <w:rPr>
                <w:b/>
                <w:bCs/>
                <w:color w:val="000000"/>
                <w:sz w:val="18"/>
                <w:szCs w:val="18"/>
                <w:lang w:val="en-US" w:eastAsia="en-US"/>
              </w:rPr>
              <w:t> </w:t>
            </w:r>
          </w:p>
        </w:tc>
        <w:tc>
          <w:tcPr>
            <w:tcW w:w="258" w:type="pct"/>
            <w:tcBorders>
              <w:top w:val="nil"/>
              <w:left w:val="nil"/>
              <w:bottom w:val="nil"/>
              <w:right w:val="single" w:sz="8" w:space="0" w:color="auto"/>
            </w:tcBorders>
            <w:shd w:val="clear" w:color="auto" w:fill="auto"/>
            <w:noWrap/>
            <w:vAlign w:val="center"/>
            <w:hideMark/>
          </w:tcPr>
          <w:p w14:paraId="0583EB8E" w14:textId="77777777" w:rsidR="00601D9B" w:rsidRDefault="000E53A0">
            <w:pPr>
              <w:rPr>
                <w:color w:val="000000"/>
                <w:sz w:val="18"/>
                <w:szCs w:val="18"/>
                <w:lang w:val="en-US" w:eastAsia="en-US"/>
              </w:rPr>
            </w:pPr>
            <w:r w:rsidRPr="00107491">
              <w:rPr>
                <w:color w:val="000000"/>
                <w:sz w:val="18"/>
                <w:szCs w:val="18"/>
                <w:lang w:val="en-US" w:eastAsia="en-US"/>
              </w:rPr>
              <w:t>74500</w:t>
            </w:r>
          </w:p>
        </w:tc>
        <w:tc>
          <w:tcPr>
            <w:tcW w:w="458" w:type="pct"/>
            <w:tcBorders>
              <w:top w:val="single" w:sz="8" w:space="0" w:color="auto"/>
              <w:left w:val="nil"/>
              <w:bottom w:val="single" w:sz="8" w:space="0" w:color="auto"/>
              <w:right w:val="single" w:sz="8" w:space="0" w:color="auto"/>
            </w:tcBorders>
            <w:shd w:val="clear" w:color="auto" w:fill="auto"/>
            <w:vAlign w:val="center"/>
            <w:hideMark/>
          </w:tcPr>
          <w:p w14:paraId="30F048D4" w14:textId="77777777" w:rsidR="00601D9B" w:rsidRDefault="000E53A0">
            <w:pPr>
              <w:rPr>
                <w:color w:val="000000"/>
                <w:sz w:val="18"/>
                <w:szCs w:val="18"/>
                <w:lang w:val="en-US" w:eastAsia="en-US"/>
              </w:rPr>
            </w:pPr>
            <w:r w:rsidRPr="00107491">
              <w:rPr>
                <w:color w:val="000000"/>
                <w:sz w:val="18"/>
                <w:szCs w:val="18"/>
                <w:lang w:val="en-US" w:eastAsia="en-US"/>
              </w:rPr>
              <w:t>Dépenses diverses</w:t>
            </w:r>
          </w:p>
        </w:tc>
        <w:tc>
          <w:tcPr>
            <w:tcW w:w="254" w:type="pct"/>
            <w:tcBorders>
              <w:top w:val="nil"/>
              <w:left w:val="nil"/>
              <w:bottom w:val="single" w:sz="8" w:space="0" w:color="auto"/>
              <w:right w:val="single" w:sz="8" w:space="0" w:color="auto"/>
            </w:tcBorders>
            <w:shd w:val="clear" w:color="auto" w:fill="auto"/>
            <w:noWrap/>
            <w:vAlign w:val="center"/>
            <w:hideMark/>
          </w:tcPr>
          <w:p w14:paraId="0D26C73C"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4,241 </w:t>
            </w:r>
          </w:p>
        </w:tc>
        <w:tc>
          <w:tcPr>
            <w:tcW w:w="273" w:type="pct"/>
            <w:tcBorders>
              <w:top w:val="nil"/>
              <w:left w:val="nil"/>
              <w:bottom w:val="single" w:sz="8" w:space="0" w:color="auto"/>
              <w:right w:val="single" w:sz="8" w:space="0" w:color="auto"/>
            </w:tcBorders>
            <w:shd w:val="clear" w:color="auto" w:fill="auto"/>
            <w:noWrap/>
            <w:vAlign w:val="center"/>
            <w:hideMark/>
          </w:tcPr>
          <w:p w14:paraId="23B5F096"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 </w:t>
            </w:r>
          </w:p>
        </w:tc>
        <w:tc>
          <w:tcPr>
            <w:tcW w:w="250" w:type="pct"/>
            <w:tcBorders>
              <w:top w:val="nil"/>
              <w:left w:val="nil"/>
              <w:bottom w:val="single" w:sz="8" w:space="0" w:color="auto"/>
              <w:right w:val="single" w:sz="8" w:space="0" w:color="auto"/>
            </w:tcBorders>
            <w:shd w:val="clear" w:color="auto" w:fill="auto"/>
            <w:noWrap/>
            <w:vAlign w:val="center"/>
            <w:hideMark/>
          </w:tcPr>
          <w:p w14:paraId="15DB6F47"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 </w:t>
            </w:r>
          </w:p>
        </w:tc>
        <w:tc>
          <w:tcPr>
            <w:tcW w:w="250" w:type="pct"/>
            <w:tcBorders>
              <w:top w:val="nil"/>
              <w:left w:val="nil"/>
              <w:bottom w:val="single" w:sz="8" w:space="0" w:color="auto"/>
              <w:right w:val="single" w:sz="8" w:space="0" w:color="auto"/>
            </w:tcBorders>
            <w:shd w:val="clear" w:color="auto" w:fill="auto"/>
            <w:noWrap/>
            <w:vAlign w:val="center"/>
            <w:hideMark/>
          </w:tcPr>
          <w:p w14:paraId="1E48C6E5"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 </w:t>
            </w:r>
          </w:p>
        </w:tc>
        <w:tc>
          <w:tcPr>
            <w:tcW w:w="250" w:type="pct"/>
            <w:tcBorders>
              <w:top w:val="nil"/>
              <w:left w:val="nil"/>
              <w:bottom w:val="single" w:sz="8" w:space="0" w:color="auto"/>
              <w:right w:val="single" w:sz="8" w:space="0" w:color="auto"/>
            </w:tcBorders>
            <w:shd w:val="clear" w:color="auto" w:fill="auto"/>
            <w:noWrap/>
            <w:vAlign w:val="center"/>
            <w:hideMark/>
          </w:tcPr>
          <w:p w14:paraId="6902F955"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 </w:t>
            </w:r>
          </w:p>
        </w:tc>
        <w:tc>
          <w:tcPr>
            <w:tcW w:w="250" w:type="pct"/>
            <w:tcBorders>
              <w:top w:val="nil"/>
              <w:left w:val="nil"/>
              <w:bottom w:val="single" w:sz="8" w:space="0" w:color="auto"/>
              <w:right w:val="single" w:sz="8" w:space="0" w:color="auto"/>
            </w:tcBorders>
            <w:shd w:val="clear" w:color="auto" w:fill="auto"/>
            <w:noWrap/>
            <w:vAlign w:val="center"/>
            <w:hideMark/>
          </w:tcPr>
          <w:p w14:paraId="32243049"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 </w:t>
            </w:r>
          </w:p>
        </w:tc>
        <w:tc>
          <w:tcPr>
            <w:tcW w:w="261" w:type="pct"/>
            <w:tcBorders>
              <w:top w:val="nil"/>
              <w:left w:val="nil"/>
              <w:bottom w:val="single" w:sz="8" w:space="0" w:color="auto"/>
              <w:right w:val="single" w:sz="8" w:space="0" w:color="auto"/>
            </w:tcBorders>
            <w:shd w:val="clear" w:color="auto" w:fill="auto"/>
            <w:noWrap/>
            <w:vAlign w:val="center"/>
            <w:hideMark/>
          </w:tcPr>
          <w:p w14:paraId="315D2468"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4,241 </w:t>
            </w:r>
          </w:p>
        </w:tc>
        <w:tc>
          <w:tcPr>
            <w:tcW w:w="183" w:type="pct"/>
            <w:tcBorders>
              <w:top w:val="nil"/>
              <w:left w:val="nil"/>
              <w:bottom w:val="single" w:sz="8" w:space="0" w:color="auto"/>
              <w:right w:val="single" w:sz="8" w:space="0" w:color="auto"/>
            </w:tcBorders>
            <w:shd w:val="clear" w:color="auto" w:fill="auto"/>
            <w:vAlign w:val="center"/>
            <w:hideMark/>
          </w:tcPr>
          <w:p w14:paraId="5D4A72FC" w14:textId="77777777" w:rsidR="00107491" w:rsidRPr="00107491" w:rsidRDefault="00107491" w:rsidP="00107491">
            <w:pPr>
              <w:jc w:val="center"/>
              <w:rPr>
                <w:i/>
                <w:iCs/>
                <w:color w:val="000000"/>
                <w:sz w:val="18"/>
                <w:szCs w:val="18"/>
                <w:lang w:val="en-US" w:eastAsia="en-US"/>
              </w:rPr>
            </w:pPr>
            <w:r w:rsidRPr="00107491">
              <w:rPr>
                <w:i/>
                <w:iCs/>
                <w:color w:val="000000"/>
                <w:sz w:val="18"/>
                <w:szCs w:val="18"/>
                <w:lang w:val="en-US" w:eastAsia="en-US"/>
              </w:rPr>
              <w:t> </w:t>
            </w:r>
          </w:p>
        </w:tc>
        <w:tc>
          <w:tcPr>
            <w:tcW w:w="35" w:type="pct"/>
            <w:vAlign w:val="center"/>
            <w:hideMark/>
          </w:tcPr>
          <w:p w14:paraId="0C2A1926" w14:textId="77777777" w:rsidR="00107491" w:rsidRPr="00107491" w:rsidRDefault="00107491" w:rsidP="00107491">
            <w:pPr>
              <w:rPr>
                <w:sz w:val="20"/>
                <w:szCs w:val="20"/>
                <w:lang w:val="en-US" w:eastAsia="en-US"/>
              </w:rPr>
            </w:pPr>
          </w:p>
        </w:tc>
      </w:tr>
      <w:tr w:rsidR="00107491" w:rsidRPr="00107491" w14:paraId="6E3776BC" w14:textId="77777777" w:rsidTr="00107491">
        <w:trPr>
          <w:trHeight w:val="300"/>
        </w:trPr>
        <w:tc>
          <w:tcPr>
            <w:tcW w:w="1056" w:type="pct"/>
            <w:tcBorders>
              <w:top w:val="nil"/>
              <w:left w:val="single" w:sz="8" w:space="0" w:color="auto"/>
              <w:bottom w:val="nil"/>
              <w:right w:val="nil"/>
            </w:tcBorders>
            <w:shd w:val="clear" w:color="auto" w:fill="auto"/>
            <w:noWrap/>
            <w:vAlign w:val="center"/>
            <w:hideMark/>
          </w:tcPr>
          <w:p w14:paraId="735578B0" w14:textId="77777777" w:rsidR="00107491" w:rsidRPr="00107491" w:rsidRDefault="00107491" w:rsidP="00107491">
            <w:pPr>
              <w:rPr>
                <w:rFonts w:ascii="Calibri" w:hAnsi="Calibri" w:cs="Calibri"/>
                <w:color w:val="000000"/>
                <w:sz w:val="18"/>
                <w:szCs w:val="18"/>
                <w:lang w:val="en-US" w:eastAsia="en-US"/>
              </w:rPr>
            </w:pPr>
            <w:r w:rsidRPr="00107491">
              <w:rPr>
                <w:rFonts w:ascii="Calibri" w:hAnsi="Calibri" w:cs="Calibri"/>
                <w:color w:val="000000"/>
                <w:sz w:val="18"/>
                <w:szCs w:val="18"/>
                <w:lang w:val="en-US" w:eastAsia="en-US"/>
              </w:rPr>
              <w:t> </w:t>
            </w:r>
          </w:p>
        </w:tc>
        <w:tc>
          <w:tcPr>
            <w:tcW w:w="381" w:type="pct"/>
            <w:vMerge/>
            <w:tcBorders>
              <w:top w:val="nil"/>
              <w:left w:val="single" w:sz="8" w:space="0" w:color="auto"/>
              <w:bottom w:val="double" w:sz="6" w:space="0" w:color="000000"/>
              <w:right w:val="single" w:sz="8" w:space="0" w:color="auto"/>
            </w:tcBorders>
            <w:vAlign w:val="center"/>
            <w:hideMark/>
          </w:tcPr>
          <w:p w14:paraId="3103F897" w14:textId="77777777" w:rsidR="00107491" w:rsidRPr="00107491" w:rsidRDefault="00107491" w:rsidP="00107491">
            <w:pPr>
              <w:rPr>
                <w:b/>
                <w:bCs/>
                <w:color w:val="000000"/>
                <w:sz w:val="18"/>
                <w:szCs w:val="18"/>
                <w:lang w:val="en-US" w:eastAsia="en-US"/>
              </w:rPr>
            </w:pPr>
          </w:p>
        </w:tc>
        <w:tc>
          <w:tcPr>
            <w:tcW w:w="453" w:type="pct"/>
            <w:tcBorders>
              <w:top w:val="nil"/>
              <w:left w:val="nil"/>
              <w:bottom w:val="nil"/>
              <w:right w:val="nil"/>
            </w:tcBorders>
            <w:shd w:val="clear" w:color="auto" w:fill="auto"/>
            <w:vAlign w:val="center"/>
            <w:hideMark/>
          </w:tcPr>
          <w:p w14:paraId="00648E0E" w14:textId="77777777" w:rsidR="00107491" w:rsidRPr="00107491" w:rsidRDefault="00107491" w:rsidP="00107491">
            <w:pPr>
              <w:rPr>
                <w:rFonts w:ascii="Calibri" w:hAnsi="Calibri" w:cs="Calibri"/>
                <w:color w:val="000000"/>
                <w:sz w:val="18"/>
                <w:szCs w:val="18"/>
                <w:lang w:val="en-US" w:eastAsia="en-US"/>
              </w:rPr>
            </w:pPr>
          </w:p>
        </w:tc>
        <w:tc>
          <w:tcPr>
            <w:tcW w:w="388" w:type="pct"/>
            <w:tcBorders>
              <w:top w:val="nil"/>
              <w:left w:val="single" w:sz="8" w:space="0" w:color="auto"/>
              <w:bottom w:val="nil"/>
              <w:right w:val="single" w:sz="8" w:space="0" w:color="auto"/>
            </w:tcBorders>
            <w:shd w:val="clear" w:color="auto" w:fill="auto"/>
            <w:vAlign w:val="center"/>
            <w:hideMark/>
          </w:tcPr>
          <w:p w14:paraId="2CAA505B" w14:textId="77777777" w:rsidR="00107491" w:rsidRPr="00107491" w:rsidRDefault="00107491" w:rsidP="00107491">
            <w:pPr>
              <w:jc w:val="center"/>
              <w:rPr>
                <w:b/>
                <w:bCs/>
                <w:color w:val="000000"/>
                <w:sz w:val="18"/>
                <w:szCs w:val="18"/>
                <w:lang w:val="en-US" w:eastAsia="en-US"/>
              </w:rPr>
            </w:pPr>
            <w:r w:rsidRPr="00107491">
              <w:rPr>
                <w:b/>
                <w:bCs/>
                <w:color w:val="000000"/>
                <w:sz w:val="18"/>
                <w:szCs w:val="18"/>
                <w:lang w:val="en-US" w:eastAsia="en-US"/>
              </w:rPr>
              <w:t> </w:t>
            </w:r>
          </w:p>
        </w:tc>
        <w:tc>
          <w:tcPr>
            <w:tcW w:w="258" w:type="pct"/>
            <w:tcBorders>
              <w:top w:val="single" w:sz="8" w:space="0" w:color="auto"/>
              <w:left w:val="nil"/>
              <w:bottom w:val="single" w:sz="8" w:space="0" w:color="auto"/>
              <w:right w:val="single" w:sz="8" w:space="0" w:color="auto"/>
            </w:tcBorders>
            <w:shd w:val="clear" w:color="auto" w:fill="auto"/>
            <w:noWrap/>
            <w:vAlign w:val="center"/>
            <w:hideMark/>
          </w:tcPr>
          <w:p w14:paraId="1CD97F6A" w14:textId="77777777" w:rsidR="00107491" w:rsidRPr="00107491" w:rsidRDefault="00107491" w:rsidP="00107491">
            <w:pPr>
              <w:jc w:val="center"/>
              <w:rPr>
                <w:color w:val="000000"/>
                <w:sz w:val="18"/>
                <w:szCs w:val="18"/>
                <w:lang w:val="en-US" w:eastAsia="en-US"/>
              </w:rPr>
            </w:pPr>
            <w:r w:rsidRPr="00107491">
              <w:rPr>
                <w:color w:val="000000"/>
                <w:sz w:val="18"/>
                <w:szCs w:val="18"/>
                <w:lang w:val="en-US" w:eastAsia="en-US"/>
              </w:rPr>
              <w:t> </w:t>
            </w:r>
          </w:p>
        </w:tc>
        <w:tc>
          <w:tcPr>
            <w:tcW w:w="458" w:type="pct"/>
            <w:tcBorders>
              <w:top w:val="nil"/>
              <w:left w:val="nil"/>
              <w:bottom w:val="single" w:sz="8" w:space="0" w:color="auto"/>
              <w:right w:val="single" w:sz="8" w:space="0" w:color="auto"/>
            </w:tcBorders>
            <w:shd w:val="clear" w:color="auto" w:fill="auto"/>
            <w:noWrap/>
            <w:vAlign w:val="center"/>
            <w:hideMark/>
          </w:tcPr>
          <w:p w14:paraId="5EF9CAE4" w14:textId="77777777" w:rsidR="00601D9B" w:rsidRDefault="000E53A0">
            <w:pPr>
              <w:jc w:val="both"/>
              <w:rPr>
                <w:b/>
                <w:bCs/>
                <w:color w:val="000000"/>
                <w:sz w:val="18"/>
                <w:szCs w:val="18"/>
                <w:lang w:val="en-US" w:eastAsia="en-US"/>
              </w:rPr>
            </w:pPr>
            <w:r w:rsidRPr="00107491">
              <w:rPr>
                <w:b/>
                <w:bCs/>
                <w:color w:val="000000"/>
                <w:sz w:val="18"/>
                <w:szCs w:val="18"/>
                <w:lang w:val="en-US" w:eastAsia="en-US"/>
              </w:rPr>
              <w:t>Sous-total FEM</w:t>
            </w:r>
          </w:p>
        </w:tc>
        <w:tc>
          <w:tcPr>
            <w:tcW w:w="254" w:type="pct"/>
            <w:tcBorders>
              <w:top w:val="nil"/>
              <w:left w:val="nil"/>
              <w:bottom w:val="single" w:sz="8" w:space="0" w:color="auto"/>
              <w:right w:val="single" w:sz="8" w:space="0" w:color="auto"/>
            </w:tcBorders>
            <w:shd w:val="clear" w:color="auto" w:fill="auto"/>
            <w:noWrap/>
            <w:vAlign w:val="center"/>
            <w:hideMark/>
          </w:tcPr>
          <w:p w14:paraId="2FE96E50"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 xml:space="preserve">            120,566 </w:t>
            </w:r>
          </w:p>
        </w:tc>
        <w:tc>
          <w:tcPr>
            <w:tcW w:w="273" w:type="pct"/>
            <w:tcBorders>
              <w:top w:val="nil"/>
              <w:left w:val="nil"/>
              <w:bottom w:val="single" w:sz="8" w:space="0" w:color="auto"/>
              <w:right w:val="single" w:sz="8" w:space="0" w:color="auto"/>
            </w:tcBorders>
            <w:shd w:val="clear" w:color="auto" w:fill="auto"/>
            <w:noWrap/>
            <w:vAlign w:val="center"/>
            <w:hideMark/>
          </w:tcPr>
          <w:p w14:paraId="2939B29A"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 xml:space="preserve">               412,075 </w:t>
            </w:r>
          </w:p>
        </w:tc>
        <w:tc>
          <w:tcPr>
            <w:tcW w:w="250" w:type="pct"/>
            <w:tcBorders>
              <w:top w:val="nil"/>
              <w:left w:val="nil"/>
              <w:bottom w:val="single" w:sz="8" w:space="0" w:color="auto"/>
              <w:right w:val="single" w:sz="8" w:space="0" w:color="auto"/>
            </w:tcBorders>
            <w:shd w:val="clear" w:color="auto" w:fill="auto"/>
            <w:noWrap/>
            <w:vAlign w:val="center"/>
            <w:hideMark/>
          </w:tcPr>
          <w:p w14:paraId="258598FC"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 xml:space="preserve">            354,450 </w:t>
            </w:r>
          </w:p>
        </w:tc>
        <w:tc>
          <w:tcPr>
            <w:tcW w:w="250" w:type="pct"/>
            <w:tcBorders>
              <w:top w:val="nil"/>
              <w:left w:val="nil"/>
              <w:bottom w:val="single" w:sz="8" w:space="0" w:color="auto"/>
              <w:right w:val="single" w:sz="8" w:space="0" w:color="auto"/>
            </w:tcBorders>
            <w:shd w:val="clear" w:color="auto" w:fill="auto"/>
            <w:noWrap/>
            <w:vAlign w:val="center"/>
            <w:hideMark/>
          </w:tcPr>
          <w:p w14:paraId="114AC9A0"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 xml:space="preserve">            311,325 </w:t>
            </w:r>
          </w:p>
        </w:tc>
        <w:tc>
          <w:tcPr>
            <w:tcW w:w="250" w:type="pct"/>
            <w:tcBorders>
              <w:top w:val="nil"/>
              <w:left w:val="nil"/>
              <w:bottom w:val="single" w:sz="8" w:space="0" w:color="auto"/>
              <w:right w:val="single" w:sz="8" w:space="0" w:color="auto"/>
            </w:tcBorders>
            <w:shd w:val="clear" w:color="auto" w:fill="auto"/>
            <w:noWrap/>
            <w:vAlign w:val="center"/>
            <w:hideMark/>
          </w:tcPr>
          <w:p w14:paraId="7D25BCF0"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 xml:space="preserve">            311,325 </w:t>
            </w:r>
          </w:p>
        </w:tc>
        <w:tc>
          <w:tcPr>
            <w:tcW w:w="250" w:type="pct"/>
            <w:tcBorders>
              <w:top w:val="nil"/>
              <w:left w:val="nil"/>
              <w:bottom w:val="single" w:sz="8" w:space="0" w:color="auto"/>
              <w:right w:val="single" w:sz="8" w:space="0" w:color="auto"/>
            </w:tcBorders>
            <w:shd w:val="clear" w:color="auto" w:fill="auto"/>
            <w:noWrap/>
            <w:vAlign w:val="center"/>
            <w:hideMark/>
          </w:tcPr>
          <w:p w14:paraId="2BCE3DC6"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 xml:space="preserve">            323,325 </w:t>
            </w:r>
          </w:p>
        </w:tc>
        <w:tc>
          <w:tcPr>
            <w:tcW w:w="261" w:type="pct"/>
            <w:tcBorders>
              <w:top w:val="nil"/>
              <w:left w:val="nil"/>
              <w:bottom w:val="single" w:sz="8" w:space="0" w:color="auto"/>
              <w:right w:val="single" w:sz="8" w:space="0" w:color="auto"/>
            </w:tcBorders>
            <w:shd w:val="clear" w:color="auto" w:fill="auto"/>
            <w:noWrap/>
            <w:vAlign w:val="center"/>
            <w:hideMark/>
          </w:tcPr>
          <w:p w14:paraId="22248EB4"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 xml:space="preserve">           1,833,066 </w:t>
            </w:r>
          </w:p>
        </w:tc>
        <w:tc>
          <w:tcPr>
            <w:tcW w:w="183" w:type="pct"/>
            <w:tcBorders>
              <w:top w:val="nil"/>
              <w:left w:val="nil"/>
              <w:bottom w:val="single" w:sz="8" w:space="0" w:color="auto"/>
              <w:right w:val="single" w:sz="8" w:space="0" w:color="auto"/>
            </w:tcBorders>
            <w:shd w:val="clear" w:color="auto" w:fill="auto"/>
            <w:vAlign w:val="center"/>
            <w:hideMark/>
          </w:tcPr>
          <w:p w14:paraId="6F834496" w14:textId="77777777" w:rsidR="00107491" w:rsidRPr="00107491" w:rsidRDefault="00107491" w:rsidP="00107491">
            <w:pPr>
              <w:jc w:val="center"/>
              <w:rPr>
                <w:i/>
                <w:iCs/>
                <w:color w:val="000000"/>
                <w:sz w:val="18"/>
                <w:szCs w:val="18"/>
                <w:lang w:val="en-US" w:eastAsia="en-US"/>
              </w:rPr>
            </w:pPr>
            <w:r w:rsidRPr="00107491">
              <w:rPr>
                <w:i/>
                <w:iCs/>
                <w:color w:val="000000"/>
                <w:sz w:val="18"/>
                <w:szCs w:val="18"/>
                <w:lang w:val="en-US" w:eastAsia="en-US"/>
              </w:rPr>
              <w:t> </w:t>
            </w:r>
          </w:p>
        </w:tc>
        <w:tc>
          <w:tcPr>
            <w:tcW w:w="35" w:type="pct"/>
            <w:vAlign w:val="center"/>
            <w:hideMark/>
          </w:tcPr>
          <w:p w14:paraId="19EB2D59" w14:textId="77777777" w:rsidR="00107491" w:rsidRPr="00107491" w:rsidRDefault="00107491" w:rsidP="00107491">
            <w:pPr>
              <w:rPr>
                <w:sz w:val="20"/>
                <w:szCs w:val="20"/>
                <w:lang w:val="en-US" w:eastAsia="en-US"/>
              </w:rPr>
            </w:pPr>
          </w:p>
        </w:tc>
      </w:tr>
      <w:tr w:rsidR="00107491" w:rsidRPr="00107491" w14:paraId="04974368" w14:textId="77777777" w:rsidTr="00107491">
        <w:trPr>
          <w:trHeight w:val="300"/>
        </w:trPr>
        <w:tc>
          <w:tcPr>
            <w:tcW w:w="1056" w:type="pct"/>
            <w:tcBorders>
              <w:top w:val="nil"/>
              <w:left w:val="single" w:sz="8" w:space="0" w:color="auto"/>
              <w:bottom w:val="nil"/>
              <w:right w:val="nil"/>
            </w:tcBorders>
            <w:shd w:val="clear" w:color="auto" w:fill="auto"/>
            <w:noWrap/>
            <w:vAlign w:val="center"/>
            <w:hideMark/>
          </w:tcPr>
          <w:p w14:paraId="60D30E78" w14:textId="77777777" w:rsidR="00107491" w:rsidRPr="00107491" w:rsidRDefault="00107491" w:rsidP="00107491">
            <w:pPr>
              <w:rPr>
                <w:rFonts w:ascii="Calibri" w:hAnsi="Calibri" w:cs="Calibri"/>
                <w:color w:val="000000"/>
                <w:sz w:val="18"/>
                <w:szCs w:val="18"/>
                <w:lang w:val="en-US" w:eastAsia="en-US"/>
              </w:rPr>
            </w:pPr>
            <w:r w:rsidRPr="00107491">
              <w:rPr>
                <w:rFonts w:ascii="Calibri" w:hAnsi="Calibri" w:cs="Calibri"/>
                <w:color w:val="000000"/>
                <w:sz w:val="18"/>
                <w:szCs w:val="18"/>
                <w:lang w:val="en-US" w:eastAsia="en-US"/>
              </w:rPr>
              <w:t> </w:t>
            </w:r>
          </w:p>
        </w:tc>
        <w:tc>
          <w:tcPr>
            <w:tcW w:w="381" w:type="pct"/>
            <w:vMerge/>
            <w:tcBorders>
              <w:top w:val="nil"/>
              <w:left w:val="single" w:sz="8" w:space="0" w:color="auto"/>
              <w:bottom w:val="double" w:sz="6" w:space="0" w:color="000000"/>
              <w:right w:val="single" w:sz="8" w:space="0" w:color="auto"/>
            </w:tcBorders>
            <w:vAlign w:val="center"/>
            <w:hideMark/>
          </w:tcPr>
          <w:p w14:paraId="1BDEFB52" w14:textId="77777777" w:rsidR="00107491" w:rsidRPr="00107491" w:rsidRDefault="00107491" w:rsidP="00107491">
            <w:pPr>
              <w:rPr>
                <w:b/>
                <w:bCs/>
                <w:color w:val="000000"/>
                <w:sz w:val="18"/>
                <w:szCs w:val="18"/>
                <w:lang w:val="en-US" w:eastAsia="en-US"/>
              </w:rPr>
            </w:pPr>
          </w:p>
        </w:tc>
        <w:tc>
          <w:tcPr>
            <w:tcW w:w="453" w:type="pct"/>
            <w:vMerge w:val="restart"/>
            <w:tcBorders>
              <w:top w:val="nil"/>
              <w:left w:val="single" w:sz="8" w:space="0" w:color="auto"/>
              <w:bottom w:val="double" w:sz="6" w:space="0" w:color="000000"/>
              <w:right w:val="single" w:sz="8" w:space="0" w:color="auto"/>
            </w:tcBorders>
            <w:shd w:val="clear" w:color="auto" w:fill="auto"/>
            <w:vAlign w:val="center"/>
            <w:hideMark/>
          </w:tcPr>
          <w:p w14:paraId="545C3794"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62160</w:t>
            </w:r>
          </w:p>
        </w:tc>
        <w:tc>
          <w:tcPr>
            <w:tcW w:w="388" w:type="pct"/>
            <w:vMerge w:val="restart"/>
            <w:tcBorders>
              <w:top w:val="nil"/>
              <w:left w:val="single" w:sz="8" w:space="0" w:color="auto"/>
              <w:bottom w:val="double" w:sz="6" w:space="0" w:color="000000"/>
              <w:right w:val="single" w:sz="8" w:space="0" w:color="auto"/>
            </w:tcBorders>
            <w:shd w:val="clear" w:color="auto" w:fill="auto"/>
            <w:vAlign w:val="center"/>
            <w:hideMark/>
          </w:tcPr>
          <w:p w14:paraId="70CD0AD8"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LDCF</w:t>
            </w:r>
          </w:p>
        </w:tc>
        <w:tc>
          <w:tcPr>
            <w:tcW w:w="258" w:type="pct"/>
            <w:tcBorders>
              <w:top w:val="nil"/>
              <w:left w:val="nil"/>
              <w:bottom w:val="nil"/>
              <w:right w:val="single" w:sz="8" w:space="0" w:color="auto"/>
            </w:tcBorders>
            <w:shd w:val="clear" w:color="auto" w:fill="auto"/>
            <w:noWrap/>
            <w:vAlign w:val="center"/>
            <w:hideMark/>
          </w:tcPr>
          <w:p w14:paraId="0525F7C2" w14:textId="77777777" w:rsidR="00601D9B" w:rsidRDefault="000E53A0">
            <w:pPr>
              <w:rPr>
                <w:color w:val="000000"/>
                <w:sz w:val="18"/>
                <w:szCs w:val="18"/>
                <w:lang w:val="en-US" w:eastAsia="en-US"/>
              </w:rPr>
            </w:pPr>
            <w:r w:rsidRPr="00107491">
              <w:rPr>
                <w:color w:val="000000"/>
                <w:sz w:val="18"/>
                <w:szCs w:val="18"/>
                <w:lang w:val="en-US" w:eastAsia="en-US"/>
              </w:rPr>
              <w:t>7130</w:t>
            </w:r>
            <w:r w:rsidRPr="00107491">
              <w:rPr>
                <w:color w:val="000000"/>
                <w:sz w:val="18"/>
                <w:szCs w:val="18"/>
                <w:lang w:val="en-US" w:eastAsia="en-US"/>
              </w:rPr>
              <w:lastRenderedPageBreak/>
              <w:t>0</w:t>
            </w:r>
          </w:p>
        </w:tc>
        <w:tc>
          <w:tcPr>
            <w:tcW w:w="458" w:type="pct"/>
            <w:tcBorders>
              <w:top w:val="nil"/>
              <w:left w:val="nil"/>
              <w:bottom w:val="nil"/>
              <w:right w:val="single" w:sz="8" w:space="0" w:color="auto"/>
            </w:tcBorders>
            <w:shd w:val="clear" w:color="auto" w:fill="auto"/>
            <w:vAlign w:val="center"/>
            <w:hideMark/>
          </w:tcPr>
          <w:p w14:paraId="1C9E878C" w14:textId="77777777" w:rsidR="00601D9B" w:rsidRDefault="000E53A0">
            <w:pPr>
              <w:rPr>
                <w:color w:val="000000"/>
                <w:sz w:val="18"/>
                <w:szCs w:val="18"/>
                <w:lang w:val="en-US" w:eastAsia="en-US"/>
              </w:rPr>
            </w:pPr>
            <w:r w:rsidRPr="00107491">
              <w:rPr>
                <w:color w:val="000000"/>
                <w:sz w:val="18"/>
                <w:szCs w:val="18"/>
                <w:lang w:val="en-US" w:eastAsia="en-US"/>
              </w:rPr>
              <w:lastRenderedPageBreak/>
              <w:t>Consul</w:t>
            </w:r>
            <w:r w:rsidRPr="00107491">
              <w:rPr>
                <w:color w:val="000000"/>
                <w:sz w:val="18"/>
                <w:szCs w:val="18"/>
                <w:lang w:val="en-US" w:eastAsia="en-US"/>
              </w:rPr>
              <w:lastRenderedPageBreak/>
              <w:t>tants locaux</w:t>
            </w:r>
          </w:p>
        </w:tc>
        <w:tc>
          <w:tcPr>
            <w:tcW w:w="254" w:type="pct"/>
            <w:tcBorders>
              <w:top w:val="nil"/>
              <w:left w:val="nil"/>
              <w:bottom w:val="single" w:sz="8" w:space="0" w:color="auto"/>
              <w:right w:val="single" w:sz="8" w:space="0" w:color="auto"/>
            </w:tcBorders>
            <w:shd w:val="clear" w:color="auto" w:fill="auto"/>
            <w:noWrap/>
            <w:vAlign w:val="center"/>
            <w:hideMark/>
          </w:tcPr>
          <w:p w14:paraId="08C2D6EF" w14:textId="77777777" w:rsidR="00601D9B" w:rsidRDefault="000E53A0">
            <w:pPr>
              <w:jc w:val="center"/>
              <w:rPr>
                <w:color w:val="000000"/>
                <w:sz w:val="18"/>
                <w:szCs w:val="18"/>
                <w:lang w:val="en-US" w:eastAsia="en-US"/>
              </w:rPr>
            </w:pPr>
            <w:r w:rsidRPr="00107491">
              <w:rPr>
                <w:color w:val="000000"/>
                <w:sz w:val="18"/>
                <w:szCs w:val="18"/>
                <w:lang w:val="en-US" w:eastAsia="en-US"/>
              </w:rPr>
              <w:lastRenderedPageBreak/>
              <w:t xml:space="preserve">                </w:t>
            </w:r>
            <w:r w:rsidRPr="00107491">
              <w:rPr>
                <w:color w:val="000000"/>
                <w:sz w:val="18"/>
                <w:szCs w:val="18"/>
                <w:lang w:val="en-US" w:eastAsia="en-US"/>
              </w:rPr>
              <w:lastRenderedPageBreak/>
              <w:t xml:space="preserve">3,000 </w:t>
            </w:r>
          </w:p>
        </w:tc>
        <w:tc>
          <w:tcPr>
            <w:tcW w:w="273" w:type="pct"/>
            <w:tcBorders>
              <w:top w:val="nil"/>
              <w:left w:val="nil"/>
              <w:bottom w:val="single" w:sz="8" w:space="0" w:color="auto"/>
              <w:right w:val="single" w:sz="8" w:space="0" w:color="auto"/>
            </w:tcBorders>
            <w:shd w:val="clear" w:color="auto" w:fill="auto"/>
            <w:noWrap/>
            <w:vAlign w:val="center"/>
            <w:hideMark/>
          </w:tcPr>
          <w:p w14:paraId="35BC56D5" w14:textId="77777777" w:rsidR="00601D9B" w:rsidRDefault="000E53A0">
            <w:pPr>
              <w:jc w:val="center"/>
              <w:rPr>
                <w:color w:val="000000"/>
                <w:sz w:val="18"/>
                <w:szCs w:val="18"/>
                <w:lang w:val="en-US" w:eastAsia="en-US"/>
              </w:rPr>
            </w:pPr>
            <w:r w:rsidRPr="00107491">
              <w:rPr>
                <w:color w:val="000000"/>
                <w:sz w:val="18"/>
                <w:szCs w:val="18"/>
                <w:lang w:val="en-US" w:eastAsia="en-US"/>
              </w:rPr>
              <w:lastRenderedPageBreak/>
              <w:t xml:space="preserve">                </w:t>
            </w:r>
            <w:r w:rsidRPr="00107491">
              <w:rPr>
                <w:color w:val="000000"/>
                <w:sz w:val="18"/>
                <w:szCs w:val="18"/>
                <w:lang w:val="en-US" w:eastAsia="en-US"/>
              </w:rPr>
              <w:lastRenderedPageBreak/>
              <w:t xml:space="preserve">10,800 </w:t>
            </w:r>
          </w:p>
        </w:tc>
        <w:tc>
          <w:tcPr>
            <w:tcW w:w="250" w:type="pct"/>
            <w:tcBorders>
              <w:top w:val="nil"/>
              <w:left w:val="nil"/>
              <w:bottom w:val="single" w:sz="8" w:space="0" w:color="auto"/>
              <w:right w:val="single" w:sz="8" w:space="0" w:color="auto"/>
            </w:tcBorders>
            <w:shd w:val="clear" w:color="auto" w:fill="auto"/>
            <w:noWrap/>
            <w:vAlign w:val="center"/>
            <w:hideMark/>
          </w:tcPr>
          <w:p w14:paraId="155BF236" w14:textId="77777777" w:rsidR="00601D9B" w:rsidRDefault="000E53A0">
            <w:pPr>
              <w:jc w:val="center"/>
              <w:rPr>
                <w:color w:val="000000"/>
                <w:sz w:val="18"/>
                <w:szCs w:val="18"/>
                <w:lang w:val="en-US" w:eastAsia="en-US"/>
              </w:rPr>
            </w:pPr>
            <w:r w:rsidRPr="00107491">
              <w:rPr>
                <w:color w:val="000000"/>
                <w:sz w:val="18"/>
                <w:szCs w:val="18"/>
                <w:lang w:val="en-US" w:eastAsia="en-US"/>
              </w:rPr>
              <w:lastRenderedPageBreak/>
              <w:t xml:space="preserve">              </w:t>
            </w:r>
            <w:r w:rsidRPr="00107491">
              <w:rPr>
                <w:color w:val="000000"/>
                <w:sz w:val="18"/>
                <w:szCs w:val="18"/>
                <w:lang w:val="en-US" w:eastAsia="en-US"/>
              </w:rPr>
              <w:lastRenderedPageBreak/>
              <w:t xml:space="preserve">27,000 </w:t>
            </w:r>
          </w:p>
        </w:tc>
        <w:tc>
          <w:tcPr>
            <w:tcW w:w="250" w:type="pct"/>
            <w:tcBorders>
              <w:top w:val="nil"/>
              <w:left w:val="nil"/>
              <w:bottom w:val="single" w:sz="8" w:space="0" w:color="auto"/>
              <w:right w:val="single" w:sz="8" w:space="0" w:color="auto"/>
            </w:tcBorders>
            <w:shd w:val="clear" w:color="auto" w:fill="auto"/>
            <w:noWrap/>
            <w:vAlign w:val="center"/>
            <w:hideMark/>
          </w:tcPr>
          <w:p w14:paraId="0367CA60" w14:textId="77777777" w:rsidR="00601D9B" w:rsidRDefault="000E53A0">
            <w:pPr>
              <w:jc w:val="center"/>
              <w:rPr>
                <w:color w:val="000000"/>
                <w:sz w:val="18"/>
                <w:szCs w:val="18"/>
                <w:lang w:val="en-US" w:eastAsia="en-US"/>
              </w:rPr>
            </w:pPr>
            <w:r w:rsidRPr="00107491">
              <w:rPr>
                <w:color w:val="000000"/>
                <w:sz w:val="18"/>
                <w:szCs w:val="18"/>
                <w:lang w:val="en-US" w:eastAsia="en-US"/>
              </w:rPr>
              <w:lastRenderedPageBreak/>
              <w:t xml:space="preserve">                </w:t>
            </w:r>
            <w:r w:rsidRPr="00107491">
              <w:rPr>
                <w:color w:val="000000"/>
                <w:sz w:val="18"/>
                <w:szCs w:val="18"/>
                <w:lang w:val="en-US" w:eastAsia="en-US"/>
              </w:rPr>
              <w:lastRenderedPageBreak/>
              <w:t xml:space="preserve">4,500 </w:t>
            </w:r>
          </w:p>
        </w:tc>
        <w:tc>
          <w:tcPr>
            <w:tcW w:w="250" w:type="pct"/>
            <w:tcBorders>
              <w:top w:val="nil"/>
              <w:left w:val="nil"/>
              <w:bottom w:val="single" w:sz="8" w:space="0" w:color="auto"/>
              <w:right w:val="single" w:sz="8" w:space="0" w:color="auto"/>
            </w:tcBorders>
            <w:shd w:val="clear" w:color="auto" w:fill="auto"/>
            <w:noWrap/>
            <w:vAlign w:val="center"/>
            <w:hideMark/>
          </w:tcPr>
          <w:p w14:paraId="3FCB86AA" w14:textId="77777777" w:rsidR="00601D9B" w:rsidRDefault="000E53A0">
            <w:pPr>
              <w:jc w:val="center"/>
              <w:rPr>
                <w:color w:val="000000"/>
                <w:sz w:val="18"/>
                <w:szCs w:val="18"/>
                <w:lang w:val="en-US" w:eastAsia="en-US"/>
              </w:rPr>
            </w:pPr>
            <w:r w:rsidRPr="00107491">
              <w:rPr>
                <w:color w:val="000000"/>
                <w:sz w:val="18"/>
                <w:szCs w:val="18"/>
                <w:lang w:val="en-US" w:eastAsia="en-US"/>
              </w:rPr>
              <w:lastRenderedPageBreak/>
              <w:t xml:space="preserve">                     </w:t>
            </w:r>
            <w:r w:rsidRPr="00107491">
              <w:rPr>
                <w:color w:val="000000"/>
                <w:sz w:val="18"/>
                <w:szCs w:val="18"/>
                <w:lang w:val="en-US" w:eastAsia="en-US"/>
              </w:rPr>
              <w:lastRenderedPageBreak/>
              <w:t xml:space="preserve">- </w:t>
            </w:r>
          </w:p>
        </w:tc>
        <w:tc>
          <w:tcPr>
            <w:tcW w:w="250" w:type="pct"/>
            <w:tcBorders>
              <w:top w:val="nil"/>
              <w:left w:val="nil"/>
              <w:bottom w:val="single" w:sz="8" w:space="0" w:color="auto"/>
              <w:right w:val="single" w:sz="8" w:space="0" w:color="auto"/>
            </w:tcBorders>
            <w:shd w:val="clear" w:color="auto" w:fill="auto"/>
            <w:noWrap/>
            <w:vAlign w:val="center"/>
            <w:hideMark/>
          </w:tcPr>
          <w:p w14:paraId="7DF9EDAA" w14:textId="77777777" w:rsidR="00601D9B" w:rsidRDefault="000E53A0">
            <w:pPr>
              <w:jc w:val="center"/>
              <w:rPr>
                <w:color w:val="000000"/>
                <w:sz w:val="18"/>
                <w:szCs w:val="18"/>
                <w:lang w:val="en-US" w:eastAsia="en-US"/>
              </w:rPr>
            </w:pPr>
            <w:r w:rsidRPr="00107491">
              <w:rPr>
                <w:color w:val="000000"/>
                <w:sz w:val="18"/>
                <w:szCs w:val="18"/>
                <w:lang w:val="en-US" w:eastAsia="en-US"/>
              </w:rPr>
              <w:lastRenderedPageBreak/>
              <w:t xml:space="preserve">                     </w:t>
            </w:r>
            <w:r w:rsidRPr="00107491">
              <w:rPr>
                <w:color w:val="000000"/>
                <w:sz w:val="18"/>
                <w:szCs w:val="18"/>
                <w:lang w:val="en-US" w:eastAsia="en-US"/>
              </w:rPr>
              <w:lastRenderedPageBreak/>
              <w:t xml:space="preserve">- </w:t>
            </w:r>
          </w:p>
        </w:tc>
        <w:tc>
          <w:tcPr>
            <w:tcW w:w="261" w:type="pct"/>
            <w:tcBorders>
              <w:top w:val="nil"/>
              <w:left w:val="nil"/>
              <w:bottom w:val="single" w:sz="8" w:space="0" w:color="auto"/>
              <w:right w:val="single" w:sz="8" w:space="0" w:color="auto"/>
            </w:tcBorders>
            <w:shd w:val="clear" w:color="auto" w:fill="auto"/>
            <w:noWrap/>
            <w:vAlign w:val="center"/>
            <w:hideMark/>
          </w:tcPr>
          <w:p w14:paraId="781F7EA7" w14:textId="77777777" w:rsidR="00601D9B" w:rsidRDefault="000E53A0">
            <w:pPr>
              <w:jc w:val="center"/>
              <w:rPr>
                <w:color w:val="000000"/>
                <w:sz w:val="18"/>
                <w:szCs w:val="18"/>
                <w:lang w:val="en-US" w:eastAsia="en-US"/>
              </w:rPr>
            </w:pPr>
            <w:r w:rsidRPr="00107491">
              <w:rPr>
                <w:color w:val="000000"/>
                <w:sz w:val="18"/>
                <w:szCs w:val="18"/>
                <w:lang w:val="en-US" w:eastAsia="en-US"/>
              </w:rPr>
              <w:lastRenderedPageBreak/>
              <w:t xml:space="preserve">               </w:t>
            </w:r>
            <w:r w:rsidRPr="00107491">
              <w:rPr>
                <w:color w:val="000000"/>
                <w:sz w:val="18"/>
                <w:szCs w:val="18"/>
                <w:lang w:val="en-US" w:eastAsia="en-US"/>
              </w:rPr>
              <w:lastRenderedPageBreak/>
              <w:t xml:space="preserve">45,300 </w:t>
            </w:r>
          </w:p>
        </w:tc>
        <w:tc>
          <w:tcPr>
            <w:tcW w:w="183" w:type="pct"/>
            <w:tcBorders>
              <w:top w:val="nil"/>
              <w:left w:val="nil"/>
              <w:bottom w:val="single" w:sz="8" w:space="0" w:color="auto"/>
              <w:right w:val="single" w:sz="8" w:space="0" w:color="auto"/>
            </w:tcBorders>
            <w:shd w:val="clear" w:color="auto" w:fill="auto"/>
            <w:vAlign w:val="center"/>
            <w:hideMark/>
          </w:tcPr>
          <w:p w14:paraId="6B4ABC16" w14:textId="77777777" w:rsidR="00601D9B" w:rsidRDefault="000E53A0">
            <w:pPr>
              <w:jc w:val="center"/>
              <w:rPr>
                <w:i/>
                <w:iCs/>
                <w:color w:val="000000"/>
                <w:sz w:val="18"/>
                <w:szCs w:val="18"/>
                <w:lang w:val="en-US" w:eastAsia="en-US"/>
              </w:rPr>
            </w:pPr>
            <w:r w:rsidRPr="00107491">
              <w:rPr>
                <w:i/>
                <w:iCs/>
                <w:color w:val="000000"/>
                <w:sz w:val="18"/>
                <w:szCs w:val="18"/>
                <w:lang w:val="en-US" w:eastAsia="en-US"/>
              </w:rPr>
              <w:lastRenderedPageBreak/>
              <w:t>20</w:t>
            </w:r>
          </w:p>
        </w:tc>
        <w:tc>
          <w:tcPr>
            <w:tcW w:w="35" w:type="pct"/>
            <w:vAlign w:val="center"/>
            <w:hideMark/>
          </w:tcPr>
          <w:p w14:paraId="2D1E75BB" w14:textId="77777777" w:rsidR="00107491" w:rsidRPr="00107491" w:rsidRDefault="00107491" w:rsidP="00107491">
            <w:pPr>
              <w:rPr>
                <w:sz w:val="20"/>
                <w:szCs w:val="20"/>
                <w:lang w:val="en-US" w:eastAsia="en-US"/>
              </w:rPr>
            </w:pPr>
          </w:p>
        </w:tc>
      </w:tr>
      <w:tr w:rsidR="00107491" w:rsidRPr="00107491" w14:paraId="6F02EB9F" w14:textId="77777777" w:rsidTr="00107491">
        <w:trPr>
          <w:trHeight w:val="300"/>
        </w:trPr>
        <w:tc>
          <w:tcPr>
            <w:tcW w:w="1056" w:type="pct"/>
            <w:tcBorders>
              <w:top w:val="nil"/>
              <w:left w:val="single" w:sz="8" w:space="0" w:color="auto"/>
              <w:bottom w:val="nil"/>
              <w:right w:val="nil"/>
            </w:tcBorders>
            <w:shd w:val="clear" w:color="auto" w:fill="auto"/>
            <w:noWrap/>
            <w:vAlign w:val="center"/>
            <w:hideMark/>
          </w:tcPr>
          <w:p w14:paraId="3A01904C" w14:textId="77777777" w:rsidR="00107491" w:rsidRPr="00107491" w:rsidRDefault="00107491" w:rsidP="00107491">
            <w:pPr>
              <w:rPr>
                <w:rFonts w:ascii="Calibri" w:hAnsi="Calibri" w:cs="Calibri"/>
                <w:color w:val="000000"/>
                <w:sz w:val="18"/>
                <w:szCs w:val="18"/>
                <w:lang w:val="en-US" w:eastAsia="en-US"/>
              </w:rPr>
            </w:pPr>
            <w:r w:rsidRPr="00107491">
              <w:rPr>
                <w:rFonts w:ascii="Calibri" w:hAnsi="Calibri" w:cs="Calibri"/>
                <w:color w:val="000000"/>
                <w:sz w:val="18"/>
                <w:szCs w:val="18"/>
                <w:lang w:val="en-US" w:eastAsia="en-US"/>
              </w:rPr>
              <w:t> </w:t>
            </w:r>
          </w:p>
        </w:tc>
        <w:tc>
          <w:tcPr>
            <w:tcW w:w="381" w:type="pct"/>
            <w:vMerge/>
            <w:tcBorders>
              <w:top w:val="nil"/>
              <w:left w:val="single" w:sz="8" w:space="0" w:color="auto"/>
              <w:bottom w:val="double" w:sz="6" w:space="0" w:color="000000"/>
              <w:right w:val="single" w:sz="8" w:space="0" w:color="auto"/>
            </w:tcBorders>
            <w:vAlign w:val="center"/>
            <w:hideMark/>
          </w:tcPr>
          <w:p w14:paraId="69099131" w14:textId="77777777" w:rsidR="00107491" w:rsidRPr="00107491" w:rsidRDefault="00107491" w:rsidP="00107491">
            <w:pPr>
              <w:rPr>
                <w:b/>
                <w:bCs/>
                <w:color w:val="000000"/>
                <w:sz w:val="18"/>
                <w:szCs w:val="18"/>
                <w:lang w:val="en-US" w:eastAsia="en-US"/>
              </w:rPr>
            </w:pPr>
          </w:p>
        </w:tc>
        <w:tc>
          <w:tcPr>
            <w:tcW w:w="453" w:type="pct"/>
            <w:vMerge/>
            <w:tcBorders>
              <w:top w:val="nil"/>
              <w:left w:val="single" w:sz="8" w:space="0" w:color="auto"/>
              <w:bottom w:val="double" w:sz="6" w:space="0" w:color="000000"/>
              <w:right w:val="single" w:sz="8" w:space="0" w:color="auto"/>
            </w:tcBorders>
            <w:vAlign w:val="center"/>
            <w:hideMark/>
          </w:tcPr>
          <w:p w14:paraId="2F13FFFC" w14:textId="77777777" w:rsidR="00107491" w:rsidRPr="00107491" w:rsidRDefault="00107491" w:rsidP="00107491">
            <w:pPr>
              <w:rPr>
                <w:b/>
                <w:bCs/>
                <w:color w:val="000000"/>
                <w:sz w:val="18"/>
                <w:szCs w:val="18"/>
                <w:lang w:val="en-US" w:eastAsia="en-US"/>
              </w:rPr>
            </w:pPr>
          </w:p>
        </w:tc>
        <w:tc>
          <w:tcPr>
            <w:tcW w:w="388" w:type="pct"/>
            <w:vMerge/>
            <w:tcBorders>
              <w:top w:val="nil"/>
              <w:left w:val="single" w:sz="8" w:space="0" w:color="auto"/>
              <w:bottom w:val="double" w:sz="6" w:space="0" w:color="000000"/>
              <w:right w:val="single" w:sz="8" w:space="0" w:color="auto"/>
            </w:tcBorders>
            <w:vAlign w:val="center"/>
            <w:hideMark/>
          </w:tcPr>
          <w:p w14:paraId="2D5031B4" w14:textId="77777777" w:rsidR="00107491" w:rsidRPr="00107491" w:rsidRDefault="00107491" w:rsidP="00107491">
            <w:pPr>
              <w:rPr>
                <w:b/>
                <w:bCs/>
                <w:color w:val="000000"/>
                <w:sz w:val="18"/>
                <w:szCs w:val="18"/>
                <w:lang w:val="en-US" w:eastAsia="en-US"/>
              </w:rPr>
            </w:pPr>
          </w:p>
        </w:tc>
        <w:tc>
          <w:tcPr>
            <w:tcW w:w="258" w:type="pct"/>
            <w:tcBorders>
              <w:top w:val="single" w:sz="8" w:space="0" w:color="auto"/>
              <w:left w:val="nil"/>
              <w:bottom w:val="nil"/>
              <w:right w:val="single" w:sz="8" w:space="0" w:color="auto"/>
            </w:tcBorders>
            <w:shd w:val="clear" w:color="auto" w:fill="auto"/>
            <w:noWrap/>
            <w:vAlign w:val="center"/>
            <w:hideMark/>
          </w:tcPr>
          <w:p w14:paraId="788F80FB" w14:textId="77777777" w:rsidR="00601D9B" w:rsidRDefault="000E53A0">
            <w:pPr>
              <w:rPr>
                <w:color w:val="000000"/>
                <w:sz w:val="18"/>
                <w:szCs w:val="18"/>
                <w:lang w:val="en-US" w:eastAsia="en-US"/>
              </w:rPr>
            </w:pPr>
            <w:r w:rsidRPr="00107491">
              <w:rPr>
                <w:color w:val="000000"/>
                <w:sz w:val="18"/>
                <w:szCs w:val="18"/>
                <w:lang w:val="en-US" w:eastAsia="en-US"/>
              </w:rPr>
              <w:t>71400</w:t>
            </w:r>
          </w:p>
        </w:tc>
        <w:tc>
          <w:tcPr>
            <w:tcW w:w="458" w:type="pct"/>
            <w:tcBorders>
              <w:top w:val="single" w:sz="8" w:space="0" w:color="auto"/>
              <w:left w:val="nil"/>
              <w:bottom w:val="nil"/>
              <w:right w:val="single" w:sz="8" w:space="0" w:color="auto"/>
            </w:tcBorders>
            <w:shd w:val="clear" w:color="auto" w:fill="auto"/>
            <w:vAlign w:val="center"/>
            <w:hideMark/>
          </w:tcPr>
          <w:p w14:paraId="34541F09" w14:textId="77777777" w:rsidR="00601D9B" w:rsidRDefault="000E53A0">
            <w:pPr>
              <w:rPr>
                <w:color w:val="000000"/>
                <w:sz w:val="18"/>
                <w:szCs w:val="18"/>
                <w:lang w:val="en-US" w:eastAsia="en-US"/>
              </w:rPr>
            </w:pPr>
            <w:r w:rsidRPr="00107491">
              <w:rPr>
                <w:color w:val="000000"/>
                <w:sz w:val="18"/>
                <w:szCs w:val="18"/>
                <w:lang w:val="en-US" w:eastAsia="en-US"/>
              </w:rPr>
              <w:t>Services contractuels - Individuel</w:t>
            </w:r>
          </w:p>
        </w:tc>
        <w:tc>
          <w:tcPr>
            <w:tcW w:w="254" w:type="pct"/>
            <w:tcBorders>
              <w:top w:val="nil"/>
              <w:left w:val="nil"/>
              <w:bottom w:val="single" w:sz="8" w:space="0" w:color="auto"/>
              <w:right w:val="single" w:sz="8" w:space="0" w:color="auto"/>
            </w:tcBorders>
            <w:shd w:val="clear" w:color="auto" w:fill="auto"/>
            <w:noWrap/>
            <w:vAlign w:val="center"/>
            <w:hideMark/>
          </w:tcPr>
          <w:p w14:paraId="1A376DDE"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12,500 </w:t>
            </w:r>
          </w:p>
        </w:tc>
        <w:tc>
          <w:tcPr>
            <w:tcW w:w="273" w:type="pct"/>
            <w:tcBorders>
              <w:top w:val="nil"/>
              <w:left w:val="nil"/>
              <w:bottom w:val="single" w:sz="8" w:space="0" w:color="auto"/>
              <w:right w:val="single" w:sz="8" w:space="0" w:color="auto"/>
            </w:tcBorders>
            <w:shd w:val="clear" w:color="auto" w:fill="auto"/>
            <w:noWrap/>
            <w:vAlign w:val="center"/>
            <w:hideMark/>
          </w:tcPr>
          <w:p w14:paraId="5B7EB011"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 </w:t>
            </w:r>
          </w:p>
        </w:tc>
        <w:tc>
          <w:tcPr>
            <w:tcW w:w="250" w:type="pct"/>
            <w:tcBorders>
              <w:top w:val="nil"/>
              <w:left w:val="nil"/>
              <w:bottom w:val="single" w:sz="8" w:space="0" w:color="auto"/>
              <w:right w:val="single" w:sz="8" w:space="0" w:color="auto"/>
            </w:tcBorders>
            <w:shd w:val="clear" w:color="auto" w:fill="auto"/>
            <w:noWrap/>
            <w:vAlign w:val="center"/>
            <w:hideMark/>
          </w:tcPr>
          <w:p w14:paraId="263574E3"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 </w:t>
            </w:r>
          </w:p>
        </w:tc>
        <w:tc>
          <w:tcPr>
            <w:tcW w:w="250" w:type="pct"/>
            <w:tcBorders>
              <w:top w:val="nil"/>
              <w:left w:val="nil"/>
              <w:bottom w:val="single" w:sz="8" w:space="0" w:color="auto"/>
              <w:right w:val="single" w:sz="8" w:space="0" w:color="auto"/>
            </w:tcBorders>
            <w:shd w:val="clear" w:color="auto" w:fill="auto"/>
            <w:noWrap/>
            <w:vAlign w:val="center"/>
            <w:hideMark/>
          </w:tcPr>
          <w:p w14:paraId="6BD1F3D7"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 </w:t>
            </w:r>
          </w:p>
        </w:tc>
        <w:tc>
          <w:tcPr>
            <w:tcW w:w="250" w:type="pct"/>
            <w:tcBorders>
              <w:top w:val="nil"/>
              <w:left w:val="nil"/>
              <w:bottom w:val="single" w:sz="8" w:space="0" w:color="auto"/>
              <w:right w:val="single" w:sz="8" w:space="0" w:color="auto"/>
            </w:tcBorders>
            <w:shd w:val="clear" w:color="auto" w:fill="auto"/>
            <w:noWrap/>
            <w:vAlign w:val="center"/>
            <w:hideMark/>
          </w:tcPr>
          <w:p w14:paraId="708474F7"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 </w:t>
            </w:r>
          </w:p>
        </w:tc>
        <w:tc>
          <w:tcPr>
            <w:tcW w:w="250" w:type="pct"/>
            <w:tcBorders>
              <w:top w:val="nil"/>
              <w:left w:val="nil"/>
              <w:bottom w:val="single" w:sz="8" w:space="0" w:color="auto"/>
              <w:right w:val="single" w:sz="8" w:space="0" w:color="auto"/>
            </w:tcBorders>
            <w:shd w:val="clear" w:color="auto" w:fill="auto"/>
            <w:noWrap/>
            <w:vAlign w:val="center"/>
            <w:hideMark/>
          </w:tcPr>
          <w:p w14:paraId="24881D4C"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 </w:t>
            </w:r>
          </w:p>
        </w:tc>
        <w:tc>
          <w:tcPr>
            <w:tcW w:w="261" w:type="pct"/>
            <w:tcBorders>
              <w:top w:val="nil"/>
              <w:left w:val="nil"/>
              <w:bottom w:val="single" w:sz="8" w:space="0" w:color="auto"/>
              <w:right w:val="single" w:sz="8" w:space="0" w:color="auto"/>
            </w:tcBorders>
            <w:shd w:val="clear" w:color="auto" w:fill="auto"/>
            <w:noWrap/>
            <w:vAlign w:val="center"/>
            <w:hideMark/>
          </w:tcPr>
          <w:p w14:paraId="14D89FF0"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12,500 </w:t>
            </w:r>
          </w:p>
        </w:tc>
        <w:tc>
          <w:tcPr>
            <w:tcW w:w="183" w:type="pct"/>
            <w:tcBorders>
              <w:top w:val="nil"/>
              <w:left w:val="nil"/>
              <w:bottom w:val="single" w:sz="8" w:space="0" w:color="auto"/>
              <w:right w:val="single" w:sz="8" w:space="0" w:color="auto"/>
            </w:tcBorders>
            <w:shd w:val="clear" w:color="auto" w:fill="auto"/>
            <w:noWrap/>
            <w:vAlign w:val="center"/>
            <w:hideMark/>
          </w:tcPr>
          <w:p w14:paraId="557C7DEC" w14:textId="77777777" w:rsidR="00601D9B" w:rsidRDefault="000E53A0">
            <w:pPr>
              <w:jc w:val="center"/>
              <w:rPr>
                <w:i/>
                <w:iCs/>
                <w:color w:val="000000"/>
                <w:sz w:val="18"/>
                <w:szCs w:val="18"/>
                <w:lang w:val="en-US" w:eastAsia="en-US"/>
              </w:rPr>
            </w:pPr>
            <w:r w:rsidRPr="00107491">
              <w:rPr>
                <w:i/>
                <w:iCs/>
                <w:color w:val="000000"/>
                <w:sz w:val="18"/>
                <w:szCs w:val="18"/>
                <w:lang w:val="en-US" w:eastAsia="en-US"/>
              </w:rPr>
              <w:t>21</w:t>
            </w:r>
          </w:p>
        </w:tc>
        <w:tc>
          <w:tcPr>
            <w:tcW w:w="35" w:type="pct"/>
            <w:vAlign w:val="center"/>
            <w:hideMark/>
          </w:tcPr>
          <w:p w14:paraId="23F7A85E" w14:textId="77777777" w:rsidR="00107491" w:rsidRPr="00107491" w:rsidRDefault="00107491" w:rsidP="00107491">
            <w:pPr>
              <w:rPr>
                <w:sz w:val="20"/>
                <w:szCs w:val="20"/>
                <w:lang w:val="en-US" w:eastAsia="en-US"/>
              </w:rPr>
            </w:pPr>
          </w:p>
        </w:tc>
      </w:tr>
      <w:tr w:rsidR="00107491" w:rsidRPr="00107491" w14:paraId="0D4814DB" w14:textId="77777777" w:rsidTr="00107491">
        <w:trPr>
          <w:trHeight w:val="300"/>
        </w:trPr>
        <w:tc>
          <w:tcPr>
            <w:tcW w:w="1056" w:type="pct"/>
            <w:tcBorders>
              <w:top w:val="nil"/>
              <w:left w:val="single" w:sz="8" w:space="0" w:color="auto"/>
              <w:bottom w:val="nil"/>
              <w:right w:val="nil"/>
            </w:tcBorders>
            <w:shd w:val="clear" w:color="auto" w:fill="auto"/>
            <w:noWrap/>
            <w:vAlign w:val="center"/>
            <w:hideMark/>
          </w:tcPr>
          <w:p w14:paraId="5E162BEB" w14:textId="77777777" w:rsidR="00107491" w:rsidRPr="00107491" w:rsidRDefault="00107491" w:rsidP="00107491">
            <w:pPr>
              <w:rPr>
                <w:rFonts w:ascii="Calibri" w:hAnsi="Calibri" w:cs="Calibri"/>
                <w:color w:val="000000"/>
                <w:sz w:val="18"/>
                <w:szCs w:val="18"/>
                <w:lang w:val="en-US" w:eastAsia="en-US"/>
              </w:rPr>
            </w:pPr>
            <w:r w:rsidRPr="00107491">
              <w:rPr>
                <w:rFonts w:ascii="Calibri" w:hAnsi="Calibri" w:cs="Calibri"/>
                <w:color w:val="000000"/>
                <w:sz w:val="18"/>
                <w:szCs w:val="18"/>
                <w:lang w:val="en-US" w:eastAsia="en-US"/>
              </w:rPr>
              <w:t> </w:t>
            </w:r>
          </w:p>
        </w:tc>
        <w:tc>
          <w:tcPr>
            <w:tcW w:w="381" w:type="pct"/>
            <w:vMerge/>
            <w:tcBorders>
              <w:top w:val="nil"/>
              <w:left w:val="single" w:sz="8" w:space="0" w:color="auto"/>
              <w:bottom w:val="double" w:sz="6" w:space="0" w:color="000000"/>
              <w:right w:val="single" w:sz="8" w:space="0" w:color="auto"/>
            </w:tcBorders>
            <w:vAlign w:val="center"/>
            <w:hideMark/>
          </w:tcPr>
          <w:p w14:paraId="139FCBA3" w14:textId="77777777" w:rsidR="00107491" w:rsidRPr="00107491" w:rsidRDefault="00107491" w:rsidP="00107491">
            <w:pPr>
              <w:rPr>
                <w:b/>
                <w:bCs/>
                <w:color w:val="000000"/>
                <w:sz w:val="18"/>
                <w:szCs w:val="18"/>
                <w:lang w:val="en-US" w:eastAsia="en-US"/>
              </w:rPr>
            </w:pPr>
          </w:p>
        </w:tc>
        <w:tc>
          <w:tcPr>
            <w:tcW w:w="453" w:type="pct"/>
            <w:vMerge/>
            <w:tcBorders>
              <w:top w:val="nil"/>
              <w:left w:val="single" w:sz="8" w:space="0" w:color="auto"/>
              <w:bottom w:val="double" w:sz="6" w:space="0" w:color="000000"/>
              <w:right w:val="single" w:sz="8" w:space="0" w:color="auto"/>
            </w:tcBorders>
            <w:vAlign w:val="center"/>
            <w:hideMark/>
          </w:tcPr>
          <w:p w14:paraId="7453E9F4" w14:textId="77777777" w:rsidR="00107491" w:rsidRPr="00107491" w:rsidRDefault="00107491" w:rsidP="00107491">
            <w:pPr>
              <w:rPr>
                <w:b/>
                <w:bCs/>
                <w:color w:val="000000"/>
                <w:sz w:val="18"/>
                <w:szCs w:val="18"/>
                <w:lang w:val="en-US" w:eastAsia="en-US"/>
              </w:rPr>
            </w:pPr>
          </w:p>
        </w:tc>
        <w:tc>
          <w:tcPr>
            <w:tcW w:w="388" w:type="pct"/>
            <w:vMerge/>
            <w:tcBorders>
              <w:top w:val="nil"/>
              <w:left w:val="single" w:sz="8" w:space="0" w:color="auto"/>
              <w:bottom w:val="double" w:sz="6" w:space="0" w:color="000000"/>
              <w:right w:val="single" w:sz="8" w:space="0" w:color="auto"/>
            </w:tcBorders>
            <w:vAlign w:val="center"/>
            <w:hideMark/>
          </w:tcPr>
          <w:p w14:paraId="52432941" w14:textId="77777777" w:rsidR="00107491" w:rsidRPr="00107491" w:rsidRDefault="00107491" w:rsidP="00107491">
            <w:pPr>
              <w:rPr>
                <w:b/>
                <w:bCs/>
                <w:color w:val="000000"/>
                <w:sz w:val="18"/>
                <w:szCs w:val="18"/>
                <w:lang w:val="en-US" w:eastAsia="en-US"/>
              </w:rPr>
            </w:pPr>
          </w:p>
        </w:tc>
        <w:tc>
          <w:tcPr>
            <w:tcW w:w="258" w:type="pct"/>
            <w:tcBorders>
              <w:top w:val="single" w:sz="8" w:space="0" w:color="auto"/>
              <w:left w:val="nil"/>
              <w:bottom w:val="nil"/>
              <w:right w:val="single" w:sz="8" w:space="0" w:color="auto"/>
            </w:tcBorders>
            <w:shd w:val="clear" w:color="auto" w:fill="auto"/>
            <w:noWrap/>
            <w:vAlign w:val="center"/>
            <w:hideMark/>
          </w:tcPr>
          <w:p w14:paraId="759286F0" w14:textId="77777777" w:rsidR="00601D9B" w:rsidRDefault="000E53A0">
            <w:pPr>
              <w:rPr>
                <w:color w:val="000000"/>
                <w:sz w:val="18"/>
                <w:szCs w:val="18"/>
                <w:lang w:val="en-US" w:eastAsia="en-US"/>
              </w:rPr>
            </w:pPr>
            <w:r w:rsidRPr="00107491">
              <w:rPr>
                <w:color w:val="000000"/>
                <w:sz w:val="18"/>
                <w:szCs w:val="18"/>
                <w:lang w:val="en-US" w:eastAsia="en-US"/>
              </w:rPr>
              <w:t>71600</w:t>
            </w:r>
          </w:p>
        </w:tc>
        <w:tc>
          <w:tcPr>
            <w:tcW w:w="458" w:type="pct"/>
            <w:tcBorders>
              <w:top w:val="single" w:sz="8" w:space="0" w:color="auto"/>
              <w:left w:val="nil"/>
              <w:bottom w:val="nil"/>
              <w:right w:val="single" w:sz="8" w:space="0" w:color="auto"/>
            </w:tcBorders>
            <w:shd w:val="clear" w:color="auto" w:fill="auto"/>
            <w:vAlign w:val="center"/>
            <w:hideMark/>
          </w:tcPr>
          <w:p w14:paraId="114FADB6" w14:textId="77777777" w:rsidR="00601D9B" w:rsidRDefault="000E53A0">
            <w:pPr>
              <w:rPr>
                <w:color w:val="000000"/>
                <w:sz w:val="18"/>
                <w:szCs w:val="18"/>
                <w:lang w:val="en-US" w:eastAsia="en-US"/>
              </w:rPr>
            </w:pPr>
            <w:r w:rsidRPr="00107491">
              <w:rPr>
                <w:color w:val="000000"/>
                <w:sz w:val="18"/>
                <w:szCs w:val="18"/>
                <w:lang w:val="en-US" w:eastAsia="en-US"/>
              </w:rPr>
              <w:t>Voyage</w:t>
            </w:r>
          </w:p>
        </w:tc>
        <w:tc>
          <w:tcPr>
            <w:tcW w:w="254" w:type="pct"/>
            <w:tcBorders>
              <w:top w:val="nil"/>
              <w:left w:val="nil"/>
              <w:bottom w:val="single" w:sz="8" w:space="0" w:color="auto"/>
              <w:right w:val="single" w:sz="8" w:space="0" w:color="auto"/>
            </w:tcBorders>
            <w:shd w:val="clear" w:color="auto" w:fill="auto"/>
            <w:noWrap/>
            <w:vAlign w:val="center"/>
            <w:hideMark/>
          </w:tcPr>
          <w:p w14:paraId="38C7D0CC"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 </w:t>
            </w:r>
          </w:p>
        </w:tc>
        <w:tc>
          <w:tcPr>
            <w:tcW w:w="273" w:type="pct"/>
            <w:tcBorders>
              <w:top w:val="nil"/>
              <w:left w:val="nil"/>
              <w:bottom w:val="single" w:sz="8" w:space="0" w:color="auto"/>
              <w:right w:val="single" w:sz="8" w:space="0" w:color="auto"/>
            </w:tcBorders>
            <w:shd w:val="clear" w:color="auto" w:fill="auto"/>
            <w:noWrap/>
            <w:vAlign w:val="center"/>
            <w:hideMark/>
          </w:tcPr>
          <w:p w14:paraId="64A1E5FE"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4,000 </w:t>
            </w:r>
          </w:p>
        </w:tc>
        <w:tc>
          <w:tcPr>
            <w:tcW w:w="250" w:type="pct"/>
            <w:tcBorders>
              <w:top w:val="nil"/>
              <w:left w:val="nil"/>
              <w:bottom w:val="single" w:sz="8" w:space="0" w:color="auto"/>
              <w:right w:val="single" w:sz="8" w:space="0" w:color="auto"/>
            </w:tcBorders>
            <w:shd w:val="clear" w:color="auto" w:fill="auto"/>
            <w:noWrap/>
            <w:vAlign w:val="center"/>
            <w:hideMark/>
          </w:tcPr>
          <w:p w14:paraId="320130D8"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4,000 </w:t>
            </w:r>
          </w:p>
        </w:tc>
        <w:tc>
          <w:tcPr>
            <w:tcW w:w="250" w:type="pct"/>
            <w:tcBorders>
              <w:top w:val="nil"/>
              <w:left w:val="nil"/>
              <w:bottom w:val="single" w:sz="8" w:space="0" w:color="auto"/>
              <w:right w:val="single" w:sz="8" w:space="0" w:color="auto"/>
            </w:tcBorders>
            <w:shd w:val="clear" w:color="auto" w:fill="auto"/>
            <w:noWrap/>
            <w:vAlign w:val="center"/>
            <w:hideMark/>
          </w:tcPr>
          <w:p w14:paraId="72BB93B3"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 </w:t>
            </w:r>
          </w:p>
        </w:tc>
        <w:tc>
          <w:tcPr>
            <w:tcW w:w="250" w:type="pct"/>
            <w:tcBorders>
              <w:top w:val="nil"/>
              <w:left w:val="nil"/>
              <w:bottom w:val="single" w:sz="8" w:space="0" w:color="auto"/>
              <w:right w:val="single" w:sz="8" w:space="0" w:color="auto"/>
            </w:tcBorders>
            <w:shd w:val="clear" w:color="auto" w:fill="auto"/>
            <w:noWrap/>
            <w:vAlign w:val="center"/>
            <w:hideMark/>
          </w:tcPr>
          <w:p w14:paraId="211E33F0"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 </w:t>
            </w:r>
          </w:p>
        </w:tc>
        <w:tc>
          <w:tcPr>
            <w:tcW w:w="250" w:type="pct"/>
            <w:tcBorders>
              <w:top w:val="nil"/>
              <w:left w:val="nil"/>
              <w:bottom w:val="single" w:sz="8" w:space="0" w:color="auto"/>
              <w:right w:val="single" w:sz="8" w:space="0" w:color="auto"/>
            </w:tcBorders>
            <w:shd w:val="clear" w:color="auto" w:fill="auto"/>
            <w:noWrap/>
            <w:vAlign w:val="center"/>
            <w:hideMark/>
          </w:tcPr>
          <w:p w14:paraId="1EBB460C"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 </w:t>
            </w:r>
          </w:p>
        </w:tc>
        <w:tc>
          <w:tcPr>
            <w:tcW w:w="261" w:type="pct"/>
            <w:tcBorders>
              <w:top w:val="nil"/>
              <w:left w:val="nil"/>
              <w:bottom w:val="single" w:sz="8" w:space="0" w:color="auto"/>
              <w:right w:val="single" w:sz="8" w:space="0" w:color="auto"/>
            </w:tcBorders>
            <w:shd w:val="clear" w:color="auto" w:fill="auto"/>
            <w:noWrap/>
            <w:vAlign w:val="center"/>
            <w:hideMark/>
          </w:tcPr>
          <w:p w14:paraId="117AF542"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8,000 </w:t>
            </w:r>
          </w:p>
        </w:tc>
        <w:tc>
          <w:tcPr>
            <w:tcW w:w="183" w:type="pct"/>
            <w:tcBorders>
              <w:top w:val="nil"/>
              <w:left w:val="nil"/>
              <w:bottom w:val="single" w:sz="8" w:space="0" w:color="auto"/>
              <w:right w:val="single" w:sz="8" w:space="0" w:color="auto"/>
            </w:tcBorders>
            <w:shd w:val="clear" w:color="auto" w:fill="auto"/>
            <w:noWrap/>
            <w:vAlign w:val="center"/>
            <w:hideMark/>
          </w:tcPr>
          <w:p w14:paraId="351F8F9D" w14:textId="77777777" w:rsidR="00601D9B" w:rsidRDefault="000E53A0">
            <w:pPr>
              <w:jc w:val="center"/>
              <w:rPr>
                <w:i/>
                <w:iCs/>
                <w:color w:val="000000"/>
                <w:sz w:val="18"/>
                <w:szCs w:val="18"/>
                <w:lang w:val="en-US" w:eastAsia="en-US"/>
              </w:rPr>
            </w:pPr>
            <w:r w:rsidRPr="00107491">
              <w:rPr>
                <w:i/>
                <w:iCs/>
                <w:color w:val="000000"/>
                <w:sz w:val="18"/>
                <w:szCs w:val="18"/>
                <w:lang w:val="en-US" w:eastAsia="en-US"/>
              </w:rPr>
              <w:t>22</w:t>
            </w:r>
          </w:p>
        </w:tc>
        <w:tc>
          <w:tcPr>
            <w:tcW w:w="35" w:type="pct"/>
            <w:vAlign w:val="center"/>
            <w:hideMark/>
          </w:tcPr>
          <w:p w14:paraId="16D53B13" w14:textId="77777777" w:rsidR="00107491" w:rsidRPr="00107491" w:rsidRDefault="00107491" w:rsidP="00107491">
            <w:pPr>
              <w:rPr>
                <w:sz w:val="20"/>
                <w:szCs w:val="20"/>
                <w:lang w:val="en-US" w:eastAsia="en-US"/>
              </w:rPr>
            </w:pPr>
          </w:p>
        </w:tc>
      </w:tr>
      <w:tr w:rsidR="00107491" w:rsidRPr="00107491" w14:paraId="12D20163" w14:textId="77777777" w:rsidTr="00107491">
        <w:trPr>
          <w:trHeight w:val="300"/>
        </w:trPr>
        <w:tc>
          <w:tcPr>
            <w:tcW w:w="1056" w:type="pct"/>
            <w:tcBorders>
              <w:top w:val="nil"/>
              <w:left w:val="single" w:sz="8" w:space="0" w:color="auto"/>
              <w:bottom w:val="nil"/>
              <w:right w:val="nil"/>
            </w:tcBorders>
            <w:shd w:val="clear" w:color="auto" w:fill="auto"/>
            <w:noWrap/>
            <w:vAlign w:val="center"/>
            <w:hideMark/>
          </w:tcPr>
          <w:p w14:paraId="2154DDF1" w14:textId="77777777" w:rsidR="00107491" w:rsidRPr="00107491" w:rsidRDefault="00107491" w:rsidP="00107491">
            <w:pPr>
              <w:rPr>
                <w:rFonts w:ascii="Calibri" w:hAnsi="Calibri" w:cs="Calibri"/>
                <w:color w:val="000000"/>
                <w:sz w:val="18"/>
                <w:szCs w:val="18"/>
                <w:lang w:val="en-US" w:eastAsia="en-US"/>
              </w:rPr>
            </w:pPr>
            <w:r w:rsidRPr="00107491">
              <w:rPr>
                <w:rFonts w:ascii="Calibri" w:hAnsi="Calibri" w:cs="Calibri"/>
                <w:color w:val="000000"/>
                <w:sz w:val="18"/>
                <w:szCs w:val="18"/>
                <w:lang w:val="en-US" w:eastAsia="en-US"/>
              </w:rPr>
              <w:t> </w:t>
            </w:r>
          </w:p>
        </w:tc>
        <w:tc>
          <w:tcPr>
            <w:tcW w:w="381" w:type="pct"/>
            <w:vMerge/>
            <w:tcBorders>
              <w:top w:val="nil"/>
              <w:left w:val="single" w:sz="8" w:space="0" w:color="auto"/>
              <w:bottom w:val="double" w:sz="6" w:space="0" w:color="000000"/>
              <w:right w:val="single" w:sz="8" w:space="0" w:color="auto"/>
            </w:tcBorders>
            <w:vAlign w:val="center"/>
            <w:hideMark/>
          </w:tcPr>
          <w:p w14:paraId="4FD32BDC" w14:textId="77777777" w:rsidR="00107491" w:rsidRPr="00107491" w:rsidRDefault="00107491" w:rsidP="00107491">
            <w:pPr>
              <w:rPr>
                <w:b/>
                <w:bCs/>
                <w:color w:val="000000"/>
                <w:sz w:val="18"/>
                <w:szCs w:val="18"/>
                <w:lang w:val="en-US" w:eastAsia="en-US"/>
              </w:rPr>
            </w:pPr>
          </w:p>
        </w:tc>
        <w:tc>
          <w:tcPr>
            <w:tcW w:w="453" w:type="pct"/>
            <w:vMerge/>
            <w:tcBorders>
              <w:top w:val="nil"/>
              <w:left w:val="single" w:sz="8" w:space="0" w:color="auto"/>
              <w:bottom w:val="double" w:sz="6" w:space="0" w:color="000000"/>
              <w:right w:val="single" w:sz="8" w:space="0" w:color="auto"/>
            </w:tcBorders>
            <w:vAlign w:val="center"/>
            <w:hideMark/>
          </w:tcPr>
          <w:p w14:paraId="7346716F" w14:textId="77777777" w:rsidR="00107491" w:rsidRPr="00107491" w:rsidRDefault="00107491" w:rsidP="00107491">
            <w:pPr>
              <w:rPr>
                <w:b/>
                <w:bCs/>
                <w:color w:val="000000"/>
                <w:sz w:val="18"/>
                <w:szCs w:val="18"/>
                <w:lang w:val="en-US" w:eastAsia="en-US"/>
              </w:rPr>
            </w:pPr>
          </w:p>
        </w:tc>
        <w:tc>
          <w:tcPr>
            <w:tcW w:w="388" w:type="pct"/>
            <w:vMerge/>
            <w:tcBorders>
              <w:top w:val="nil"/>
              <w:left w:val="single" w:sz="8" w:space="0" w:color="auto"/>
              <w:bottom w:val="double" w:sz="6" w:space="0" w:color="000000"/>
              <w:right w:val="single" w:sz="8" w:space="0" w:color="auto"/>
            </w:tcBorders>
            <w:vAlign w:val="center"/>
            <w:hideMark/>
          </w:tcPr>
          <w:p w14:paraId="707A9958" w14:textId="77777777" w:rsidR="00107491" w:rsidRPr="00107491" w:rsidRDefault="00107491" w:rsidP="00107491">
            <w:pPr>
              <w:rPr>
                <w:b/>
                <w:bCs/>
                <w:color w:val="000000"/>
                <w:sz w:val="18"/>
                <w:szCs w:val="18"/>
                <w:lang w:val="en-US" w:eastAsia="en-US"/>
              </w:rPr>
            </w:pPr>
          </w:p>
        </w:tc>
        <w:tc>
          <w:tcPr>
            <w:tcW w:w="258" w:type="pct"/>
            <w:tcBorders>
              <w:top w:val="single" w:sz="8" w:space="0" w:color="auto"/>
              <w:left w:val="nil"/>
              <w:bottom w:val="nil"/>
              <w:right w:val="single" w:sz="8" w:space="0" w:color="auto"/>
            </w:tcBorders>
            <w:shd w:val="clear" w:color="auto" w:fill="auto"/>
            <w:noWrap/>
            <w:vAlign w:val="center"/>
            <w:hideMark/>
          </w:tcPr>
          <w:p w14:paraId="2A59C612" w14:textId="77777777" w:rsidR="00601D9B" w:rsidRDefault="000E53A0">
            <w:pPr>
              <w:rPr>
                <w:color w:val="000000"/>
                <w:sz w:val="18"/>
                <w:szCs w:val="18"/>
                <w:lang w:val="en-US" w:eastAsia="en-US"/>
              </w:rPr>
            </w:pPr>
            <w:r w:rsidRPr="00107491">
              <w:rPr>
                <w:color w:val="000000"/>
                <w:sz w:val="18"/>
                <w:szCs w:val="18"/>
                <w:lang w:val="en-US" w:eastAsia="en-US"/>
              </w:rPr>
              <w:t>75700</w:t>
            </w:r>
          </w:p>
        </w:tc>
        <w:tc>
          <w:tcPr>
            <w:tcW w:w="458" w:type="pct"/>
            <w:tcBorders>
              <w:top w:val="single" w:sz="8" w:space="0" w:color="auto"/>
              <w:left w:val="nil"/>
              <w:bottom w:val="nil"/>
              <w:right w:val="single" w:sz="8" w:space="0" w:color="auto"/>
            </w:tcBorders>
            <w:shd w:val="clear" w:color="auto" w:fill="auto"/>
            <w:vAlign w:val="center"/>
            <w:hideMark/>
          </w:tcPr>
          <w:p w14:paraId="5110792E" w14:textId="77777777" w:rsidR="00601D9B" w:rsidRDefault="000E53A0">
            <w:pPr>
              <w:rPr>
                <w:color w:val="000000"/>
                <w:sz w:val="18"/>
                <w:szCs w:val="18"/>
                <w:lang w:val="en-US" w:eastAsia="en-US"/>
              </w:rPr>
            </w:pPr>
            <w:r w:rsidRPr="00107491">
              <w:rPr>
                <w:color w:val="000000"/>
                <w:sz w:val="18"/>
                <w:szCs w:val="18"/>
                <w:lang w:val="en-US" w:eastAsia="en-US"/>
              </w:rPr>
              <w:t>Formation, ateliers et conférences</w:t>
            </w:r>
          </w:p>
        </w:tc>
        <w:tc>
          <w:tcPr>
            <w:tcW w:w="254" w:type="pct"/>
            <w:tcBorders>
              <w:top w:val="nil"/>
              <w:left w:val="nil"/>
              <w:bottom w:val="single" w:sz="8" w:space="0" w:color="auto"/>
              <w:right w:val="single" w:sz="8" w:space="0" w:color="auto"/>
            </w:tcBorders>
            <w:shd w:val="clear" w:color="auto" w:fill="auto"/>
            <w:noWrap/>
            <w:vAlign w:val="center"/>
            <w:hideMark/>
          </w:tcPr>
          <w:p w14:paraId="0005AEFC"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19,200 </w:t>
            </w:r>
          </w:p>
        </w:tc>
        <w:tc>
          <w:tcPr>
            <w:tcW w:w="273" w:type="pct"/>
            <w:tcBorders>
              <w:top w:val="nil"/>
              <w:left w:val="nil"/>
              <w:bottom w:val="single" w:sz="8" w:space="0" w:color="auto"/>
              <w:right w:val="single" w:sz="8" w:space="0" w:color="auto"/>
            </w:tcBorders>
            <w:shd w:val="clear" w:color="auto" w:fill="auto"/>
            <w:noWrap/>
            <w:vAlign w:val="center"/>
            <w:hideMark/>
          </w:tcPr>
          <w:p w14:paraId="7516A1C8"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30,600 </w:t>
            </w:r>
          </w:p>
        </w:tc>
        <w:tc>
          <w:tcPr>
            <w:tcW w:w="250" w:type="pct"/>
            <w:tcBorders>
              <w:top w:val="nil"/>
              <w:left w:val="nil"/>
              <w:bottom w:val="single" w:sz="8" w:space="0" w:color="auto"/>
              <w:right w:val="single" w:sz="8" w:space="0" w:color="auto"/>
            </w:tcBorders>
            <w:shd w:val="clear" w:color="auto" w:fill="auto"/>
            <w:noWrap/>
            <w:vAlign w:val="center"/>
            <w:hideMark/>
          </w:tcPr>
          <w:p w14:paraId="00496442"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30,600 </w:t>
            </w:r>
          </w:p>
        </w:tc>
        <w:tc>
          <w:tcPr>
            <w:tcW w:w="250" w:type="pct"/>
            <w:tcBorders>
              <w:top w:val="nil"/>
              <w:left w:val="nil"/>
              <w:bottom w:val="single" w:sz="8" w:space="0" w:color="auto"/>
              <w:right w:val="single" w:sz="8" w:space="0" w:color="auto"/>
            </w:tcBorders>
            <w:shd w:val="clear" w:color="auto" w:fill="auto"/>
            <w:noWrap/>
            <w:vAlign w:val="center"/>
            <w:hideMark/>
          </w:tcPr>
          <w:p w14:paraId="1A97D6ED"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9,000 </w:t>
            </w:r>
          </w:p>
        </w:tc>
        <w:tc>
          <w:tcPr>
            <w:tcW w:w="250" w:type="pct"/>
            <w:tcBorders>
              <w:top w:val="nil"/>
              <w:left w:val="nil"/>
              <w:bottom w:val="single" w:sz="8" w:space="0" w:color="auto"/>
              <w:right w:val="single" w:sz="8" w:space="0" w:color="auto"/>
            </w:tcBorders>
            <w:shd w:val="clear" w:color="auto" w:fill="auto"/>
            <w:noWrap/>
            <w:vAlign w:val="center"/>
            <w:hideMark/>
          </w:tcPr>
          <w:p w14:paraId="4E1CF640"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9,000 </w:t>
            </w:r>
          </w:p>
        </w:tc>
        <w:tc>
          <w:tcPr>
            <w:tcW w:w="250" w:type="pct"/>
            <w:tcBorders>
              <w:top w:val="nil"/>
              <w:left w:val="nil"/>
              <w:bottom w:val="single" w:sz="8" w:space="0" w:color="auto"/>
              <w:right w:val="single" w:sz="8" w:space="0" w:color="auto"/>
            </w:tcBorders>
            <w:shd w:val="clear" w:color="auto" w:fill="auto"/>
            <w:noWrap/>
            <w:vAlign w:val="center"/>
            <w:hideMark/>
          </w:tcPr>
          <w:p w14:paraId="481FC747"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 </w:t>
            </w:r>
          </w:p>
        </w:tc>
        <w:tc>
          <w:tcPr>
            <w:tcW w:w="261" w:type="pct"/>
            <w:tcBorders>
              <w:top w:val="nil"/>
              <w:left w:val="nil"/>
              <w:bottom w:val="single" w:sz="8" w:space="0" w:color="auto"/>
              <w:right w:val="single" w:sz="8" w:space="0" w:color="auto"/>
            </w:tcBorders>
            <w:shd w:val="clear" w:color="auto" w:fill="auto"/>
            <w:noWrap/>
            <w:vAlign w:val="center"/>
            <w:hideMark/>
          </w:tcPr>
          <w:p w14:paraId="062CCC88"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98,400 </w:t>
            </w:r>
          </w:p>
        </w:tc>
        <w:tc>
          <w:tcPr>
            <w:tcW w:w="183" w:type="pct"/>
            <w:tcBorders>
              <w:top w:val="nil"/>
              <w:left w:val="nil"/>
              <w:bottom w:val="single" w:sz="8" w:space="0" w:color="auto"/>
              <w:right w:val="single" w:sz="8" w:space="0" w:color="auto"/>
            </w:tcBorders>
            <w:shd w:val="clear" w:color="auto" w:fill="auto"/>
            <w:noWrap/>
            <w:vAlign w:val="center"/>
            <w:hideMark/>
          </w:tcPr>
          <w:p w14:paraId="7FAF39CB" w14:textId="77777777" w:rsidR="00601D9B" w:rsidRDefault="000E53A0">
            <w:pPr>
              <w:jc w:val="center"/>
              <w:rPr>
                <w:i/>
                <w:iCs/>
                <w:color w:val="000000"/>
                <w:sz w:val="18"/>
                <w:szCs w:val="18"/>
                <w:lang w:val="en-US" w:eastAsia="en-US"/>
              </w:rPr>
            </w:pPr>
            <w:r w:rsidRPr="00107491">
              <w:rPr>
                <w:i/>
                <w:iCs/>
                <w:color w:val="000000"/>
                <w:sz w:val="18"/>
                <w:szCs w:val="18"/>
                <w:lang w:val="en-US" w:eastAsia="en-US"/>
              </w:rPr>
              <w:t>23</w:t>
            </w:r>
          </w:p>
        </w:tc>
        <w:tc>
          <w:tcPr>
            <w:tcW w:w="35" w:type="pct"/>
            <w:vAlign w:val="center"/>
            <w:hideMark/>
          </w:tcPr>
          <w:p w14:paraId="00493063" w14:textId="77777777" w:rsidR="00107491" w:rsidRPr="00107491" w:rsidRDefault="00107491" w:rsidP="00107491">
            <w:pPr>
              <w:rPr>
                <w:sz w:val="20"/>
                <w:szCs w:val="20"/>
                <w:lang w:val="en-US" w:eastAsia="en-US"/>
              </w:rPr>
            </w:pPr>
          </w:p>
        </w:tc>
      </w:tr>
      <w:tr w:rsidR="00107491" w:rsidRPr="00107491" w14:paraId="4DF01E2C" w14:textId="77777777" w:rsidTr="00107491">
        <w:trPr>
          <w:trHeight w:val="300"/>
        </w:trPr>
        <w:tc>
          <w:tcPr>
            <w:tcW w:w="1056" w:type="pct"/>
            <w:tcBorders>
              <w:top w:val="nil"/>
              <w:left w:val="single" w:sz="8" w:space="0" w:color="auto"/>
              <w:bottom w:val="nil"/>
              <w:right w:val="nil"/>
            </w:tcBorders>
            <w:shd w:val="clear" w:color="auto" w:fill="auto"/>
            <w:noWrap/>
            <w:vAlign w:val="center"/>
            <w:hideMark/>
          </w:tcPr>
          <w:p w14:paraId="1D8BE805" w14:textId="77777777" w:rsidR="00107491" w:rsidRPr="00107491" w:rsidRDefault="00107491" w:rsidP="00107491">
            <w:pPr>
              <w:rPr>
                <w:rFonts w:ascii="Calibri" w:hAnsi="Calibri" w:cs="Calibri"/>
                <w:color w:val="000000"/>
                <w:sz w:val="18"/>
                <w:szCs w:val="18"/>
                <w:lang w:val="en-US" w:eastAsia="en-US"/>
              </w:rPr>
            </w:pPr>
            <w:r w:rsidRPr="00107491">
              <w:rPr>
                <w:rFonts w:ascii="Calibri" w:hAnsi="Calibri" w:cs="Calibri"/>
                <w:color w:val="000000"/>
                <w:sz w:val="18"/>
                <w:szCs w:val="18"/>
                <w:lang w:val="en-US" w:eastAsia="en-US"/>
              </w:rPr>
              <w:t> </w:t>
            </w:r>
          </w:p>
        </w:tc>
        <w:tc>
          <w:tcPr>
            <w:tcW w:w="381" w:type="pct"/>
            <w:vMerge/>
            <w:tcBorders>
              <w:top w:val="nil"/>
              <w:left w:val="single" w:sz="8" w:space="0" w:color="auto"/>
              <w:bottom w:val="double" w:sz="6" w:space="0" w:color="000000"/>
              <w:right w:val="single" w:sz="8" w:space="0" w:color="auto"/>
            </w:tcBorders>
            <w:vAlign w:val="center"/>
            <w:hideMark/>
          </w:tcPr>
          <w:p w14:paraId="1B50BA60" w14:textId="77777777" w:rsidR="00107491" w:rsidRPr="00107491" w:rsidRDefault="00107491" w:rsidP="00107491">
            <w:pPr>
              <w:rPr>
                <w:b/>
                <w:bCs/>
                <w:color w:val="000000"/>
                <w:sz w:val="18"/>
                <w:szCs w:val="18"/>
                <w:lang w:val="en-US" w:eastAsia="en-US"/>
              </w:rPr>
            </w:pPr>
          </w:p>
        </w:tc>
        <w:tc>
          <w:tcPr>
            <w:tcW w:w="453" w:type="pct"/>
            <w:vMerge/>
            <w:tcBorders>
              <w:top w:val="nil"/>
              <w:left w:val="single" w:sz="8" w:space="0" w:color="auto"/>
              <w:bottom w:val="double" w:sz="6" w:space="0" w:color="000000"/>
              <w:right w:val="single" w:sz="8" w:space="0" w:color="auto"/>
            </w:tcBorders>
            <w:vAlign w:val="center"/>
            <w:hideMark/>
          </w:tcPr>
          <w:p w14:paraId="030AC786" w14:textId="77777777" w:rsidR="00107491" w:rsidRPr="00107491" w:rsidRDefault="00107491" w:rsidP="00107491">
            <w:pPr>
              <w:rPr>
                <w:b/>
                <w:bCs/>
                <w:color w:val="000000"/>
                <w:sz w:val="18"/>
                <w:szCs w:val="18"/>
                <w:lang w:val="en-US" w:eastAsia="en-US"/>
              </w:rPr>
            </w:pPr>
          </w:p>
        </w:tc>
        <w:tc>
          <w:tcPr>
            <w:tcW w:w="388" w:type="pct"/>
            <w:vMerge/>
            <w:tcBorders>
              <w:top w:val="nil"/>
              <w:left w:val="single" w:sz="8" w:space="0" w:color="auto"/>
              <w:bottom w:val="double" w:sz="6" w:space="0" w:color="000000"/>
              <w:right w:val="single" w:sz="8" w:space="0" w:color="auto"/>
            </w:tcBorders>
            <w:vAlign w:val="center"/>
            <w:hideMark/>
          </w:tcPr>
          <w:p w14:paraId="4F952091" w14:textId="77777777" w:rsidR="00107491" w:rsidRPr="00107491" w:rsidRDefault="00107491" w:rsidP="00107491">
            <w:pPr>
              <w:rPr>
                <w:b/>
                <w:bCs/>
                <w:color w:val="000000"/>
                <w:sz w:val="18"/>
                <w:szCs w:val="18"/>
                <w:lang w:val="en-US" w:eastAsia="en-US"/>
              </w:rPr>
            </w:pPr>
          </w:p>
        </w:tc>
        <w:tc>
          <w:tcPr>
            <w:tcW w:w="258" w:type="pct"/>
            <w:tcBorders>
              <w:top w:val="single" w:sz="8" w:space="0" w:color="auto"/>
              <w:left w:val="nil"/>
              <w:bottom w:val="nil"/>
              <w:right w:val="single" w:sz="8" w:space="0" w:color="auto"/>
            </w:tcBorders>
            <w:shd w:val="clear" w:color="auto" w:fill="auto"/>
            <w:noWrap/>
            <w:vAlign w:val="center"/>
            <w:hideMark/>
          </w:tcPr>
          <w:p w14:paraId="270F400F" w14:textId="77777777" w:rsidR="00601D9B" w:rsidRDefault="000E53A0">
            <w:pPr>
              <w:rPr>
                <w:color w:val="000000"/>
                <w:sz w:val="18"/>
                <w:szCs w:val="18"/>
                <w:lang w:val="en-US" w:eastAsia="en-US"/>
              </w:rPr>
            </w:pPr>
            <w:r w:rsidRPr="00107491">
              <w:rPr>
                <w:color w:val="000000"/>
                <w:sz w:val="18"/>
                <w:szCs w:val="18"/>
                <w:lang w:val="en-US" w:eastAsia="en-US"/>
              </w:rPr>
              <w:t>72100</w:t>
            </w:r>
          </w:p>
        </w:tc>
        <w:tc>
          <w:tcPr>
            <w:tcW w:w="458" w:type="pct"/>
            <w:tcBorders>
              <w:top w:val="single" w:sz="8" w:space="0" w:color="auto"/>
              <w:left w:val="nil"/>
              <w:bottom w:val="nil"/>
              <w:right w:val="single" w:sz="8" w:space="0" w:color="auto"/>
            </w:tcBorders>
            <w:shd w:val="clear" w:color="auto" w:fill="auto"/>
            <w:vAlign w:val="center"/>
            <w:hideMark/>
          </w:tcPr>
          <w:p w14:paraId="0F1940B7" w14:textId="77777777" w:rsidR="00601D9B" w:rsidRDefault="000E53A0">
            <w:pPr>
              <w:rPr>
                <w:color w:val="000000"/>
                <w:sz w:val="18"/>
                <w:szCs w:val="18"/>
                <w:lang w:val="en-US" w:eastAsia="en-US"/>
              </w:rPr>
            </w:pPr>
            <w:r w:rsidRPr="00107491">
              <w:rPr>
                <w:color w:val="000000"/>
                <w:sz w:val="18"/>
                <w:szCs w:val="18"/>
                <w:lang w:val="en-US" w:eastAsia="en-US"/>
              </w:rPr>
              <w:t>Services contractuels - Entreprises</w:t>
            </w:r>
          </w:p>
        </w:tc>
        <w:tc>
          <w:tcPr>
            <w:tcW w:w="254" w:type="pct"/>
            <w:tcBorders>
              <w:top w:val="nil"/>
              <w:left w:val="nil"/>
              <w:bottom w:val="single" w:sz="8" w:space="0" w:color="auto"/>
              <w:right w:val="single" w:sz="8" w:space="0" w:color="auto"/>
            </w:tcBorders>
            <w:shd w:val="clear" w:color="auto" w:fill="auto"/>
            <w:noWrap/>
            <w:vAlign w:val="center"/>
            <w:hideMark/>
          </w:tcPr>
          <w:p w14:paraId="56D467F9"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 </w:t>
            </w:r>
          </w:p>
        </w:tc>
        <w:tc>
          <w:tcPr>
            <w:tcW w:w="273" w:type="pct"/>
            <w:tcBorders>
              <w:top w:val="nil"/>
              <w:left w:val="nil"/>
              <w:bottom w:val="single" w:sz="8" w:space="0" w:color="auto"/>
              <w:right w:val="single" w:sz="8" w:space="0" w:color="auto"/>
            </w:tcBorders>
            <w:shd w:val="clear" w:color="auto" w:fill="auto"/>
            <w:noWrap/>
            <w:vAlign w:val="center"/>
            <w:hideMark/>
          </w:tcPr>
          <w:p w14:paraId="2DA59DD7"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206,250 </w:t>
            </w:r>
          </w:p>
        </w:tc>
        <w:tc>
          <w:tcPr>
            <w:tcW w:w="250" w:type="pct"/>
            <w:tcBorders>
              <w:top w:val="nil"/>
              <w:left w:val="nil"/>
              <w:bottom w:val="single" w:sz="8" w:space="0" w:color="auto"/>
              <w:right w:val="single" w:sz="8" w:space="0" w:color="auto"/>
            </w:tcBorders>
            <w:shd w:val="clear" w:color="auto" w:fill="auto"/>
            <w:noWrap/>
            <w:vAlign w:val="center"/>
            <w:hideMark/>
          </w:tcPr>
          <w:p w14:paraId="45A5078A"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316,250 </w:t>
            </w:r>
          </w:p>
        </w:tc>
        <w:tc>
          <w:tcPr>
            <w:tcW w:w="250" w:type="pct"/>
            <w:tcBorders>
              <w:top w:val="nil"/>
              <w:left w:val="nil"/>
              <w:bottom w:val="single" w:sz="8" w:space="0" w:color="auto"/>
              <w:right w:val="single" w:sz="8" w:space="0" w:color="auto"/>
            </w:tcBorders>
            <w:shd w:val="clear" w:color="auto" w:fill="auto"/>
            <w:noWrap/>
            <w:vAlign w:val="center"/>
            <w:hideMark/>
          </w:tcPr>
          <w:p w14:paraId="671F0914"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317,250 </w:t>
            </w:r>
          </w:p>
        </w:tc>
        <w:tc>
          <w:tcPr>
            <w:tcW w:w="250" w:type="pct"/>
            <w:tcBorders>
              <w:top w:val="nil"/>
              <w:left w:val="nil"/>
              <w:bottom w:val="single" w:sz="8" w:space="0" w:color="auto"/>
              <w:right w:val="single" w:sz="8" w:space="0" w:color="auto"/>
            </w:tcBorders>
            <w:shd w:val="clear" w:color="auto" w:fill="auto"/>
            <w:noWrap/>
            <w:vAlign w:val="center"/>
            <w:hideMark/>
          </w:tcPr>
          <w:p w14:paraId="2CAC3D34"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231,250 </w:t>
            </w:r>
          </w:p>
        </w:tc>
        <w:tc>
          <w:tcPr>
            <w:tcW w:w="250" w:type="pct"/>
            <w:tcBorders>
              <w:top w:val="nil"/>
              <w:left w:val="nil"/>
              <w:bottom w:val="single" w:sz="8" w:space="0" w:color="auto"/>
              <w:right w:val="single" w:sz="8" w:space="0" w:color="auto"/>
            </w:tcBorders>
            <w:shd w:val="clear" w:color="auto" w:fill="auto"/>
            <w:noWrap/>
            <w:vAlign w:val="center"/>
            <w:hideMark/>
          </w:tcPr>
          <w:p w14:paraId="66B4ADCF"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 </w:t>
            </w:r>
          </w:p>
        </w:tc>
        <w:tc>
          <w:tcPr>
            <w:tcW w:w="261" w:type="pct"/>
            <w:tcBorders>
              <w:top w:val="nil"/>
              <w:left w:val="nil"/>
              <w:bottom w:val="single" w:sz="8" w:space="0" w:color="auto"/>
              <w:right w:val="single" w:sz="8" w:space="0" w:color="auto"/>
            </w:tcBorders>
            <w:shd w:val="clear" w:color="auto" w:fill="auto"/>
            <w:noWrap/>
            <w:vAlign w:val="center"/>
            <w:hideMark/>
          </w:tcPr>
          <w:p w14:paraId="3C7CC7B3"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1,071,000 </w:t>
            </w:r>
          </w:p>
        </w:tc>
        <w:tc>
          <w:tcPr>
            <w:tcW w:w="183" w:type="pct"/>
            <w:tcBorders>
              <w:top w:val="nil"/>
              <w:left w:val="nil"/>
              <w:bottom w:val="single" w:sz="8" w:space="0" w:color="auto"/>
              <w:right w:val="single" w:sz="8" w:space="0" w:color="auto"/>
            </w:tcBorders>
            <w:shd w:val="clear" w:color="auto" w:fill="auto"/>
            <w:noWrap/>
            <w:vAlign w:val="center"/>
            <w:hideMark/>
          </w:tcPr>
          <w:p w14:paraId="1A05EE47" w14:textId="77777777" w:rsidR="00601D9B" w:rsidRDefault="000E53A0">
            <w:pPr>
              <w:jc w:val="center"/>
              <w:rPr>
                <w:i/>
                <w:iCs/>
                <w:color w:val="000000"/>
                <w:sz w:val="18"/>
                <w:szCs w:val="18"/>
                <w:lang w:val="en-US" w:eastAsia="en-US"/>
              </w:rPr>
            </w:pPr>
            <w:r w:rsidRPr="00107491">
              <w:rPr>
                <w:i/>
                <w:iCs/>
                <w:color w:val="000000"/>
                <w:sz w:val="18"/>
                <w:szCs w:val="18"/>
                <w:lang w:val="en-US" w:eastAsia="en-US"/>
              </w:rPr>
              <w:t>24</w:t>
            </w:r>
          </w:p>
        </w:tc>
        <w:tc>
          <w:tcPr>
            <w:tcW w:w="35" w:type="pct"/>
            <w:vAlign w:val="center"/>
            <w:hideMark/>
          </w:tcPr>
          <w:p w14:paraId="7092E1DF" w14:textId="77777777" w:rsidR="00107491" w:rsidRPr="00107491" w:rsidRDefault="00107491" w:rsidP="00107491">
            <w:pPr>
              <w:rPr>
                <w:sz w:val="20"/>
                <w:szCs w:val="20"/>
                <w:lang w:val="en-US" w:eastAsia="en-US"/>
              </w:rPr>
            </w:pPr>
          </w:p>
        </w:tc>
      </w:tr>
      <w:tr w:rsidR="00107491" w:rsidRPr="00107491" w14:paraId="1C3CAC87" w14:textId="77777777" w:rsidTr="00107491">
        <w:trPr>
          <w:trHeight w:val="300"/>
        </w:trPr>
        <w:tc>
          <w:tcPr>
            <w:tcW w:w="1056" w:type="pct"/>
            <w:tcBorders>
              <w:top w:val="nil"/>
              <w:left w:val="single" w:sz="8" w:space="0" w:color="auto"/>
              <w:bottom w:val="nil"/>
              <w:right w:val="nil"/>
            </w:tcBorders>
            <w:shd w:val="clear" w:color="auto" w:fill="auto"/>
            <w:noWrap/>
            <w:vAlign w:val="center"/>
            <w:hideMark/>
          </w:tcPr>
          <w:p w14:paraId="0FC2690F" w14:textId="77777777" w:rsidR="00107491" w:rsidRPr="00107491" w:rsidRDefault="00107491" w:rsidP="00107491">
            <w:pPr>
              <w:rPr>
                <w:rFonts w:ascii="Calibri" w:hAnsi="Calibri" w:cs="Calibri"/>
                <w:color w:val="000000"/>
                <w:sz w:val="18"/>
                <w:szCs w:val="18"/>
                <w:lang w:val="en-US" w:eastAsia="en-US"/>
              </w:rPr>
            </w:pPr>
            <w:r w:rsidRPr="00107491">
              <w:rPr>
                <w:rFonts w:ascii="Calibri" w:hAnsi="Calibri" w:cs="Calibri"/>
                <w:color w:val="000000"/>
                <w:sz w:val="18"/>
                <w:szCs w:val="18"/>
                <w:lang w:val="en-US" w:eastAsia="en-US"/>
              </w:rPr>
              <w:t> </w:t>
            </w:r>
          </w:p>
        </w:tc>
        <w:tc>
          <w:tcPr>
            <w:tcW w:w="381" w:type="pct"/>
            <w:vMerge/>
            <w:tcBorders>
              <w:top w:val="nil"/>
              <w:left w:val="single" w:sz="8" w:space="0" w:color="auto"/>
              <w:bottom w:val="double" w:sz="6" w:space="0" w:color="000000"/>
              <w:right w:val="single" w:sz="8" w:space="0" w:color="auto"/>
            </w:tcBorders>
            <w:vAlign w:val="center"/>
            <w:hideMark/>
          </w:tcPr>
          <w:p w14:paraId="30452D95" w14:textId="77777777" w:rsidR="00107491" w:rsidRPr="00107491" w:rsidRDefault="00107491" w:rsidP="00107491">
            <w:pPr>
              <w:rPr>
                <w:b/>
                <w:bCs/>
                <w:color w:val="000000"/>
                <w:sz w:val="18"/>
                <w:szCs w:val="18"/>
                <w:lang w:val="en-US" w:eastAsia="en-US"/>
              </w:rPr>
            </w:pPr>
          </w:p>
        </w:tc>
        <w:tc>
          <w:tcPr>
            <w:tcW w:w="453" w:type="pct"/>
            <w:vMerge/>
            <w:tcBorders>
              <w:top w:val="nil"/>
              <w:left w:val="single" w:sz="8" w:space="0" w:color="auto"/>
              <w:bottom w:val="double" w:sz="6" w:space="0" w:color="000000"/>
              <w:right w:val="single" w:sz="8" w:space="0" w:color="auto"/>
            </w:tcBorders>
            <w:vAlign w:val="center"/>
            <w:hideMark/>
          </w:tcPr>
          <w:p w14:paraId="68F26B64" w14:textId="77777777" w:rsidR="00107491" w:rsidRPr="00107491" w:rsidRDefault="00107491" w:rsidP="00107491">
            <w:pPr>
              <w:rPr>
                <w:b/>
                <w:bCs/>
                <w:color w:val="000000"/>
                <w:sz w:val="18"/>
                <w:szCs w:val="18"/>
                <w:lang w:val="en-US" w:eastAsia="en-US"/>
              </w:rPr>
            </w:pPr>
          </w:p>
        </w:tc>
        <w:tc>
          <w:tcPr>
            <w:tcW w:w="388" w:type="pct"/>
            <w:vMerge/>
            <w:tcBorders>
              <w:top w:val="nil"/>
              <w:left w:val="single" w:sz="8" w:space="0" w:color="auto"/>
              <w:bottom w:val="double" w:sz="6" w:space="0" w:color="000000"/>
              <w:right w:val="single" w:sz="8" w:space="0" w:color="auto"/>
            </w:tcBorders>
            <w:vAlign w:val="center"/>
            <w:hideMark/>
          </w:tcPr>
          <w:p w14:paraId="370ED95C" w14:textId="77777777" w:rsidR="00107491" w:rsidRPr="00107491" w:rsidRDefault="00107491" w:rsidP="00107491">
            <w:pPr>
              <w:rPr>
                <w:b/>
                <w:bCs/>
                <w:color w:val="000000"/>
                <w:sz w:val="18"/>
                <w:szCs w:val="18"/>
                <w:lang w:val="en-US" w:eastAsia="en-US"/>
              </w:rPr>
            </w:pPr>
          </w:p>
        </w:tc>
        <w:tc>
          <w:tcPr>
            <w:tcW w:w="258" w:type="pct"/>
            <w:tcBorders>
              <w:top w:val="single" w:sz="8" w:space="0" w:color="auto"/>
              <w:left w:val="nil"/>
              <w:bottom w:val="single" w:sz="8" w:space="0" w:color="auto"/>
              <w:right w:val="single" w:sz="8" w:space="0" w:color="auto"/>
            </w:tcBorders>
            <w:shd w:val="clear" w:color="auto" w:fill="auto"/>
            <w:noWrap/>
            <w:vAlign w:val="center"/>
            <w:hideMark/>
          </w:tcPr>
          <w:p w14:paraId="4FB565D4" w14:textId="77777777" w:rsidR="00601D9B" w:rsidRDefault="000E53A0">
            <w:pPr>
              <w:rPr>
                <w:color w:val="000000"/>
                <w:sz w:val="18"/>
                <w:szCs w:val="18"/>
                <w:lang w:val="en-US" w:eastAsia="en-US"/>
              </w:rPr>
            </w:pPr>
            <w:r w:rsidRPr="00107491">
              <w:rPr>
                <w:color w:val="000000"/>
                <w:sz w:val="18"/>
                <w:szCs w:val="18"/>
                <w:lang w:val="en-US" w:eastAsia="en-US"/>
              </w:rPr>
              <w:t>72200</w:t>
            </w:r>
          </w:p>
        </w:tc>
        <w:tc>
          <w:tcPr>
            <w:tcW w:w="458" w:type="pct"/>
            <w:tcBorders>
              <w:top w:val="single" w:sz="8" w:space="0" w:color="auto"/>
              <w:left w:val="nil"/>
              <w:bottom w:val="nil"/>
              <w:right w:val="single" w:sz="8" w:space="0" w:color="auto"/>
            </w:tcBorders>
            <w:shd w:val="clear" w:color="auto" w:fill="auto"/>
            <w:vAlign w:val="center"/>
            <w:hideMark/>
          </w:tcPr>
          <w:p w14:paraId="7D1053D3" w14:textId="77777777" w:rsidR="00601D9B" w:rsidRDefault="000E53A0">
            <w:pPr>
              <w:rPr>
                <w:color w:val="000000"/>
                <w:sz w:val="18"/>
                <w:szCs w:val="18"/>
                <w:lang w:val="en-US" w:eastAsia="en-US"/>
              </w:rPr>
            </w:pPr>
            <w:r w:rsidRPr="00107491">
              <w:rPr>
                <w:color w:val="000000"/>
                <w:sz w:val="18"/>
                <w:szCs w:val="18"/>
                <w:lang w:val="en-US" w:eastAsia="en-US"/>
              </w:rPr>
              <w:t>Équipement et mobilier</w:t>
            </w:r>
          </w:p>
        </w:tc>
        <w:tc>
          <w:tcPr>
            <w:tcW w:w="254" w:type="pct"/>
            <w:tcBorders>
              <w:top w:val="nil"/>
              <w:left w:val="nil"/>
              <w:bottom w:val="single" w:sz="8" w:space="0" w:color="auto"/>
              <w:right w:val="single" w:sz="8" w:space="0" w:color="auto"/>
            </w:tcBorders>
            <w:shd w:val="clear" w:color="auto" w:fill="auto"/>
            <w:noWrap/>
            <w:vAlign w:val="center"/>
            <w:hideMark/>
          </w:tcPr>
          <w:p w14:paraId="766CAF60"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 </w:t>
            </w:r>
          </w:p>
        </w:tc>
        <w:tc>
          <w:tcPr>
            <w:tcW w:w="273" w:type="pct"/>
            <w:tcBorders>
              <w:top w:val="nil"/>
              <w:left w:val="nil"/>
              <w:bottom w:val="single" w:sz="8" w:space="0" w:color="auto"/>
              <w:right w:val="single" w:sz="8" w:space="0" w:color="auto"/>
            </w:tcBorders>
            <w:shd w:val="clear" w:color="auto" w:fill="auto"/>
            <w:noWrap/>
            <w:vAlign w:val="center"/>
            <w:hideMark/>
          </w:tcPr>
          <w:p w14:paraId="4290DB1A"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76,250 </w:t>
            </w:r>
          </w:p>
        </w:tc>
        <w:tc>
          <w:tcPr>
            <w:tcW w:w="250" w:type="pct"/>
            <w:tcBorders>
              <w:top w:val="nil"/>
              <w:left w:val="nil"/>
              <w:bottom w:val="single" w:sz="8" w:space="0" w:color="auto"/>
              <w:right w:val="single" w:sz="8" w:space="0" w:color="auto"/>
            </w:tcBorders>
            <w:shd w:val="clear" w:color="auto" w:fill="auto"/>
            <w:noWrap/>
            <w:vAlign w:val="center"/>
            <w:hideMark/>
          </w:tcPr>
          <w:p w14:paraId="4A325D92"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276,250 </w:t>
            </w:r>
          </w:p>
        </w:tc>
        <w:tc>
          <w:tcPr>
            <w:tcW w:w="250" w:type="pct"/>
            <w:tcBorders>
              <w:top w:val="nil"/>
              <w:left w:val="nil"/>
              <w:bottom w:val="single" w:sz="8" w:space="0" w:color="auto"/>
              <w:right w:val="single" w:sz="8" w:space="0" w:color="auto"/>
            </w:tcBorders>
            <w:shd w:val="clear" w:color="auto" w:fill="auto"/>
            <w:noWrap/>
            <w:vAlign w:val="center"/>
            <w:hideMark/>
          </w:tcPr>
          <w:p w14:paraId="093C7DD0"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276,250 </w:t>
            </w:r>
          </w:p>
        </w:tc>
        <w:tc>
          <w:tcPr>
            <w:tcW w:w="250" w:type="pct"/>
            <w:tcBorders>
              <w:top w:val="nil"/>
              <w:left w:val="nil"/>
              <w:bottom w:val="single" w:sz="8" w:space="0" w:color="auto"/>
              <w:right w:val="single" w:sz="8" w:space="0" w:color="auto"/>
            </w:tcBorders>
            <w:shd w:val="clear" w:color="auto" w:fill="auto"/>
            <w:noWrap/>
            <w:vAlign w:val="center"/>
            <w:hideMark/>
          </w:tcPr>
          <w:p w14:paraId="70B34AE2"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201,250 </w:t>
            </w:r>
          </w:p>
        </w:tc>
        <w:tc>
          <w:tcPr>
            <w:tcW w:w="250" w:type="pct"/>
            <w:tcBorders>
              <w:top w:val="nil"/>
              <w:left w:val="nil"/>
              <w:bottom w:val="single" w:sz="8" w:space="0" w:color="auto"/>
              <w:right w:val="single" w:sz="8" w:space="0" w:color="auto"/>
            </w:tcBorders>
            <w:shd w:val="clear" w:color="auto" w:fill="auto"/>
            <w:noWrap/>
            <w:vAlign w:val="center"/>
            <w:hideMark/>
          </w:tcPr>
          <w:p w14:paraId="294CB464"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 </w:t>
            </w:r>
          </w:p>
        </w:tc>
        <w:tc>
          <w:tcPr>
            <w:tcW w:w="261" w:type="pct"/>
            <w:tcBorders>
              <w:top w:val="nil"/>
              <w:left w:val="nil"/>
              <w:bottom w:val="single" w:sz="8" w:space="0" w:color="auto"/>
              <w:right w:val="single" w:sz="8" w:space="0" w:color="auto"/>
            </w:tcBorders>
            <w:shd w:val="clear" w:color="auto" w:fill="auto"/>
            <w:noWrap/>
            <w:vAlign w:val="center"/>
            <w:hideMark/>
          </w:tcPr>
          <w:p w14:paraId="7EB13691"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830,000 </w:t>
            </w:r>
          </w:p>
        </w:tc>
        <w:tc>
          <w:tcPr>
            <w:tcW w:w="183" w:type="pct"/>
            <w:tcBorders>
              <w:top w:val="nil"/>
              <w:left w:val="nil"/>
              <w:bottom w:val="single" w:sz="8" w:space="0" w:color="auto"/>
              <w:right w:val="single" w:sz="8" w:space="0" w:color="auto"/>
            </w:tcBorders>
            <w:shd w:val="clear" w:color="auto" w:fill="auto"/>
            <w:noWrap/>
            <w:vAlign w:val="center"/>
            <w:hideMark/>
          </w:tcPr>
          <w:p w14:paraId="6F875B7F" w14:textId="77777777" w:rsidR="00601D9B" w:rsidRDefault="000E53A0">
            <w:pPr>
              <w:jc w:val="center"/>
              <w:rPr>
                <w:i/>
                <w:iCs/>
                <w:color w:val="000000"/>
                <w:sz w:val="18"/>
                <w:szCs w:val="18"/>
                <w:lang w:val="en-US" w:eastAsia="en-US"/>
              </w:rPr>
            </w:pPr>
            <w:r w:rsidRPr="00107491">
              <w:rPr>
                <w:i/>
                <w:iCs/>
                <w:color w:val="000000"/>
                <w:sz w:val="18"/>
                <w:szCs w:val="18"/>
                <w:lang w:val="en-US" w:eastAsia="en-US"/>
              </w:rPr>
              <w:t>25</w:t>
            </w:r>
          </w:p>
        </w:tc>
        <w:tc>
          <w:tcPr>
            <w:tcW w:w="35" w:type="pct"/>
            <w:vAlign w:val="center"/>
            <w:hideMark/>
          </w:tcPr>
          <w:p w14:paraId="36CE1D09" w14:textId="77777777" w:rsidR="00107491" w:rsidRPr="00107491" w:rsidRDefault="00107491" w:rsidP="00107491">
            <w:pPr>
              <w:rPr>
                <w:sz w:val="20"/>
                <w:szCs w:val="20"/>
                <w:lang w:val="en-US" w:eastAsia="en-US"/>
              </w:rPr>
            </w:pPr>
          </w:p>
        </w:tc>
      </w:tr>
      <w:tr w:rsidR="00107491" w:rsidRPr="00107491" w14:paraId="13819A5C" w14:textId="77777777" w:rsidTr="00107491">
        <w:trPr>
          <w:trHeight w:val="300"/>
        </w:trPr>
        <w:tc>
          <w:tcPr>
            <w:tcW w:w="1056" w:type="pct"/>
            <w:tcBorders>
              <w:top w:val="nil"/>
              <w:left w:val="single" w:sz="8" w:space="0" w:color="auto"/>
              <w:bottom w:val="nil"/>
              <w:right w:val="nil"/>
            </w:tcBorders>
            <w:shd w:val="clear" w:color="auto" w:fill="auto"/>
            <w:noWrap/>
            <w:vAlign w:val="center"/>
            <w:hideMark/>
          </w:tcPr>
          <w:p w14:paraId="5EB36ABE" w14:textId="77777777" w:rsidR="00107491" w:rsidRPr="00107491" w:rsidRDefault="00107491" w:rsidP="00107491">
            <w:pPr>
              <w:rPr>
                <w:rFonts w:ascii="Calibri" w:hAnsi="Calibri" w:cs="Calibri"/>
                <w:color w:val="000000"/>
                <w:sz w:val="18"/>
                <w:szCs w:val="18"/>
                <w:lang w:val="en-US" w:eastAsia="en-US"/>
              </w:rPr>
            </w:pPr>
            <w:r w:rsidRPr="00107491">
              <w:rPr>
                <w:rFonts w:ascii="Calibri" w:hAnsi="Calibri" w:cs="Calibri"/>
                <w:color w:val="000000"/>
                <w:sz w:val="18"/>
                <w:szCs w:val="18"/>
                <w:lang w:val="en-US" w:eastAsia="en-US"/>
              </w:rPr>
              <w:t> </w:t>
            </w:r>
          </w:p>
        </w:tc>
        <w:tc>
          <w:tcPr>
            <w:tcW w:w="381" w:type="pct"/>
            <w:vMerge/>
            <w:tcBorders>
              <w:top w:val="nil"/>
              <w:left w:val="single" w:sz="8" w:space="0" w:color="auto"/>
              <w:bottom w:val="double" w:sz="6" w:space="0" w:color="000000"/>
              <w:right w:val="single" w:sz="8" w:space="0" w:color="auto"/>
            </w:tcBorders>
            <w:vAlign w:val="center"/>
            <w:hideMark/>
          </w:tcPr>
          <w:p w14:paraId="2412E19A" w14:textId="77777777" w:rsidR="00107491" w:rsidRPr="00107491" w:rsidRDefault="00107491" w:rsidP="00107491">
            <w:pPr>
              <w:rPr>
                <w:b/>
                <w:bCs/>
                <w:color w:val="000000"/>
                <w:sz w:val="18"/>
                <w:szCs w:val="18"/>
                <w:lang w:val="en-US" w:eastAsia="en-US"/>
              </w:rPr>
            </w:pPr>
          </w:p>
        </w:tc>
        <w:tc>
          <w:tcPr>
            <w:tcW w:w="453" w:type="pct"/>
            <w:vMerge/>
            <w:tcBorders>
              <w:top w:val="nil"/>
              <w:left w:val="single" w:sz="8" w:space="0" w:color="auto"/>
              <w:bottom w:val="double" w:sz="6" w:space="0" w:color="000000"/>
              <w:right w:val="single" w:sz="8" w:space="0" w:color="auto"/>
            </w:tcBorders>
            <w:vAlign w:val="center"/>
            <w:hideMark/>
          </w:tcPr>
          <w:p w14:paraId="03659DFA" w14:textId="77777777" w:rsidR="00107491" w:rsidRPr="00107491" w:rsidRDefault="00107491" w:rsidP="00107491">
            <w:pPr>
              <w:rPr>
                <w:b/>
                <w:bCs/>
                <w:color w:val="000000"/>
                <w:sz w:val="18"/>
                <w:szCs w:val="18"/>
                <w:lang w:val="en-US" w:eastAsia="en-US"/>
              </w:rPr>
            </w:pPr>
          </w:p>
        </w:tc>
        <w:tc>
          <w:tcPr>
            <w:tcW w:w="388" w:type="pct"/>
            <w:vMerge/>
            <w:tcBorders>
              <w:top w:val="nil"/>
              <w:left w:val="single" w:sz="8" w:space="0" w:color="auto"/>
              <w:bottom w:val="double" w:sz="6" w:space="0" w:color="000000"/>
              <w:right w:val="single" w:sz="8" w:space="0" w:color="auto"/>
            </w:tcBorders>
            <w:vAlign w:val="center"/>
            <w:hideMark/>
          </w:tcPr>
          <w:p w14:paraId="6C6A28CE" w14:textId="77777777" w:rsidR="00107491" w:rsidRPr="00107491" w:rsidRDefault="00107491" w:rsidP="00107491">
            <w:pPr>
              <w:rPr>
                <w:b/>
                <w:bCs/>
                <w:color w:val="000000"/>
                <w:sz w:val="18"/>
                <w:szCs w:val="18"/>
                <w:lang w:val="en-US" w:eastAsia="en-US"/>
              </w:rPr>
            </w:pPr>
          </w:p>
        </w:tc>
        <w:tc>
          <w:tcPr>
            <w:tcW w:w="258" w:type="pct"/>
            <w:tcBorders>
              <w:top w:val="nil"/>
              <w:left w:val="nil"/>
              <w:bottom w:val="single" w:sz="8" w:space="0" w:color="auto"/>
              <w:right w:val="single" w:sz="8" w:space="0" w:color="auto"/>
            </w:tcBorders>
            <w:shd w:val="clear" w:color="auto" w:fill="auto"/>
            <w:noWrap/>
            <w:vAlign w:val="center"/>
            <w:hideMark/>
          </w:tcPr>
          <w:p w14:paraId="3FAC4E63" w14:textId="77777777" w:rsidR="00601D9B" w:rsidRDefault="000E53A0">
            <w:pPr>
              <w:jc w:val="right"/>
              <w:rPr>
                <w:color w:val="000000"/>
                <w:sz w:val="18"/>
                <w:szCs w:val="18"/>
                <w:lang w:val="en-US" w:eastAsia="en-US"/>
              </w:rPr>
            </w:pPr>
            <w:r w:rsidRPr="00107491">
              <w:rPr>
                <w:color w:val="000000"/>
                <w:sz w:val="18"/>
                <w:szCs w:val="18"/>
                <w:lang w:val="en-US" w:eastAsia="en-US"/>
              </w:rPr>
              <w:t>72500</w:t>
            </w:r>
          </w:p>
        </w:tc>
        <w:tc>
          <w:tcPr>
            <w:tcW w:w="458" w:type="pct"/>
            <w:tcBorders>
              <w:top w:val="single" w:sz="8" w:space="0" w:color="auto"/>
              <w:left w:val="nil"/>
              <w:bottom w:val="nil"/>
              <w:right w:val="single" w:sz="8" w:space="0" w:color="auto"/>
            </w:tcBorders>
            <w:shd w:val="clear" w:color="auto" w:fill="auto"/>
            <w:vAlign w:val="center"/>
            <w:hideMark/>
          </w:tcPr>
          <w:p w14:paraId="50480701" w14:textId="77777777" w:rsidR="00601D9B" w:rsidRDefault="000E53A0">
            <w:pPr>
              <w:rPr>
                <w:color w:val="000000"/>
                <w:sz w:val="18"/>
                <w:szCs w:val="18"/>
                <w:lang w:val="en-US" w:eastAsia="en-US"/>
              </w:rPr>
            </w:pPr>
            <w:r w:rsidRPr="00107491">
              <w:rPr>
                <w:color w:val="000000"/>
                <w:sz w:val="18"/>
                <w:szCs w:val="18"/>
                <w:lang w:val="en-US" w:eastAsia="en-US"/>
              </w:rPr>
              <w:t>Fournitures</w:t>
            </w:r>
          </w:p>
        </w:tc>
        <w:tc>
          <w:tcPr>
            <w:tcW w:w="254" w:type="pct"/>
            <w:tcBorders>
              <w:top w:val="nil"/>
              <w:left w:val="nil"/>
              <w:bottom w:val="single" w:sz="8" w:space="0" w:color="auto"/>
              <w:right w:val="single" w:sz="8" w:space="0" w:color="auto"/>
            </w:tcBorders>
            <w:shd w:val="clear" w:color="auto" w:fill="auto"/>
            <w:noWrap/>
            <w:vAlign w:val="center"/>
            <w:hideMark/>
          </w:tcPr>
          <w:p w14:paraId="76417F70"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 </w:t>
            </w:r>
          </w:p>
        </w:tc>
        <w:tc>
          <w:tcPr>
            <w:tcW w:w="273" w:type="pct"/>
            <w:tcBorders>
              <w:top w:val="nil"/>
              <w:left w:val="nil"/>
              <w:bottom w:val="single" w:sz="8" w:space="0" w:color="auto"/>
              <w:right w:val="single" w:sz="8" w:space="0" w:color="auto"/>
            </w:tcBorders>
            <w:shd w:val="clear" w:color="auto" w:fill="auto"/>
            <w:noWrap/>
            <w:vAlign w:val="center"/>
            <w:hideMark/>
          </w:tcPr>
          <w:p w14:paraId="49C2CFDE"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 </w:t>
            </w:r>
          </w:p>
        </w:tc>
        <w:tc>
          <w:tcPr>
            <w:tcW w:w="250" w:type="pct"/>
            <w:tcBorders>
              <w:top w:val="nil"/>
              <w:left w:val="nil"/>
              <w:bottom w:val="single" w:sz="8" w:space="0" w:color="auto"/>
              <w:right w:val="single" w:sz="8" w:space="0" w:color="auto"/>
            </w:tcBorders>
            <w:shd w:val="clear" w:color="auto" w:fill="auto"/>
            <w:noWrap/>
            <w:vAlign w:val="center"/>
            <w:hideMark/>
          </w:tcPr>
          <w:p w14:paraId="51AD4BF1"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16,800 </w:t>
            </w:r>
          </w:p>
        </w:tc>
        <w:tc>
          <w:tcPr>
            <w:tcW w:w="250" w:type="pct"/>
            <w:tcBorders>
              <w:top w:val="nil"/>
              <w:left w:val="nil"/>
              <w:bottom w:val="single" w:sz="8" w:space="0" w:color="auto"/>
              <w:right w:val="single" w:sz="8" w:space="0" w:color="auto"/>
            </w:tcBorders>
            <w:shd w:val="clear" w:color="auto" w:fill="auto"/>
            <w:noWrap/>
            <w:vAlign w:val="center"/>
            <w:hideMark/>
          </w:tcPr>
          <w:p w14:paraId="004743A8"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 </w:t>
            </w:r>
          </w:p>
        </w:tc>
        <w:tc>
          <w:tcPr>
            <w:tcW w:w="250" w:type="pct"/>
            <w:tcBorders>
              <w:top w:val="nil"/>
              <w:left w:val="nil"/>
              <w:bottom w:val="single" w:sz="8" w:space="0" w:color="auto"/>
              <w:right w:val="single" w:sz="8" w:space="0" w:color="auto"/>
            </w:tcBorders>
            <w:shd w:val="clear" w:color="auto" w:fill="auto"/>
            <w:noWrap/>
            <w:vAlign w:val="center"/>
            <w:hideMark/>
          </w:tcPr>
          <w:p w14:paraId="48FB351C"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 </w:t>
            </w:r>
          </w:p>
        </w:tc>
        <w:tc>
          <w:tcPr>
            <w:tcW w:w="250" w:type="pct"/>
            <w:tcBorders>
              <w:top w:val="nil"/>
              <w:left w:val="nil"/>
              <w:bottom w:val="single" w:sz="8" w:space="0" w:color="auto"/>
              <w:right w:val="single" w:sz="8" w:space="0" w:color="auto"/>
            </w:tcBorders>
            <w:shd w:val="clear" w:color="auto" w:fill="auto"/>
            <w:noWrap/>
            <w:vAlign w:val="center"/>
            <w:hideMark/>
          </w:tcPr>
          <w:p w14:paraId="68314C09"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 </w:t>
            </w:r>
          </w:p>
        </w:tc>
        <w:tc>
          <w:tcPr>
            <w:tcW w:w="261" w:type="pct"/>
            <w:tcBorders>
              <w:top w:val="nil"/>
              <w:left w:val="nil"/>
              <w:bottom w:val="single" w:sz="8" w:space="0" w:color="auto"/>
              <w:right w:val="single" w:sz="8" w:space="0" w:color="auto"/>
            </w:tcBorders>
            <w:shd w:val="clear" w:color="auto" w:fill="auto"/>
            <w:noWrap/>
            <w:vAlign w:val="center"/>
            <w:hideMark/>
          </w:tcPr>
          <w:p w14:paraId="463EEDD4"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16,800 </w:t>
            </w:r>
          </w:p>
        </w:tc>
        <w:tc>
          <w:tcPr>
            <w:tcW w:w="183" w:type="pct"/>
            <w:tcBorders>
              <w:top w:val="nil"/>
              <w:left w:val="nil"/>
              <w:bottom w:val="single" w:sz="8" w:space="0" w:color="auto"/>
              <w:right w:val="single" w:sz="8" w:space="0" w:color="auto"/>
            </w:tcBorders>
            <w:shd w:val="clear" w:color="auto" w:fill="auto"/>
            <w:noWrap/>
            <w:vAlign w:val="center"/>
            <w:hideMark/>
          </w:tcPr>
          <w:p w14:paraId="7736C1D1" w14:textId="77777777" w:rsidR="00601D9B" w:rsidRDefault="000E53A0">
            <w:pPr>
              <w:jc w:val="center"/>
              <w:rPr>
                <w:i/>
                <w:iCs/>
                <w:color w:val="000000"/>
                <w:sz w:val="18"/>
                <w:szCs w:val="18"/>
                <w:lang w:val="en-US" w:eastAsia="en-US"/>
              </w:rPr>
            </w:pPr>
            <w:r w:rsidRPr="00107491">
              <w:rPr>
                <w:i/>
                <w:iCs/>
                <w:color w:val="000000"/>
                <w:sz w:val="18"/>
                <w:szCs w:val="18"/>
                <w:lang w:val="en-US" w:eastAsia="en-US"/>
              </w:rPr>
              <w:t>26</w:t>
            </w:r>
          </w:p>
        </w:tc>
        <w:tc>
          <w:tcPr>
            <w:tcW w:w="35" w:type="pct"/>
            <w:vAlign w:val="center"/>
            <w:hideMark/>
          </w:tcPr>
          <w:p w14:paraId="0AB66D09" w14:textId="77777777" w:rsidR="00107491" w:rsidRPr="00107491" w:rsidRDefault="00107491" w:rsidP="00107491">
            <w:pPr>
              <w:rPr>
                <w:sz w:val="20"/>
                <w:szCs w:val="20"/>
                <w:lang w:val="en-US" w:eastAsia="en-US"/>
              </w:rPr>
            </w:pPr>
          </w:p>
        </w:tc>
      </w:tr>
      <w:tr w:rsidR="00107491" w:rsidRPr="00107491" w14:paraId="5B9D6D2C" w14:textId="77777777" w:rsidTr="00107491">
        <w:trPr>
          <w:trHeight w:val="300"/>
        </w:trPr>
        <w:tc>
          <w:tcPr>
            <w:tcW w:w="1056" w:type="pct"/>
            <w:tcBorders>
              <w:top w:val="nil"/>
              <w:left w:val="single" w:sz="8" w:space="0" w:color="auto"/>
              <w:bottom w:val="nil"/>
              <w:right w:val="nil"/>
            </w:tcBorders>
            <w:shd w:val="clear" w:color="auto" w:fill="auto"/>
            <w:noWrap/>
            <w:vAlign w:val="center"/>
            <w:hideMark/>
          </w:tcPr>
          <w:p w14:paraId="6E0B75B7" w14:textId="77777777" w:rsidR="00107491" w:rsidRPr="00107491" w:rsidRDefault="00107491" w:rsidP="00107491">
            <w:pPr>
              <w:rPr>
                <w:rFonts w:ascii="Calibri" w:hAnsi="Calibri" w:cs="Calibri"/>
                <w:color w:val="000000"/>
                <w:sz w:val="18"/>
                <w:szCs w:val="18"/>
                <w:lang w:val="en-US" w:eastAsia="en-US"/>
              </w:rPr>
            </w:pPr>
            <w:r w:rsidRPr="00107491">
              <w:rPr>
                <w:rFonts w:ascii="Calibri" w:hAnsi="Calibri" w:cs="Calibri"/>
                <w:color w:val="000000"/>
                <w:sz w:val="18"/>
                <w:szCs w:val="18"/>
                <w:lang w:val="en-US" w:eastAsia="en-US"/>
              </w:rPr>
              <w:t> </w:t>
            </w:r>
          </w:p>
        </w:tc>
        <w:tc>
          <w:tcPr>
            <w:tcW w:w="381" w:type="pct"/>
            <w:vMerge/>
            <w:tcBorders>
              <w:top w:val="nil"/>
              <w:left w:val="single" w:sz="8" w:space="0" w:color="auto"/>
              <w:bottom w:val="double" w:sz="6" w:space="0" w:color="000000"/>
              <w:right w:val="single" w:sz="8" w:space="0" w:color="auto"/>
            </w:tcBorders>
            <w:vAlign w:val="center"/>
            <w:hideMark/>
          </w:tcPr>
          <w:p w14:paraId="48AFD375" w14:textId="77777777" w:rsidR="00107491" w:rsidRPr="00107491" w:rsidRDefault="00107491" w:rsidP="00107491">
            <w:pPr>
              <w:rPr>
                <w:b/>
                <w:bCs/>
                <w:color w:val="000000"/>
                <w:sz w:val="18"/>
                <w:szCs w:val="18"/>
                <w:lang w:val="en-US" w:eastAsia="en-US"/>
              </w:rPr>
            </w:pPr>
          </w:p>
        </w:tc>
        <w:tc>
          <w:tcPr>
            <w:tcW w:w="453" w:type="pct"/>
            <w:vMerge/>
            <w:tcBorders>
              <w:top w:val="nil"/>
              <w:left w:val="single" w:sz="8" w:space="0" w:color="auto"/>
              <w:bottom w:val="double" w:sz="6" w:space="0" w:color="000000"/>
              <w:right w:val="single" w:sz="8" w:space="0" w:color="auto"/>
            </w:tcBorders>
            <w:vAlign w:val="center"/>
            <w:hideMark/>
          </w:tcPr>
          <w:p w14:paraId="1C501196" w14:textId="77777777" w:rsidR="00107491" w:rsidRPr="00107491" w:rsidRDefault="00107491" w:rsidP="00107491">
            <w:pPr>
              <w:rPr>
                <w:b/>
                <w:bCs/>
                <w:color w:val="000000"/>
                <w:sz w:val="18"/>
                <w:szCs w:val="18"/>
                <w:lang w:val="en-US" w:eastAsia="en-US"/>
              </w:rPr>
            </w:pPr>
          </w:p>
        </w:tc>
        <w:tc>
          <w:tcPr>
            <w:tcW w:w="388" w:type="pct"/>
            <w:vMerge/>
            <w:tcBorders>
              <w:top w:val="nil"/>
              <w:left w:val="single" w:sz="8" w:space="0" w:color="auto"/>
              <w:bottom w:val="double" w:sz="6" w:space="0" w:color="000000"/>
              <w:right w:val="single" w:sz="8" w:space="0" w:color="auto"/>
            </w:tcBorders>
            <w:vAlign w:val="center"/>
            <w:hideMark/>
          </w:tcPr>
          <w:p w14:paraId="46BF786A" w14:textId="77777777" w:rsidR="00107491" w:rsidRPr="00107491" w:rsidRDefault="00107491" w:rsidP="00107491">
            <w:pPr>
              <w:rPr>
                <w:b/>
                <w:bCs/>
                <w:color w:val="000000"/>
                <w:sz w:val="18"/>
                <w:szCs w:val="18"/>
                <w:lang w:val="en-US" w:eastAsia="en-US"/>
              </w:rPr>
            </w:pPr>
          </w:p>
        </w:tc>
        <w:tc>
          <w:tcPr>
            <w:tcW w:w="258" w:type="pct"/>
            <w:tcBorders>
              <w:top w:val="nil"/>
              <w:left w:val="nil"/>
              <w:bottom w:val="nil"/>
              <w:right w:val="single" w:sz="8" w:space="0" w:color="auto"/>
            </w:tcBorders>
            <w:shd w:val="clear" w:color="auto" w:fill="auto"/>
            <w:noWrap/>
            <w:vAlign w:val="center"/>
            <w:hideMark/>
          </w:tcPr>
          <w:p w14:paraId="3A7B5AF1" w14:textId="77777777" w:rsidR="00601D9B" w:rsidRDefault="000E53A0">
            <w:pPr>
              <w:rPr>
                <w:color w:val="000000"/>
                <w:sz w:val="18"/>
                <w:szCs w:val="18"/>
                <w:lang w:val="en-US" w:eastAsia="en-US"/>
              </w:rPr>
            </w:pPr>
            <w:r w:rsidRPr="00107491">
              <w:rPr>
                <w:color w:val="000000"/>
                <w:sz w:val="18"/>
                <w:szCs w:val="18"/>
                <w:lang w:val="en-US" w:eastAsia="en-US"/>
              </w:rPr>
              <w:t>74500</w:t>
            </w:r>
          </w:p>
        </w:tc>
        <w:tc>
          <w:tcPr>
            <w:tcW w:w="458" w:type="pct"/>
            <w:tcBorders>
              <w:top w:val="single" w:sz="8" w:space="0" w:color="auto"/>
              <w:left w:val="nil"/>
              <w:bottom w:val="single" w:sz="8" w:space="0" w:color="auto"/>
              <w:right w:val="single" w:sz="8" w:space="0" w:color="auto"/>
            </w:tcBorders>
            <w:shd w:val="clear" w:color="auto" w:fill="auto"/>
            <w:vAlign w:val="center"/>
            <w:hideMark/>
          </w:tcPr>
          <w:p w14:paraId="295CA0A0" w14:textId="77777777" w:rsidR="00601D9B" w:rsidRDefault="000E53A0">
            <w:pPr>
              <w:rPr>
                <w:color w:val="000000"/>
                <w:sz w:val="18"/>
                <w:szCs w:val="18"/>
                <w:lang w:val="en-US" w:eastAsia="en-US"/>
              </w:rPr>
            </w:pPr>
            <w:r w:rsidRPr="00107491">
              <w:rPr>
                <w:color w:val="000000"/>
                <w:sz w:val="18"/>
                <w:szCs w:val="18"/>
                <w:lang w:val="en-US" w:eastAsia="en-US"/>
              </w:rPr>
              <w:t>Dépenses diverses</w:t>
            </w:r>
          </w:p>
        </w:tc>
        <w:tc>
          <w:tcPr>
            <w:tcW w:w="254" w:type="pct"/>
            <w:tcBorders>
              <w:top w:val="nil"/>
              <w:left w:val="nil"/>
              <w:bottom w:val="single" w:sz="8" w:space="0" w:color="auto"/>
              <w:right w:val="single" w:sz="8" w:space="0" w:color="auto"/>
            </w:tcBorders>
            <w:shd w:val="clear" w:color="auto" w:fill="auto"/>
            <w:noWrap/>
            <w:vAlign w:val="center"/>
            <w:hideMark/>
          </w:tcPr>
          <w:p w14:paraId="618AE221"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8,205 </w:t>
            </w:r>
          </w:p>
        </w:tc>
        <w:tc>
          <w:tcPr>
            <w:tcW w:w="273" w:type="pct"/>
            <w:tcBorders>
              <w:top w:val="nil"/>
              <w:left w:val="nil"/>
              <w:bottom w:val="single" w:sz="8" w:space="0" w:color="auto"/>
              <w:right w:val="single" w:sz="8" w:space="0" w:color="auto"/>
            </w:tcBorders>
            <w:shd w:val="clear" w:color="auto" w:fill="auto"/>
            <w:noWrap/>
            <w:vAlign w:val="center"/>
            <w:hideMark/>
          </w:tcPr>
          <w:p w14:paraId="2811FB2F"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 </w:t>
            </w:r>
          </w:p>
        </w:tc>
        <w:tc>
          <w:tcPr>
            <w:tcW w:w="250" w:type="pct"/>
            <w:tcBorders>
              <w:top w:val="nil"/>
              <w:left w:val="nil"/>
              <w:bottom w:val="single" w:sz="8" w:space="0" w:color="auto"/>
              <w:right w:val="single" w:sz="8" w:space="0" w:color="auto"/>
            </w:tcBorders>
            <w:shd w:val="clear" w:color="auto" w:fill="auto"/>
            <w:noWrap/>
            <w:vAlign w:val="center"/>
            <w:hideMark/>
          </w:tcPr>
          <w:p w14:paraId="54DE02D4"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 </w:t>
            </w:r>
          </w:p>
        </w:tc>
        <w:tc>
          <w:tcPr>
            <w:tcW w:w="250" w:type="pct"/>
            <w:tcBorders>
              <w:top w:val="nil"/>
              <w:left w:val="nil"/>
              <w:bottom w:val="single" w:sz="8" w:space="0" w:color="auto"/>
              <w:right w:val="single" w:sz="8" w:space="0" w:color="auto"/>
            </w:tcBorders>
            <w:shd w:val="clear" w:color="auto" w:fill="auto"/>
            <w:noWrap/>
            <w:vAlign w:val="center"/>
            <w:hideMark/>
          </w:tcPr>
          <w:p w14:paraId="641F672A"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 </w:t>
            </w:r>
          </w:p>
        </w:tc>
        <w:tc>
          <w:tcPr>
            <w:tcW w:w="250" w:type="pct"/>
            <w:tcBorders>
              <w:top w:val="nil"/>
              <w:left w:val="nil"/>
              <w:bottom w:val="single" w:sz="8" w:space="0" w:color="auto"/>
              <w:right w:val="single" w:sz="8" w:space="0" w:color="auto"/>
            </w:tcBorders>
            <w:shd w:val="clear" w:color="auto" w:fill="auto"/>
            <w:noWrap/>
            <w:vAlign w:val="center"/>
            <w:hideMark/>
          </w:tcPr>
          <w:p w14:paraId="23C5A288"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 </w:t>
            </w:r>
          </w:p>
        </w:tc>
        <w:tc>
          <w:tcPr>
            <w:tcW w:w="250" w:type="pct"/>
            <w:tcBorders>
              <w:top w:val="nil"/>
              <w:left w:val="nil"/>
              <w:bottom w:val="single" w:sz="8" w:space="0" w:color="auto"/>
              <w:right w:val="single" w:sz="8" w:space="0" w:color="auto"/>
            </w:tcBorders>
            <w:shd w:val="clear" w:color="auto" w:fill="auto"/>
            <w:noWrap/>
            <w:vAlign w:val="center"/>
            <w:hideMark/>
          </w:tcPr>
          <w:p w14:paraId="6FF900F0"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 </w:t>
            </w:r>
          </w:p>
        </w:tc>
        <w:tc>
          <w:tcPr>
            <w:tcW w:w="261" w:type="pct"/>
            <w:tcBorders>
              <w:top w:val="nil"/>
              <w:left w:val="nil"/>
              <w:bottom w:val="single" w:sz="8" w:space="0" w:color="auto"/>
              <w:right w:val="single" w:sz="8" w:space="0" w:color="auto"/>
            </w:tcBorders>
            <w:shd w:val="clear" w:color="auto" w:fill="auto"/>
            <w:noWrap/>
            <w:vAlign w:val="center"/>
            <w:hideMark/>
          </w:tcPr>
          <w:p w14:paraId="3EA5E69B"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8,205 </w:t>
            </w:r>
          </w:p>
        </w:tc>
        <w:tc>
          <w:tcPr>
            <w:tcW w:w="183" w:type="pct"/>
            <w:tcBorders>
              <w:top w:val="nil"/>
              <w:left w:val="nil"/>
              <w:bottom w:val="single" w:sz="8" w:space="0" w:color="auto"/>
              <w:right w:val="single" w:sz="8" w:space="0" w:color="auto"/>
            </w:tcBorders>
            <w:shd w:val="clear" w:color="auto" w:fill="auto"/>
            <w:noWrap/>
            <w:vAlign w:val="center"/>
            <w:hideMark/>
          </w:tcPr>
          <w:p w14:paraId="7D8CA60A" w14:textId="77777777" w:rsidR="00107491" w:rsidRPr="00107491" w:rsidRDefault="00107491" w:rsidP="00107491">
            <w:pPr>
              <w:jc w:val="center"/>
              <w:rPr>
                <w:i/>
                <w:iCs/>
                <w:color w:val="000000"/>
                <w:sz w:val="18"/>
                <w:szCs w:val="18"/>
                <w:lang w:val="en-US" w:eastAsia="en-US"/>
              </w:rPr>
            </w:pPr>
            <w:r w:rsidRPr="00107491">
              <w:rPr>
                <w:i/>
                <w:iCs/>
                <w:color w:val="000000"/>
                <w:sz w:val="18"/>
                <w:szCs w:val="18"/>
                <w:lang w:val="en-US" w:eastAsia="en-US"/>
              </w:rPr>
              <w:t> </w:t>
            </w:r>
          </w:p>
        </w:tc>
        <w:tc>
          <w:tcPr>
            <w:tcW w:w="35" w:type="pct"/>
            <w:vAlign w:val="center"/>
            <w:hideMark/>
          </w:tcPr>
          <w:p w14:paraId="17CAD6C1" w14:textId="77777777" w:rsidR="00107491" w:rsidRPr="00107491" w:rsidRDefault="00107491" w:rsidP="00107491">
            <w:pPr>
              <w:rPr>
                <w:sz w:val="20"/>
                <w:szCs w:val="20"/>
                <w:lang w:val="en-US" w:eastAsia="en-US"/>
              </w:rPr>
            </w:pPr>
          </w:p>
        </w:tc>
      </w:tr>
      <w:tr w:rsidR="00107491" w:rsidRPr="00107491" w14:paraId="26293FA3" w14:textId="77777777" w:rsidTr="00107491">
        <w:trPr>
          <w:trHeight w:val="300"/>
        </w:trPr>
        <w:tc>
          <w:tcPr>
            <w:tcW w:w="1056" w:type="pct"/>
            <w:tcBorders>
              <w:top w:val="nil"/>
              <w:left w:val="single" w:sz="8" w:space="0" w:color="auto"/>
              <w:bottom w:val="nil"/>
              <w:right w:val="nil"/>
            </w:tcBorders>
            <w:shd w:val="clear" w:color="auto" w:fill="auto"/>
            <w:noWrap/>
            <w:vAlign w:val="center"/>
            <w:hideMark/>
          </w:tcPr>
          <w:p w14:paraId="417220A1" w14:textId="77777777" w:rsidR="00107491" w:rsidRPr="00107491" w:rsidRDefault="00107491" w:rsidP="00107491">
            <w:pPr>
              <w:rPr>
                <w:rFonts w:ascii="Calibri" w:hAnsi="Calibri" w:cs="Calibri"/>
                <w:color w:val="000000"/>
                <w:sz w:val="18"/>
                <w:szCs w:val="18"/>
                <w:lang w:val="en-US" w:eastAsia="en-US"/>
              </w:rPr>
            </w:pPr>
            <w:r w:rsidRPr="00107491">
              <w:rPr>
                <w:rFonts w:ascii="Calibri" w:hAnsi="Calibri" w:cs="Calibri"/>
                <w:color w:val="000000"/>
                <w:sz w:val="18"/>
                <w:szCs w:val="18"/>
                <w:lang w:val="en-US" w:eastAsia="en-US"/>
              </w:rPr>
              <w:t> </w:t>
            </w:r>
          </w:p>
        </w:tc>
        <w:tc>
          <w:tcPr>
            <w:tcW w:w="381" w:type="pct"/>
            <w:vMerge/>
            <w:tcBorders>
              <w:top w:val="nil"/>
              <w:left w:val="single" w:sz="8" w:space="0" w:color="auto"/>
              <w:bottom w:val="double" w:sz="6" w:space="0" w:color="000000"/>
              <w:right w:val="single" w:sz="8" w:space="0" w:color="auto"/>
            </w:tcBorders>
            <w:vAlign w:val="center"/>
            <w:hideMark/>
          </w:tcPr>
          <w:p w14:paraId="525A8CB1" w14:textId="77777777" w:rsidR="00107491" w:rsidRPr="00107491" w:rsidRDefault="00107491" w:rsidP="00107491">
            <w:pPr>
              <w:rPr>
                <w:b/>
                <w:bCs/>
                <w:color w:val="000000"/>
                <w:sz w:val="18"/>
                <w:szCs w:val="18"/>
                <w:lang w:val="en-US" w:eastAsia="en-US"/>
              </w:rPr>
            </w:pPr>
          </w:p>
        </w:tc>
        <w:tc>
          <w:tcPr>
            <w:tcW w:w="453" w:type="pct"/>
            <w:vMerge/>
            <w:tcBorders>
              <w:top w:val="nil"/>
              <w:left w:val="single" w:sz="8" w:space="0" w:color="auto"/>
              <w:bottom w:val="double" w:sz="6" w:space="0" w:color="000000"/>
              <w:right w:val="single" w:sz="8" w:space="0" w:color="auto"/>
            </w:tcBorders>
            <w:vAlign w:val="center"/>
            <w:hideMark/>
          </w:tcPr>
          <w:p w14:paraId="76D431B9" w14:textId="77777777" w:rsidR="00107491" w:rsidRPr="00107491" w:rsidRDefault="00107491" w:rsidP="00107491">
            <w:pPr>
              <w:rPr>
                <w:b/>
                <w:bCs/>
                <w:color w:val="000000"/>
                <w:sz w:val="18"/>
                <w:szCs w:val="18"/>
                <w:lang w:val="en-US" w:eastAsia="en-US"/>
              </w:rPr>
            </w:pPr>
          </w:p>
        </w:tc>
        <w:tc>
          <w:tcPr>
            <w:tcW w:w="388" w:type="pct"/>
            <w:vMerge/>
            <w:tcBorders>
              <w:top w:val="nil"/>
              <w:left w:val="single" w:sz="8" w:space="0" w:color="auto"/>
              <w:bottom w:val="double" w:sz="6" w:space="0" w:color="000000"/>
              <w:right w:val="single" w:sz="8" w:space="0" w:color="auto"/>
            </w:tcBorders>
            <w:vAlign w:val="center"/>
            <w:hideMark/>
          </w:tcPr>
          <w:p w14:paraId="458474BA" w14:textId="77777777" w:rsidR="00107491" w:rsidRPr="00107491" w:rsidRDefault="00107491" w:rsidP="00107491">
            <w:pPr>
              <w:rPr>
                <w:b/>
                <w:bCs/>
                <w:color w:val="000000"/>
                <w:sz w:val="18"/>
                <w:szCs w:val="18"/>
                <w:lang w:val="en-US" w:eastAsia="en-US"/>
              </w:rPr>
            </w:pPr>
          </w:p>
        </w:tc>
        <w:tc>
          <w:tcPr>
            <w:tcW w:w="258" w:type="pct"/>
            <w:tcBorders>
              <w:top w:val="single" w:sz="8" w:space="0" w:color="auto"/>
              <w:left w:val="nil"/>
              <w:bottom w:val="nil"/>
              <w:right w:val="single" w:sz="8" w:space="0" w:color="auto"/>
            </w:tcBorders>
            <w:shd w:val="clear" w:color="auto" w:fill="auto"/>
            <w:noWrap/>
            <w:vAlign w:val="center"/>
            <w:hideMark/>
          </w:tcPr>
          <w:p w14:paraId="057EDA6B" w14:textId="77777777" w:rsidR="00107491" w:rsidRPr="00107491" w:rsidRDefault="00107491" w:rsidP="00107491">
            <w:pPr>
              <w:rPr>
                <w:color w:val="000000"/>
                <w:sz w:val="18"/>
                <w:szCs w:val="18"/>
                <w:lang w:val="en-US" w:eastAsia="en-US"/>
              </w:rPr>
            </w:pPr>
            <w:r w:rsidRPr="00107491">
              <w:rPr>
                <w:color w:val="000000"/>
                <w:sz w:val="18"/>
                <w:szCs w:val="18"/>
                <w:lang w:val="en-US" w:eastAsia="en-US"/>
              </w:rPr>
              <w:t> </w:t>
            </w:r>
          </w:p>
        </w:tc>
        <w:tc>
          <w:tcPr>
            <w:tcW w:w="458" w:type="pct"/>
            <w:tcBorders>
              <w:top w:val="nil"/>
              <w:left w:val="nil"/>
              <w:bottom w:val="double" w:sz="6" w:space="0" w:color="auto"/>
              <w:right w:val="single" w:sz="8" w:space="0" w:color="auto"/>
            </w:tcBorders>
            <w:shd w:val="clear" w:color="auto" w:fill="auto"/>
            <w:noWrap/>
            <w:vAlign w:val="center"/>
            <w:hideMark/>
          </w:tcPr>
          <w:p w14:paraId="6E8DDBFD" w14:textId="77777777" w:rsidR="00601D9B" w:rsidRDefault="000E53A0">
            <w:pPr>
              <w:jc w:val="both"/>
              <w:rPr>
                <w:b/>
                <w:bCs/>
                <w:color w:val="000000"/>
                <w:sz w:val="18"/>
                <w:szCs w:val="18"/>
                <w:lang w:val="en-US" w:eastAsia="en-US"/>
              </w:rPr>
            </w:pPr>
            <w:r w:rsidRPr="00107491">
              <w:rPr>
                <w:b/>
                <w:bCs/>
                <w:color w:val="000000"/>
                <w:sz w:val="18"/>
                <w:szCs w:val="18"/>
                <w:lang w:val="en-US" w:eastAsia="en-US"/>
              </w:rPr>
              <w:t>Sous-total LDCF</w:t>
            </w:r>
          </w:p>
        </w:tc>
        <w:tc>
          <w:tcPr>
            <w:tcW w:w="254" w:type="pct"/>
            <w:tcBorders>
              <w:top w:val="nil"/>
              <w:left w:val="nil"/>
              <w:bottom w:val="single" w:sz="8" w:space="0" w:color="auto"/>
              <w:right w:val="single" w:sz="8" w:space="0" w:color="auto"/>
            </w:tcBorders>
            <w:shd w:val="clear" w:color="auto" w:fill="auto"/>
            <w:noWrap/>
            <w:vAlign w:val="center"/>
            <w:hideMark/>
          </w:tcPr>
          <w:p w14:paraId="533D5DB0"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 xml:space="preserve">              42,905 </w:t>
            </w:r>
          </w:p>
        </w:tc>
        <w:tc>
          <w:tcPr>
            <w:tcW w:w="273" w:type="pct"/>
            <w:tcBorders>
              <w:top w:val="nil"/>
              <w:left w:val="nil"/>
              <w:bottom w:val="single" w:sz="8" w:space="0" w:color="auto"/>
              <w:right w:val="single" w:sz="8" w:space="0" w:color="auto"/>
            </w:tcBorders>
            <w:shd w:val="clear" w:color="auto" w:fill="auto"/>
            <w:noWrap/>
            <w:vAlign w:val="center"/>
            <w:hideMark/>
          </w:tcPr>
          <w:p w14:paraId="74400E9D"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 xml:space="preserve">               327,900 </w:t>
            </w:r>
          </w:p>
        </w:tc>
        <w:tc>
          <w:tcPr>
            <w:tcW w:w="250" w:type="pct"/>
            <w:tcBorders>
              <w:top w:val="nil"/>
              <w:left w:val="nil"/>
              <w:bottom w:val="single" w:sz="8" w:space="0" w:color="auto"/>
              <w:right w:val="single" w:sz="8" w:space="0" w:color="auto"/>
            </w:tcBorders>
            <w:shd w:val="clear" w:color="auto" w:fill="auto"/>
            <w:noWrap/>
            <w:vAlign w:val="center"/>
            <w:hideMark/>
          </w:tcPr>
          <w:p w14:paraId="587D8988"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 xml:space="preserve">            670,900 </w:t>
            </w:r>
          </w:p>
        </w:tc>
        <w:tc>
          <w:tcPr>
            <w:tcW w:w="250" w:type="pct"/>
            <w:tcBorders>
              <w:top w:val="nil"/>
              <w:left w:val="nil"/>
              <w:bottom w:val="single" w:sz="8" w:space="0" w:color="auto"/>
              <w:right w:val="single" w:sz="8" w:space="0" w:color="auto"/>
            </w:tcBorders>
            <w:shd w:val="clear" w:color="auto" w:fill="auto"/>
            <w:noWrap/>
            <w:vAlign w:val="center"/>
            <w:hideMark/>
          </w:tcPr>
          <w:p w14:paraId="631200D8"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 xml:space="preserve">            607,000 </w:t>
            </w:r>
          </w:p>
        </w:tc>
        <w:tc>
          <w:tcPr>
            <w:tcW w:w="250" w:type="pct"/>
            <w:tcBorders>
              <w:top w:val="nil"/>
              <w:left w:val="nil"/>
              <w:bottom w:val="single" w:sz="8" w:space="0" w:color="auto"/>
              <w:right w:val="single" w:sz="8" w:space="0" w:color="auto"/>
            </w:tcBorders>
            <w:shd w:val="clear" w:color="auto" w:fill="auto"/>
            <w:noWrap/>
            <w:vAlign w:val="center"/>
            <w:hideMark/>
          </w:tcPr>
          <w:p w14:paraId="44B74186"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 xml:space="preserve">            441,500 </w:t>
            </w:r>
          </w:p>
        </w:tc>
        <w:tc>
          <w:tcPr>
            <w:tcW w:w="250" w:type="pct"/>
            <w:tcBorders>
              <w:top w:val="nil"/>
              <w:left w:val="nil"/>
              <w:bottom w:val="single" w:sz="8" w:space="0" w:color="auto"/>
              <w:right w:val="single" w:sz="8" w:space="0" w:color="auto"/>
            </w:tcBorders>
            <w:shd w:val="clear" w:color="auto" w:fill="auto"/>
            <w:noWrap/>
            <w:vAlign w:val="center"/>
            <w:hideMark/>
          </w:tcPr>
          <w:p w14:paraId="45599077"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 xml:space="preserve">                     - </w:t>
            </w:r>
          </w:p>
        </w:tc>
        <w:tc>
          <w:tcPr>
            <w:tcW w:w="261" w:type="pct"/>
            <w:tcBorders>
              <w:top w:val="nil"/>
              <w:left w:val="nil"/>
              <w:bottom w:val="single" w:sz="8" w:space="0" w:color="auto"/>
              <w:right w:val="single" w:sz="8" w:space="0" w:color="auto"/>
            </w:tcBorders>
            <w:shd w:val="clear" w:color="auto" w:fill="auto"/>
            <w:noWrap/>
            <w:vAlign w:val="center"/>
            <w:hideMark/>
          </w:tcPr>
          <w:p w14:paraId="1807F675"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 xml:space="preserve">           2,090,205 </w:t>
            </w:r>
          </w:p>
        </w:tc>
        <w:tc>
          <w:tcPr>
            <w:tcW w:w="183" w:type="pct"/>
            <w:tcBorders>
              <w:top w:val="nil"/>
              <w:left w:val="nil"/>
              <w:bottom w:val="single" w:sz="8" w:space="0" w:color="auto"/>
              <w:right w:val="single" w:sz="8" w:space="0" w:color="auto"/>
            </w:tcBorders>
            <w:shd w:val="clear" w:color="auto" w:fill="auto"/>
            <w:noWrap/>
            <w:vAlign w:val="center"/>
            <w:hideMark/>
          </w:tcPr>
          <w:p w14:paraId="04869616" w14:textId="77777777" w:rsidR="00107491" w:rsidRPr="00107491" w:rsidRDefault="00107491" w:rsidP="00107491">
            <w:pPr>
              <w:jc w:val="center"/>
              <w:rPr>
                <w:i/>
                <w:iCs/>
                <w:color w:val="000000"/>
                <w:sz w:val="18"/>
                <w:szCs w:val="18"/>
                <w:lang w:val="en-US" w:eastAsia="en-US"/>
              </w:rPr>
            </w:pPr>
            <w:r w:rsidRPr="00107491">
              <w:rPr>
                <w:i/>
                <w:iCs/>
                <w:color w:val="000000"/>
                <w:sz w:val="18"/>
                <w:szCs w:val="18"/>
                <w:lang w:val="en-US" w:eastAsia="en-US"/>
              </w:rPr>
              <w:t> </w:t>
            </w:r>
          </w:p>
        </w:tc>
        <w:tc>
          <w:tcPr>
            <w:tcW w:w="35" w:type="pct"/>
            <w:vAlign w:val="center"/>
            <w:hideMark/>
          </w:tcPr>
          <w:p w14:paraId="3A388A95" w14:textId="77777777" w:rsidR="00107491" w:rsidRPr="00107491" w:rsidRDefault="00107491" w:rsidP="00107491">
            <w:pPr>
              <w:rPr>
                <w:sz w:val="20"/>
                <w:szCs w:val="20"/>
                <w:lang w:val="en-US" w:eastAsia="en-US"/>
              </w:rPr>
            </w:pPr>
          </w:p>
        </w:tc>
      </w:tr>
      <w:tr w:rsidR="00107491" w:rsidRPr="00107491" w14:paraId="64371F55" w14:textId="77777777" w:rsidTr="00107491">
        <w:trPr>
          <w:trHeight w:val="300"/>
        </w:trPr>
        <w:tc>
          <w:tcPr>
            <w:tcW w:w="1056" w:type="pct"/>
            <w:tcBorders>
              <w:top w:val="nil"/>
              <w:left w:val="single" w:sz="8" w:space="0" w:color="auto"/>
              <w:bottom w:val="double" w:sz="6" w:space="0" w:color="auto"/>
              <w:right w:val="nil"/>
            </w:tcBorders>
            <w:shd w:val="clear" w:color="auto" w:fill="auto"/>
            <w:noWrap/>
            <w:vAlign w:val="center"/>
            <w:hideMark/>
          </w:tcPr>
          <w:p w14:paraId="177B0AF6" w14:textId="77777777" w:rsidR="00107491" w:rsidRPr="00107491" w:rsidRDefault="00107491" w:rsidP="00107491">
            <w:pPr>
              <w:rPr>
                <w:rFonts w:ascii="Calibri" w:hAnsi="Calibri" w:cs="Calibri"/>
                <w:color w:val="000000"/>
                <w:sz w:val="18"/>
                <w:szCs w:val="18"/>
                <w:lang w:val="en-US" w:eastAsia="en-US"/>
              </w:rPr>
            </w:pPr>
            <w:r w:rsidRPr="00107491">
              <w:rPr>
                <w:rFonts w:ascii="Calibri" w:hAnsi="Calibri" w:cs="Calibri"/>
                <w:color w:val="000000"/>
                <w:sz w:val="18"/>
                <w:szCs w:val="18"/>
                <w:lang w:val="en-US" w:eastAsia="en-US"/>
              </w:rPr>
              <w:t> </w:t>
            </w:r>
          </w:p>
        </w:tc>
        <w:tc>
          <w:tcPr>
            <w:tcW w:w="381" w:type="pct"/>
            <w:vMerge/>
            <w:tcBorders>
              <w:top w:val="nil"/>
              <w:left w:val="single" w:sz="8" w:space="0" w:color="auto"/>
              <w:bottom w:val="double" w:sz="6" w:space="0" w:color="000000"/>
              <w:right w:val="single" w:sz="8" w:space="0" w:color="auto"/>
            </w:tcBorders>
            <w:vAlign w:val="center"/>
            <w:hideMark/>
          </w:tcPr>
          <w:p w14:paraId="6660426D" w14:textId="77777777" w:rsidR="00107491" w:rsidRPr="00107491" w:rsidRDefault="00107491" w:rsidP="00107491">
            <w:pPr>
              <w:rPr>
                <w:b/>
                <w:bCs/>
                <w:color w:val="000000"/>
                <w:sz w:val="18"/>
                <w:szCs w:val="18"/>
                <w:lang w:val="en-US" w:eastAsia="en-US"/>
              </w:rPr>
            </w:pPr>
          </w:p>
        </w:tc>
        <w:tc>
          <w:tcPr>
            <w:tcW w:w="453" w:type="pct"/>
            <w:tcBorders>
              <w:top w:val="nil"/>
              <w:left w:val="nil"/>
              <w:bottom w:val="double" w:sz="6" w:space="0" w:color="auto"/>
              <w:right w:val="single" w:sz="8" w:space="0" w:color="auto"/>
            </w:tcBorders>
            <w:shd w:val="clear" w:color="auto" w:fill="auto"/>
            <w:vAlign w:val="center"/>
            <w:hideMark/>
          </w:tcPr>
          <w:p w14:paraId="15E13F3E" w14:textId="77777777" w:rsidR="00107491" w:rsidRPr="00107491" w:rsidRDefault="00107491" w:rsidP="00107491">
            <w:pPr>
              <w:jc w:val="center"/>
              <w:rPr>
                <w:b/>
                <w:bCs/>
                <w:color w:val="000000"/>
                <w:sz w:val="18"/>
                <w:szCs w:val="18"/>
                <w:lang w:val="en-US" w:eastAsia="en-US"/>
              </w:rPr>
            </w:pPr>
            <w:r w:rsidRPr="00107491">
              <w:rPr>
                <w:b/>
                <w:bCs/>
                <w:color w:val="000000"/>
                <w:sz w:val="18"/>
                <w:szCs w:val="18"/>
                <w:lang w:val="en-US" w:eastAsia="en-US"/>
              </w:rPr>
              <w:t> </w:t>
            </w:r>
          </w:p>
        </w:tc>
        <w:tc>
          <w:tcPr>
            <w:tcW w:w="388" w:type="pct"/>
            <w:tcBorders>
              <w:top w:val="nil"/>
              <w:left w:val="nil"/>
              <w:bottom w:val="double" w:sz="6" w:space="0" w:color="auto"/>
              <w:right w:val="single" w:sz="8" w:space="0" w:color="auto"/>
            </w:tcBorders>
            <w:shd w:val="clear" w:color="auto" w:fill="auto"/>
            <w:vAlign w:val="center"/>
            <w:hideMark/>
          </w:tcPr>
          <w:p w14:paraId="7D43F9B9" w14:textId="77777777" w:rsidR="00107491" w:rsidRPr="00107491" w:rsidRDefault="00107491" w:rsidP="00107491">
            <w:pPr>
              <w:jc w:val="center"/>
              <w:rPr>
                <w:b/>
                <w:bCs/>
                <w:color w:val="000000"/>
                <w:sz w:val="18"/>
                <w:szCs w:val="18"/>
                <w:lang w:val="en-US" w:eastAsia="en-US"/>
              </w:rPr>
            </w:pPr>
            <w:r w:rsidRPr="00107491">
              <w:rPr>
                <w:b/>
                <w:bCs/>
                <w:color w:val="000000"/>
                <w:sz w:val="18"/>
                <w:szCs w:val="18"/>
                <w:lang w:val="en-US" w:eastAsia="en-US"/>
              </w:rPr>
              <w:t> </w:t>
            </w:r>
          </w:p>
        </w:tc>
        <w:tc>
          <w:tcPr>
            <w:tcW w:w="258" w:type="pct"/>
            <w:tcBorders>
              <w:top w:val="double" w:sz="6" w:space="0" w:color="auto"/>
              <w:left w:val="nil"/>
              <w:bottom w:val="double" w:sz="6" w:space="0" w:color="auto"/>
              <w:right w:val="single" w:sz="8" w:space="0" w:color="auto"/>
            </w:tcBorders>
            <w:shd w:val="clear" w:color="auto" w:fill="auto"/>
            <w:noWrap/>
            <w:vAlign w:val="center"/>
            <w:hideMark/>
          </w:tcPr>
          <w:p w14:paraId="33D023FF" w14:textId="77777777" w:rsidR="00107491" w:rsidRPr="00107491" w:rsidRDefault="00107491" w:rsidP="00107491">
            <w:pPr>
              <w:jc w:val="center"/>
              <w:rPr>
                <w:color w:val="000000"/>
                <w:sz w:val="18"/>
                <w:szCs w:val="18"/>
                <w:lang w:val="en-US" w:eastAsia="en-US"/>
              </w:rPr>
            </w:pPr>
            <w:r w:rsidRPr="00107491">
              <w:rPr>
                <w:color w:val="000000"/>
                <w:sz w:val="18"/>
                <w:szCs w:val="18"/>
                <w:lang w:val="en-US" w:eastAsia="en-US"/>
              </w:rPr>
              <w:t> </w:t>
            </w:r>
          </w:p>
        </w:tc>
        <w:tc>
          <w:tcPr>
            <w:tcW w:w="458" w:type="pct"/>
            <w:tcBorders>
              <w:top w:val="nil"/>
              <w:left w:val="nil"/>
              <w:bottom w:val="double" w:sz="6" w:space="0" w:color="auto"/>
              <w:right w:val="single" w:sz="8" w:space="0" w:color="auto"/>
            </w:tcBorders>
            <w:shd w:val="clear" w:color="auto" w:fill="auto"/>
            <w:noWrap/>
            <w:vAlign w:val="center"/>
            <w:hideMark/>
          </w:tcPr>
          <w:p w14:paraId="5301B5CB" w14:textId="77777777" w:rsidR="00601D9B" w:rsidRDefault="000E53A0">
            <w:pPr>
              <w:jc w:val="both"/>
              <w:rPr>
                <w:b/>
                <w:bCs/>
                <w:color w:val="000000"/>
                <w:sz w:val="18"/>
                <w:szCs w:val="18"/>
                <w:lang w:val="en-US" w:eastAsia="en-US"/>
              </w:rPr>
            </w:pPr>
            <w:r w:rsidRPr="00107491">
              <w:rPr>
                <w:b/>
                <w:bCs/>
                <w:color w:val="000000"/>
                <w:sz w:val="18"/>
                <w:szCs w:val="18"/>
                <w:lang w:val="en-US" w:eastAsia="en-US"/>
              </w:rPr>
              <w:t>Total Résultat 2</w:t>
            </w:r>
          </w:p>
        </w:tc>
        <w:tc>
          <w:tcPr>
            <w:tcW w:w="254" w:type="pct"/>
            <w:tcBorders>
              <w:top w:val="nil"/>
              <w:left w:val="nil"/>
              <w:bottom w:val="double" w:sz="6" w:space="0" w:color="auto"/>
              <w:right w:val="single" w:sz="8" w:space="0" w:color="auto"/>
            </w:tcBorders>
            <w:shd w:val="clear" w:color="auto" w:fill="auto"/>
            <w:noWrap/>
            <w:vAlign w:val="center"/>
            <w:hideMark/>
          </w:tcPr>
          <w:p w14:paraId="03A80384"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 xml:space="preserve">            163,471 </w:t>
            </w:r>
          </w:p>
        </w:tc>
        <w:tc>
          <w:tcPr>
            <w:tcW w:w="273" w:type="pct"/>
            <w:tcBorders>
              <w:top w:val="nil"/>
              <w:left w:val="nil"/>
              <w:bottom w:val="double" w:sz="6" w:space="0" w:color="auto"/>
              <w:right w:val="single" w:sz="8" w:space="0" w:color="auto"/>
            </w:tcBorders>
            <w:shd w:val="clear" w:color="auto" w:fill="auto"/>
            <w:noWrap/>
            <w:vAlign w:val="center"/>
            <w:hideMark/>
          </w:tcPr>
          <w:p w14:paraId="5F9B9F77"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 xml:space="preserve">               739,975 </w:t>
            </w:r>
          </w:p>
        </w:tc>
        <w:tc>
          <w:tcPr>
            <w:tcW w:w="250" w:type="pct"/>
            <w:tcBorders>
              <w:top w:val="nil"/>
              <w:left w:val="nil"/>
              <w:bottom w:val="double" w:sz="6" w:space="0" w:color="auto"/>
              <w:right w:val="single" w:sz="8" w:space="0" w:color="auto"/>
            </w:tcBorders>
            <w:shd w:val="clear" w:color="auto" w:fill="auto"/>
            <w:noWrap/>
            <w:vAlign w:val="center"/>
            <w:hideMark/>
          </w:tcPr>
          <w:p w14:paraId="70418121"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 xml:space="preserve">         1,025,350 </w:t>
            </w:r>
          </w:p>
        </w:tc>
        <w:tc>
          <w:tcPr>
            <w:tcW w:w="250" w:type="pct"/>
            <w:tcBorders>
              <w:top w:val="nil"/>
              <w:left w:val="nil"/>
              <w:bottom w:val="double" w:sz="6" w:space="0" w:color="auto"/>
              <w:right w:val="single" w:sz="8" w:space="0" w:color="auto"/>
            </w:tcBorders>
            <w:shd w:val="clear" w:color="auto" w:fill="auto"/>
            <w:noWrap/>
            <w:vAlign w:val="center"/>
            <w:hideMark/>
          </w:tcPr>
          <w:p w14:paraId="1C03B438"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 xml:space="preserve">            918,325 </w:t>
            </w:r>
          </w:p>
        </w:tc>
        <w:tc>
          <w:tcPr>
            <w:tcW w:w="250" w:type="pct"/>
            <w:tcBorders>
              <w:top w:val="nil"/>
              <w:left w:val="nil"/>
              <w:bottom w:val="double" w:sz="6" w:space="0" w:color="auto"/>
              <w:right w:val="single" w:sz="8" w:space="0" w:color="auto"/>
            </w:tcBorders>
            <w:shd w:val="clear" w:color="auto" w:fill="auto"/>
            <w:noWrap/>
            <w:vAlign w:val="center"/>
            <w:hideMark/>
          </w:tcPr>
          <w:p w14:paraId="55258B1B"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 xml:space="preserve">            752,825 </w:t>
            </w:r>
          </w:p>
        </w:tc>
        <w:tc>
          <w:tcPr>
            <w:tcW w:w="250" w:type="pct"/>
            <w:tcBorders>
              <w:top w:val="nil"/>
              <w:left w:val="nil"/>
              <w:bottom w:val="double" w:sz="6" w:space="0" w:color="auto"/>
              <w:right w:val="single" w:sz="8" w:space="0" w:color="auto"/>
            </w:tcBorders>
            <w:shd w:val="clear" w:color="auto" w:fill="auto"/>
            <w:noWrap/>
            <w:vAlign w:val="center"/>
            <w:hideMark/>
          </w:tcPr>
          <w:p w14:paraId="1C565E95"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 xml:space="preserve">            323,325 </w:t>
            </w:r>
          </w:p>
        </w:tc>
        <w:tc>
          <w:tcPr>
            <w:tcW w:w="261" w:type="pct"/>
            <w:tcBorders>
              <w:top w:val="nil"/>
              <w:left w:val="nil"/>
              <w:bottom w:val="double" w:sz="6" w:space="0" w:color="auto"/>
              <w:right w:val="single" w:sz="8" w:space="0" w:color="auto"/>
            </w:tcBorders>
            <w:shd w:val="clear" w:color="auto" w:fill="auto"/>
            <w:noWrap/>
            <w:vAlign w:val="center"/>
            <w:hideMark/>
          </w:tcPr>
          <w:p w14:paraId="38773074"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 xml:space="preserve">           3,923,271 </w:t>
            </w:r>
          </w:p>
        </w:tc>
        <w:tc>
          <w:tcPr>
            <w:tcW w:w="183" w:type="pct"/>
            <w:tcBorders>
              <w:top w:val="nil"/>
              <w:left w:val="nil"/>
              <w:bottom w:val="double" w:sz="6" w:space="0" w:color="auto"/>
              <w:right w:val="single" w:sz="8" w:space="0" w:color="auto"/>
            </w:tcBorders>
            <w:shd w:val="clear" w:color="auto" w:fill="auto"/>
            <w:vAlign w:val="center"/>
            <w:hideMark/>
          </w:tcPr>
          <w:p w14:paraId="4F8AA011" w14:textId="77777777" w:rsidR="00107491" w:rsidRPr="00107491" w:rsidRDefault="00107491" w:rsidP="00107491">
            <w:pPr>
              <w:jc w:val="center"/>
              <w:rPr>
                <w:i/>
                <w:iCs/>
                <w:color w:val="000000"/>
                <w:sz w:val="18"/>
                <w:szCs w:val="18"/>
                <w:lang w:val="en-US" w:eastAsia="en-US"/>
              </w:rPr>
            </w:pPr>
            <w:r w:rsidRPr="00107491">
              <w:rPr>
                <w:i/>
                <w:iCs/>
                <w:color w:val="000000"/>
                <w:sz w:val="18"/>
                <w:szCs w:val="18"/>
                <w:lang w:val="en-US" w:eastAsia="en-US"/>
              </w:rPr>
              <w:t> </w:t>
            </w:r>
          </w:p>
        </w:tc>
        <w:tc>
          <w:tcPr>
            <w:tcW w:w="35" w:type="pct"/>
            <w:vAlign w:val="center"/>
            <w:hideMark/>
          </w:tcPr>
          <w:p w14:paraId="142B826C" w14:textId="77777777" w:rsidR="00107491" w:rsidRPr="00107491" w:rsidRDefault="00107491" w:rsidP="00107491">
            <w:pPr>
              <w:rPr>
                <w:sz w:val="20"/>
                <w:szCs w:val="20"/>
                <w:lang w:val="en-US" w:eastAsia="en-US"/>
              </w:rPr>
            </w:pPr>
          </w:p>
        </w:tc>
      </w:tr>
      <w:tr w:rsidR="00107491" w:rsidRPr="00107491" w14:paraId="53C3A824" w14:textId="77777777" w:rsidTr="00107491">
        <w:trPr>
          <w:trHeight w:val="300"/>
        </w:trPr>
        <w:tc>
          <w:tcPr>
            <w:tcW w:w="1056" w:type="pct"/>
            <w:tcBorders>
              <w:top w:val="nil"/>
              <w:left w:val="single" w:sz="8" w:space="0" w:color="auto"/>
              <w:bottom w:val="nil"/>
              <w:right w:val="nil"/>
            </w:tcBorders>
            <w:shd w:val="clear" w:color="auto" w:fill="auto"/>
            <w:noWrap/>
            <w:vAlign w:val="center"/>
            <w:hideMark/>
          </w:tcPr>
          <w:p w14:paraId="31B9DF44" w14:textId="77777777" w:rsidR="00107491" w:rsidRPr="00107491" w:rsidRDefault="00107491" w:rsidP="00107491">
            <w:pPr>
              <w:jc w:val="center"/>
              <w:rPr>
                <w:b/>
                <w:bCs/>
                <w:color w:val="000000"/>
                <w:sz w:val="18"/>
                <w:szCs w:val="18"/>
                <w:lang w:val="en-US" w:eastAsia="en-US"/>
              </w:rPr>
            </w:pPr>
            <w:r w:rsidRPr="00107491">
              <w:rPr>
                <w:b/>
                <w:bCs/>
                <w:color w:val="000000"/>
                <w:sz w:val="18"/>
                <w:szCs w:val="18"/>
                <w:lang w:val="en-US" w:eastAsia="en-US"/>
              </w:rPr>
              <w:t> </w:t>
            </w:r>
          </w:p>
        </w:tc>
        <w:tc>
          <w:tcPr>
            <w:tcW w:w="381" w:type="pct"/>
            <w:vMerge w:val="restart"/>
            <w:tcBorders>
              <w:top w:val="nil"/>
              <w:left w:val="single" w:sz="8" w:space="0" w:color="auto"/>
              <w:bottom w:val="double" w:sz="6" w:space="0" w:color="000000"/>
              <w:right w:val="single" w:sz="8" w:space="0" w:color="auto"/>
            </w:tcBorders>
            <w:shd w:val="clear" w:color="auto" w:fill="auto"/>
            <w:vAlign w:val="center"/>
            <w:hideMark/>
          </w:tcPr>
          <w:p w14:paraId="42B6EFF2"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Partie 1</w:t>
            </w:r>
          </w:p>
        </w:tc>
        <w:tc>
          <w:tcPr>
            <w:tcW w:w="453" w:type="pct"/>
            <w:tcBorders>
              <w:top w:val="nil"/>
              <w:left w:val="nil"/>
              <w:bottom w:val="nil"/>
              <w:right w:val="nil"/>
            </w:tcBorders>
            <w:shd w:val="clear" w:color="auto" w:fill="auto"/>
            <w:vAlign w:val="center"/>
            <w:hideMark/>
          </w:tcPr>
          <w:p w14:paraId="7F1FF240"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62000</w:t>
            </w:r>
          </w:p>
        </w:tc>
        <w:tc>
          <w:tcPr>
            <w:tcW w:w="388" w:type="pct"/>
            <w:tcBorders>
              <w:top w:val="single" w:sz="8" w:space="0" w:color="auto"/>
              <w:left w:val="single" w:sz="8" w:space="0" w:color="auto"/>
              <w:bottom w:val="nil"/>
              <w:right w:val="single" w:sz="8" w:space="0" w:color="auto"/>
            </w:tcBorders>
            <w:shd w:val="clear" w:color="auto" w:fill="auto"/>
            <w:vAlign w:val="center"/>
            <w:hideMark/>
          </w:tcPr>
          <w:p w14:paraId="079D6B34"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GEF</w:t>
            </w:r>
          </w:p>
        </w:tc>
        <w:tc>
          <w:tcPr>
            <w:tcW w:w="258" w:type="pct"/>
            <w:tcBorders>
              <w:top w:val="single" w:sz="8" w:space="0" w:color="auto"/>
              <w:left w:val="nil"/>
              <w:bottom w:val="single" w:sz="8" w:space="0" w:color="auto"/>
              <w:right w:val="single" w:sz="8" w:space="0" w:color="auto"/>
            </w:tcBorders>
            <w:shd w:val="clear" w:color="auto" w:fill="auto"/>
            <w:noWrap/>
            <w:vAlign w:val="center"/>
            <w:hideMark/>
          </w:tcPr>
          <w:p w14:paraId="3D26575F" w14:textId="77777777" w:rsidR="00107491" w:rsidRPr="00107491" w:rsidRDefault="00107491" w:rsidP="00107491">
            <w:pPr>
              <w:rPr>
                <w:color w:val="000000"/>
                <w:sz w:val="18"/>
                <w:szCs w:val="18"/>
                <w:lang w:val="en-US" w:eastAsia="en-US"/>
              </w:rPr>
            </w:pPr>
            <w:r w:rsidRPr="00107491">
              <w:rPr>
                <w:color w:val="000000"/>
                <w:sz w:val="18"/>
                <w:szCs w:val="18"/>
                <w:lang w:val="en-US" w:eastAsia="en-US"/>
              </w:rPr>
              <w:t> </w:t>
            </w:r>
          </w:p>
        </w:tc>
        <w:tc>
          <w:tcPr>
            <w:tcW w:w="458" w:type="pct"/>
            <w:tcBorders>
              <w:top w:val="single" w:sz="8" w:space="0" w:color="auto"/>
              <w:left w:val="nil"/>
              <w:bottom w:val="nil"/>
              <w:right w:val="single" w:sz="8" w:space="0" w:color="auto"/>
            </w:tcBorders>
            <w:shd w:val="clear" w:color="auto" w:fill="auto"/>
            <w:vAlign w:val="center"/>
            <w:hideMark/>
          </w:tcPr>
          <w:p w14:paraId="02F2BB2C" w14:textId="77777777" w:rsidR="00107491" w:rsidRPr="00107491" w:rsidRDefault="00107491" w:rsidP="00107491">
            <w:pPr>
              <w:rPr>
                <w:color w:val="000000"/>
                <w:sz w:val="18"/>
                <w:szCs w:val="18"/>
                <w:lang w:val="en-US" w:eastAsia="en-US"/>
              </w:rPr>
            </w:pPr>
            <w:r w:rsidRPr="00107491">
              <w:rPr>
                <w:color w:val="000000"/>
                <w:sz w:val="18"/>
                <w:szCs w:val="18"/>
                <w:lang w:val="en-US" w:eastAsia="en-US"/>
              </w:rPr>
              <w:t> </w:t>
            </w:r>
          </w:p>
        </w:tc>
        <w:tc>
          <w:tcPr>
            <w:tcW w:w="254" w:type="pct"/>
            <w:tcBorders>
              <w:top w:val="nil"/>
              <w:left w:val="nil"/>
              <w:bottom w:val="single" w:sz="8" w:space="0" w:color="auto"/>
              <w:right w:val="single" w:sz="8" w:space="0" w:color="auto"/>
            </w:tcBorders>
            <w:shd w:val="clear" w:color="auto" w:fill="auto"/>
            <w:noWrap/>
            <w:vAlign w:val="center"/>
            <w:hideMark/>
          </w:tcPr>
          <w:p w14:paraId="35032A6D" w14:textId="77777777" w:rsidR="00107491" w:rsidRPr="00107491" w:rsidRDefault="00107491" w:rsidP="00107491">
            <w:pPr>
              <w:jc w:val="center"/>
              <w:rPr>
                <w:color w:val="000000"/>
                <w:sz w:val="18"/>
                <w:szCs w:val="18"/>
                <w:lang w:val="en-US" w:eastAsia="en-US"/>
              </w:rPr>
            </w:pPr>
            <w:r w:rsidRPr="00107491">
              <w:rPr>
                <w:color w:val="000000"/>
                <w:sz w:val="18"/>
                <w:szCs w:val="18"/>
                <w:lang w:val="en-US" w:eastAsia="en-US"/>
              </w:rPr>
              <w:t> </w:t>
            </w:r>
          </w:p>
        </w:tc>
        <w:tc>
          <w:tcPr>
            <w:tcW w:w="273" w:type="pct"/>
            <w:tcBorders>
              <w:top w:val="nil"/>
              <w:left w:val="nil"/>
              <w:bottom w:val="single" w:sz="8" w:space="0" w:color="auto"/>
              <w:right w:val="single" w:sz="8" w:space="0" w:color="auto"/>
            </w:tcBorders>
            <w:shd w:val="clear" w:color="auto" w:fill="auto"/>
            <w:noWrap/>
            <w:vAlign w:val="center"/>
            <w:hideMark/>
          </w:tcPr>
          <w:p w14:paraId="557F6E37" w14:textId="77777777" w:rsidR="00107491" w:rsidRPr="00107491" w:rsidRDefault="00107491" w:rsidP="00107491">
            <w:pPr>
              <w:jc w:val="center"/>
              <w:rPr>
                <w:color w:val="000000"/>
                <w:sz w:val="18"/>
                <w:szCs w:val="18"/>
                <w:lang w:val="en-US" w:eastAsia="en-US"/>
              </w:rPr>
            </w:pPr>
            <w:r w:rsidRPr="00107491">
              <w:rPr>
                <w:color w:val="000000"/>
                <w:sz w:val="18"/>
                <w:szCs w:val="18"/>
                <w:lang w:val="en-US" w:eastAsia="en-US"/>
              </w:rPr>
              <w:t> </w:t>
            </w:r>
          </w:p>
        </w:tc>
        <w:tc>
          <w:tcPr>
            <w:tcW w:w="250" w:type="pct"/>
            <w:tcBorders>
              <w:top w:val="nil"/>
              <w:left w:val="nil"/>
              <w:bottom w:val="single" w:sz="8" w:space="0" w:color="auto"/>
              <w:right w:val="single" w:sz="8" w:space="0" w:color="auto"/>
            </w:tcBorders>
            <w:shd w:val="clear" w:color="auto" w:fill="auto"/>
            <w:noWrap/>
            <w:vAlign w:val="center"/>
            <w:hideMark/>
          </w:tcPr>
          <w:p w14:paraId="14B423ED" w14:textId="77777777" w:rsidR="00107491" w:rsidRPr="00107491" w:rsidRDefault="00107491" w:rsidP="00107491">
            <w:pPr>
              <w:jc w:val="center"/>
              <w:rPr>
                <w:color w:val="000000"/>
                <w:sz w:val="18"/>
                <w:szCs w:val="18"/>
                <w:lang w:val="en-US" w:eastAsia="en-US"/>
              </w:rPr>
            </w:pPr>
            <w:r w:rsidRPr="00107491">
              <w:rPr>
                <w:color w:val="000000"/>
                <w:sz w:val="18"/>
                <w:szCs w:val="18"/>
                <w:lang w:val="en-US" w:eastAsia="en-US"/>
              </w:rPr>
              <w:t> </w:t>
            </w:r>
          </w:p>
        </w:tc>
        <w:tc>
          <w:tcPr>
            <w:tcW w:w="250" w:type="pct"/>
            <w:tcBorders>
              <w:top w:val="nil"/>
              <w:left w:val="nil"/>
              <w:bottom w:val="single" w:sz="8" w:space="0" w:color="auto"/>
              <w:right w:val="single" w:sz="8" w:space="0" w:color="auto"/>
            </w:tcBorders>
            <w:shd w:val="clear" w:color="auto" w:fill="auto"/>
            <w:noWrap/>
            <w:vAlign w:val="center"/>
            <w:hideMark/>
          </w:tcPr>
          <w:p w14:paraId="5DD2FCCF" w14:textId="77777777" w:rsidR="00107491" w:rsidRPr="00107491" w:rsidRDefault="00107491" w:rsidP="00107491">
            <w:pPr>
              <w:jc w:val="center"/>
              <w:rPr>
                <w:color w:val="000000"/>
                <w:sz w:val="18"/>
                <w:szCs w:val="18"/>
                <w:lang w:val="en-US" w:eastAsia="en-US"/>
              </w:rPr>
            </w:pPr>
            <w:r w:rsidRPr="00107491">
              <w:rPr>
                <w:color w:val="000000"/>
                <w:sz w:val="18"/>
                <w:szCs w:val="18"/>
                <w:lang w:val="en-US" w:eastAsia="en-US"/>
              </w:rPr>
              <w:t> </w:t>
            </w:r>
          </w:p>
        </w:tc>
        <w:tc>
          <w:tcPr>
            <w:tcW w:w="250" w:type="pct"/>
            <w:tcBorders>
              <w:top w:val="nil"/>
              <w:left w:val="nil"/>
              <w:bottom w:val="single" w:sz="8" w:space="0" w:color="auto"/>
              <w:right w:val="single" w:sz="8" w:space="0" w:color="auto"/>
            </w:tcBorders>
            <w:shd w:val="clear" w:color="auto" w:fill="auto"/>
            <w:noWrap/>
            <w:vAlign w:val="center"/>
            <w:hideMark/>
          </w:tcPr>
          <w:p w14:paraId="02397682" w14:textId="77777777" w:rsidR="00107491" w:rsidRPr="00107491" w:rsidRDefault="00107491" w:rsidP="00107491">
            <w:pPr>
              <w:jc w:val="center"/>
              <w:rPr>
                <w:color w:val="000000"/>
                <w:sz w:val="18"/>
                <w:szCs w:val="18"/>
                <w:lang w:val="en-US" w:eastAsia="en-US"/>
              </w:rPr>
            </w:pPr>
            <w:r w:rsidRPr="00107491">
              <w:rPr>
                <w:color w:val="000000"/>
                <w:sz w:val="18"/>
                <w:szCs w:val="18"/>
                <w:lang w:val="en-US" w:eastAsia="en-US"/>
              </w:rPr>
              <w:t> </w:t>
            </w:r>
          </w:p>
        </w:tc>
        <w:tc>
          <w:tcPr>
            <w:tcW w:w="250" w:type="pct"/>
            <w:tcBorders>
              <w:top w:val="nil"/>
              <w:left w:val="nil"/>
              <w:bottom w:val="single" w:sz="8" w:space="0" w:color="auto"/>
              <w:right w:val="single" w:sz="8" w:space="0" w:color="auto"/>
            </w:tcBorders>
            <w:shd w:val="clear" w:color="auto" w:fill="auto"/>
            <w:noWrap/>
            <w:vAlign w:val="center"/>
            <w:hideMark/>
          </w:tcPr>
          <w:p w14:paraId="7183FC84" w14:textId="77777777" w:rsidR="00107491" w:rsidRPr="00107491" w:rsidRDefault="00107491" w:rsidP="00107491">
            <w:pPr>
              <w:jc w:val="center"/>
              <w:rPr>
                <w:color w:val="000000"/>
                <w:sz w:val="18"/>
                <w:szCs w:val="18"/>
                <w:lang w:val="en-US" w:eastAsia="en-US"/>
              </w:rPr>
            </w:pPr>
            <w:r w:rsidRPr="00107491">
              <w:rPr>
                <w:color w:val="000000"/>
                <w:sz w:val="18"/>
                <w:szCs w:val="18"/>
                <w:lang w:val="en-US" w:eastAsia="en-US"/>
              </w:rPr>
              <w:t> </w:t>
            </w:r>
          </w:p>
        </w:tc>
        <w:tc>
          <w:tcPr>
            <w:tcW w:w="261" w:type="pct"/>
            <w:tcBorders>
              <w:top w:val="nil"/>
              <w:left w:val="nil"/>
              <w:bottom w:val="single" w:sz="8" w:space="0" w:color="auto"/>
              <w:right w:val="single" w:sz="8" w:space="0" w:color="auto"/>
            </w:tcBorders>
            <w:shd w:val="clear" w:color="auto" w:fill="auto"/>
            <w:noWrap/>
            <w:vAlign w:val="center"/>
            <w:hideMark/>
          </w:tcPr>
          <w:p w14:paraId="6F7B42FF"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 </w:t>
            </w:r>
          </w:p>
        </w:tc>
        <w:tc>
          <w:tcPr>
            <w:tcW w:w="183" w:type="pct"/>
            <w:tcBorders>
              <w:top w:val="nil"/>
              <w:left w:val="nil"/>
              <w:bottom w:val="nil"/>
              <w:right w:val="nil"/>
            </w:tcBorders>
            <w:shd w:val="clear" w:color="auto" w:fill="auto"/>
            <w:noWrap/>
            <w:vAlign w:val="bottom"/>
            <w:hideMark/>
          </w:tcPr>
          <w:p w14:paraId="66C628E5" w14:textId="77777777" w:rsidR="00107491" w:rsidRPr="00107491" w:rsidRDefault="00107491" w:rsidP="00107491">
            <w:pPr>
              <w:jc w:val="center"/>
              <w:rPr>
                <w:color w:val="000000"/>
                <w:sz w:val="18"/>
                <w:szCs w:val="18"/>
                <w:lang w:val="en-US" w:eastAsia="en-US"/>
              </w:rPr>
            </w:pPr>
          </w:p>
        </w:tc>
        <w:tc>
          <w:tcPr>
            <w:tcW w:w="35" w:type="pct"/>
            <w:vAlign w:val="center"/>
            <w:hideMark/>
          </w:tcPr>
          <w:p w14:paraId="5B1BC78F" w14:textId="77777777" w:rsidR="00107491" w:rsidRPr="00107491" w:rsidRDefault="00107491" w:rsidP="00107491">
            <w:pPr>
              <w:rPr>
                <w:sz w:val="20"/>
                <w:szCs w:val="20"/>
                <w:lang w:val="en-US" w:eastAsia="en-US"/>
              </w:rPr>
            </w:pPr>
          </w:p>
        </w:tc>
      </w:tr>
      <w:tr w:rsidR="00107491" w:rsidRPr="00107491" w14:paraId="55F2547F" w14:textId="77777777" w:rsidTr="00107491">
        <w:trPr>
          <w:trHeight w:val="300"/>
        </w:trPr>
        <w:tc>
          <w:tcPr>
            <w:tcW w:w="1056" w:type="pct"/>
            <w:tcBorders>
              <w:top w:val="nil"/>
              <w:left w:val="single" w:sz="8" w:space="0" w:color="auto"/>
              <w:bottom w:val="nil"/>
              <w:right w:val="nil"/>
            </w:tcBorders>
            <w:shd w:val="clear" w:color="auto" w:fill="auto"/>
            <w:noWrap/>
            <w:vAlign w:val="center"/>
            <w:hideMark/>
          </w:tcPr>
          <w:p w14:paraId="14165C33"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COMPOSANTE 3 :</w:t>
            </w:r>
          </w:p>
        </w:tc>
        <w:tc>
          <w:tcPr>
            <w:tcW w:w="381" w:type="pct"/>
            <w:vMerge/>
            <w:tcBorders>
              <w:top w:val="nil"/>
              <w:left w:val="single" w:sz="8" w:space="0" w:color="auto"/>
              <w:bottom w:val="double" w:sz="6" w:space="0" w:color="000000"/>
              <w:right w:val="single" w:sz="8" w:space="0" w:color="auto"/>
            </w:tcBorders>
            <w:vAlign w:val="center"/>
            <w:hideMark/>
          </w:tcPr>
          <w:p w14:paraId="38DBD251" w14:textId="77777777" w:rsidR="00107491" w:rsidRPr="00107491" w:rsidRDefault="00107491" w:rsidP="00107491">
            <w:pPr>
              <w:rPr>
                <w:b/>
                <w:bCs/>
                <w:color w:val="000000"/>
                <w:sz w:val="18"/>
                <w:szCs w:val="18"/>
                <w:lang w:val="en-US" w:eastAsia="en-US"/>
              </w:rPr>
            </w:pPr>
          </w:p>
        </w:tc>
        <w:tc>
          <w:tcPr>
            <w:tcW w:w="453" w:type="pct"/>
            <w:tcBorders>
              <w:top w:val="nil"/>
              <w:left w:val="nil"/>
              <w:bottom w:val="nil"/>
              <w:right w:val="nil"/>
            </w:tcBorders>
            <w:shd w:val="clear" w:color="auto" w:fill="auto"/>
            <w:vAlign w:val="center"/>
            <w:hideMark/>
          </w:tcPr>
          <w:p w14:paraId="64203355" w14:textId="77777777" w:rsidR="00107491" w:rsidRPr="00107491" w:rsidRDefault="00107491" w:rsidP="00107491">
            <w:pPr>
              <w:jc w:val="center"/>
              <w:rPr>
                <w:b/>
                <w:bCs/>
                <w:color w:val="000000"/>
                <w:sz w:val="18"/>
                <w:szCs w:val="18"/>
                <w:lang w:val="en-US" w:eastAsia="en-US"/>
              </w:rPr>
            </w:pPr>
          </w:p>
        </w:tc>
        <w:tc>
          <w:tcPr>
            <w:tcW w:w="388" w:type="pct"/>
            <w:tcBorders>
              <w:top w:val="nil"/>
              <w:left w:val="single" w:sz="8" w:space="0" w:color="auto"/>
              <w:bottom w:val="nil"/>
              <w:right w:val="single" w:sz="8" w:space="0" w:color="auto"/>
            </w:tcBorders>
            <w:shd w:val="clear" w:color="auto" w:fill="auto"/>
            <w:vAlign w:val="center"/>
            <w:hideMark/>
          </w:tcPr>
          <w:p w14:paraId="425E2FC7" w14:textId="77777777" w:rsidR="00107491" w:rsidRPr="00107491" w:rsidRDefault="00107491" w:rsidP="00107491">
            <w:pPr>
              <w:jc w:val="center"/>
              <w:rPr>
                <w:b/>
                <w:bCs/>
                <w:color w:val="000000"/>
                <w:sz w:val="18"/>
                <w:szCs w:val="18"/>
                <w:lang w:val="en-US" w:eastAsia="en-US"/>
              </w:rPr>
            </w:pPr>
            <w:r w:rsidRPr="00107491">
              <w:rPr>
                <w:b/>
                <w:bCs/>
                <w:color w:val="000000"/>
                <w:sz w:val="18"/>
                <w:szCs w:val="18"/>
                <w:lang w:val="en-US" w:eastAsia="en-US"/>
              </w:rPr>
              <w:t> </w:t>
            </w:r>
          </w:p>
        </w:tc>
        <w:tc>
          <w:tcPr>
            <w:tcW w:w="258" w:type="pct"/>
            <w:tcBorders>
              <w:top w:val="nil"/>
              <w:left w:val="nil"/>
              <w:bottom w:val="single" w:sz="8" w:space="0" w:color="auto"/>
              <w:right w:val="single" w:sz="8" w:space="0" w:color="auto"/>
            </w:tcBorders>
            <w:shd w:val="clear" w:color="auto" w:fill="auto"/>
            <w:noWrap/>
            <w:vAlign w:val="center"/>
            <w:hideMark/>
          </w:tcPr>
          <w:p w14:paraId="325BAE59" w14:textId="77777777" w:rsidR="00107491" w:rsidRPr="00107491" w:rsidRDefault="00107491" w:rsidP="00107491">
            <w:pPr>
              <w:rPr>
                <w:color w:val="000000"/>
                <w:sz w:val="18"/>
                <w:szCs w:val="18"/>
                <w:lang w:val="en-US" w:eastAsia="en-US"/>
              </w:rPr>
            </w:pPr>
            <w:r w:rsidRPr="00107491">
              <w:rPr>
                <w:color w:val="000000"/>
                <w:sz w:val="18"/>
                <w:szCs w:val="18"/>
                <w:lang w:val="en-US" w:eastAsia="en-US"/>
              </w:rPr>
              <w:t> </w:t>
            </w:r>
          </w:p>
        </w:tc>
        <w:tc>
          <w:tcPr>
            <w:tcW w:w="458" w:type="pct"/>
            <w:tcBorders>
              <w:top w:val="single" w:sz="8" w:space="0" w:color="auto"/>
              <w:left w:val="nil"/>
              <w:bottom w:val="nil"/>
              <w:right w:val="single" w:sz="8" w:space="0" w:color="auto"/>
            </w:tcBorders>
            <w:shd w:val="clear" w:color="auto" w:fill="auto"/>
            <w:vAlign w:val="center"/>
            <w:hideMark/>
          </w:tcPr>
          <w:p w14:paraId="023C69FF" w14:textId="77777777" w:rsidR="00107491" w:rsidRPr="00107491" w:rsidRDefault="00107491" w:rsidP="00107491">
            <w:pPr>
              <w:rPr>
                <w:color w:val="000000"/>
                <w:sz w:val="18"/>
                <w:szCs w:val="18"/>
                <w:lang w:val="en-US" w:eastAsia="en-US"/>
              </w:rPr>
            </w:pPr>
            <w:r w:rsidRPr="00107491">
              <w:rPr>
                <w:color w:val="000000"/>
                <w:sz w:val="18"/>
                <w:szCs w:val="18"/>
                <w:lang w:val="en-US" w:eastAsia="en-US"/>
              </w:rPr>
              <w:t> </w:t>
            </w:r>
          </w:p>
        </w:tc>
        <w:tc>
          <w:tcPr>
            <w:tcW w:w="254" w:type="pct"/>
            <w:tcBorders>
              <w:top w:val="nil"/>
              <w:left w:val="nil"/>
              <w:bottom w:val="single" w:sz="8" w:space="0" w:color="auto"/>
              <w:right w:val="single" w:sz="8" w:space="0" w:color="auto"/>
            </w:tcBorders>
            <w:shd w:val="clear" w:color="auto" w:fill="auto"/>
            <w:noWrap/>
            <w:vAlign w:val="center"/>
            <w:hideMark/>
          </w:tcPr>
          <w:p w14:paraId="62BB110F" w14:textId="77777777" w:rsidR="00107491" w:rsidRPr="00107491" w:rsidRDefault="00107491" w:rsidP="00107491">
            <w:pPr>
              <w:jc w:val="center"/>
              <w:rPr>
                <w:color w:val="000000"/>
                <w:sz w:val="18"/>
                <w:szCs w:val="18"/>
                <w:lang w:val="en-US" w:eastAsia="en-US"/>
              </w:rPr>
            </w:pPr>
            <w:r w:rsidRPr="00107491">
              <w:rPr>
                <w:color w:val="000000"/>
                <w:sz w:val="18"/>
                <w:szCs w:val="18"/>
                <w:lang w:val="en-US" w:eastAsia="en-US"/>
              </w:rPr>
              <w:t> </w:t>
            </w:r>
          </w:p>
        </w:tc>
        <w:tc>
          <w:tcPr>
            <w:tcW w:w="273" w:type="pct"/>
            <w:tcBorders>
              <w:top w:val="nil"/>
              <w:left w:val="nil"/>
              <w:bottom w:val="single" w:sz="8" w:space="0" w:color="auto"/>
              <w:right w:val="single" w:sz="8" w:space="0" w:color="auto"/>
            </w:tcBorders>
            <w:shd w:val="clear" w:color="auto" w:fill="auto"/>
            <w:noWrap/>
            <w:vAlign w:val="center"/>
            <w:hideMark/>
          </w:tcPr>
          <w:p w14:paraId="3D8A59D9" w14:textId="77777777" w:rsidR="00107491" w:rsidRPr="00107491" w:rsidRDefault="00107491" w:rsidP="00107491">
            <w:pPr>
              <w:jc w:val="center"/>
              <w:rPr>
                <w:color w:val="000000"/>
                <w:sz w:val="18"/>
                <w:szCs w:val="18"/>
                <w:lang w:val="en-US" w:eastAsia="en-US"/>
              </w:rPr>
            </w:pPr>
            <w:r w:rsidRPr="00107491">
              <w:rPr>
                <w:color w:val="000000"/>
                <w:sz w:val="18"/>
                <w:szCs w:val="18"/>
                <w:lang w:val="en-US" w:eastAsia="en-US"/>
              </w:rPr>
              <w:t> </w:t>
            </w:r>
          </w:p>
        </w:tc>
        <w:tc>
          <w:tcPr>
            <w:tcW w:w="250" w:type="pct"/>
            <w:tcBorders>
              <w:top w:val="nil"/>
              <w:left w:val="nil"/>
              <w:bottom w:val="single" w:sz="8" w:space="0" w:color="auto"/>
              <w:right w:val="single" w:sz="8" w:space="0" w:color="auto"/>
            </w:tcBorders>
            <w:shd w:val="clear" w:color="auto" w:fill="auto"/>
            <w:noWrap/>
            <w:vAlign w:val="center"/>
            <w:hideMark/>
          </w:tcPr>
          <w:p w14:paraId="7FA5ABCD" w14:textId="77777777" w:rsidR="00107491" w:rsidRPr="00107491" w:rsidRDefault="00107491" w:rsidP="00107491">
            <w:pPr>
              <w:jc w:val="center"/>
              <w:rPr>
                <w:color w:val="000000"/>
                <w:sz w:val="18"/>
                <w:szCs w:val="18"/>
                <w:lang w:val="en-US" w:eastAsia="en-US"/>
              </w:rPr>
            </w:pPr>
            <w:r w:rsidRPr="00107491">
              <w:rPr>
                <w:color w:val="000000"/>
                <w:sz w:val="18"/>
                <w:szCs w:val="18"/>
                <w:lang w:val="en-US" w:eastAsia="en-US"/>
              </w:rPr>
              <w:t> </w:t>
            </w:r>
          </w:p>
        </w:tc>
        <w:tc>
          <w:tcPr>
            <w:tcW w:w="250" w:type="pct"/>
            <w:tcBorders>
              <w:top w:val="nil"/>
              <w:left w:val="nil"/>
              <w:bottom w:val="single" w:sz="8" w:space="0" w:color="auto"/>
              <w:right w:val="single" w:sz="8" w:space="0" w:color="auto"/>
            </w:tcBorders>
            <w:shd w:val="clear" w:color="auto" w:fill="auto"/>
            <w:noWrap/>
            <w:vAlign w:val="center"/>
            <w:hideMark/>
          </w:tcPr>
          <w:p w14:paraId="11BCCCBD" w14:textId="77777777" w:rsidR="00107491" w:rsidRPr="00107491" w:rsidRDefault="00107491" w:rsidP="00107491">
            <w:pPr>
              <w:jc w:val="center"/>
              <w:rPr>
                <w:color w:val="000000"/>
                <w:sz w:val="18"/>
                <w:szCs w:val="18"/>
                <w:lang w:val="en-US" w:eastAsia="en-US"/>
              </w:rPr>
            </w:pPr>
            <w:r w:rsidRPr="00107491">
              <w:rPr>
                <w:color w:val="000000"/>
                <w:sz w:val="18"/>
                <w:szCs w:val="18"/>
                <w:lang w:val="en-US" w:eastAsia="en-US"/>
              </w:rPr>
              <w:t> </w:t>
            </w:r>
          </w:p>
        </w:tc>
        <w:tc>
          <w:tcPr>
            <w:tcW w:w="250" w:type="pct"/>
            <w:tcBorders>
              <w:top w:val="nil"/>
              <w:left w:val="nil"/>
              <w:bottom w:val="single" w:sz="8" w:space="0" w:color="auto"/>
              <w:right w:val="single" w:sz="8" w:space="0" w:color="auto"/>
            </w:tcBorders>
            <w:shd w:val="clear" w:color="auto" w:fill="auto"/>
            <w:noWrap/>
            <w:vAlign w:val="center"/>
            <w:hideMark/>
          </w:tcPr>
          <w:p w14:paraId="13072C7B" w14:textId="77777777" w:rsidR="00107491" w:rsidRPr="00107491" w:rsidRDefault="00107491" w:rsidP="00107491">
            <w:pPr>
              <w:jc w:val="center"/>
              <w:rPr>
                <w:color w:val="000000"/>
                <w:sz w:val="18"/>
                <w:szCs w:val="18"/>
                <w:lang w:val="en-US" w:eastAsia="en-US"/>
              </w:rPr>
            </w:pPr>
            <w:r w:rsidRPr="00107491">
              <w:rPr>
                <w:color w:val="000000"/>
                <w:sz w:val="18"/>
                <w:szCs w:val="18"/>
                <w:lang w:val="en-US" w:eastAsia="en-US"/>
              </w:rPr>
              <w:t> </w:t>
            </w:r>
          </w:p>
        </w:tc>
        <w:tc>
          <w:tcPr>
            <w:tcW w:w="250" w:type="pct"/>
            <w:tcBorders>
              <w:top w:val="nil"/>
              <w:left w:val="nil"/>
              <w:bottom w:val="single" w:sz="8" w:space="0" w:color="auto"/>
              <w:right w:val="single" w:sz="8" w:space="0" w:color="auto"/>
            </w:tcBorders>
            <w:shd w:val="clear" w:color="auto" w:fill="auto"/>
            <w:noWrap/>
            <w:vAlign w:val="center"/>
            <w:hideMark/>
          </w:tcPr>
          <w:p w14:paraId="1542188B" w14:textId="77777777" w:rsidR="00107491" w:rsidRPr="00107491" w:rsidRDefault="00107491" w:rsidP="00107491">
            <w:pPr>
              <w:jc w:val="center"/>
              <w:rPr>
                <w:color w:val="000000"/>
                <w:sz w:val="18"/>
                <w:szCs w:val="18"/>
                <w:lang w:val="en-US" w:eastAsia="en-US"/>
              </w:rPr>
            </w:pPr>
            <w:r w:rsidRPr="00107491">
              <w:rPr>
                <w:color w:val="000000"/>
                <w:sz w:val="18"/>
                <w:szCs w:val="18"/>
                <w:lang w:val="en-US" w:eastAsia="en-US"/>
              </w:rPr>
              <w:t> </w:t>
            </w:r>
          </w:p>
        </w:tc>
        <w:tc>
          <w:tcPr>
            <w:tcW w:w="261" w:type="pct"/>
            <w:tcBorders>
              <w:top w:val="nil"/>
              <w:left w:val="nil"/>
              <w:bottom w:val="single" w:sz="8" w:space="0" w:color="auto"/>
              <w:right w:val="single" w:sz="8" w:space="0" w:color="auto"/>
            </w:tcBorders>
            <w:shd w:val="clear" w:color="auto" w:fill="auto"/>
            <w:noWrap/>
            <w:vAlign w:val="center"/>
            <w:hideMark/>
          </w:tcPr>
          <w:p w14:paraId="23B44645"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 </w:t>
            </w:r>
          </w:p>
        </w:tc>
        <w:tc>
          <w:tcPr>
            <w:tcW w:w="183" w:type="pct"/>
            <w:tcBorders>
              <w:top w:val="nil"/>
              <w:left w:val="nil"/>
              <w:bottom w:val="nil"/>
              <w:right w:val="nil"/>
            </w:tcBorders>
            <w:shd w:val="clear" w:color="auto" w:fill="auto"/>
            <w:noWrap/>
            <w:vAlign w:val="bottom"/>
            <w:hideMark/>
          </w:tcPr>
          <w:p w14:paraId="55F87A44" w14:textId="77777777" w:rsidR="00107491" w:rsidRPr="00107491" w:rsidRDefault="00107491" w:rsidP="00107491">
            <w:pPr>
              <w:jc w:val="center"/>
              <w:rPr>
                <w:color w:val="000000"/>
                <w:sz w:val="18"/>
                <w:szCs w:val="18"/>
                <w:lang w:val="en-US" w:eastAsia="en-US"/>
              </w:rPr>
            </w:pPr>
          </w:p>
        </w:tc>
        <w:tc>
          <w:tcPr>
            <w:tcW w:w="35" w:type="pct"/>
            <w:vAlign w:val="center"/>
            <w:hideMark/>
          </w:tcPr>
          <w:p w14:paraId="38775B32" w14:textId="77777777" w:rsidR="00107491" w:rsidRPr="00107491" w:rsidRDefault="00107491" w:rsidP="00107491">
            <w:pPr>
              <w:rPr>
                <w:sz w:val="20"/>
                <w:szCs w:val="20"/>
                <w:lang w:val="en-US" w:eastAsia="en-US"/>
              </w:rPr>
            </w:pPr>
          </w:p>
        </w:tc>
      </w:tr>
      <w:tr w:rsidR="00107491" w:rsidRPr="00107491" w14:paraId="2153DB02" w14:textId="77777777" w:rsidTr="00107491">
        <w:trPr>
          <w:trHeight w:val="780"/>
        </w:trPr>
        <w:tc>
          <w:tcPr>
            <w:tcW w:w="1056" w:type="pct"/>
            <w:tcBorders>
              <w:top w:val="nil"/>
              <w:left w:val="single" w:sz="8" w:space="0" w:color="auto"/>
              <w:bottom w:val="nil"/>
              <w:right w:val="nil"/>
            </w:tcBorders>
            <w:shd w:val="clear" w:color="auto" w:fill="auto"/>
            <w:noWrap/>
            <w:vAlign w:val="center"/>
            <w:hideMark/>
          </w:tcPr>
          <w:p w14:paraId="4CA062FA" w14:textId="77777777" w:rsidR="00601D9B" w:rsidRPr="000E53A0" w:rsidRDefault="000E53A0">
            <w:pPr>
              <w:jc w:val="both"/>
              <w:rPr>
                <w:i/>
                <w:iCs/>
                <w:color w:val="000000"/>
                <w:sz w:val="18"/>
                <w:szCs w:val="18"/>
                <w:lang w:val="fr-FR" w:eastAsia="en-US"/>
              </w:rPr>
            </w:pPr>
            <w:r w:rsidRPr="000E53A0">
              <w:rPr>
                <w:i/>
                <w:iCs/>
                <w:color w:val="000000"/>
                <w:sz w:val="18"/>
                <w:szCs w:val="18"/>
                <w:lang w:val="fr-FR" w:eastAsia="en-US"/>
              </w:rPr>
              <w:lastRenderedPageBreak/>
              <w:t xml:space="preserve">Soutenir les exploitations familiales, les jeunes et les femmes pour qu'ils innovent et adoptent des moyens de subsistance résilients et durables. </w:t>
            </w:r>
          </w:p>
        </w:tc>
        <w:tc>
          <w:tcPr>
            <w:tcW w:w="381" w:type="pct"/>
            <w:vMerge/>
            <w:tcBorders>
              <w:top w:val="nil"/>
              <w:left w:val="single" w:sz="8" w:space="0" w:color="auto"/>
              <w:bottom w:val="double" w:sz="6" w:space="0" w:color="000000"/>
              <w:right w:val="single" w:sz="8" w:space="0" w:color="auto"/>
            </w:tcBorders>
            <w:vAlign w:val="center"/>
            <w:hideMark/>
          </w:tcPr>
          <w:p w14:paraId="4001FEAA" w14:textId="77777777" w:rsidR="00107491" w:rsidRPr="000E53A0" w:rsidRDefault="00107491" w:rsidP="00107491">
            <w:pPr>
              <w:rPr>
                <w:b/>
                <w:bCs/>
                <w:color w:val="000000"/>
                <w:sz w:val="18"/>
                <w:szCs w:val="18"/>
                <w:lang w:val="fr-FR" w:eastAsia="en-US"/>
              </w:rPr>
            </w:pPr>
          </w:p>
        </w:tc>
        <w:tc>
          <w:tcPr>
            <w:tcW w:w="453" w:type="pct"/>
            <w:tcBorders>
              <w:top w:val="nil"/>
              <w:left w:val="nil"/>
              <w:bottom w:val="nil"/>
              <w:right w:val="nil"/>
            </w:tcBorders>
            <w:shd w:val="clear" w:color="auto" w:fill="auto"/>
            <w:vAlign w:val="center"/>
            <w:hideMark/>
          </w:tcPr>
          <w:p w14:paraId="2793A48A" w14:textId="77777777" w:rsidR="00107491" w:rsidRPr="000E53A0" w:rsidRDefault="00107491" w:rsidP="00107491">
            <w:pPr>
              <w:jc w:val="both"/>
              <w:rPr>
                <w:i/>
                <w:iCs/>
                <w:color w:val="000000"/>
                <w:sz w:val="18"/>
                <w:szCs w:val="18"/>
                <w:lang w:val="fr-FR" w:eastAsia="en-US"/>
              </w:rPr>
            </w:pPr>
          </w:p>
        </w:tc>
        <w:tc>
          <w:tcPr>
            <w:tcW w:w="388" w:type="pct"/>
            <w:tcBorders>
              <w:top w:val="nil"/>
              <w:left w:val="single" w:sz="8" w:space="0" w:color="auto"/>
              <w:bottom w:val="nil"/>
              <w:right w:val="single" w:sz="8" w:space="0" w:color="auto"/>
            </w:tcBorders>
            <w:shd w:val="clear" w:color="auto" w:fill="auto"/>
            <w:vAlign w:val="center"/>
            <w:hideMark/>
          </w:tcPr>
          <w:p w14:paraId="661C015F" w14:textId="77777777" w:rsidR="00107491" w:rsidRPr="000E53A0" w:rsidRDefault="00107491" w:rsidP="00107491">
            <w:pPr>
              <w:jc w:val="center"/>
              <w:rPr>
                <w:b/>
                <w:bCs/>
                <w:color w:val="000000"/>
                <w:sz w:val="18"/>
                <w:szCs w:val="18"/>
                <w:lang w:val="fr-FR" w:eastAsia="en-US"/>
              </w:rPr>
            </w:pPr>
            <w:r w:rsidRPr="000E53A0">
              <w:rPr>
                <w:b/>
                <w:bCs/>
                <w:color w:val="000000"/>
                <w:sz w:val="18"/>
                <w:szCs w:val="18"/>
                <w:lang w:val="fr-FR" w:eastAsia="en-US"/>
              </w:rPr>
              <w:t> </w:t>
            </w:r>
          </w:p>
        </w:tc>
        <w:tc>
          <w:tcPr>
            <w:tcW w:w="258" w:type="pct"/>
            <w:tcBorders>
              <w:top w:val="nil"/>
              <w:left w:val="nil"/>
              <w:bottom w:val="single" w:sz="8" w:space="0" w:color="auto"/>
              <w:right w:val="single" w:sz="8" w:space="0" w:color="auto"/>
            </w:tcBorders>
            <w:shd w:val="clear" w:color="auto" w:fill="auto"/>
            <w:noWrap/>
            <w:vAlign w:val="center"/>
            <w:hideMark/>
          </w:tcPr>
          <w:p w14:paraId="5B6D7F0A" w14:textId="77777777" w:rsidR="00107491" w:rsidRPr="000E53A0" w:rsidRDefault="00107491" w:rsidP="00107491">
            <w:pPr>
              <w:rPr>
                <w:color w:val="000000"/>
                <w:sz w:val="18"/>
                <w:szCs w:val="18"/>
                <w:lang w:val="fr-FR" w:eastAsia="en-US"/>
              </w:rPr>
            </w:pPr>
            <w:r w:rsidRPr="000E53A0">
              <w:rPr>
                <w:color w:val="000000"/>
                <w:sz w:val="18"/>
                <w:szCs w:val="18"/>
                <w:lang w:val="fr-FR" w:eastAsia="en-US"/>
              </w:rPr>
              <w:t> </w:t>
            </w:r>
          </w:p>
        </w:tc>
        <w:tc>
          <w:tcPr>
            <w:tcW w:w="458" w:type="pct"/>
            <w:tcBorders>
              <w:top w:val="single" w:sz="8" w:space="0" w:color="auto"/>
              <w:left w:val="nil"/>
              <w:bottom w:val="nil"/>
              <w:right w:val="single" w:sz="8" w:space="0" w:color="auto"/>
            </w:tcBorders>
            <w:shd w:val="clear" w:color="auto" w:fill="auto"/>
            <w:vAlign w:val="center"/>
            <w:hideMark/>
          </w:tcPr>
          <w:p w14:paraId="12AF8132" w14:textId="77777777" w:rsidR="00107491" w:rsidRPr="000E53A0" w:rsidRDefault="00107491" w:rsidP="00107491">
            <w:pPr>
              <w:rPr>
                <w:color w:val="000000"/>
                <w:sz w:val="18"/>
                <w:szCs w:val="18"/>
                <w:lang w:val="fr-FR" w:eastAsia="en-US"/>
              </w:rPr>
            </w:pPr>
            <w:r w:rsidRPr="000E53A0">
              <w:rPr>
                <w:color w:val="000000"/>
                <w:sz w:val="18"/>
                <w:szCs w:val="18"/>
                <w:lang w:val="fr-FR" w:eastAsia="en-US"/>
              </w:rPr>
              <w:t> </w:t>
            </w:r>
          </w:p>
        </w:tc>
        <w:tc>
          <w:tcPr>
            <w:tcW w:w="254" w:type="pct"/>
            <w:tcBorders>
              <w:top w:val="nil"/>
              <w:left w:val="nil"/>
              <w:bottom w:val="single" w:sz="8" w:space="0" w:color="auto"/>
              <w:right w:val="single" w:sz="8" w:space="0" w:color="auto"/>
            </w:tcBorders>
            <w:shd w:val="clear" w:color="auto" w:fill="auto"/>
            <w:noWrap/>
            <w:vAlign w:val="center"/>
            <w:hideMark/>
          </w:tcPr>
          <w:p w14:paraId="71FC177B" w14:textId="77777777" w:rsidR="00107491" w:rsidRPr="000E53A0" w:rsidRDefault="00107491" w:rsidP="00107491">
            <w:pPr>
              <w:jc w:val="center"/>
              <w:rPr>
                <w:color w:val="000000"/>
                <w:sz w:val="18"/>
                <w:szCs w:val="18"/>
                <w:lang w:val="fr-FR" w:eastAsia="en-US"/>
              </w:rPr>
            </w:pPr>
            <w:r w:rsidRPr="000E53A0">
              <w:rPr>
                <w:color w:val="000000"/>
                <w:sz w:val="18"/>
                <w:szCs w:val="18"/>
                <w:lang w:val="fr-FR" w:eastAsia="en-US"/>
              </w:rPr>
              <w:t> </w:t>
            </w:r>
          </w:p>
        </w:tc>
        <w:tc>
          <w:tcPr>
            <w:tcW w:w="273" w:type="pct"/>
            <w:tcBorders>
              <w:top w:val="nil"/>
              <w:left w:val="nil"/>
              <w:bottom w:val="single" w:sz="8" w:space="0" w:color="auto"/>
              <w:right w:val="single" w:sz="8" w:space="0" w:color="auto"/>
            </w:tcBorders>
            <w:shd w:val="clear" w:color="auto" w:fill="auto"/>
            <w:noWrap/>
            <w:vAlign w:val="center"/>
            <w:hideMark/>
          </w:tcPr>
          <w:p w14:paraId="6F1DABFD" w14:textId="77777777" w:rsidR="00107491" w:rsidRPr="000E53A0" w:rsidRDefault="00107491" w:rsidP="00107491">
            <w:pPr>
              <w:jc w:val="center"/>
              <w:rPr>
                <w:color w:val="000000"/>
                <w:sz w:val="18"/>
                <w:szCs w:val="18"/>
                <w:lang w:val="fr-FR" w:eastAsia="en-US"/>
              </w:rPr>
            </w:pPr>
            <w:r w:rsidRPr="000E53A0">
              <w:rPr>
                <w:color w:val="000000"/>
                <w:sz w:val="18"/>
                <w:szCs w:val="18"/>
                <w:lang w:val="fr-FR" w:eastAsia="en-US"/>
              </w:rPr>
              <w:t> </w:t>
            </w:r>
          </w:p>
        </w:tc>
        <w:tc>
          <w:tcPr>
            <w:tcW w:w="250" w:type="pct"/>
            <w:tcBorders>
              <w:top w:val="nil"/>
              <w:left w:val="nil"/>
              <w:bottom w:val="single" w:sz="8" w:space="0" w:color="auto"/>
              <w:right w:val="single" w:sz="8" w:space="0" w:color="auto"/>
            </w:tcBorders>
            <w:shd w:val="clear" w:color="auto" w:fill="auto"/>
            <w:noWrap/>
            <w:vAlign w:val="center"/>
            <w:hideMark/>
          </w:tcPr>
          <w:p w14:paraId="605BEEBC" w14:textId="77777777" w:rsidR="00107491" w:rsidRPr="000E53A0" w:rsidRDefault="00107491" w:rsidP="00107491">
            <w:pPr>
              <w:jc w:val="center"/>
              <w:rPr>
                <w:color w:val="000000"/>
                <w:sz w:val="18"/>
                <w:szCs w:val="18"/>
                <w:lang w:val="fr-FR" w:eastAsia="en-US"/>
              </w:rPr>
            </w:pPr>
            <w:r w:rsidRPr="000E53A0">
              <w:rPr>
                <w:color w:val="000000"/>
                <w:sz w:val="18"/>
                <w:szCs w:val="18"/>
                <w:lang w:val="fr-FR" w:eastAsia="en-US"/>
              </w:rPr>
              <w:t> </w:t>
            </w:r>
          </w:p>
        </w:tc>
        <w:tc>
          <w:tcPr>
            <w:tcW w:w="250" w:type="pct"/>
            <w:tcBorders>
              <w:top w:val="nil"/>
              <w:left w:val="nil"/>
              <w:bottom w:val="single" w:sz="8" w:space="0" w:color="auto"/>
              <w:right w:val="single" w:sz="8" w:space="0" w:color="auto"/>
            </w:tcBorders>
            <w:shd w:val="clear" w:color="auto" w:fill="auto"/>
            <w:noWrap/>
            <w:vAlign w:val="center"/>
            <w:hideMark/>
          </w:tcPr>
          <w:p w14:paraId="41E29CCE" w14:textId="77777777" w:rsidR="00107491" w:rsidRPr="000E53A0" w:rsidRDefault="00107491" w:rsidP="00107491">
            <w:pPr>
              <w:jc w:val="center"/>
              <w:rPr>
                <w:color w:val="000000"/>
                <w:sz w:val="18"/>
                <w:szCs w:val="18"/>
                <w:lang w:val="fr-FR" w:eastAsia="en-US"/>
              </w:rPr>
            </w:pPr>
            <w:r w:rsidRPr="000E53A0">
              <w:rPr>
                <w:color w:val="000000"/>
                <w:sz w:val="18"/>
                <w:szCs w:val="18"/>
                <w:lang w:val="fr-FR" w:eastAsia="en-US"/>
              </w:rPr>
              <w:t> </w:t>
            </w:r>
          </w:p>
        </w:tc>
        <w:tc>
          <w:tcPr>
            <w:tcW w:w="250" w:type="pct"/>
            <w:tcBorders>
              <w:top w:val="nil"/>
              <w:left w:val="nil"/>
              <w:bottom w:val="single" w:sz="8" w:space="0" w:color="auto"/>
              <w:right w:val="single" w:sz="8" w:space="0" w:color="auto"/>
            </w:tcBorders>
            <w:shd w:val="clear" w:color="auto" w:fill="auto"/>
            <w:noWrap/>
            <w:vAlign w:val="center"/>
            <w:hideMark/>
          </w:tcPr>
          <w:p w14:paraId="2DA66401" w14:textId="77777777" w:rsidR="00107491" w:rsidRPr="000E53A0" w:rsidRDefault="00107491" w:rsidP="00107491">
            <w:pPr>
              <w:jc w:val="center"/>
              <w:rPr>
                <w:color w:val="000000"/>
                <w:sz w:val="18"/>
                <w:szCs w:val="18"/>
                <w:lang w:val="fr-FR" w:eastAsia="en-US"/>
              </w:rPr>
            </w:pPr>
            <w:r w:rsidRPr="000E53A0">
              <w:rPr>
                <w:color w:val="000000"/>
                <w:sz w:val="18"/>
                <w:szCs w:val="18"/>
                <w:lang w:val="fr-FR" w:eastAsia="en-US"/>
              </w:rPr>
              <w:t> </w:t>
            </w:r>
          </w:p>
        </w:tc>
        <w:tc>
          <w:tcPr>
            <w:tcW w:w="250" w:type="pct"/>
            <w:tcBorders>
              <w:top w:val="nil"/>
              <w:left w:val="nil"/>
              <w:bottom w:val="single" w:sz="8" w:space="0" w:color="auto"/>
              <w:right w:val="single" w:sz="8" w:space="0" w:color="auto"/>
            </w:tcBorders>
            <w:shd w:val="clear" w:color="auto" w:fill="auto"/>
            <w:noWrap/>
            <w:vAlign w:val="center"/>
            <w:hideMark/>
          </w:tcPr>
          <w:p w14:paraId="635733AE" w14:textId="77777777" w:rsidR="00107491" w:rsidRPr="000E53A0" w:rsidRDefault="00107491" w:rsidP="00107491">
            <w:pPr>
              <w:jc w:val="center"/>
              <w:rPr>
                <w:color w:val="000000"/>
                <w:sz w:val="18"/>
                <w:szCs w:val="18"/>
                <w:lang w:val="fr-FR" w:eastAsia="en-US"/>
              </w:rPr>
            </w:pPr>
            <w:r w:rsidRPr="000E53A0">
              <w:rPr>
                <w:color w:val="000000"/>
                <w:sz w:val="18"/>
                <w:szCs w:val="18"/>
                <w:lang w:val="fr-FR" w:eastAsia="en-US"/>
              </w:rPr>
              <w:t> </w:t>
            </w:r>
          </w:p>
        </w:tc>
        <w:tc>
          <w:tcPr>
            <w:tcW w:w="261" w:type="pct"/>
            <w:tcBorders>
              <w:top w:val="nil"/>
              <w:left w:val="nil"/>
              <w:bottom w:val="single" w:sz="8" w:space="0" w:color="auto"/>
              <w:right w:val="single" w:sz="8" w:space="0" w:color="auto"/>
            </w:tcBorders>
            <w:shd w:val="clear" w:color="auto" w:fill="auto"/>
            <w:noWrap/>
            <w:vAlign w:val="center"/>
            <w:hideMark/>
          </w:tcPr>
          <w:p w14:paraId="236698B1" w14:textId="77777777" w:rsidR="00601D9B" w:rsidRDefault="000E53A0">
            <w:pPr>
              <w:jc w:val="center"/>
              <w:rPr>
                <w:color w:val="000000"/>
                <w:sz w:val="18"/>
                <w:szCs w:val="18"/>
                <w:lang w:val="en-US" w:eastAsia="en-US"/>
              </w:rPr>
            </w:pPr>
            <w:r w:rsidRPr="000E53A0">
              <w:rPr>
                <w:color w:val="000000"/>
                <w:sz w:val="18"/>
                <w:szCs w:val="18"/>
                <w:lang w:val="fr-FR" w:eastAsia="en-US"/>
              </w:rPr>
              <w:t xml:space="preserve">                      </w:t>
            </w:r>
            <w:r w:rsidRPr="00107491">
              <w:rPr>
                <w:color w:val="000000"/>
                <w:sz w:val="18"/>
                <w:szCs w:val="18"/>
                <w:lang w:val="en-US" w:eastAsia="en-US"/>
              </w:rPr>
              <w:t xml:space="preserve">- </w:t>
            </w:r>
          </w:p>
        </w:tc>
        <w:tc>
          <w:tcPr>
            <w:tcW w:w="183" w:type="pct"/>
            <w:tcBorders>
              <w:top w:val="nil"/>
              <w:left w:val="nil"/>
              <w:bottom w:val="nil"/>
              <w:right w:val="nil"/>
            </w:tcBorders>
            <w:shd w:val="clear" w:color="auto" w:fill="auto"/>
            <w:noWrap/>
            <w:vAlign w:val="bottom"/>
            <w:hideMark/>
          </w:tcPr>
          <w:p w14:paraId="31FC8928" w14:textId="77777777" w:rsidR="00107491" w:rsidRPr="00107491" w:rsidRDefault="00107491" w:rsidP="00107491">
            <w:pPr>
              <w:jc w:val="center"/>
              <w:rPr>
                <w:color w:val="000000"/>
                <w:sz w:val="18"/>
                <w:szCs w:val="18"/>
                <w:lang w:val="en-US" w:eastAsia="en-US"/>
              </w:rPr>
            </w:pPr>
          </w:p>
        </w:tc>
        <w:tc>
          <w:tcPr>
            <w:tcW w:w="35" w:type="pct"/>
            <w:vAlign w:val="center"/>
            <w:hideMark/>
          </w:tcPr>
          <w:p w14:paraId="4026889E" w14:textId="77777777" w:rsidR="00107491" w:rsidRPr="00107491" w:rsidRDefault="00107491" w:rsidP="00107491">
            <w:pPr>
              <w:rPr>
                <w:sz w:val="20"/>
                <w:szCs w:val="20"/>
                <w:lang w:val="en-US" w:eastAsia="en-US"/>
              </w:rPr>
            </w:pPr>
          </w:p>
        </w:tc>
      </w:tr>
      <w:tr w:rsidR="00107491" w:rsidRPr="00107491" w14:paraId="12B98E52" w14:textId="77777777" w:rsidTr="00107491">
        <w:trPr>
          <w:trHeight w:val="300"/>
        </w:trPr>
        <w:tc>
          <w:tcPr>
            <w:tcW w:w="1056" w:type="pct"/>
            <w:tcBorders>
              <w:top w:val="nil"/>
              <w:left w:val="single" w:sz="8" w:space="0" w:color="auto"/>
              <w:bottom w:val="nil"/>
              <w:right w:val="nil"/>
            </w:tcBorders>
            <w:shd w:val="clear" w:color="auto" w:fill="auto"/>
            <w:noWrap/>
            <w:vAlign w:val="center"/>
            <w:hideMark/>
          </w:tcPr>
          <w:p w14:paraId="2905ABC0" w14:textId="77777777" w:rsidR="00107491" w:rsidRPr="00107491" w:rsidRDefault="00107491" w:rsidP="00107491">
            <w:pPr>
              <w:rPr>
                <w:rFonts w:ascii="Calibri" w:hAnsi="Calibri" w:cs="Calibri"/>
                <w:color w:val="000000"/>
                <w:sz w:val="18"/>
                <w:szCs w:val="18"/>
                <w:lang w:val="en-US" w:eastAsia="en-US"/>
              </w:rPr>
            </w:pPr>
            <w:r w:rsidRPr="00107491">
              <w:rPr>
                <w:rFonts w:ascii="Calibri" w:hAnsi="Calibri" w:cs="Calibri"/>
                <w:color w:val="000000"/>
                <w:sz w:val="18"/>
                <w:szCs w:val="18"/>
                <w:lang w:val="en-US" w:eastAsia="en-US"/>
              </w:rPr>
              <w:t> </w:t>
            </w:r>
          </w:p>
        </w:tc>
        <w:tc>
          <w:tcPr>
            <w:tcW w:w="381" w:type="pct"/>
            <w:vMerge/>
            <w:tcBorders>
              <w:top w:val="nil"/>
              <w:left w:val="single" w:sz="8" w:space="0" w:color="auto"/>
              <w:bottom w:val="double" w:sz="6" w:space="0" w:color="000000"/>
              <w:right w:val="single" w:sz="8" w:space="0" w:color="auto"/>
            </w:tcBorders>
            <w:vAlign w:val="center"/>
            <w:hideMark/>
          </w:tcPr>
          <w:p w14:paraId="599ABE4A" w14:textId="77777777" w:rsidR="00107491" w:rsidRPr="00107491" w:rsidRDefault="00107491" w:rsidP="00107491">
            <w:pPr>
              <w:rPr>
                <w:b/>
                <w:bCs/>
                <w:color w:val="000000"/>
                <w:sz w:val="18"/>
                <w:szCs w:val="18"/>
                <w:lang w:val="en-US" w:eastAsia="en-US"/>
              </w:rPr>
            </w:pPr>
          </w:p>
        </w:tc>
        <w:tc>
          <w:tcPr>
            <w:tcW w:w="453" w:type="pct"/>
            <w:tcBorders>
              <w:top w:val="nil"/>
              <w:left w:val="nil"/>
              <w:bottom w:val="nil"/>
              <w:right w:val="nil"/>
            </w:tcBorders>
            <w:shd w:val="clear" w:color="auto" w:fill="auto"/>
            <w:vAlign w:val="center"/>
            <w:hideMark/>
          </w:tcPr>
          <w:p w14:paraId="2082F90C" w14:textId="77777777" w:rsidR="00107491" w:rsidRPr="00107491" w:rsidRDefault="00107491" w:rsidP="00107491">
            <w:pPr>
              <w:rPr>
                <w:rFonts w:ascii="Calibri" w:hAnsi="Calibri" w:cs="Calibri"/>
                <w:color w:val="000000"/>
                <w:sz w:val="18"/>
                <w:szCs w:val="18"/>
                <w:lang w:val="en-US" w:eastAsia="en-US"/>
              </w:rPr>
            </w:pPr>
          </w:p>
        </w:tc>
        <w:tc>
          <w:tcPr>
            <w:tcW w:w="388" w:type="pct"/>
            <w:tcBorders>
              <w:top w:val="nil"/>
              <w:left w:val="single" w:sz="8" w:space="0" w:color="auto"/>
              <w:bottom w:val="nil"/>
              <w:right w:val="single" w:sz="8" w:space="0" w:color="auto"/>
            </w:tcBorders>
            <w:shd w:val="clear" w:color="auto" w:fill="auto"/>
            <w:vAlign w:val="center"/>
            <w:hideMark/>
          </w:tcPr>
          <w:p w14:paraId="5B9904DE" w14:textId="77777777" w:rsidR="00107491" w:rsidRPr="00107491" w:rsidRDefault="00107491" w:rsidP="00107491">
            <w:pPr>
              <w:jc w:val="center"/>
              <w:rPr>
                <w:b/>
                <w:bCs/>
                <w:color w:val="000000"/>
                <w:sz w:val="18"/>
                <w:szCs w:val="18"/>
                <w:lang w:val="en-US" w:eastAsia="en-US"/>
              </w:rPr>
            </w:pPr>
            <w:r w:rsidRPr="00107491">
              <w:rPr>
                <w:b/>
                <w:bCs/>
                <w:color w:val="000000"/>
                <w:sz w:val="18"/>
                <w:szCs w:val="18"/>
                <w:lang w:val="en-US" w:eastAsia="en-US"/>
              </w:rPr>
              <w:t> </w:t>
            </w:r>
          </w:p>
        </w:tc>
        <w:tc>
          <w:tcPr>
            <w:tcW w:w="258" w:type="pct"/>
            <w:tcBorders>
              <w:top w:val="nil"/>
              <w:left w:val="nil"/>
              <w:bottom w:val="single" w:sz="8" w:space="0" w:color="auto"/>
              <w:right w:val="single" w:sz="8" w:space="0" w:color="auto"/>
            </w:tcBorders>
            <w:shd w:val="clear" w:color="auto" w:fill="auto"/>
            <w:noWrap/>
            <w:vAlign w:val="center"/>
            <w:hideMark/>
          </w:tcPr>
          <w:p w14:paraId="185CABBE" w14:textId="77777777" w:rsidR="00107491" w:rsidRPr="00107491" w:rsidRDefault="00107491" w:rsidP="00107491">
            <w:pPr>
              <w:rPr>
                <w:color w:val="000000"/>
                <w:sz w:val="18"/>
                <w:szCs w:val="18"/>
                <w:lang w:val="en-US" w:eastAsia="en-US"/>
              </w:rPr>
            </w:pPr>
            <w:r w:rsidRPr="00107491">
              <w:rPr>
                <w:color w:val="000000"/>
                <w:sz w:val="18"/>
                <w:szCs w:val="18"/>
                <w:lang w:val="en-US" w:eastAsia="en-US"/>
              </w:rPr>
              <w:t> </w:t>
            </w:r>
          </w:p>
        </w:tc>
        <w:tc>
          <w:tcPr>
            <w:tcW w:w="458" w:type="pct"/>
            <w:tcBorders>
              <w:top w:val="single" w:sz="8" w:space="0" w:color="auto"/>
              <w:left w:val="nil"/>
              <w:bottom w:val="nil"/>
              <w:right w:val="single" w:sz="8" w:space="0" w:color="auto"/>
            </w:tcBorders>
            <w:shd w:val="clear" w:color="auto" w:fill="auto"/>
            <w:vAlign w:val="center"/>
            <w:hideMark/>
          </w:tcPr>
          <w:p w14:paraId="36354B80" w14:textId="77777777" w:rsidR="00107491" w:rsidRPr="00107491" w:rsidRDefault="00107491" w:rsidP="00107491">
            <w:pPr>
              <w:rPr>
                <w:color w:val="000000"/>
                <w:sz w:val="18"/>
                <w:szCs w:val="18"/>
                <w:lang w:val="en-US" w:eastAsia="en-US"/>
              </w:rPr>
            </w:pPr>
            <w:r w:rsidRPr="00107491">
              <w:rPr>
                <w:color w:val="000000"/>
                <w:sz w:val="18"/>
                <w:szCs w:val="18"/>
                <w:lang w:val="en-US" w:eastAsia="en-US"/>
              </w:rPr>
              <w:t> </w:t>
            </w:r>
          </w:p>
        </w:tc>
        <w:tc>
          <w:tcPr>
            <w:tcW w:w="254" w:type="pct"/>
            <w:tcBorders>
              <w:top w:val="nil"/>
              <w:left w:val="nil"/>
              <w:bottom w:val="single" w:sz="8" w:space="0" w:color="auto"/>
              <w:right w:val="single" w:sz="8" w:space="0" w:color="auto"/>
            </w:tcBorders>
            <w:shd w:val="clear" w:color="auto" w:fill="auto"/>
            <w:noWrap/>
            <w:vAlign w:val="center"/>
            <w:hideMark/>
          </w:tcPr>
          <w:p w14:paraId="359E3F2C" w14:textId="77777777" w:rsidR="00107491" w:rsidRPr="00107491" w:rsidRDefault="00107491" w:rsidP="00107491">
            <w:pPr>
              <w:jc w:val="center"/>
              <w:rPr>
                <w:color w:val="000000"/>
                <w:sz w:val="18"/>
                <w:szCs w:val="18"/>
                <w:lang w:val="en-US" w:eastAsia="en-US"/>
              </w:rPr>
            </w:pPr>
            <w:r w:rsidRPr="00107491">
              <w:rPr>
                <w:color w:val="000000"/>
                <w:sz w:val="18"/>
                <w:szCs w:val="18"/>
                <w:lang w:val="en-US" w:eastAsia="en-US"/>
              </w:rPr>
              <w:t> </w:t>
            </w:r>
          </w:p>
        </w:tc>
        <w:tc>
          <w:tcPr>
            <w:tcW w:w="273" w:type="pct"/>
            <w:tcBorders>
              <w:top w:val="nil"/>
              <w:left w:val="nil"/>
              <w:bottom w:val="single" w:sz="8" w:space="0" w:color="auto"/>
              <w:right w:val="single" w:sz="8" w:space="0" w:color="auto"/>
            </w:tcBorders>
            <w:shd w:val="clear" w:color="auto" w:fill="auto"/>
            <w:noWrap/>
            <w:vAlign w:val="center"/>
            <w:hideMark/>
          </w:tcPr>
          <w:p w14:paraId="12EA5460" w14:textId="77777777" w:rsidR="00107491" w:rsidRPr="00107491" w:rsidRDefault="00107491" w:rsidP="00107491">
            <w:pPr>
              <w:jc w:val="center"/>
              <w:rPr>
                <w:color w:val="000000"/>
                <w:sz w:val="18"/>
                <w:szCs w:val="18"/>
                <w:lang w:val="en-US" w:eastAsia="en-US"/>
              </w:rPr>
            </w:pPr>
            <w:r w:rsidRPr="00107491">
              <w:rPr>
                <w:color w:val="000000"/>
                <w:sz w:val="18"/>
                <w:szCs w:val="18"/>
                <w:lang w:val="en-US" w:eastAsia="en-US"/>
              </w:rPr>
              <w:t> </w:t>
            </w:r>
          </w:p>
        </w:tc>
        <w:tc>
          <w:tcPr>
            <w:tcW w:w="250" w:type="pct"/>
            <w:tcBorders>
              <w:top w:val="nil"/>
              <w:left w:val="nil"/>
              <w:bottom w:val="single" w:sz="8" w:space="0" w:color="auto"/>
              <w:right w:val="single" w:sz="8" w:space="0" w:color="auto"/>
            </w:tcBorders>
            <w:shd w:val="clear" w:color="auto" w:fill="auto"/>
            <w:noWrap/>
            <w:vAlign w:val="center"/>
            <w:hideMark/>
          </w:tcPr>
          <w:p w14:paraId="42B3B51A" w14:textId="77777777" w:rsidR="00107491" w:rsidRPr="00107491" w:rsidRDefault="00107491" w:rsidP="00107491">
            <w:pPr>
              <w:jc w:val="center"/>
              <w:rPr>
                <w:color w:val="000000"/>
                <w:sz w:val="18"/>
                <w:szCs w:val="18"/>
                <w:lang w:val="en-US" w:eastAsia="en-US"/>
              </w:rPr>
            </w:pPr>
            <w:r w:rsidRPr="00107491">
              <w:rPr>
                <w:color w:val="000000"/>
                <w:sz w:val="18"/>
                <w:szCs w:val="18"/>
                <w:lang w:val="en-US" w:eastAsia="en-US"/>
              </w:rPr>
              <w:t> </w:t>
            </w:r>
          </w:p>
        </w:tc>
        <w:tc>
          <w:tcPr>
            <w:tcW w:w="250" w:type="pct"/>
            <w:tcBorders>
              <w:top w:val="nil"/>
              <w:left w:val="nil"/>
              <w:bottom w:val="single" w:sz="8" w:space="0" w:color="auto"/>
              <w:right w:val="single" w:sz="8" w:space="0" w:color="auto"/>
            </w:tcBorders>
            <w:shd w:val="clear" w:color="auto" w:fill="auto"/>
            <w:noWrap/>
            <w:vAlign w:val="center"/>
            <w:hideMark/>
          </w:tcPr>
          <w:p w14:paraId="03377234" w14:textId="77777777" w:rsidR="00107491" w:rsidRPr="00107491" w:rsidRDefault="00107491" w:rsidP="00107491">
            <w:pPr>
              <w:jc w:val="center"/>
              <w:rPr>
                <w:color w:val="000000"/>
                <w:sz w:val="18"/>
                <w:szCs w:val="18"/>
                <w:lang w:val="en-US" w:eastAsia="en-US"/>
              </w:rPr>
            </w:pPr>
            <w:r w:rsidRPr="00107491">
              <w:rPr>
                <w:color w:val="000000"/>
                <w:sz w:val="18"/>
                <w:szCs w:val="18"/>
                <w:lang w:val="en-US" w:eastAsia="en-US"/>
              </w:rPr>
              <w:t> </w:t>
            </w:r>
          </w:p>
        </w:tc>
        <w:tc>
          <w:tcPr>
            <w:tcW w:w="250" w:type="pct"/>
            <w:tcBorders>
              <w:top w:val="nil"/>
              <w:left w:val="nil"/>
              <w:bottom w:val="single" w:sz="8" w:space="0" w:color="auto"/>
              <w:right w:val="single" w:sz="8" w:space="0" w:color="auto"/>
            </w:tcBorders>
            <w:shd w:val="clear" w:color="auto" w:fill="auto"/>
            <w:noWrap/>
            <w:vAlign w:val="center"/>
            <w:hideMark/>
          </w:tcPr>
          <w:p w14:paraId="0124DA82" w14:textId="77777777" w:rsidR="00107491" w:rsidRPr="00107491" w:rsidRDefault="00107491" w:rsidP="00107491">
            <w:pPr>
              <w:jc w:val="center"/>
              <w:rPr>
                <w:color w:val="000000"/>
                <w:sz w:val="18"/>
                <w:szCs w:val="18"/>
                <w:lang w:val="en-US" w:eastAsia="en-US"/>
              </w:rPr>
            </w:pPr>
            <w:r w:rsidRPr="00107491">
              <w:rPr>
                <w:color w:val="000000"/>
                <w:sz w:val="18"/>
                <w:szCs w:val="18"/>
                <w:lang w:val="en-US" w:eastAsia="en-US"/>
              </w:rPr>
              <w:t> </w:t>
            </w:r>
          </w:p>
        </w:tc>
        <w:tc>
          <w:tcPr>
            <w:tcW w:w="250" w:type="pct"/>
            <w:tcBorders>
              <w:top w:val="nil"/>
              <w:left w:val="nil"/>
              <w:bottom w:val="single" w:sz="8" w:space="0" w:color="auto"/>
              <w:right w:val="single" w:sz="8" w:space="0" w:color="auto"/>
            </w:tcBorders>
            <w:shd w:val="clear" w:color="auto" w:fill="auto"/>
            <w:noWrap/>
            <w:vAlign w:val="center"/>
            <w:hideMark/>
          </w:tcPr>
          <w:p w14:paraId="7DDF67BF" w14:textId="77777777" w:rsidR="00107491" w:rsidRPr="00107491" w:rsidRDefault="00107491" w:rsidP="00107491">
            <w:pPr>
              <w:jc w:val="center"/>
              <w:rPr>
                <w:color w:val="000000"/>
                <w:sz w:val="18"/>
                <w:szCs w:val="18"/>
                <w:lang w:val="en-US" w:eastAsia="en-US"/>
              </w:rPr>
            </w:pPr>
            <w:r w:rsidRPr="00107491">
              <w:rPr>
                <w:color w:val="000000"/>
                <w:sz w:val="18"/>
                <w:szCs w:val="18"/>
                <w:lang w:val="en-US" w:eastAsia="en-US"/>
              </w:rPr>
              <w:t> </w:t>
            </w:r>
          </w:p>
        </w:tc>
        <w:tc>
          <w:tcPr>
            <w:tcW w:w="261" w:type="pct"/>
            <w:tcBorders>
              <w:top w:val="nil"/>
              <w:left w:val="nil"/>
              <w:bottom w:val="single" w:sz="8" w:space="0" w:color="auto"/>
              <w:right w:val="single" w:sz="8" w:space="0" w:color="auto"/>
            </w:tcBorders>
            <w:shd w:val="clear" w:color="auto" w:fill="auto"/>
            <w:noWrap/>
            <w:vAlign w:val="center"/>
            <w:hideMark/>
          </w:tcPr>
          <w:p w14:paraId="7E9BF5E6"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 </w:t>
            </w:r>
          </w:p>
        </w:tc>
        <w:tc>
          <w:tcPr>
            <w:tcW w:w="183" w:type="pct"/>
            <w:tcBorders>
              <w:top w:val="nil"/>
              <w:left w:val="nil"/>
              <w:bottom w:val="nil"/>
              <w:right w:val="nil"/>
            </w:tcBorders>
            <w:shd w:val="clear" w:color="auto" w:fill="auto"/>
            <w:noWrap/>
            <w:vAlign w:val="bottom"/>
            <w:hideMark/>
          </w:tcPr>
          <w:p w14:paraId="40357EC0" w14:textId="77777777" w:rsidR="00107491" w:rsidRPr="00107491" w:rsidRDefault="00107491" w:rsidP="00107491">
            <w:pPr>
              <w:jc w:val="center"/>
              <w:rPr>
                <w:color w:val="000000"/>
                <w:sz w:val="18"/>
                <w:szCs w:val="18"/>
                <w:lang w:val="en-US" w:eastAsia="en-US"/>
              </w:rPr>
            </w:pPr>
          </w:p>
        </w:tc>
        <w:tc>
          <w:tcPr>
            <w:tcW w:w="35" w:type="pct"/>
            <w:vAlign w:val="center"/>
            <w:hideMark/>
          </w:tcPr>
          <w:p w14:paraId="5F4C71E0" w14:textId="77777777" w:rsidR="00107491" w:rsidRPr="00107491" w:rsidRDefault="00107491" w:rsidP="00107491">
            <w:pPr>
              <w:rPr>
                <w:sz w:val="20"/>
                <w:szCs w:val="20"/>
                <w:lang w:val="en-US" w:eastAsia="en-US"/>
              </w:rPr>
            </w:pPr>
          </w:p>
        </w:tc>
      </w:tr>
      <w:tr w:rsidR="00107491" w:rsidRPr="00107491" w14:paraId="3CBC62CB" w14:textId="77777777" w:rsidTr="00107491">
        <w:trPr>
          <w:trHeight w:val="300"/>
        </w:trPr>
        <w:tc>
          <w:tcPr>
            <w:tcW w:w="1056" w:type="pct"/>
            <w:tcBorders>
              <w:top w:val="nil"/>
              <w:left w:val="single" w:sz="8" w:space="0" w:color="auto"/>
              <w:bottom w:val="nil"/>
              <w:right w:val="nil"/>
            </w:tcBorders>
            <w:shd w:val="clear" w:color="auto" w:fill="auto"/>
            <w:noWrap/>
            <w:vAlign w:val="center"/>
            <w:hideMark/>
          </w:tcPr>
          <w:p w14:paraId="7395A180" w14:textId="77777777" w:rsidR="00107491" w:rsidRPr="00107491" w:rsidRDefault="00107491" w:rsidP="00107491">
            <w:pPr>
              <w:rPr>
                <w:rFonts w:ascii="Calibri" w:hAnsi="Calibri" w:cs="Calibri"/>
                <w:color w:val="000000"/>
                <w:sz w:val="18"/>
                <w:szCs w:val="18"/>
                <w:lang w:val="en-US" w:eastAsia="en-US"/>
              </w:rPr>
            </w:pPr>
            <w:r w:rsidRPr="00107491">
              <w:rPr>
                <w:rFonts w:ascii="Calibri" w:hAnsi="Calibri" w:cs="Calibri"/>
                <w:color w:val="000000"/>
                <w:sz w:val="18"/>
                <w:szCs w:val="18"/>
                <w:lang w:val="en-US" w:eastAsia="en-US"/>
              </w:rPr>
              <w:t> </w:t>
            </w:r>
          </w:p>
        </w:tc>
        <w:tc>
          <w:tcPr>
            <w:tcW w:w="381" w:type="pct"/>
            <w:vMerge/>
            <w:tcBorders>
              <w:top w:val="nil"/>
              <w:left w:val="single" w:sz="8" w:space="0" w:color="auto"/>
              <w:bottom w:val="double" w:sz="6" w:space="0" w:color="000000"/>
              <w:right w:val="single" w:sz="8" w:space="0" w:color="auto"/>
            </w:tcBorders>
            <w:vAlign w:val="center"/>
            <w:hideMark/>
          </w:tcPr>
          <w:p w14:paraId="4E6190CD" w14:textId="77777777" w:rsidR="00107491" w:rsidRPr="00107491" w:rsidRDefault="00107491" w:rsidP="00107491">
            <w:pPr>
              <w:rPr>
                <w:b/>
                <w:bCs/>
                <w:color w:val="000000"/>
                <w:sz w:val="18"/>
                <w:szCs w:val="18"/>
                <w:lang w:val="en-US" w:eastAsia="en-US"/>
              </w:rPr>
            </w:pPr>
          </w:p>
        </w:tc>
        <w:tc>
          <w:tcPr>
            <w:tcW w:w="453" w:type="pct"/>
            <w:tcBorders>
              <w:top w:val="nil"/>
              <w:left w:val="nil"/>
              <w:bottom w:val="nil"/>
              <w:right w:val="nil"/>
            </w:tcBorders>
            <w:shd w:val="clear" w:color="auto" w:fill="auto"/>
            <w:vAlign w:val="center"/>
            <w:hideMark/>
          </w:tcPr>
          <w:p w14:paraId="0FFCF87E" w14:textId="77777777" w:rsidR="00107491" w:rsidRPr="00107491" w:rsidRDefault="00107491" w:rsidP="00107491">
            <w:pPr>
              <w:rPr>
                <w:rFonts w:ascii="Calibri" w:hAnsi="Calibri" w:cs="Calibri"/>
                <w:color w:val="000000"/>
                <w:sz w:val="18"/>
                <w:szCs w:val="18"/>
                <w:lang w:val="en-US" w:eastAsia="en-US"/>
              </w:rPr>
            </w:pPr>
          </w:p>
        </w:tc>
        <w:tc>
          <w:tcPr>
            <w:tcW w:w="388" w:type="pct"/>
            <w:tcBorders>
              <w:top w:val="nil"/>
              <w:left w:val="single" w:sz="8" w:space="0" w:color="auto"/>
              <w:bottom w:val="nil"/>
              <w:right w:val="single" w:sz="8" w:space="0" w:color="auto"/>
            </w:tcBorders>
            <w:shd w:val="clear" w:color="auto" w:fill="auto"/>
            <w:vAlign w:val="center"/>
            <w:hideMark/>
          </w:tcPr>
          <w:p w14:paraId="76D5C273" w14:textId="77777777" w:rsidR="00107491" w:rsidRPr="00107491" w:rsidRDefault="00107491" w:rsidP="00107491">
            <w:pPr>
              <w:jc w:val="center"/>
              <w:rPr>
                <w:b/>
                <w:bCs/>
                <w:color w:val="000000"/>
                <w:sz w:val="18"/>
                <w:szCs w:val="18"/>
                <w:lang w:val="en-US" w:eastAsia="en-US"/>
              </w:rPr>
            </w:pPr>
            <w:r w:rsidRPr="00107491">
              <w:rPr>
                <w:b/>
                <w:bCs/>
                <w:color w:val="000000"/>
                <w:sz w:val="18"/>
                <w:szCs w:val="18"/>
                <w:lang w:val="en-US" w:eastAsia="en-US"/>
              </w:rPr>
              <w:t> </w:t>
            </w:r>
          </w:p>
        </w:tc>
        <w:tc>
          <w:tcPr>
            <w:tcW w:w="258" w:type="pct"/>
            <w:tcBorders>
              <w:top w:val="nil"/>
              <w:left w:val="nil"/>
              <w:bottom w:val="single" w:sz="8" w:space="0" w:color="auto"/>
              <w:right w:val="single" w:sz="8" w:space="0" w:color="auto"/>
            </w:tcBorders>
            <w:shd w:val="clear" w:color="auto" w:fill="auto"/>
            <w:noWrap/>
            <w:vAlign w:val="center"/>
            <w:hideMark/>
          </w:tcPr>
          <w:p w14:paraId="0191BD54" w14:textId="77777777" w:rsidR="00107491" w:rsidRPr="00107491" w:rsidRDefault="00107491" w:rsidP="00107491">
            <w:pPr>
              <w:rPr>
                <w:color w:val="000000"/>
                <w:sz w:val="18"/>
                <w:szCs w:val="18"/>
                <w:lang w:val="en-US" w:eastAsia="en-US"/>
              </w:rPr>
            </w:pPr>
            <w:r w:rsidRPr="00107491">
              <w:rPr>
                <w:color w:val="000000"/>
                <w:sz w:val="18"/>
                <w:szCs w:val="18"/>
                <w:lang w:val="en-US" w:eastAsia="en-US"/>
              </w:rPr>
              <w:t> </w:t>
            </w:r>
          </w:p>
        </w:tc>
        <w:tc>
          <w:tcPr>
            <w:tcW w:w="458" w:type="pct"/>
            <w:tcBorders>
              <w:top w:val="single" w:sz="8" w:space="0" w:color="auto"/>
              <w:left w:val="nil"/>
              <w:bottom w:val="nil"/>
              <w:right w:val="single" w:sz="8" w:space="0" w:color="auto"/>
            </w:tcBorders>
            <w:shd w:val="clear" w:color="auto" w:fill="auto"/>
            <w:vAlign w:val="center"/>
            <w:hideMark/>
          </w:tcPr>
          <w:p w14:paraId="4F18E341" w14:textId="77777777" w:rsidR="00107491" w:rsidRPr="00107491" w:rsidRDefault="00107491" w:rsidP="00107491">
            <w:pPr>
              <w:rPr>
                <w:color w:val="000000"/>
                <w:sz w:val="18"/>
                <w:szCs w:val="18"/>
                <w:lang w:val="en-US" w:eastAsia="en-US"/>
              </w:rPr>
            </w:pPr>
            <w:r w:rsidRPr="00107491">
              <w:rPr>
                <w:color w:val="000000"/>
                <w:sz w:val="18"/>
                <w:szCs w:val="18"/>
                <w:lang w:val="en-US" w:eastAsia="en-US"/>
              </w:rPr>
              <w:t> </w:t>
            </w:r>
          </w:p>
        </w:tc>
        <w:tc>
          <w:tcPr>
            <w:tcW w:w="254" w:type="pct"/>
            <w:tcBorders>
              <w:top w:val="nil"/>
              <w:left w:val="nil"/>
              <w:bottom w:val="single" w:sz="8" w:space="0" w:color="auto"/>
              <w:right w:val="single" w:sz="8" w:space="0" w:color="auto"/>
            </w:tcBorders>
            <w:shd w:val="clear" w:color="auto" w:fill="auto"/>
            <w:noWrap/>
            <w:vAlign w:val="center"/>
            <w:hideMark/>
          </w:tcPr>
          <w:p w14:paraId="08D3271C" w14:textId="77777777" w:rsidR="00107491" w:rsidRPr="00107491" w:rsidRDefault="00107491" w:rsidP="00107491">
            <w:pPr>
              <w:jc w:val="center"/>
              <w:rPr>
                <w:color w:val="000000"/>
                <w:sz w:val="18"/>
                <w:szCs w:val="18"/>
                <w:lang w:val="en-US" w:eastAsia="en-US"/>
              </w:rPr>
            </w:pPr>
            <w:r w:rsidRPr="00107491">
              <w:rPr>
                <w:color w:val="000000"/>
                <w:sz w:val="18"/>
                <w:szCs w:val="18"/>
                <w:lang w:val="en-US" w:eastAsia="en-US"/>
              </w:rPr>
              <w:t> </w:t>
            </w:r>
          </w:p>
        </w:tc>
        <w:tc>
          <w:tcPr>
            <w:tcW w:w="273" w:type="pct"/>
            <w:tcBorders>
              <w:top w:val="nil"/>
              <w:left w:val="nil"/>
              <w:bottom w:val="single" w:sz="8" w:space="0" w:color="auto"/>
              <w:right w:val="single" w:sz="8" w:space="0" w:color="auto"/>
            </w:tcBorders>
            <w:shd w:val="clear" w:color="auto" w:fill="auto"/>
            <w:noWrap/>
            <w:vAlign w:val="center"/>
            <w:hideMark/>
          </w:tcPr>
          <w:p w14:paraId="27900ABB" w14:textId="77777777" w:rsidR="00107491" w:rsidRPr="00107491" w:rsidRDefault="00107491" w:rsidP="00107491">
            <w:pPr>
              <w:jc w:val="center"/>
              <w:rPr>
                <w:color w:val="000000"/>
                <w:sz w:val="18"/>
                <w:szCs w:val="18"/>
                <w:lang w:val="en-US" w:eastAsia="en-US"/>
              </w:rPr>
            </w:pPr>
            <w:r w:rsidRPr="00107491">
              <w:rPr>
                <w:color w:val="000000"/>
                <w:sz w:val="18"/>
                <w:szCs w:val="18"/>
                <w:lang w:val="en-US" w:eastAsia="en-US"/>
              </w:rPr>
              <w:t> </w:t>
            </w:r>
          </w:p>
        </w:tc>
        <w:tc>
          <w:tcPr>
            <w:tcW w:w="250" w:type="pct"/>
            <w:tcBorders>
              <w:top w:val="nil"/>
              <w:left w:val="nil"/>
              <w:bottom w:val="single" w:sz="8" w:space="0" w:color="auto"/>
              <w:right w:val="single" w:sz="8" w:space="0" w:color="auto"/>
            </w:tcBorders>
            <w:shd w:val="clear" w:color="auto" w:fill="auto"/>
            <w:noWrap/>
            <w:vAlign w:val="center"/>
            <w:hideMark/>
          </w:tcPr>
          <w:p w14:paraId="5BF86C31" w14:textId="77777777" w:rsidR="00107491" w:rsidRPr="00107491" w:rsidRDefault="00107491" w:rsidP="00107491">
            <w:pPr>
              <w:jc w:val="center"/>
              <w:rPr>
                <w:color w:val="000000"/>
                <w:sz w:val="18"/>
                <w:szCs w:val="18"/>
                <w:lang w:val="en-US" w:eastAsia="en-US"/>
              </w:rPr>
            </w:pPr>
            <w:r w:rsidRPr="00107491">
              <w:rPr>
                <w:color w:val="000000"/>
                <w:sz w:val="18"/>
                <w:szCs w:val="18"/>
                <w:lang w:val="en-US" w:eastAsia="en-US"/>
              </w:rPr>
              <w:t> </w:t>
            </w:r>
          </w:p>
        </w:tc>
        <w:tc>
          <w:tcPr>
            <w:tcW w:w="250" w:type="pct"/>
            <w:tcBorders>
              <w:top w:val="nil"/>
              <w:left w:val="nil"/>
              <w:bottom w:val="single" w:sz="8" w:space="0" w:color="auto"/>
              <w:right w:val="single" w:sz="8" w:space="0" w:color="auto"/>
            </w:tcBorders>
            <w:shd w:val="clear" w:color="auto" w:fill="auto"/>
            <w:noWrap/>
            <w:vAlign w:val="center"/>
            <w:hideMark/>
          </w:tcPr>
          <w:p w14:paraId="645B7FD8" w14:textId="77777777" w:rsidR="00107491" w:rsidRPr="00107491" w:rsidRDefault="00107491" w:rsidP="00107491">
            <w:pPr>
              <w:jc w:val="center"/>
              <w:rPr>
                <w:color w:val="000000"/>
                <w:sz w:val="18"/>
                <w:szCs w:val="18"/>
                <w:lang w:val="en-US" w:eastAsia="en-US"/>
              </w:rPr>
            </w:pPr>
            <w:r w:rsidRPr="00107491">
              <w:rPr>
                <w:color w:val="000000"/>
                <w:sz w:val="18"/>
                <w:szCs w:val="18"/>
                <w:lang w:val="en-US" w:eastAsia="en-US"/>
              </w:rPr>
              <w:t> </w:t>
            </w:r>
          </w:p>
        </w:tc>
        <w:tc>
          <w:tcPr>
            <w:tcW w:w="250" w:type="pct"/>
            <w:tcBorders>
              <w:top w:val="nil"/>
              <w:left w:val="nil"/>
              <w:bottom w:val="single" w:sz="8" w:space="0" w:color="auto"/>
              <w:right w:val="single" w:sz="8" w:space="0" w:color="auto"/>
            </w:tcBorders>
            <w:shd w:val="clear" w:color="auto" w:fill="auto"/>
            <w:noWrap/>
            <w:vAlign w:val="center"/>
            <w:hideMark/>
          </w:tcPr>
          <w:p w14:paraId="25447ED3" w14:textId="77777777" w:rsidR="00107491" w:rsidRPr="00107491" w:rsidRDefault="00107491" w:rsidP="00107491">
            <w:pPr>
              <w:jc w:val="center"/>
              <w:rPr>
                <w:color w:val="000000"/>
                <w:sz w:val="18"/>
                <w:szCs w:val="18"/>
                <w:lang w:val="en-US" w:eastAsia="en-US"/>
              </w:rPr>
            </w:pPr>
            <w:r w:rsidRPr="00107491">
              <w:rPr>
                <w:color w:val="000000"/>
                <w:sz w:val="18"/>
                <w:szCs w:val="18"/>
                <w:lang w:val="en-US" w:eastAsia="en-US"/>
              </w:rPr>
              <w:t> </w:t>
            </w:r>
          </w:p>
        </w:tc>
        <w:tc>
          <w:tcPr>
            <w:tcW w:w="250" w:type="pct"/>
            <w:tcBorders>
              <w:top w:val="nil"/>
              <w:left w:val="nil"/>
              <w:bottom w:val="single" w:sz="8" w:space="0" w:color="auto"/>
              <w:right w:val="single" w:sz="8" w:space="0" w:color="auto"/>
            </w:tcBorders>
            <w:shd w:val="clear" w:color="auto" w:fill="auto"/>
            <w:noWrap/>
            <w:vAlign w:val="center"/>
            <w:hideMark/>
          </w:tcPr>
          <w:p w14:paraId="4FC23A12" w14:textId="77777777" w:rsidR="00107491" w:rsidRPr="00107491" w:rsidRDefault="00107491" w:rsidP="00107491">
            <w:pPr>
              <w:jc w:val="center"/>
              <w:rPr>
                <w:color w:val="000000"/>
                <w:sz w:val="18"/>
                <w:szCs w:val="18"/>
                <w:lang w:val="en-US" w:eastAsia="en-US"/>
              </w:rPr>
            </w:pPr>
            <w:r w:rsidRPr="00107491">
              <w:rPr>
                <w:color w:val="000000"/>
                <w:sz w:val="18"/>
                <w:szCs w:val="18"/>
                <w:lang w:val="en-US" w:eastAsia="en-US"/>
              </w:rPr>
              <w:t> </w:t>
            </w:r>
          </w:p>
        </w:tc>
        <w:tc>
          <w:tcPr>
            <w:tcW w:w="261" w:type="pct"/>
            <w:tcBorders>
              <w:top w:val="nil"/>
              <w:left w:val="nil"/>
              <w:bottom w:val="single" w:sz="8" w:space="0" w:color="auto"/>
              <w:right w:val="single" w:sz="8" w:space="0" w:color="auto"/>
            </w:tcBorders>
            <w:shd w:val="clear" w:color="auto" w:fill="auto"/>
            <w:noWrap/>
            <w:vAlign w:val="center"/>
            <w:hideMark/>
          </w:tcPr>
          <w:p w14:paraId="693AA113"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 </w:t>
            </w:r>
          </w:p>
        </w:tc>
        <w:tc>
          <w:tcPr>
            <w:tcW w:w="183" w:type="pct"/>
            <w:tcBorders>
              <w:top w:val="nil"/>
              <w:left w:val="nil"/>
              <w:bottom w:val="nil"/>
              <w:right w:val="nil"/>
            </w:tcBorders>
            <w:shd w:val="clear" w:color="auto" w:fill="auto"/>
            <w:noWrap/>
            <w:vAlign w:val="bottom"/>
            <w:hideMark/>
          </w:tcPr>
          <w:p w14:paraId="09423C42" w14:textId="77777777" w:rsidR="00107491" w:rsidRPr="00107491" w:rsidRDefault="00107491" w:rsidP="00107491">
            <w:pPr>
              <w:jc w:val="center"/>
              <w:rPr>
                <w:color w:val="000000"/>
                <w:sz w:val="18"/>
                <w:szCs w:val="18"/>
                <w:lang w:val="en-US" w:eastAsia="en-US"/>
              </w:rPr>
            </w:pPr>
          </w:p>
        </w:tc>
        <w:tc>
          <w:tcPr>
            <w:tcW w:w="35" w:type="pct"/>
            <w:vAlign w:val="center"/>
            <w:hideMark/>
          </w:tcPr>
          <w:p w14:paraId="4D0E6819" w14:textId="77777777" w:rsidR="00107491" w:rsidRPr="00107491" w:rsidRDefault="00107491" w:rsidP="00107491">
            <w:pPr>
              <w:rPr>
                <w:sz w:val="20"/>
                <w:szCs w:val="20"/>
                <w:lang w:val="en-US" w:eastAsia="en-US"/>
              </w:rPr>
            </w:pPr>
          </w:p>
        </w:tc>
      </w:tr>
      <w:tr w:rsidR="00107491" w:rsidRPr="00107491" w14:paraId="58F3D0C8" w14:textId="77777777" w:rsidTr="00107491">
        <w:trPr>
          <w:trHeight w:val="300"/>
        </w:trPr>
        <w:tc>
          <w:tcPr>
            <w:tcW w:w="1056" w:type="pct"/>
            <w:tcBorders>
              <w:top w:val="nil"/>
              <w:left w:val="single" w:sz="8" w:space="0" w:color="auto"/>
              <w:bottom w:val="nil"/>
              <w:right w:val="nil"/>
            </w:tcBorders>
            <w:shd w:val="clear" w:color="auto" w:fill="auto"/>
            <w:noWrap/>
            <w:vAlign w:val="center"/>
            <w:hideMark/>
          </w:tcPr>
          <w:p w14:paraId="2226EC2D" w14:textId="77777777" w:rsidR="00107491" w:rsidRPr="00107491" w:rsidRDefault="00107491" w:rsidP="00107491">
            <w:pPr>
              <w:rPr>
                <w:rFonts w:ascii="Calibri" w:hAnsi="Calibri" w:cs="Calibri"/>
                <w:color w:val="000000"/>
                <w:sz w:val="18"/>
                <w:szCs w:val="18"/>
                <w:lang w:val="en-US" w:eastAsia="en-US"/>
              </w:rPr>
            </w:pPr>
            <w:r w:rsidRPr="00107491">
              <w:rPr>
                <w:rFonts w:ascii="Calibri" w:hAnsi="Calibri" w:cs="Calibri"/>
                <w:color w:val="000000"/>
                <w:sz w:val="18"/>
                <w:szCs w:val="18"/>
                <w:lang w:val="en-US" w:eastAsia="en-US"/>
              </w:rPr>
              <w:t> </w:t>
            </w:r>
          </w:p>
        </w:tc>
        <w:tc>
          <w:tcPr>
            <w:tcW w:w="381" w:type="pct"/>
            <w:vMerge/>
            <w:tcBorders>
              <w:top w:val="nil"/>
              <w:left w:val="single" w:sz="8" w:space="0" w:color="auto"/>
              <w:bottom w:val="double" w:sz="6" w:space="0" w:color="000000"/>
              <w:right w:val="single" w:sz="8" w:space="0" w:color="auto"/>
            </w:tcBorders>
            <w:vAlign w:val="center"/>
            <w:hideMark/>
          </w:tcPr>
          <w:p w14:paraId="4A3F3970" w14:textId="77777777" w:rsidR="00107491" w:rsidRPr="00107491" w:rsidRDefault="00107491" w:rsidP="00107491">
            <w:pPr>
              <w:rPr>
                <w:b/>
                <w:bCs/>
                <w:color w:val="000000"/>
                <w:sz w:val="18"/>
                <w:szCs w:val="18"/>
                <w:lang w:val="en-US" w:eastAsia="en-US"/>
              </w:rPr>
            </w:pPr>
          </w:p>
        </w:tc>
        <w:tc>
          <w:tcPr>
            <w:tcW w:w="453" w:type="pct"/>
            <w:tcBorders>
              <w:top w:val="nil"/>
              <w:left w:val="nil"/>
              <w:bottom w:val="nil"/>
              <w:right w:val="nil"/>
            </w:tcBorders>
            <w:shd w:val="clear" w:color="auto" w:fill="auto"/>
            <w:vAlign w:val="center"/>
            <w:hideMark/>
          </w:tcPr>
          <w:p w14:paraId="768B5547" w14:textId="77777777" w:rsidR="00107491" w:rsidRPr="00107491" w:rsidRDefault="00107491" w:rsidP="00107491">
            <w:pPr>
              <w:rPr>
                <w:rFonts w:ascii="Calibri" w:hAnsi="Calibri" w:cs="Calibri"/>
                <w:color w:val="000000"/>
                <w:sz w:val="18"/>
                <w:szCs w:val="18"/>
                <w:lang w:val="en-US" w:eastAsia="en-US"/>
              </w:rPr>
            </w:pPr>
          </w:p>
        </w:tc>
        <w:tc>
          <w:tcPr>
            <w:tcW w:w="388" w:type="pct"/>
            <w:tcBorders>
              <w:top w:val="nil"/>
              <w:left w:val="single" w:sz="8" w:space="0" w:color="auto"/>
              <w:bottom w:val="nil"/>
              <w:right w:val="single" w:sz="8" w:space="0" w:color="auto"/>
            </w:tcBorders>
            <w:shd w:val="clear" w:color="auto" w:fill="auto"/>
            <w:vAlign w:val="center"/>
            <w:hideMark/>
          </w:tcPr>
          <w:p w14:paraId="5A536B98" w14:textId="77777777" w:rsidR="00107491" w:rsidRPr="00107491" w:rsidRDefault="00107491" w:rsidP="00107491">
            <w:pPr>
              <w:jc w:val="center"/>
              <w:rPr>
                <w:b/>
                <w:bCs/>
                <w:color w:val="000000"/>
                <w:sz w:val="18"/>
                <w:szCs w:val="18"/>
                <w:lang w:val="en-US" w:eastAsia="en-US"/>
              </w:rPr>
            </w:pPr>
            <w:r w:rsidRPr="00107491">
              <w:rPr>
                <w:b/>
                <w:bCs/>
                <w:color w:val="000000"/>
                <w:sz w:val="18"/>
                <w:szCs w:val="18"/>
                <w:lang w:val="en-US" w:eastAsia="en-US"/>
              </w:rPr>
              <w:t> </w:t>
            </w:r>
          </w:p>
        </w:tc>
        <w:tc>
          <w:tcPr>
            <w:tcW w:w="258" w:type="pct"/>
            <w:tcBorders>
              <w:top w:val="nil"/>
              <w:left w:val="nil"/>
              <w:bottom w:val="single" w:sz="8" w:space="0" w:color="auto"/>
              <w:right w:val="single" w:sz="8" w:space="0" w:color="auto"/>
            </w:tcBorders>
            <w:shd w:val="clear" w:color="auto" w:fill="auto"/>
            <w:noWrap/>
            <w:vAlign w:val="center"/>
            <w:hideMark/>
          </w:tcPr>
          <w:p w14:paraId="4D538826" w14:textId="77777777" w:rsidR="00107491" w:rsidRPr="00107491" w:rsidRDefault="00107491" w:rsidP="00107491">
            <w:pPr>
              <w:rPr>
                <w:color w:val="000000"/>
                <w:sz w:val="18"/>
                <w:szCs w:val="18"/>
                <w:lang w:val="en-US" w:eastAsia="en-US"/>
              </w:rPr>
            </w:pPr>
            <w:r w:rsidRPr="00107491">
              <w:rPr>
                <w:color w:val="000000"/>
                <w:sz w:val="18"/>
                <w:szCs w:val="18"/>
                <w:lang w:val="en-US" w:eastAsia="en-US"/>
              </w:rPr>
              <w:t> </w:t>
            </w:r>
          </w:p>
        </w:tc>
        <w:tc>
          <w:tcPr>
            <w:tcW w:w="458" w:type="pct"/>
            <w:tcBorders>
              <w:top w:val="single" w:sz="8" w:space="0" w:color="auto"/>
              <w:left w:val="nil"/>
              <w:bottom w:val="nil"/>
              <w:right w:val="single" w:sz="8" w:space="0" w:color="auto"/>
            </w:tcBorders>
            <w:shd w:val="clear" w:color="auto" w:fill="auto"/>
            <w:vAlign w:val="center"/>
            <w:hideMark/>
          </w:tcPr>
          <w:p w14:paraId="189B0328" w14:textId="77777777" w:rsidR="00107491" w:rsidRPr="00107491" w:rsidRDefault="00107491" w:rsidP="00107491">
            <w:pPr>
              <w:rPr>
                <w:color w:val="000000"/>
                <w:sz w:val="18"/>
                <w:szCs w:val="18"/>
                <w:lang w:val="en-US" w:eastAsia="en-US"/>
              </w:rPr>
            </w:pPr>
            <w:r w:rsidRPr="00107491">
              <w:rPr>
                <w:color w:val="000000"/>
                <w:sz w:val="18"/>
                <w:szCs w:val="18"/>
                <w:lang w:val="en-US" w:eastAsia="en-US"/>
              </w:rPr>
              <w:t> </w:t>
            </w:r>
          </w:p>
        </w:tc>
        <w:tc>
          <w:tcPr>
            <w:tcW w:w="254" w:type="pct"/>
            <w:tcBorders>
              <w:top w:val="nil"/>
              <w:left w:val="nil"/>
              <w:bottom w:val="single" w:sz="8" w:space="0" w:color="auto"/>
              <w:right w:val="single" w:sz="8" w:space="0" w:color="auto"/>
            </w:tcBorders>
            <w:shd w:val="clear" w:color="auto" w:fill="auto"/>
            <w:noWrap/>
            <w:vAlign w:val="center"/>
            <w:hideMark/>
          </w:tcPr>
          <w:p w14:paraId="0DD4D7D9" w14:textId="77777777" w:rsidR="00107491" w:rsidRPr="00107491" w:rsidRDefault="00107491" w:rsidP="00107491">
            <w:pPr>
              <w:jc w:val="center"/>
              <w:rPr>
                <w:color w:val="000000"/>
                <w:sz w:val="18"/>
                <w:szCs w:val="18"/>
                <w:lang w:val="en-US" w:eastAsia="en-US"/>
              </w:rPr>
            </w:pPr>
            <w:r w:rsidRPr="00107491">
              <w:rPr>
                <w:color w:val="000000"/>
                <w:sz w:val="18"/>
                <w:szCs w:val="18"/>
                <w:lang w:val="en-US" w:eastAsia="en-US"/>
              </w:rPr>
              <w:t> </w:t>
            </w:r>
          </w:p>
        </w:tc>
        <w:tc>
          <w:tcPr>
            <w:tcW w:w="273" w:type="pct"/>
            <w:tcBorders>
              <w:top w:val="nil"/>
              <w:left w:val="nil"/>
              <w:bottom w:val="single" w:sz="8" w:space="0" w:color="auto"/>
              <w:right w:val="single" w:sz="8" w:space="0" w:color="auto"/>
            </w:tcBorders>
            <w:shd w:val="clear" w:color="auto" w:fill="auto"/>
            <w:noWrap/>
            <w:vAlign w:val="center"/>
            <w:hideMark/>
          </w:tcPr>
          <w:p w14:paraId="396949CB" w14:textId="77777777" w:rsidR="00107491" w:rsidRPr="00107491" w:rsidRDefault="00107491" w:rsidP="00107491">
            <w:pPr>
              <w:jc w:val="center"/>
              <w:rPr>
                <w:color w:val="000000"/>
                <w:sz w:val="18"/>
                <w:szCs w:val="18"/>
                <w:lang w:val="en-US" w:eastAsia="en-US"/>
              </w:rPr>
            </w:pPr>
            <w:r w:rsidRPr="00107491">
              <w:rPr>
                <w:color w:val="000000"/>
                <w:sz w:val="18"/>
                <w:szCs w:val="18"/>
                <w:lang w:val="en-US" w:eastAsia="en-US"/>
              </w:rPr>
              <w:t> </w:t>
            </w:r>
          </w:p>
        </w:tc>
        <w:tc>
          <w:tcPr>
            <w:tcW w:w="250" w:type="pct"/>
            <w:tcBorders>
              <w:top w:val="nil"/>
              <w:left w:val="nil"/>
              <w:bottom w:val="single" w:sz="8" w:space="0" w:color="auto"/>
              <w:right w:val="single" w:sz="8" w:space="0" w:color="auto"/>
            </w:tcBorders>
            <w:shd w:val="clear" w:color="auto" w:fill="auto"/>
            <w:noWrap/>
            <w:vAlign w:val="center"/>
            <w:hideMark/>
          </w:tcPr>
          <w:p w14:paraId="1740BFCC" w14:textId="77777777" w:rsidR="00107491" w:rsidRPr="00107491" w:rsidRDefault="00107491" w:rsidP="00107491">
            <w:pPr>
              <w:jc w:val="center"/>
              <w:rPr>
                <w:color w:val="000000"/>
                <w:sz w:val="18"/>
                <w:szCs w:val="18"/>
                <w:lang w:val="en-US" w:eastAsia="en-US"/>
              </w:rPr>
            </w:pPr>
            <w:r w:rsidRPr="00107491">
              <w:rPr>
                <w:color w:val="000000"/>
                <w:sz w:val="18"/>
                <w:szCs w:val="18"/>
                <w:lang w:val="en-US" w:eastAsia="en-US"/>
              </w:rPr>
              <w:t> </w:t>
            </w:r>
          </w:p>
        </w:tc>
        <w:tc>
          <w:tcPr>
            <w:tcW w:w="250" w:type="pct"/>
            <w:tcBorders>
              <w:top w:val="nil"/>
              <w:left w:val="nil"/>
              <w:bottom w:val="single" w:sz="8" w:space="0" w:color="auto"/>
              <w:right w:val="single" w:sz="8" w:space="0" w:color="auto"/>
            </w:tcBorders>
            <w:shd w:val="clear" w:color="auto" w:fill="auto"/>
            <w:noWrap/>
            <w:vAlign w:val="center"/>
            <w:hideMark/>
          </w:tcPr>
          <w:p w14:paraId="2A0AC0CA" w14:textId="77777777" w:rsidR="00107491" w:rsidRPr="00107491" w:rsidRDefault="00107491" w:rsidP="00107491">
            <w:pPr>
              <w:jc w:val="center"/>
              <w:rPr>
                <w:color w:val="000000"/>
                <w:sz w:val="18"/>
                <w:szCs w:val="18"/>
                <w:lang w:val="en-US" w:eastAsia="en-US"/>
              </w:rPr>
            </w:pPr>
            <w:r w:rsidRPr="00107491">
              <w:rPr>
                <w:color w:val="000000"/>
                <w:sz w:val="18"/>
                <w:szCs w:val="18"/>
                <w:lang w:val="en-US" w:eastAsia="en-US"/>
              </w:rPr>
              <w:t> </w:t>
            </w:r>
          </w:p>
        </w:tc>
        <w:tc>
          <w:tcPr>
            <w:tcW w:w="250" w:type="pct"/>
            <w:tcBorders>
              <w:top w:val="nil"/>
              <w:left w:val="nil"/>
              <w:bottom w:val="single" w:sz="8" w:space="0" w:color="auto"/>
              <w:right w:val="single" w:sz="8" w:space="0" w:color="auto"/>
            </w:tcBorders>
            <w:shd w:val="clear" w:color="auto" w:fill="auto"/>
            <w:noWrap/>
            <w:vAlign w:val="center"/>
            <w:hideMark/>
          </w:tcPr>
          <w:p w14:paraId="7992CA63" w14:textId="77777777" w:rsidR="00107491" w:rsidRPr="00107491" w:rsidRDefault="00107491" w:rsidP="00107491">
            <w:pPr>
              <w:jc w:val="center"/>
              <w:rPr>
                <w:color w:val="000000"/>
                <w:sz w:val="18"/>
                <w:szCs w:val="18"/>
                <w:lang w:val="en-US" w:eastAsia="en-US"/>
              </w:rPr>
            </w:pPr>
            <w:r w:rsidRPr="00107491">
              <w:rPr>
                <w:color w:val="000000"/>
                <w:sz w:val="18"/>
                <w:szCs w:val="18"/>
                <w:lang w:val="en-US" w:eastAsia="en-US"/>
              </w:rPr>
              <w:t> </w:t>
            </w:r>
          </w:p>
        </w:tc>
        <w:tc>
          <w:tcPr>
            <w:tcW w:w="250" w:type="pct"/>
            <w:tcBorders>
              <w:top w:val="nil"/>
              <w:left w:val="nil"/>
              <w:bottom w:val="single" w:sz="8" w:space="0" w:color="auto"/>
              <w:right w:val="single" w:sz="8" w:space="0" w:color="auto"/>
            </w:tcBorders>
            <w:shd w:val="clear" w:color="auto" w:fill="auto"/>
            <w:noWrap/>
            <w:vAlign w:val="center"/>
            <w:hideMark/>
          </w:tcPr>
          <w:p w14:paraId="0F6B4356" w14:textId="77777777" w:rsidR="00107491" w:rsidRPr="00107491" w:rsidRDefault="00107491" w:rsidP="00107491">
            <w:pPr>
              <w:jc w:val="center"/>
              <w:rPr>
                <w:color w:val="000000"/>
                <w:sz w:val="18"/>
                <w:szCs w:val="18"/>
                <w:lang w:val="en-US" w:eastAsia="en-US"/>
              </w:rPr>
            </w:pPr>
            <w:r w:rsidRPr="00107491">
              <w:rPr>
                <w:color w:val="000000"/>
                <w:sz w:val="18"/>
                <w:szCs w:val="18"/>
                <w:lang w:val="en-US" w:eastAsia="en-US"/>
              </w:rPr>
              <w:t> </w:t>
            </w:r>
          </w:p>
        </w:tc>
        <w:tc>
          <w:tcPr>
            <w:tcW w:w="261" w:type="pct"/>
            <w:tcBorders>
              <w:top w:val="nil"/>
              <w:left w:val="nil"/>
              <w:bottom w:val="single" w:sz="8" w:space="0" w:color="auto"/>
              <w:right w:val="single" w:sz="8" w:space="0" w:color="auto"/>
            </w:tcBorders>
            <w:shd w:val="clear" w:color="auto" w:fill="auto"/>
            <w:noWrap/>
            <w:vAlign w:val="center"/>
            <w:hideMark/>
          </w:tcPr>
          <w:p w14:paraId="2102E807"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 </w:t>
            </w:r>
          </w:p>
        </w:tc>
        <w:tc>
          <w:tcPr>
            <w:tcW w:w="183" w:type="pct"/>
            <w:tcBorders>
              <w:top w:val="nil"/>
              <w:left w:val="nil"/>
              <w:bottom w:val="nil"/>
              <w:right w:val="nil"/>
            </w:tcBorders>
            <w:shd w:val="clear" w:color="auto" w:fill="auto"/>
            <w:noWrap/>
            <w:vAlign w:val="bottom"/>
            <w:hideMark/>
          </w:tcPr>
          <w:p w14:paraId="078C0759" w14:textId="77777777" w:rsidR="00107491" w:rsidRPr="00107491" w:rsidRDefault="00107491" w:rsidP="00107491">
            <w:pPr>
              <w:jc w:val="center"/>
              <w:rPr>
                <w:color w:val="000000"/>
                <w:sz w:val="18"/>
                <w:szCs w:val="18"/>
                <w:lang w:val="en-US" w:eastAsia="en-US"/>
              </w:rPr>
            </w:pPr>
          </w:p>
        </w:tc>
        <w:tc>
          <w:tcPr>
            <w:tcW w:w="35" w:type="pct"/>
            <w:vAlign w:val="center"/>
            <w:hideMark/>
          </w:tcPr>
          <w:p w14:paraId="22029AA8" w14:textId="77777777" w:rsidR="00107491" w:rsidRPr="00107491" w:rsidRDefault="00107491" w:rsidP="00107491">
            <w:pPr>
              <w:rPr>
                <w:sz w:val="20"/>
                <w:szCs w:val="20"/>
                <w:lang w:val="en-US" w:eastAsia="en-US"/>
              </w:rPr>
            </w:pPr>
          </w:p>
        </w:tc>
      </w:tr>
      <w:tr w:rsidR="00107491" w:rsidRPr="00107491" w14:paraId="1F239B28" w14:textId="77777777" w:rsidTr="00107491">
        <w:trPr>
          <w:trHeight w:val="300"/>
        </w:trPr>
        <w:tc>
          <w:tcPr>
            <w:tcW w:w="1056" w:type="pct"/>
            <w:tcBorders>
              <w:top w:val="nil"/>
              <w:left w:val="single" w:sz="8" w:space="0" w:color="auto"/>
              <w:bottom w:val="nil"/>
              <w:right w:val="nil"/>
            </w:tcBorders>
            <w:shd w:val="clear" w:color="auto" w:fill="auto"/>
            <w:noWrap/>
            <w:vAlign w:val="center"/>
            <w:hideMark/>
          </w:tcPr>
          <w:p w14:paraId="1C9D79E0" w14:textId="77777777" w:rsidR="00107491" w:rsidRPr="00107491" w:rsidRDefault="00107491" w:rsidP="00107491">
            <w:pPr>
              <w:rPr>
                <w:rFonts w:ascii="Calibri" w:hAnsi="Calibri" w:cs="Calibri"/>
                <w:color w:val="000000"/>
                <w:sz w:val="18"/>
                <w:szCs w:val="18"/>
                <w:lang w:val="en-US" w:eastAsia="en-US"/>
              </w:rPr>
            </w:pPr>
            <w:r w:rsidRPr="00107491">
              <w:rPr>
                <w:rFonts w:ascii="Calibri" w:hAnsi="Calibri" w:cs="Calibri"/>
                <w:color w:val="000000"/>
                <w:sz w:val="18"/>
                <w:szCs w:val="18"/>
                <w:lang w:val="en-US" w:eastAsia="en-US"/>
              </w:rPr>
              <w:t> </w:t>
            </w:r>
          </w:p>
        </w:tc>
        <w:tc>
          <w:tcPr>
            <w:tcW w:w="381" w:type="pct"/>
            <w:vMerge/>
            <w:tcBorders>
              <w:top w:val="nil"/>
              <w:left w:val="single" w:sz="8" w:space="0" w:color="auto"/>
              <w:bottom w:val="double" w:sz="6" w:space="0" w:color="000000"/>
              <w:right w:val="single" w:sz="8" w:space="0" w:color="auto"/>
            </w:tcBorders>
            <w:vAlign w:val="center"/>
            <w:hideMark/>
          </w:tcPr>
          <w:p w14:paraId="60594B75" w14:textId="77777777" w:rsidR="00107491" w:rsidRPr="00107491" w:rsidRDefault="00107491" w:rsidP="00107491">
            <w:pPr>
              <w:rPr>
                <w:b/>
                <w:bCs/>
                <w:color w:val="000000"/>
                <w:sz w:val="18"/>
                <w:szCs w:val="18"/>
                <w:lang w:val="en-US" w:eastAsia="en-US"/>
              </w:rPr>
            </w:pPr>
          </w:p>
        </w:tc>
        <w:tc>
          <w:tcPr>
            <w:tcW w:w="453" w:type="pct"/>
            <w:tcBorders>
              <w:top w:val="nil"/>
              <w:left w:val="nil"/>
              <w:bottom w:val="nil"/>
              <w:right w:val="nil"/>
            </w:tcBorders>
            <w:shd w:val="clear" w:color="auto" w:fill="auto"/>
            <w:vAlign w:val="center"/>
            <w:hideMark/>
          </w:tcPr>
          <w:p w14:paraId="5CB0B379" w14:textId="77777777" w:rsidR="00107491" w:rsidRPr="00107491" w:rsidRDefault="00107491" w:rsidP="00107491">
            <w:pPr>
              <w:rPr>
                <w:rFonts w:ascii="Calibri" w:hAnsi="Calibri" w:cs="Calibri"/>
                <w:color w:val="000000"/>
                <w:sz w:val="18"/>
                <w:szCs w:val="18"/>
                <w:lang w:val="en-US" w:eastAsia="en-US"/>
              </w:rPr>
            </w:pPr>
          </w:p>
        </w:tc>
        <w:tc>
          <w:tcPr>
            <w:tcW w:w="388" w:type="pct"/>
            <w:tcBorders>
              <w:top w:val="nil"/>
              <w:left w:val="single" w:sz="8" w:space="0" w:color="auto"/>
              <w:bottom w:val="nil"/>
              <w:right w:val="single" w:sz="8" w:space="0" w:color="auto"/>
            </w:tcBorders>
            <w:shd w:val="clear" w:color="auto" w:fill="auto"/>
            <w:vAlign w:val="center"/>
            <w:hideMark/>
          </w:tcPr>
          <w:p w14:paraId="01E21F59" w14:textId="77777777" w:rsidR="00107491" w:rsidRPr="00107491" w:rsidRDefault="00107491" w:rsidP="00107491">
            <w:pPr>
              <w:jc w:val="center"/>
              <w:rPr>
                <w:b/>
                <w:bCs/>
                <w:color w:val="000000"/>
                <w:sz w:val="18"/>
                <w:szCs w:val="18"/>
                <w:lang w:val="en-US" w:eastAsia="en-US"/>
              </w:rPr>
            </w:pPr>
            <w:r w:rsidRPr="00107491">
              <w:rPr>
                <w:b/>
                <w:bCs/>
                <w:color w:val="000000"/>
                <w:sz w:val="18"/>
                <w:szCs w:val="18"/>
                <w:lang w:val="en-US" w:eastAsia="en-US"/>
              </w:rPr>
              <w:t> </w:t>
            </w:r>
          </w:p>
        </w:tc>
        <w:tc>
          <w:tcPr>
            <w:tcW w:w="258" w:type="pct"/>
            <w:tcBorders>
              <w:top w:val="nil"/>
              <w:left w:val="nil"/>
              <w:bottom w:val="single" w:sz="8" w:space="0" w:color="auto"/>
              <w:right w:val="single" w:sz="8" w:space="0" w:color="auto"/>
            </w:tcBorders>
            <w:shd w:val="clear" w:color="auto" w:fill="auto"/>
            <w:noWrap/>
            <w:vAlign w:val="center"/>
            <w:hideMark/>
          </w:tcPr>
          <w:p w14:paraId="5AD94C82" w14:textId="77777777" w:rsidR="00107491" w:rsidRPr="00107491" w:rsidRDefault="00107491" w:rsidP="00107491">
            <w:pPr>
              <w:rPr>
                <w:color w:val="000000"/>
                <w:sz w:val="18"/>
                <w:szCs w:val="18"/>
                <w:lang w:val="en-US" w:eastAsia="en-US"/>
              </w:rPr>
            </w:pPr>
            <w:r w:rsidRPr="00107491">
              <w:rPr>
                <w:color w:val="000000"/>
                <w:sz w:val="18"/>
                <w:szCs w:val="18"/>
                <w:lang w:val="en-US" w:eastAsia="en-US"/>
              </w:rPr>
              <w:t> </w:t>
            </w:r>
          </w:p>
        </w:tc>
        <w:tc>
          <w:tcPr>
            <w:tcW w:w="458" w:type="pct"/>
            <w:tcBorders>
              <w:top w:val="single" w:sz="8" w:space="0" w:color="auto"/>
              <w:left w:val="nil"/>
              <w:bottom w:val="single" w:sz="8" w:space="0" w:color="auto"/>
              <w:right w:val="single" w:sz="8" w:space="0" w:color="auto"/>
            </w:tcBorders>
            <w:shd w:val="clear" w:color="auto" w:fill="auto"/>
            <w:vAlign w:val="center"/>
            <w:hideMark/>
          </w:tcPr>
          <w:p w14:paraId="5D58F364" w14:textId="77777777" w:rsidR="00107491" w:rsidRPr="00107491" w:rsidRDefault="00107491" w:rsidP="00107491">
            <w:pPr>
              <w:rPr>
                <w:color w:val="000000"/>
                <w:sz w:val="18"/>
                <w:szCs w:val="18"/>
                <w:lang w:val="en-US" w:eastAsia="en-US"/>
              </w:rPr>
            </w:pPr>
            <w:r w:rsidRPr="00107491">
              <w:rPr>
                <w:color w:val="000000"/>
                <w:sz w:val="18"/>
                <w:szCs w:val="18"/>
                <w:lang w:val="en-US" w:eastAsia="en-US"/>
              </w:rPr>
              <w:t> </w:t>
            </w:r>
          </w:p>
        </w:tc>
        <w:tc>
          <w:tcPr>
            <w:tcW w:w="254" w:type="pct"/>
            <w:tcBorders>
              <w:top w:val="nil"/>
              <w:left w:val="nil"/>
              <w:bottom w:val="single" w:sz="8" w:space="0" w:color="auto"/>
              <w:right w:val="single" w:sz="8" w:space="0" w:color="auto"/>
            </w:tcBorders>
            <w:shd w:val="clear" w:color="auto" w:fill="auto"/>
            <w:noWrap/>
            <w:vAlign w:val="center"/>
            <w:hideMark/>
          </w:tcPr>
          <w:p w14:paraId="387E1DD8" w14:textId="77777777" w:rsidR="00107491" w:rsidRPr="00107491" w:rsidRDefault="00107491" w:rsidP="00107491">
            <w:pPr>
              <w:jc w:val="center"/>
              <w:rPr>
                <w:color w:val="000000"/>
                <w:sz w:val="18"/>
                <w:szCs w:val="18"/>
                <w:lang w:val="en-US" w:eastAsia="en-US"/>
              </w:rPr>
            </w:pPr>
            <w:r w:rsidRPr="00107491">
              <w:rPr>
                <w:color w:val="000000"/>
                <w:sz w:val="18"/>
                <w:szCs w:val="18"/>
                <w:lang w:val="en-US" w:eastAsia="en-US"/>
              </w:rPr>
              <w:t> </w:t>
            </w:r>
          </w:p>
        </w:tc>
        <w:tc>
          <w:tcPr>
            <w:tcW w:w="273" w:type="pct"/>
            <w:tcBorders>
              <w:top w:val="nil"/>
              <w:left w:val="nil"/>
              <w:bottom w:val="single" w:sz="8" w:space="0" w:color="auto"/>
              <w:right w:val="single" w:sz="8" w:space="0" w:color="auto"/>
            </w:tcBorders>
            <w:shd w:val="clear" w:color="auto" w:fill="auto"/>
            <w:noWrap/>
            <w:vAlign w:val="center"/>
            <w:hideMark/>
          </w:tcPr>
          <w:p w14:paraId="594BAB21" w14:textId="77777777" w:rsidR="00107491" w:rsidRPr="00107491" w:rsidRDefault="00107491" w:rsidP="00107491">
            <w:pPr>
              <w:jc w:val="center"/>
              <w:rPr>
                <w:color w:val="000000"/>
                <w:sz w:val="18"/>
                <w:szCs w:val="18"/>
                <w:lang w:val="en-US" w:eastAsia="en-US"/>
              </w:rPr>
            </w:pPr>
            <w:r w:rsidRPr="00107491">
              <w:rPr>
                <w:color w:val="000000"/>
                <w:sz w:val="18"/>
                <w:szCs w:val="18"/>
                <w:lang w:val="en-US" w:eastAsia="en-US"/>
              </w:rPr>
              <w:t> </w:t>
            </w:r>
          </w:p>
        </w:tc>
        <w:tc>
          <w:tcPr>
            <w:tcW w:w="250" w:type="pct"/>
            <w:tcBorders>
              <w:top w:val="nil"/>
              <w:left w:val="nil"/>
              <w:bottom w:val="single" w:sz="8" w:space="0" w:color="auto"/>
              <w:right w:val="single" w:sz="8" w:space="0" w:color="auto"/>
            </w:tcBorders>
            <w:shd w:val="clear" w:color="auto" w:fill="auto"/>
            <w:noWrap/>
            <w:vAlign w:val="center"/>
            <w:hideMark/>
          </w:tcPr>
          <w:p w14:paraId="46F0EBA7" w14:textId="77777777" w:rsidR="00107491" w:rsidRPr="00107491" w:rsidRDefault="00107491" w:rsidP="00107491">
            <w:pPr>
              <w:jc w:val="center"/>
              <w:rPr>
                <w:color w:val="000000"/>
                <w:sz w:val="18"/>
                <w:szCs w:val="18"/>
                <w:lang w:val="en-US" w:eastAsia="en-US"/>
              </w:rPr>
            </w:pPr>
            <w:r w:rsidRPr="00107491">
              <w:rPr>
                <w:color w:val="000000"/>
                <w:sz w:val="18"/>
                <w:szCs w:val="18"/>
                <w:lang w:val="en-US" w:eastAsia="en-US"/>
              </w:rPr>
              <w:t> </w:t>
            </w:r>
          </w:p>
        </w:tc>
        <w:tc>
          <w:tcPr>
            <w:tcW w:w="250" w:type="pct"/>
            <w:tcBorders>
              <w:top w:val="nil"/>
              <w:left w:val="nil"/>
              <w:bottom w:val="single" w:sz="8" w:space="0" w:color="auto"/>
              <w:right w:val="single" w:sz="8" w:space="0" w:color="auto"/>
            </w:tcBorders>
            <w:shd w:val="clear" w:color="auto" w:fill="auto"/>
            <w:noWrap/>
            <w:vAlign w:val="center"/>
            <w:hideMark/>
          </w:tcPr>
          <w:p w14:paraId="238D3744" w14:textId="77777777" w:rsidR="00107491" w:rsidRPr="00107491" w:rsidRDefault="00107491" w:rsidP="00107491">
            <w:pPr>
              <w:jc w:val="center"/>
              <w:rPr>
                <w:color w:val="000000"/>
                <w:sz w:val="18"/>
                <w:szCs w:val="18"/>
                <w:lang w:val="en-US" w:eastAsia="en-US"/>
              </w:rPr>
            </w:pPr>
            <w:r w:rsidRPr="00107491">
              <w:rPr>
                <w:color w:val="000000"/>
                <w:sz w:val="18"/>
                <w:szCs w:val="18"/>
                <w:lang w:val="en-US" w:eastAsia="en-US"/>
              </w:rPr>
              <w:t> </w:t>
            </w:r>
          </w:p>
        </w:tc>
        <w:tc>
          <w:tcPr>
            <w:tcW w:w="250" w:type="pct"/>
            <w:tcBorders>
              <w:top w:val="nil"/>
              <w:left w:val="nil"/>
              <w:bottom w:val="single" w:sz="8" w:space="0" w:color="auto"/>
              <w:right w:val="single" w:sz="8" w:space="0" w:color="auto"/>
            </w:tcBorders>
            <w:shd w:val="clear" w:color="auto" w:fill="auto"/>
            <w:noWrap/>
            <w:vAlign w:val="center"/>
            <w:hideMark/>
          </w:tcPr>
          <w:p w14:paraId="7B8DFE1F" w14:textId="77777777" w:rsidR="00107491" w:rsidRPr="00107491" w:rsidRDefault="00107491" w:rsidP="00107491">
            <w:pPr>
              <w:jc w:val="center"/>
              <w:rPr>
                <w:color w:val="000000"/>
                <w:sz w:val="18"/>
                <w:szCs w:val="18"/>
                <w:lang w:val="en-US" w:eastAsia="en-US"/>
              </w:rPr>
            </w:pPr>
            <w:r w:rsidRPr="00107491">
              <w:rPr>
                <w:color w:val="000000"/>
                <w:sz w:val="18"/>
                <w:szCs w:val="18"/>
                <w:lang w:val="en-US" w:eastAsia="en-US"/>
              </w:rPr>
              <w:t> </w:t>
            </w:r>
          </w:p>
        </w:tc>
        <w:tc>
          <w:tcPr>
            <w:tcW w:w="250" w:type="pct"/>
            <w:tcBorders>
              <w:top w:val="nil"/>
              <w:left w:val="nil"/>
              <w:bottom w:val="single" w:sz="8" w:space="0" w:color="auto"/>
              <w:right w:val="single" w:sz="8" w:space="0" w:color="auto"/>
            </w:tcBorders>
            <w:shd w:val="clear" w:color="auto" w:fill="auto"/>
            <w:noWrap/>
            <w:vAlign w:val="center"/>
            <w:hideMark/>
          </w:tcPr>
          <w:p w14:paraId="115AE3F9" w14:textId="77777777" w:rsidR="00107491" w:rsidRPr="00107491" w:rsidRDefault="00107491" w:rsidP="00107491">
            <w:pPr>
              <w:jc w:val="center"/>
              <w:rPr>
                <w:color w:val="000000"/>
                <w:sz w:val="18"/>
                <w:szCs w:val="18"/>
                <w:lang w:val="en-US" w:eastAsia="en-US"/>
              </w:rPr>
            </w:pPr>
            <w:r w:rsidRPr="00107491">
              <w:rPr>
                <w:color w:val="000000"/>
                <w:sz w:val="18"/>
                <w:szCs w:val="18"/>
                <w:lang w:val="en-US" w:eastAsia="en-US"/>
              </w:rPr>
              <w:t> </w:t>
            </w:r>
          </w:p>
        </w:tc>
        <w:tc>
          <w:tcPr>
            <w:tcW w:w="261" w:type="pct"/>
            <w:tcBorders>
              <w:top w:val="nil"/>
              <w:left w:val="nil"/>
              <w:bottom w:val="single" w:sz="8" w:space="0" w:color="auto"/>
              <w:right w:val="single" w:sz="8" w:space="0" w:color="auto"/>
            </w:tcBorders>
            <w:shd w:val="clear" w:color="auto" w:fill="auto"/>
            <w:noWrap/>
            <w:vAlign w:val="center"/>
            <w:hideMark/>
          </w:tcPr>
          <w:p w14:paraId="66E892E8"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 </w:t>
            </w:r>
          </w:p>
        </w:tc>
        <w:tc>
          <w:tcPr>
            <w:tcW w:w="183" w:type="pct"/>
            <w:tcBorders>
              <w:top w:val="nil"/>
              <w:left w:val="nil"/>
              <w:bottom w:val="nil"/>
              <w:right w:val="nil"/>
            </w:tcBorders>
            <w:shd w:val="clear" w:color="auto" w:fill="auto"/>
            <w:noWrap/>
            <w:vAlign w:val="bottom"/>
            <w:hideMark/>
          </w:tcPr>
          <w:p w14:paraId="0358CB1E" w14:textId="77777777" w:rsidR="00107491" w:rsidRPr="00107491" w:rsidRDefault="00107491" w:rsidP="00107491">
            <w:pPr>
              <w:jc w:val="center"/>
              <w:rPr>
                <w:color w:val="000000"/>
                <w:sz w:val="18"/>
                <w:szCs w:val="18"/>
                <w:lang w:val="en-US" w:eastAsia="en-US"/>
              </w:rPr>
            </w:pPr>
          </w:p>
        </w:tc>
        <w:tc>
          <w:tcPr>
            <w:tcW w:w="35" w:type="pct"/>
            <w:vAlign w:val="center"/>
            <w:hideMark/>
          </w:tcPr>
          <w:p w14:paraId="0074E28B" w14:textId="77777777" w:rsidR="00107491" w:rsidRPr="00107491" w:rsidRDefault="00107491" w:rsidP="00107491">
            <w:pPr>
              <w:rPr>
                <w:sz w:val="20"/>
                <w:szCs w:val="20"/>
                <w:lang w:val="en-US" w:eastAsia="en-US"/>
              </w:rPr>
            </w:pPr>
          </w:p>
        </w:tc>
      </w:tr>
      <w:tr w:rsidR="00107491" w:rsidRPr="00107491" w14:paraId="0BE20E0C" w14:textId="77777777" w:rsidTr="00107491">
        <w:trPr>
          <w:trHeight w:val="300"/>
        </w:trPr>
        <w:tc>
          <w:tcPr>
            <w:tcW w:w="1056" w:type="pct"/>
            <w:tcBorders>
              <w:top w:val="nil"/>
              <w:left w:val="single" w:sz="8" w:space="0" w:color="auto"/>
              <w:bottom w:val="nil"/>
              <w:right w:val="nil"/>
            </w:tcBorders>
            <w:shd w:val="clear" w:color="auto" w:fill="auto"/>
            <w:noWrap/>
            <w:vAlign w:val="center"/>
            <w:hideMark/>
          </w:tcPr>
          <w:p w14:paraId="34040AE6" w14:textId="77777777" w:rsidR="00107491" w:rsidRPr="00107491" w:rsidRDefault="00107491" w:rsidP="00107491">
            <w:pPr>
              <w:rPr>
                <w:rFonts w:ascii="Calibri" w:hAnsi="Calibri" w:cs="Calibri"/>
                <w:color w:val="000000"/>
                <w:sz w:val="18"/>
                <w:szCs w:val="18"/>
                <w:lang w:val="en-US" w:eastAsia="en-US"/>
              </w:rPr>
            </w:pPr>
            <w:r w:rsidRPr="00107491">
              <w:rPr>
                <w:rFonts w:ascii="Calibri" w:hAnsi="Calibri" w:cs="Calibri"/>
                <w:color w:val="000000"/>
                <w:sz w:val="18"/>
                <w:szCs w:val="18"/>
                <w:lang w:val="en-US" w:eastAsia="en-US"/>
              </w:rPr>
              <w:t> </w:t>
            </w:r>
          </w:p>
        </w:tc>
        <w:tc>
          <w:tcPr>
            <w:tcW w:w="381" w:type="pct"/>
            <w:vMerge/>
            <w:tcBorders>
              <w:top w:val="nil"/>
              <w:left w:val="single" w:sz="8" w:space="0" w:color="auto"/>
              <w:bottom w:val="double" w:sz="6" w:space="0" w:color="000000"/>
              <w:right w:val="single" w:sz="8" w:space="0" w:color="auto"/>
            </w:tcBorders>
            <w:vAlign w:val="center"/>
            <w:hideMark/>
          </w:tcPr>
          <w:p w14:paraId="1A22F5D5" w14:textId="77777777" w:rsidR="00107491" w:rsidRPr="00107491" w:rsidRDefault="00107491" w:rsidP="00107491">
            <w:pPr>
              <w:rPr>
                <w:b/>
                <w:bCs/>
                <w:color w:val="000000"/>
                <w:sz w:val="18"/>
                <w:szCs w:val="18"/>
                <w:lang w:val="en-US" w:eastAsia="en-US"/>
              </w:rPr>
            </w:pPr>
          </w:p>
        </w:tc>
        <w:tc>
          <w:tcPr>
            <w:tcW w:w="453" w:type="pct"/>
            <w:tcBorders>
              <w:top w:val="nil"/>
              <w:left w:val="nil"/>
              <w:bottom w:val="nil"/>
              <w:right w:val="nil"/>
            </w:tcBorders>
            <w:shd w:val="clear" w:color="auto" w:fill="auto"/>
            <w:vAlign w:val="center"/>
            <w:hideMark/>
          </w:tcPr>
          <w:p w14:paraId="4A3DA729" w14:textId="77777777" w:rsidR="00107491" w:rsidRPr="00107491" w:rsidRDefault="00107491" w:rsidP="00107491">
            <w:pPr>
              <w:rPr>
                <w:rFonts w:ascii="Calibri" w:hAnsi="Calibri" w:cs="Calibri"/>
                <w:color w:val="000000"/>
                <w:sz w:val="18"/>
                <w:szCs w:val="18"/>
                <w:lang w:val="en-US" w:eastAsia="en-US"/>
              </w:rPr>
            </w:pPr>
          </w:p>
        </w:tc>
        <w:tc>
          <w:tcPr>
            <w:tcW w:w="388" w:type="pct"/>
            <w:tcBorders>
              <w:top w:val="nil"/>
              <w:left w:val="single" w:sz="8" w:space="0" w:color="auto"/>
              <w:bottom w:val="nil"/>
              <w:right w:val="single" w:sz="8" w:space="0" w:color="auto"/>
            </w:tcBorders>
            <w:shd w:val="clear" w:color="auto" w:fill="auto"/>
            <w:vAlign w:val="center"/>
            <w:hideMark/>
          </w:tcPr>
          <w:p w14:paraId="3A42A99F" w14:textId="77777777" w:rsidR="00107491" w:rsidRPr="00107491" w:rsidRDefault="00107491" w:rsidP="00107491">
            <w:pPr>
              <w:jc w:val="center"/>
              <w:rPr>
                <w:b/>
                <w:bCs/>
                <w:color w:val="000000"/>
                <w:sz w:val="18"/>
                <w:szCs w:val="18"/>
                <w:lang w:val="en-US" w:eastAsia="en-US"/>
              </w:rPr>
            </w:pPr>
            <w:r w:rsidRPr="00107491">
              <w:rPr>
                <w:b/>
                <w:bCs/>
                <w:color w:val="000000"/>
                <w:sz w:val="18"/>
                <w:szCs w:val="18"/>
                <w:lang w:val="en-US" w:eastAsia="en-US"/>
              </w:rPr>
              <w:t> </w:t>
            </w:r>
          </w:p>
        </w:tc>
        <w:tc>
          <w:tcPr>
            <w:tcW w:w="258" w:type="pct"/>
            <w:tcBorders>
              <w:top w:val="nil"/>
              <w:left w:val="nil"/>
              <w:bottom w:val="single" w:sz="8" w:space="0" w:color="auto"/>
              <w:right w:val="single" w:sz="8" w:space="0" w:color="auto"/>
            </w:tcBorders>
            <w:shd w:val="clear" w:color="auto" w:fill="auto"/>
            <w:noWrap/>
            <w:vAlign w:val="center"/>
            <w:hideMark/>
          </w:tcPr>
          <w:p w14:paraId="2A721320" w14:textId="77777777" w:rsidR="00107491" w:rsidRPr="00107491" w:rsidRDefault="00107491" w:rsidP="00107491">
            <w:pPr>
              <w:jc w:val="center"/>
              <w:rPr>
                <w:color w:val="000000"/>
                <w:sz w:val="18"/>
                <w:szCs w:val="18"/>
                <w:lang w:val="en-US" w:eastAsia="en-US"/>
              </w:rPr>
            </w:pPr>
            <w:r w:rsidRPr="00107491">
              <w:rPr>
                <w:color w:val="000000"/>
                <w:sz w:val="18"/>
                <w:szCs w:val="18"/>
                <w:lang w:val="en-US" w:eastAsia="en-US"/>
              </w:rPr>
              <w:t> </w:t>
            </w:r>
          </w:p>
        </w:tc>
        <w:tc>
          <w:tcPr>
            <w:tcW w:w="458" w:type="pct"/>
            <w:tcBorders>
              <w:top w:val="nil"/>
              <w:left w:val="nil"/>
              <w:bottom w:val="single" w:sz="8" w:space="0" w:color="auto"/>
              <w:right w:val="single" w:sz="8" w:space="0" w:color="auto"/>
            </w:tcBorders>
            <w:shd w:val="clear" w:color="auto" w:fill="auto"/>
            <w:noWrap/>
            <w:vAlign w:val="center"/>
            <w:hideMark/>
          </w:tcPr>
          <w:p w14:paraId="75548EB5" w14:textId="77777777" w:rsidR="00601D9B" w:rsidRDefault="000E53A0">
            <w:pPr>
              <w:jc w:val="both"/>
              <w:rPr>
                <w:b/>
                <w:bCs/>
                <w:color w:val="000000"/>
                <w:sz w:val="18"/>
                <w:szCs w:val="18"/>
                <w:lang w:val="en-US" w:eastAsia="en-US"/>
              </w:rPr>
            </w:pPr>
            <w:r w:rsidRPr="00107491">
              <w:rPr>
                <w:b/>
                <w:bCs/>
                <w:color w:val="000000"/>
                <w:sz w:val="18"/>
                <w:szCs w:val="18"/>
                <w:lang w:val="en-US" w:eastAsia="en-US"/>
              </w:rPr>
              <w:t>Sous-total FEM</w:t>
            </w:r>
          </w:p>
        </w:tc>
        <w:tc>
          <w:tcPr>
            <w:tcW w:w="254" w:type="pct"/>
            <w:tcBorders>
              <w:top w:val="nil"/>
              <w:left w:val="nil"/>
              <w:bottom w:val="single" w:sz="8" w:space="0" w:color="auto"/>
              <w:right w:val="single" w:sz="8" w:space="0" w:color="auto"/>
            </w:tcBorders>
            <w:shd w:val="clear" w:color="auto" w:fill="auto"/>
            <w:noWrap/>
            <w:vAlign w:val="center"/>
            <w:hideMark/>
          </w:tcPr>
          <w:p w14:paraId="47F3BF06"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 xml:space="preserve">                     - </w:t>
            </w:r>
          </w:p>
        </w:tc>
        <w:tc>
          <w:tcPr>
            <w:tcW w:w="273" w:type="pct"/>
            <w:tcBorders>
              <w:top w:val="nil"/>
              <w:left w:val="nil"/>
              <w:bottom w:val="single" w:sz="8" w:space="0" w:color="auto"/>
              <w:right w:val="single" w:sz="8" w:space="0" w:color="auto"/>
            </w:tcBorders>
            <w:shd w:val="clear" w:color="auto" w:fill="auto"/>
            <w:noWrap/>
            <w:vAlign w:val="center"/>
            <w:hideMark/>
          </w:tcPr>
          <w:p w14:paraId="6CF41A06"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 xml:space="preserve">                       - </w:t>
            </w:r>
          </w:p>
        </w:tc>
        <w:tc>
          <w:tcPr>
            <w:tcW w:w="250" w:type="pct"/>
            <w:tcBorders>
              <w:top w:val="nil"/>
              <w:left w:val="nil"/>
              <w:bottom w:val="single" w:sz="8" w:space="0" w:color="auto"/>
              <w:right w:val="single" w:sz="8" w:space="0" w:color="auto"/>
            </w:tcBorders>
            <w:shd w:val="clear" w:color="auto" w:fill="auto"/>
            <w:noWrap/>
            <w:vAlign w:val="center"/>
            <w:hideMark/>
          </w:tcPr>
          <w:p w14:paraId="6B975801"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 xml:space="preserve">                     - </w:t>
            </w:r>
          </w:p>
        </w:tc>
        <w:tc>
          <w:tcPr>
            <w:tcW w:w="250" w:type="pct"/>
            <w:tcBorders>
              <w:top w:val="nil"/>
              <w:left w:val="nil"/>
              <w:bottom w:val="single" w:sz="8" w:space="0" w:color="auto"/>
              <w:right w:val="single" w:sz="8" w:space="0" w:color="auto"/>
            </w:tcBorders>
            <w:shd w:val="clear" w:color="auto" w:fill="auto"/>
            <w:noWrap/>
            <w:vAlign w:val="center"/>
            <w:hideMark/>
          </w:tcPr>
          <w:p w14:paraId="28181A12"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 xml:space="preserve">                     - </w:t>
            </w:r>
          </w:p>
        </w:tc>
        <w:tc>
          <w:tcPr>
            <w:tcW w:w="250" w:type="pct"/>
            <w:tcBorders>
              <w:top w:val="nil"/>
              <w:left w:val="nil"/>
              <w:bottom w:val="single" w:sz="8" w:space="0" w:color="auto"/>
              <w:right w:val="single" w:sz="8" w:space="0" w:color="auto"/>
            </w:tcBorders>
            <w:shd w:val="clear" w:color="auto" w:fill="auto"/>
            <w:noWrap/>
            <w:vAlign w:val="center"/>
            <w:hideMark/>
          </w:tcPr>
          <w:p w14:paraId="3FACFA2F"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 xml:space="preserve">                     - </w:t>
            </w:r>
          </w:p>
        </w:tc>
        <w:tc>
          <w:tcPr>
            <w:tcW w:w="250" w:type="pct"/>
            <w:tcBorders>
              <w:top w:val="nil"/>
              <w:left w:val="nil"/>
              <w:bottom w:val="single" w:sz="8" w:space="0" w:color="auto"/>
              <w:right w:val="single" w:sz="8" w:space="0" w:color="auto"/>
            </w:tcBorders>
            <w:shd w:val="clear" w:color="auto" w:fill="auto"/>
            <w:noWrap/>
            <w:vAlign w:val="center"/>
            <w:hideMark/>
          </w:tcPr>
          <w:p w14:paraId="6A06A826"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 xml:space="preserve">                     - </w:t>
            </w:r>
          </w:p>
        </w:tc>
        <w:tc>
          <w:tcPr>
            <w:tcW w:w="261" w:type="pct"/>
            <w:tcBorders>
              <w:top w:val="nil"/>
              <w:left w:val="nil"/>
              <w:bottom w:val="single" w:sz="8" w:space="0" w:color="auto"/>
              <w:right w:val="single" w:sz="8" w:space="0" w:color="auto"/>
            </w:tcBorders>
            <w:shd w:val="clear" w:color="auto" w:fill="auto"/>
            <w:noWrap/>
            <w:vAlign w:val="center"/>
            <w:hideMark/>
          </w:tcPr>
          <w:p w14:paraId="1C6DBA29"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 xml:space="preserve">                      - </w:t>
            </w:r>
          </w:p>
        </w:tc>
        <w:tc>
          <w:tcPr>
            <w:tcW w:w="183" w:type="pct"/>
            <w:tcBorders>
              <w:top w:val="nil"/>
              <w:left w:val="nil"/>
              <w:bottom w:val="single" w:sz="8" w:space="0" w:color="auto"/>
              <w:right w:val="single" w:sz="8" w:space="0" w:color="auto"/>
            </w:tcBorders>
            <w:shd w:val="clear" w:color="auto" w:fill="auto"/>
            <w:vAlign w:val="center"/>
            <w:hideMark/>
          </w:tcPr>
          <w:p w14:paraId="388B7024" w14:textId="77777777" w:rsidR="00107491" w:rsidRPr="00107491" w:rsidRDefault="00107491" w:rsidP="00107491">
            <w:pPr>
              <w:jc w:val="center"/>
              <w:rPr>
                <w:i/>
                <w:iCs/>
                <w:color w:val="000000"/>
                <w:sz w:val="18"/>
                <w:szCs w:val="18"/>
                <w:lang w:val="en-US" w:eastAsia="en-US"/>
              </w:rPr>
            </w:pPr>
            <w:r w:rsidRPr="00107491">
              <w:rPr>
                <w:i/>
                <w:iCs/>
                <w:color w:val="000000"/>
                <w:sz w:val="18"/>
                <w:szCs w:val="18"/>
                <w:lang w:val="en-US" w:eastAsia="en-US"/>
              </w:rPr>
              <w:t> </w:t>
            </w:r>
          </w:p>
        </w:tc>
        <w:tc>
          <w:tcPr>
            <w:tcW w:w="35" w:type="pct"/>
            <w:vAlign w:val="center"/>
            <w:hideMark/>
          </w:tcPr>
          <w:p w14:paraId="5859E639" w14:textId="77777777" w:rsidR="00107491" w:rsidRPr="00107491" w:rsidRDefault="00107491" w:rsidP="00107491">
            <w:pPr>
              <w:rPr>
                <w:sz w:val="20"/>
                <w:szCs w:val="20"/>
                <w:lang w:val="en-US" w:eastAsia="en-US"/>
              </w:rPr>
            </w:pPr>
          </w:p>
        </w:tc>
      </w:tr>
      <w:tr w:rsidR="00107491" w:rsidRPr="00107491" w14:paraId="60D6B229" w14:textId="77777777" w:rsidTr="00107491">
        <w:trPr>
          <w:trHeight w:val="300"/>
        </w:trPr>
        <w:tc>
          <w:tcPr>
            <w:tcW w:w="1056" w:type="pct"/>
            <w:tcBorders>
              <w:top w:val="nil"/>
              <w:left w:val="single" w:sz="8" w:space="0" w:color="auto"/>
              <w:bottom w:val="nil"/>
              <w:right w:val="nil"/>
            </w:tcBorders>
            <w:shd w:val="clear" w:color="auto" w:fill="auto"/>
            <w:noWrap/>
            <w:vAlign w:val="center"/>
            <w:hideMark/>
          </w:tcPr>
          <w:p w14:paraId="7A41A711" w14:textId="77777777" w:rsidR="00107491" w:rsidRPr="00107491" w:rsidRDefault="00107491" w:rsidP="00107491">
            <w:pPr>
              <w:rPr>
                <w:rFonts w:ascii="Calibri" w:hAnsi="Calibri" w:cs="Calibri"/>
                <w:color w:val="000000"/>
                <w:sz w:val="18"/>
                <w:szCs w:val="18"/>
                <w:lang w:val="en-US" w:eastAsia="en-US"/>
              </w:rPr>
            </w:pPr>
            <w:r w:rsidRPr="00107491">
              <w:rPr>
                <w:rFonts w:ascii="Calibri" w:hAnsi="Calibri" w:cs="Calibri"/>
                <w:color w:val="000000"/>
                <w:sz w:val="18"/>
                <w:szCs w:val="18"/>
                <w:lang w:val="en-US" w:eastAsia="en-US"/>
              </w:rPr>
              <w:t> </w:t>
            </w:r>
          </w:p>
        </w:tc>
        <w:tc>
          <w:tcPr>
            <w:tcW w:w="381" w:type="pct"/>
            <w:vMerge/>
            <w:tcBorders>
              <w:top w:val="nil"/>
              <w:left w:val="single" w:sz="8" w:space="0" w:color="auto"/>
              <w:bottom w:val="double" w:sz="6" w:space="0" w:color="000000"/>
              <w:right w:val="single" w:sz="8" w:space="0" w:color="auto"/>
            </w:tcBorders>
            <w:vAlign w:val="center"/>
            <w:hideMark/>
          </w:tcPr>
          <w:p w14:paraId="43B326AB" w14:textId="77777777" w:rsidR="00107491" w:rsidRPr="00107491" w:rsidRDefault="00107491" w:rsidP="00107491">
            <w:pPr>
              <w:rPr>
                <w:b/>
                <w:bCs/>
                <w:color w:val="000000"/>
                <w:sz w:val="18"/>
                <w:szCs w:val="18"/>
                <w:lang w:val="en-US" w:eastAsia="en-US"/>
              </w:rPr>
            </w:pPr>
          </w:p>
        </w:tc>
        <w:tc>
          <w:tcPr>
            <w:tcW w:w="453" w:type="pct"/>
            <w:tcBorders>
              <w:top w:val="nil"/>
              <w:left w:val="nil"/>
              <w:bottom w:val="nil"/>
              <w:right w:val="nil"/>
            </w:tcBorders>
            <w:shd w:val="clear" w:color="auto" w:fill="auto"/>
            <w:vAlign w:val="center"/>
            <w:hideMark/>
          </w:tcPr>
          <w:p w14:paraId="4ADF52C0" w14:textId="77777777" w:rsidR="00107491" w:rsidRPr="00107491" w:rsidRDefault="00107491" w:rsidP="00107491">
            <w:pPr>
              <w:rPr>
                <w:rFonts w:ascii="Calibri" w:hAnsi="Calibri" w:cs="Calibri"/>
                <w:color w:val="000000"/>
                <w:sz w:val="18"/>
                <w:szCs w:val="18"/>
                <w:lang w:val="en-US" w:eastAsia="en-US"/>
              </w:rPr>
            </w:pPr>
          </w:p>
        </w:tc>
        <w:tc>
          <w:tcPr>
            <w:tcW w:w="388" w:type="pct"/>
            <w:tcBorders>
              <w:top w:val="nil"/>
              <w:left w:val="single" w:sz="8" w:space="0" w:color="auto"/>
              <w:bottom w:val="nil"/>
              <w:right w:val="single" w:sz="8" w:space="0" w:color="auto"/>
            </w:tcBorders>
            <w:shd w:val="clear" w:color="auto" w:fill="auto"/>
            <w:vAlign w:val="center"/>
            <w:hideMark/>
          </w:tcPr>
          <w:p w14:paraId="7476676A" w14:textId="77777777" w:rsidR="00107491" w:rsidRPr="00107491" w:rsidRDefault="00107491" w:rsidP="00107491">
            <w:pPr>
              <w:jc w:val="center"/>
              <w:rPr>
                <w:b/>
                <w:bCs/>
                <w:color w:val="000000"/>
                <w:sz w:val="18"/>
                <w:szCs w:val="18"/>
                <w:lang w:val="en-US" w:eastAsia="en-US"/>
              </w:rPr>
            </w:pPr>
            <w:r w:rsidRPr="00107491">
              <w:rPr>
                <w:b/>
                <w:bCs/>
                <w:color w:val="000000"/>
                <w:sz w:val="18"/>
                <w:szCs w:val="18"/>
                <w:lang w:val="en-US" w:eastAsia="en-US"/>
              </w:rPr>
              <w:t> </w:t>
            </w:r>
          </w:p>
        </w:tc>
        <w:tc>
          <w:tcPr>
            <w:tcW w:w="258" w:type="pct"/>
            <w:tcBorders>
              <w:top w:val="nil"/>
              <w:left w:val="nil"/>
              <w:bottom w:val="single" w:sz="8" w:space="0" w:color="auto"/>
              <w:right w:val="single" w:sz="8" w:space="0" w:color="auto"/>
            </w:tcBorders>
            <w:shd w:val="clear" w:color="auto" w:fill="auto"/>
            <w:noWrap/>
            <w:vAlign w:val="center"/>
            <w:hideMark/>
          </w:tcPr>
          <w:p w14:paraId="7D6A3B46" w14:textId="77777777" w:rsidR="00601D9B" w:rsidRDefault="000E53A0">
            <w:pPr>
              <w:rPr>
                <w:color w:val="000000"/>
                <w:sz w:val="18"/>
                <w:szCs w:val="18"/>
                <w:lang w:val="en-US" w:eastAsia="en-US"/>
              </w:rPr>
            </w:pPr>
            <w:r w:rsidRPr="00107491">
              <w:rPr>
                <w:color w:val="000000"/>
                <w:sz w:val="18"/>
                <w:szCs w:val="18"/>
                <w:lang w:val="en-US" w:eastAsia="en-US"/>
              </w:rPr>
              <w:t>71400</w:t>
            </w:r>
          </w:p>
        </w:tc>
        <w:tc>
          <w:tcPr>
            <w:tcW w:w="458" w:type="pct"/>
            <w:tcBorders>
              <w:top w:val="nil"/>
              <w:left w:val="nil"/>
              <w:bottom w:val="nil"/>
              <w:right w:val="single" w:sz="8" w:space="0" w:color="auto"/>
            </w:tcBorders>
            <w:shd w:val="clear" w:color="auto" w:fill="auto"/>
            <w:vAlign w:val="center"/>
            <w:hideMark/>
          </w:tcPr>
          <w:p w14:paraId="6F70F0AD" w14:textId="77777777" w:rsidR="00601D9B" w:rsidRDefault="000E53A0">
            <w:pPr>
              <w:rPr>
                <w:color w:val="000000"/>
                <w:sz w:val="18"/>
                <w:szCs w:val="18"/>
                <w:lang w:val="en-US" w:eastAsia="en-US"/>
              </w:rPr>
            </w:pPr>
            <w:r w:rsidRPr="00107491">
              <w:rPr>
                <w:color w:val="000000"/>
                <w:sz w:val="18"/>
                <w:szCs w:val="18"/>
                <w:lang w:val="en-US" w:eastAsia="en-US"/>
              </w:rPr>
              <w:t>Services contractuels - Individuel</w:t>
            </w:r>
          </w:p>
        </w:tc>
        <w:tc>
          <w:tcPr>
            <w:tcW w:w="254" w:type="pct"/>
            <w:tcBorders>
              <w:top w:val="nil"/>
              <w:left w:val="nil"/>
              <w:bottom w:val="single" w:sz="8" w:space="0" w:color="auto"/>
              <w:right w:val="single" w:sz="8" w:space="0" w:color="auto"/>
            </w:tcBorders>
            <w:shd w:val="clear" w:color="auto" w:fill="auto"/>
            <w:noWrap/>
            <w:vAlign w:val="center"/>
            <w:hideMark/>
          </w:tcPr>
          <w:p w14:paraId="5ACE0D9D"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12,000 </w:t>
            </w:r>
          </w:p>
        </w:tc>
        <w:tc>
          <w:tcPr>
            <w:tcW w:w="273" w:type="pct"/>
            <w:tcBorders>
              <w:top w:val="nil"/>
              <w:left w:val="nil"/>
              <w:bottom w:val="single" w:sz="8" w:space="0" w:color="auto"/>
              <w:right w:val="single" w:sz="8" w:space="0" w:color="auto"/>
            </w:tcBorders>
            <w:shd w:val="clear" w:color="auto" w:fill="auto"/>
            <w:noWrap/>
            <w:vAlign w:val="center"/>
            <w:hideMark/>
          </w:tcPr>
          <w:p w14:paraId="2DED281D"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 </w:t>
            </w:r>
          </w:p>
        </w:tc>
        <w:tc>
          <w:tcPr>
            <w:tcW w:w="250" w:type="pct"/>
            <w:tcBorders>
              <w:top w:val="nil"/>
              <w:left w:val="nil"/>
              <w:bottom w:val="single" w:sz="8" w:space="0" w:color="auto"/>
              <w:right w:val="single" w:sz="8" w:space="0" w:color="auto"/>
            </w:tcBorders>
            <w:shd w:val="clear" w:color="auto" w:fill="auto"/>
            <w:noWrap/>
            <w:vAlign w:val="center"/>
            <w:hideMark/>
          </w:tcPr>
          <w:p w14:paraId="7E289F79"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 </w:t>
            </w:r>
          </w:p>
        </w:tc>
        <w:tc>
          <w:tcPr>
            <w:tcW w:w="250" w:type="pct"/>
            <w:tcBorders>
              <w:top w:val="nil"/>
              <w:left w:val="nil"/>
              <w:bottom w:val="single" w:sz="8" w:space="0" w:color="auto"/>
              <w:right w:val="single" w:sz="8" w:space="0" w:color="auto"/>
            </w:tcBorders>
            <w:shd w:val="clear" w:color="auto" w:fill="auto"/>
            <w:noWrap/>
            <w:vAlign w:val="center"/>
            <w:hideMark/>
          </w:tcPr>
          <w:p w14:paraId="777AD4F9"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 </w:t>
            </w:r>
          </w:p>
        </w:tc>
        <w:tc>
          <w:tcPr>
            <w:tcW w:w="250" w:type="pct"/>
            <w:tcBorders>
              <w:top w:val="nil"/>
              <w:left w:val="nil"/>
              <w:bottom w:val="single" w:sz="8" w:space="0" w:color="auto"/>
              <w:right w:val="single" w:sz="8" w:space="0" w:color="auto"/>
            </w:tcBorders>
            <w:shd w:val="clear" w:color="auto" w:fill="auto"/>
            <w:noWrap/>
            <w:vAlign w:val="center"/>
            <w:hideMark/>
          </w:tcPr>
          <w:p w14:paraId="3E494393"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 </w:t>
            </w:r>
          </w:p>
        </w:tc>
        <w:tc>
          <w:tcPr>
            <w:tcW w:w="250" w:type="pct"/>
            <w:tcBorders>
              <w:top w:val="nil"/>
              <w:left w:val="nil"/>
              <w:bottom w:val="single" w:sz="8" w:space="0" w:color="auto"/>
              <w:right w:val="single" w:sz="8" w:space="0" w:color="auto"/>
            </w:tcBorders>
            <w:shd w:val="clear" w:color="auto" w:fill="auto"/>
            <w:noWrap/>
            <w:vAlign w:val="center"/>
            <w:hideMark/>
          </w:tcPr>
          <w:p w14:paraId="1BB246A1"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 </w:t>
            </w:r>
          </w:p>
        </w:tc>
        <w:tc>
          <w:tcPr>
            <w:tcW w:w="261" w:type="pct"/>
            <w:tcBorders>
              <w:top w:val="nil"/>
              <w:left w:val="nil"/>
              <w:bottom w:val="single" w:sz="8" w:space="0" w:color="auto"/>
              <w:right w:val="single" w:sz="8" w:space="0" w:color="auto"/>
            </w:tcBorders>
            <w:shd w:val="clear" w:color="auto" w:fill="auto"/>
            <w:noWrap/>
            <w:vAlign w:val="center"/>
            <w:hideMark/>
          </w:tcPr>
          <w:p w14:paraId="214C5B5E"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12,000 </w:t>
            </w:r>
          </w:p>
        </w:tc>
        <w:tc>
          <w:tcPr>
            <w:tcW w:w="183" w:type="pct"/>
            <w:tcBorders>
              <w:top w:val="nil"/>
              <w:left w:val="nil"/>
              <w:bottom w:val="single" w:sz="8" w:space="0" w:color="auto"/>
              <w:right w:val="single" w:sz="8" w:space="0" w:color="auto"/>
            </w:tcBorders>
            <w:shd w:val="clear" w:color="auto" w:fill="auto"/>
            <w:vAlign w:val="center"/>
            <w:hideMark/>
          </w:tcPr>
          <w:p w14:paraId="0959E691" w14:textId="77777777" w:rsidR="00601D9B" w:rsidRDefault="000E53A0">
            <w:pPr>
              <w:jc w:val="center"/>
              <w:rPr>
                <w:i/>
                <w:iCs/>
                <w:color w:val="000000"/>
                <w:sz w:val="18"/>
                <w:szCs w:val="18"/>
                <w:lang w:val="en-US" w:eastAsia="en-US"/>
              </w:rPr>
            </w:pPr>
            <w:r w:rsidRPr="00107491">
              <w:rPr>
                <w:i/>
                <w:iCs/>
                <w:color w:val="000000"/>
                <w:sz w:val="18"/>
                <w:szCs w:val="18"/>
                <w:lang w:val="en-US" w:eastAsia="en-US"/>
              </w:rPr>
              <w:t>28</w:t>
            </w:r>
          </w:p>
        </w:tc>
        <w:tc>
          <w:tcPr>
            <w:tcW w:w="35" w:type="pct"/>
            <w:vAlign w:val="center"/>
            <w:hideMark/>
          </w:tcPr>
          <w:p w14:paraId="58EEEBBE" w14:textId="77777777" w:rsidR="00107491" w:rsidRPr="00107491" w:rsidRDefault="00107491" w:rsidP="00107491">
            <w:pPr>
              <w:rPr>
                <w:sz w:val="20"/>
                <w:szCs w:val="20"/>
                <w:lang w:val="en-US" w:eastAsia="en-US"/>
              </w:rPr>
            </w:pPr>
          </w:p>
        </w:tc>
      </w:tr>
      <w:tr w:rsidR="00107491" w:rsidRPr="00107491" w14:paraId="3A67C5C8" w14:textId="77777777" w:rsidTr="00107491">
        <w:trPr>
          <w:trHeight w:val="300"/>
        </w:trPr>
        <w:tc>
          <w:tcPr>
            <w:tcW w:w="1056" w:type="pct"/>
            <w:tcBorders>
              <w:top w:val="nil"/>
              <w:left w:val="single" w:sz="8" w:space="0" w:color="auto"/>
              <w:bottom w:val="nil"/>
              <w:right w:val="nil"/>
            </w:tcBorders>
            <w:shd w:val="clear" w:color="auto" w:fill="auto"/>
            <w:noWrap/>
            <w:vAlign w:val="center"/>
            <w:hideMark/>
          </w:tcPr>
          <w:p w14:paraId="277DBC71" w14:textId="77777777" w:rsidR="00107491" w:rsidRPr="00107491" w:rsidRDefault="00107491" w:rsidP="00107491">
            <w:pPr>
              <w:rPr>
                <w:rFonts w:ascii="Calibri" w:hAnsi="Calibri" w:cs="Calibri"/>
                <w:color w:val="000000"/>
                <w:sz w:val="18"/>
                <w:szCs w:val="18"/>
                <w:lang w:val="en-US" w:eastAsia="en-US"/>
              </w:rPr>
            </w:pPr>
            <w:r w:rsidRPr="00107491">
              <w:rPr>
                <w:rFonts w:ascii="Calibri" w:hAnsi="Calibri" w:cs="Calibri"/>
                <w:color w:val="000000"/>
                <w:sz w:val="18"/>
                <w:szCs w:val="18"/>
                <w:lang w:val="en-US" w:eastAsia="en-US"/>
              </w:rPr>
              <w:t> </w:t>
            </w:r>
          </w:p>
        </w:tc>
        <w:tc>
          <w:tcPr>
            <w:tcW w:w="381" w:type="pct"/>
            <w:vMerge/>
            <w:tcBorders>
              <w:top w:val="nil"/>
              <w:left w:val="single" w:sz="8" w:space="0" w:color="auto"/>
              <w:bottom w:val="double" w:sz="6" w:space="0" w:color="000000"/>
              <w:right w:val="single" w:sz="8" w:space="0" w:color="auto"/>
            </w:tcBorders>
            <w:vAlign w:val="center"/>
            <w:hideMark/>
          </w:tcPr>
          <w:p w14:paraId="1DB303F5" w14:textId="77777777" w:rsidR="00107491" w:rsidRPr="00107491" w:rsidRDefault="00107491" w:rsidP="00107491">
            <w:pPr>
              <w:rPr>
                <w:b/>
                <w:bCs/>
                <w:color w:val="000000"/>
                <w:sz w:val="18"/>
                <w:szCs w:val="18"/>
                <w:lang w:val="en-US" w:eastAsia="en-US"/>
              </w:rPr>
            </w:pPr>
          </w:p>
        </w:tc>
        <w:tc>
          <w:tcPr>
            <w:tcW w:w="453" w:type="pct"/>
            <w:tcBorders>
              <w:top w:val="nil"/>
              <w:left w:val="nil"/>
              <w:bottom w:val="nil"/>
              <w:right w:val="nil"/>
            </w:tcBorders>
            <w:shd w:val="clear" w:color="auto" w:fill="auto"/>
            <w:vAlign w:val="center"/>
            <w:hideMark/>
          </w:tcPr>
          <w:p w14:paraId="77AB9DB9" w14:textId="77777777" w:rsidR="00107491" w:rsidRPr="00107491" w:rsidRDefault="00107491" w:rsidP="00107491">
            <w:pPr>
              <w:rPr>
                <w:rFonts w:ascii="Calibri" w:hAnsi="Calibri" w:cs="Calibri"/>
                <w:color w:val="000000"/>
                <w:sz w:val="18"/>
                <w:szCs w:val="18"/>
                <w:lang w:val="en-US" w:eastAsia="en-US"/>
              </w:rPr>
            </w:pPr>
          </w:p>
        </w:tc>
        <w:tc>
          <w:tcPr>
            <w:tcW w:w="388" w:type="pct"/>
            <w:tcBorders>
              <w:top w:val="nil"/>
              <w:left w:val="single" w:sz="8" w:space="0" w:color="auto"/>
              <w:bottom w:val="nil"/>
              <w:right w:val="single" w:sz="8" w:space="0" w:color="auto"/>
            </w:tcBorders>
            <w:shd w:val="clear" w:color="auto" w:fill="auto"/>
            <w:vAlign w:val="center"/>
            <w:hideMark/>
          </w:tcPr>
          <w:p w14:paraId="0DCECC9A" w14:textId="77777777" w:rsidR="00107491" w:rsidRPr="00107491" w:rsidRDefault="00107491" w:rsidP="00107491">
            <w:pPr>
              <w:jc w:val="center"/>
              <w:rPr>
                <w:b/>
                <w:bCs/>
                <w:color w:val="000000"/>
                <w:sz w:val="18"/>
                <w:szCs w:val="18"/>
                <w:lang w:val="en-US" w:eastAsia="en-US"/>
              </w:rPr>
            </w:pPr>
            <w:r w:rsidRPr="00107491">
              <w:rPr>
                <w:b/>
                <w:bCs/>
                <w:color w:val="000000"/>
                <w:sz w:val="18"/>
                <w:szCs w:val="18"/>
                <w:lang w:val="en-US" w:eastAsia="en-US"/>
              </w:rPr>
              <w:t> </w:t>
            </w:r>
          </w:p>
        </w:tc>
        <w:tc>
          <w:tcPr>
            <w:tcW w:w="258" w:type="pct"/>
            <w:tcBorders>
              <w:top w:val="nil"/>
              <w:left w:val="nil"/>
              <w:bottom w:val="single" w:sz="8" w:space="0" w:color="auto"/>
              <w:right w:val="single" w:sz="8" w:space="0" w:color="auto"/>
            </w:tcBorders>
            <w:shd w:val="clear" w:color="auto" w:fill="auto"/>
            <w:noWrap/>
            <w:vAlign w:val="center"/>
            <w:hideMark/>
          </w:tcPr>
          <w:p w14:paraId="518BF64D" w14:textId="77777777" w:rsidR="00601D9B" w:rsidRDefault="000E53A0">
            <w:pPr>
              <w:rPr>
                <w:color w:val="000000"/>
                <w:sz w:val="18"/>
                <w:szCs w:val="18"/>
                <w:lang w:val="en-US" w:eastAsia="en-US"/>
              </w:rPr>
            </w:pPr>
            <w:r w:rsidRPr="00107491">
              <w:rPr>
                <w:color w:val="000000"/>
                <w:sz w:val="18"/>
                <w:szCs w:val="18"/>
                <w:lang w:val="en-US" w:eastAsia="en-US"/>
              </w:rPr>
              <w:t>71300</w:t>
            </w:r>
          </w:p>
        </w:tc>
        <w:tc>
          <w:tcPr>
            <w:tcW w:w="458" w:type="pct"/>
            <w:tcBorders>
              <w:top w:val="single" w:sz="8" w:space="0" w:color="auto"/>
              <w:left w:val="nil"/>
              <w:bottom w:val="nil"/>
              <w:right w:val="single" w:sz="8" w:space="0" w:color="auto"/>
            </w:tcBorders>
            <w:shd w:val="clear" w:color="auto" w:fill="auto"/>
            <w:vAlign w:val="center"/>
            <w:hideMark/>
          </w:tcPr>
          <w:p w14:paraId="0174D752" w14:textId="77777777" w:rsidR="00601D9B" w:rsidRDefault="000E53A0">
            <w:pPr>
              <w:rPr>
                <w:color w:val="000000"/>
                <w:sz w:val="18"/>
                <w:szCs w:val="18"/>
                <w:lang w:val="en-US" w:eastAsia="en-US"/>
              </w:rPr>
            </w:pPr>
            <w:r w:rsidRPr="00107491">
              <w:rPr>
                <w:color w:val="000000"/>
                <w:sz w:val="18"/>
                <w:szCs w:val="18"/>
                <w:lang w:val="en-US" w:eastAsia="en-US"/>
              </w:rPr>
              <w:t>Consultants locaux</w:t>
            </w:r>
          </w:p>
        </w:tc>
        <w:tc>
          <w:tcPr>
            <w:tcW w:w="254" w:type="pct"/>
            <w:tcBorders>
              <w:top w:val="nil"/>
              <w:left w:val="nil"/>
              <w:bottom w:val="single" w:sz="8" w:space="0" w:color="auto"/>
              <w:right w:val="single" w:sz="8" w:space="0" w:color="auto"/>
            </w:tcBorders>
            <w:shd w:val="clear" w:color="auto" w:fill="auto"/>
            <w:noWrap/>
            <w:vAlign w:val="center"/>
            <w:hideMark/>
          </w:tcPr>
          <w:p w14:paraId="7A75151D"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24,000 </w:t>
            </w:r>
          </w:p>
        </w:tc>
        <w:tc>
          <w:tcPr>
            <w:tcW w:w="273" w:type="pct"/>
            <w:tcBorders>
              <w:top w:val="nil"/>
              <w:left w:val="nil"/>
              <w:bottom w:val="single" w:sz="8" w:space="0" w:color="auto"/>
              <w:right w:val="single" w:sz="8" w:space="0" w:color="auto"/>
            </w:tcBorders>
            <w:shd w:val="clear" w:color="auto" w:fill="auto"/>
            <w:noWrap/>
            <w:vAlign w:val="center"/>
            <w:hideMark/>
          </w:tcPr>
          <w:p w14:paraId="78B7FFCE"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12,000 </w:t>
            </w:r>
          </w:p>
        </w:tc>
        <w:tc>
          <w:tcPr>
            <w:tcW w:w="250" w:type="pct"/>
            <w:tcBorders>
              <w:top w:val="nil"/>
              <w:left w:val="nil"/>
              <w:bottom w:val="single" w:sz="8" w:space="0" w:color="auto"/>
              <w:right w:val="single" w:sz="8" w:space="0" w:color="auto"/>
            </w:tcBorders>
            <w:shd w:val="clear" w:color="auto" w:fill="auto"/>
            <w:noWrap/>
            <w:vAlign w:val="center"/>
            <w:hideMark/>
          </w:tcPr>
          <w:p w14:paraId="45DD7A65"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 </w:t>
            </w:r>
          </w:p>
        </w:tc>
        <w:tc>
          <w:tcPr>
            <w:tcW w:w="250" w:type="pct"/>
            <w:tcBorders>
              <w:top w:val="nil"/>
              <w:left w:val="nil"/>
              <w:bottom w:val="single" w:sz="8" w:space="0" w:color="auto"/>
              <w:right w:val="single" w:sz="8" w:space="0" w:color="auto"/>
            </w:tcBorders>
            <w:shd w:val="clear" w:color="auto" w:fill="auto"/>
            <w:noWrap/>
            <w:vAlign w:val="center"/>
            <w:hideMark/>
          </w:tcPr>
          <w:p w14:paraId="5CAD5892"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 </w:t>
            </w:r>
          </w:p>
        </w:tc>
        <w:tc>
          <w:tcPr>
            <w:tcW w:w="250" w:type="pct"/>
            <w:tcBorders>
              <w:top w:val="nil"/>
              <w:left w:val="nil"/>
              <w:bottom w:val="single" w:sz="8" w:space="0" w:color="auto"/>
              <w:right w:val="single" w:sz="8" w:space="0" w:color="auto"/>
            </w:tcBorders>
            <w:shd w:val="clear" w:color="auto" w:fill="auto"/>
            <w:noWrap/>
            <w:vAlign w:val="center"/>
            <w:hideMark/>
          </w:tcPr>
          <w:p w14:paraId="012BB7C1"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 </w:t>
            </w:r>
          </w:p>
        </w:tc>
        <w:tc>
          <w:tcPr>
            <w:tcW w:w="250" w:type="pct"/>
            <w:tcBorders>
              <w:top w:val="nil"/>
              <w:left w:val="nil"/>
              <w:bottom w:val="single" w:sz="8" w:space="0" w:color="auto"/>
              <w:right w:val="single" w:sz="8" w:space="0" w:color="auto"/>
            </w:tcBorders>
            <w:shd w:val="clear" w:color="auto" w:fill="auto"/>
            <w:noWrap/>
            <w:vAlign w:val="center"/>
            <w:hideMark/>
          </w:tcPr>
          <w:p w14:paraId="05350B02"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 </w:t>
            </w:r>
          </w:p>
        </w:tc>
        <w:tc>
          <w:tcPr>
            <w:tcW w:w="261" w:type="pct"/>
            <w:tcBorders>
              <w:top w:val="nil"/>
              <w:left w:val="nil"/>
              <w:bottom w:val="single" w:sz="8" w:space="0" w:color="auto"/>
              <w:right w:val="single" w:sz="8" w:space="0" w:color="auto"/>
            </w:tcBorders>
            <w:shd w:val="clear" w:color="auto" w:fill="auto"/>
            <w:noWrap/>
            <w:vAlign w:val="center"/>
            <w:hideMark/>
          </w:tcPr>
          <w:p w14:paraId="5EF3FF6D"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36,000 </w:t>
            </w:r>
          </w:p>
        </w:tc>
        <w:tc>
          <w:tcPr>
            <w:tcW w:w="183" w:type="pct"/>
            <w:tcBorders>
              <w:top w:val="nil"/>
              <w:left w:val="nil"/>
              <w:bottom w:val="single" w:sz="8" w:space="0" w:color="auto"/>
              <w:right w:val="single" w:sz="8" w:space="0" w:color="auto"/>
            </w:tcBorders>
            <w:shd w:val="clear" w:color="auto" w:fill="auto"/>
            <w:vAlign w:val="center"/>
            <w:hideMark/>
          </w:tcPr>
          <w:p w14:paraId="519AEAAC" w14:textId="77777777" w:rsidR="00601D9B" w:rsidRDefault="000E53A0">
            <w:pPr>
              <w:jc w:val="center"/>
              <w:rPr>
                <w:i/>
                <w:iCs/>
                <w:color w:val="000000"/>
                <w:sz w:val="18"/>
                <w:szCs w:val="18"/>
                <w:lang w:val="en-US" w:eastAsia="en-US"/>
              </w:rPr>
            </w:pPr>
            <w:r w:rsidRPr="00107491">
              <w:rPr>
                <w:i/>
                <w:iCs/>
                <w:color w:val="000000"/>
                <w:sz w:val="18"/>
                <w:szCs w:val="18"/>
                <w:lang w:val="en-US" w:eastAsia="en-US"/>
              </w:rPr>
              <w:t>29</w:t>
            </w:r>
          </w:p>
        </w:tc>
        <w:tc>
          <w:tcPr>
            <w:tcW w:w="35" w:type="pct"/>
            <w:vAlign w:val="center"/>
            <w:hideMark/>
          </w:tcPr>
          <w:p w14:paraId="3F299C8E" w14:textId="77777777" w:rsidR="00107491" w:rsidRPr="00107491" w:rsidRDefault="00107491" w:rsidP="00107491">
            <w:pPr>
              <w:rPr>
                <w:sz w:val="20"/>
                <w:szCs w:val="20"/>
                <w:lang w:val="en-US" w:eastAsia="en-US"/>
              </w:rPr>
            </w:pPr>
          </w:p>
        </w:tc>
      </w:tr>
      <w:tr w:rsidR="00107491" w:rsidRPr="00107491" w14:paraId="6B8C5C91" w14:textId="77777777" w:rsidTr="00107491">
        <w:trPr>
          <w:trHeight w:val="300"/>
        </w:trPr>
        <w:tc>
          <w:tcPr>
            <w:tcW w:w="1056" w:type="pct"/>
            <w:tcBorders>
              <w:top w:val="nil"/>
              <w:left w:val="single" w:sz="8" w:space="0" w:color="auto"/>
              <w:bottom w:val="nil"/>
              <w:right w:val="nil"/>
            </w:tcBorders>
            <w:shd w:val="clear" w:color="auto" w:fill="auto"/>
            <w:noWrap/>
            <w:vAlign w:val="center"/>
            <w:hideMark/>
          </w:tcPr>
          <w:p w14:paraId="3A1B6D76" w14:textId="77777777" w:rsidR="00107491" w:rsidRPr="00107491" w:rsidRDefault="00107491" w:rsidP="00107491">
            <w:pPr>
              <w:rPr>
                <w:rFonts w:ascii="Calibri" w:hAnsi="Calibri" w:cs="Calibri"/>
                <w:color w:val="000000"/>
                <w:sz w:val="18"/>
                <w:szCs w:val="18"/>
                <w:lang w:val="en-US" w:eastAsia="en-US"/>
              </w:rPr>
            </w:pPr>
            <w:bookmarkStart w:id="57" w:name="RANGE!A56"/>
            <w:r w:rsidRPr="00107491">
              <w:rPr>
                <w:rFonts w:ascii="Calibri" w:hAnsi="Calibri" w:cs="Calibri"/>
                <w:color w:val="000000"/>
                <w:sz w:val="18"/>
                <w:szCs w:val="18"/>
                <w:lang w:val="en-US" w:eastAsia="en-US"/>
              </w:rPr>
              <w:t> </w:t>
            </w:r>
            <w:bookmarkEnd w:id="57"/>
          </w:p>
        </w:tc>
        <w:tc>
          <w:tcPr>
            <w:tcW w:w="381" w:type="pct"/>
            <w:vMerge/>
            <w:tcBorders>
              <w:top w:val="nil"/>
              <w:left w:val="single" w:sz="8" w:space="0" w:color="auto"/>
              <w:bottom w:val="double" w:sz="6" w:space="0" w:color="000000"/>
              <w:right w:val="single" w:sz="8" w:space="0" w:color="auto"/>
            </w:tcBorders>
            <w:vAlign w:val="center"/>
            <w:hideMark/>
          </w:tcPr>
          <w:p w14:paraId="49431F9C" w14:textId="77777777" w:rsidR="00107491" w:rsidRPr="00107491" w:rsidRDefault="00107491" w:rsidP="00107491">
            <w:pPr>
              <w:rPr>
                <w:b/>
                <w:bCs/>
                <w:color w:val="000000"/>
                <w:sz w:val="18"/>
                <w:szCs w:val="18"/>
                <w:lang w:val="en-US" w:eastAsia="en-US"/>
              </w:rPr>
            </w:pPr>
          </w:p>
        </w:tc>
        <w:tc>
          <w:tcPr>
            <w:tcW w:w="453" w:type="pct"/>
            <w:tcBorders>
              <w:top w:val="nil"/>
              <w:left w:val="nil"/>
              <w:bottom w:val="nil"/>
              <w:right w:val="nil"/>
            </w:tcBorders>
            <w:shd w:val="clear" w:color="auto" w:fill="auto"/>
            <w:vAlign w:val="center"/>
            <w:hideMark/>
          </w:tcPr>
          <w:p w14:paraId="2F20720C" w14:textId="77777777" w:rsidR="00107491" w:rsidRPr="00107491" w:rsidRDefault="00107491" w:rsidP="00107491">
            <w:pPr>
              <w:rPr>
                <w:rFonts w:ascii="Calibri" w:hAnsi="Calibri" w:cs="Calibri"/>
                <w:color w:val="000000"/>
                <w:sz w:val="18"/>
                <w:szCs w:val="18"/>
                <w:lang w:val="en-US" w:eastAsia="en-US"/>
              </w:rPr>
            </w:pPr>
          </w:p>
        </w:tc>
        <w:tc>
          <w:tcPr>
            <w:tcW w:w="388" w:type="pct"/>
            <w:tcBorders>
              <w:top w:val="nil"/>
              <w:left w:val="single" w:sz="8" w:space="0" w:color="auto"/>
              <w:bottom w:val="nil"/>
              <w:right w:val="single" w:sz="8" w:space="0" w:color="auto"/>
            </w:tcBorders>
            <w:shd w:val="clear" w:color="auto" w:fill="auto"/>
            <w:vAlign w:val="center"/>
            <w:hideMark/>
          </w:tcPr>
          <w:p w14:paraId="0AC4100D" w14:textId="77777777" w:rsidR="00107491" w:rsidRPr="00107491" w:rsidRDefault="00107491" w:rsidP="00107491">
            <w:pPr>
              <w:jc w:val="center"/>
              <w:rPr>
                <w:b/>
                <w:bCs/>
                <w:color w:val="000000"/>
                <w:sz w:val="18"/>
                <w:szCs w:val="18"/>
                <w:lang w:val="en-US" w:eastAsia="en-US"/>
              </w:rPr>
            </w:pPr>
            <w:r w:rsidRPr="00107491">
              <w:rPr>
                <w:b/>
                <w:bCs/>
                <w:color w:val="000000"/>
                <w:sz w:val="18"/>
                <w:szCs w:val="18"/>
                <w:lang w:val="en-US" w:eastAsia="en-US"/>
              </w:rPr>
              <w:t> </w:t>
            </w:r>
          </w:p>
        </w:tc>
        <w:tc>
          <w:tcPr>
            <w:tcW w:w="258" w:type="pct"/>
            <w:tcBorders>
              <w:top w:val="nil"/>
              <w:left w:val="nil"/>
              <w:bottom w:val="single" w:sz="8" w:space="0" w:color="auto"/>
              <w:right w:val="single" w:sz="8" w:space="0" w:color="auto"/>
            </w:tcBorders>
            <w:shd w:val="clear" w:color="auto" w:fill="auto"/>
            <w:noWrap/>
            <w:vAlign w:val="center"/>
            <w:hideMark/>
          </w:tcPr>
          <w:p w14:paraId="1EA88676" w14:textId="77777777" w:rsidR="00601D9B" w:rsidRDefault="000E53A0">
            <w:pPr>
              <w:rPr>
                <w:color w:val="000000"/>
                <w:sz w:val="18"/>
                <w:szCs w:val="18"/>
                <w:lang w:val="en-US" w:eastAsia="en-US"/>
              </w:rPr>
            </w:pPr>
            <w:r w:rsidRPr="00107491">
              <w:rPr>
                <w:color w:val="000000"/>
                <w:sz w:val="18"/>
                <w:szCs w:val="18"/>
                <w:lang w:val="en-US" w:eastAsia="en-US"/>
              </w:rPr>
              <w:t>72100</w:t>
            </w:r>
          </w:p>
        </w:tc>
        <w:tc>
          <w:tcPr>
            <w:tcW w:w="458" w:type="pct"/>
            <w:tcBorders>
              <w:top w:val="single" w:sz="8" w:space="0" w:color="auto"/>
              <w:left w:val="nil"/>
              <w:bottom w:val="nil"/>
              <w:right w:val="single" w:sz="8" w:space="0" w:color="auto"/>
            </w:tcBorders>
            <w:shd w:val="clear" w:color="auto" w:fill="auto"/>
            <w:vAlign w:val="center"/>
            <w:hideMark/>
          </w:tcPr>
          <w:p w14:paraId="423B1823" w14:textId="77777777" w:rsidR="00601D9B" w:rsidRDefault="000E53A0">
            <w:pPr>
              <w:rPr>
                <w:color w:val="000000"/>
                <w:sz w:val="18"/>
                <w:szCs w:val="18"/>
                <w:lang w:val="en-US" w:eastAsia="en-US"/>
              </w:rPr>
            </w:pPr>
            <w:r w:rsidRPr="00107491">
              <w:rPr>
                <w:color w:val="000000"/>
                <w:sz w:val="18"/>
                <w:szCs w:val="18"/>
                <w:lang w:val="en-US" w:eastAsia="en-US"/>
              </w:rPr>
              <w:t>Services contractuels - Entreprises</w:t>
            </w:r>
          </w:p>
        </w:tc>
        <w:tc>
          <w:tcPr>
            <w:tcW w:w="254" w:type="pct"/>
            <w:tcBorders>
              <w:top w:val="nil"/>
              <w:left w:val="nil"/>
              <w:bottom w:val="single" w:sz="8" w:space="0" w:color="auto"/>
              <w:right w:val="single" w:sz="8" w:space="0" w:color="auto"/>
            </w:tcBorders>
            <w:shd w:val="clear" w:color="auto" w:fill="auto"/>
            <w:noWrap/>
            <w:vAlign w:val="center"/>
            <w:hideMark/>
          </w:tcPr>
          <w:p w14:paraId="7019C430"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 </w:t>
            </w:r>
          </w:p>
        </w:tc>
        <w:tc>
          <w:tcPr>
            <w:tcW w:w="273" w:type="pct"/>
            <w:tcBorders>
              <w:top w:val="nil"/>
              <w:left w:val="nil"/>
              <w:bottom w:val="single" w:sz="8" w:space="0" w:color="auto"/>
              <w:right w:val="single" w:sz="8" w:space="0" w:color="auto"/>
            </w:tcBorders>
            <w:shd w:val="clear" w:color="auto" w:fill="auto"/>
            <w:noWrap/>
            <w:vAlign w:val="center"/>
            <w:hideMark/>
          </w:tcPr>
          <w:p w14:paraId="27885E99"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230,167 </w:t>
            </w:r>
          </w:p>
        </w:tc>
        <w:tc>
          <w:tcPr>
            <w:tcW w:w="250" w:type="pct"/>
            <w:tcBorders>
              <w:top w:val="nil"/>
              <w:left w:val="nil"/>
              <w:bottom w:val="single" w:sz="8" w:space="0" w:color="auto"/>
              <w:right w:val="single" w:sz="8" w:space="0" w:color="auto"/>
            </w:tcBorders>
            <w:shd w:val="clear" w:color="auto" w:fill="auto"/>
            <w:noWrap/>
            <w:vAlign w:val="center"/>
            <w:hideMark/>
          </w:tcPr>
          <w:p w14:paraId="35A1E27C"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230,167 </w:t>
            </w:r>
          </w:p>
        </w:tc>
        <w:tc>
          <w:tcPr>
            <w:tcW w:w="250" w:type="pct"/>
            <w:tcBorders>
              <w:top w:val="nil"/>
              <w:left w:val="nil"/>
              <w:bottom w:val="single" w:sz="8" w:space="0" w:color="auto"/>
              <w:right w:val="single" w:sz="8" w:space="0" w:color="auto"/>
            </w:tcBorders>
            <w:shd w:val="clear" w:color="auto" w:fill="auto"/>
            <w:noWrap/>
            <w:vAlign w:val="center"/>
            <w:hideMark/>
          </w:tcPr>
          <w:p w14:paraId="1E7A6CCA"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230,167 </w:t>
            </w:r>
          </w:p>
        </w:tc>
        <w:tc>
          <w:tcPr>
            <w:tcW w:w="250" w:type="pct"/>
            <w:tcBorders>
              <w:top w:val="nil"/>
              <w:left w:val="nil"/>
              <w:bottom w:val="single" w:sz="8" w:space="0" w:color="auto"/>
              <w:right w:val="single" w:sz="8" w:space="0" w:color="auto"/>
            </w:tcBorders>
            <w:shd w:val="clear" w:color="auto" w:fill="auto"/>
            <w:noWrap/>
            <w:vAlign w:val="center"/>
            <w:hideMark/>
          </w:tcPr>
          <w:p w14:paraId="59AC4EA2"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108,500 </w:t>
            </w:r>
          </w:p>
        </w:tc>
        <w:tc>
          <w:tcPr>
            <w:tcW w:w="250" w:type="pct"/>
            <w:tcBorders>
              <w:top w:val="nil"/>
              <w:left w:val="nil"/>
              <w:bottom w:val="single" w:sz="8" w:space="0" w:color="auto"/>
              <w:right w:val="single" w:sz="8" w:space="0" w:color="auto"/>
            </w:tcBorders>
            <w:shd w:val="clear" w:color="auto" w:fill="auto"/>
            <w:noWrap/>
            <w:vAlign w:val="center"/>
            <w:hideMark/>
          </w:tcPr>
          <w:p w14:paraId="4251811B"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108,500 </w:t>
            </w:r>
          </w:p>
        </w:tc>
        <w:tc>
          <w:tcPr>
            <w:tcW w:w="261" w:type="pct"/>
            <w:tcBorders>
              <w:top w:val="nil"/>
              <w:left w:val="nil"/>
              <w:bottom w:val="single" w:sz="8" w:space="0" w:color="auto"/>
              <w:right w:val="single" w:sz="8" w:space="0" w:color="auto"/>
            </w:tcBorders>
            <w:shd w:val="clear" w:color="auto" w:fill="auto"/>
            <w:noWrap/>
            <w:vAlign w:val="center"/>
            <w:hideMark/>
          </w:tcPr>
          <w:p w14:paraId="4BD2C3FF"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907,500 </w:t>
            </w:r>
          </w:p>
        </w:tc>
        <w:tc>
          <w:tcPr>
            <w:tcW w:w="183" w:type="pct"/>
            <w:tcBorders>
              <w:top w:val="nil"/>
              <w:left w:val="nil"/>
              <w:bottom w:val="single" w:sz="8" w:space="0" w:color="auto"/>
              <w:right w:val="single" w:sz="8" w:space="0" w:color="auto"/>
            </w:tcBorders>
            <w:shd w:val="clear" w:color="auto" w:fill="auto"/>
            <w:vAlign w:val="center"/>
            <w:hideMark/>
          </w:tcPr>
          <w:p w14:paraId="6FB5E9A5" w14:textId="77777777" w:rsidR="00601D9B" w:rsidRDefault="000E53A0">
            <w:pPr>
              <w:jc w:val="center"/>
              <w:rPr>
                <w:i/>
                <w:iCs/>
                <w:color w:val="000000"/>
                <w:sz w:val="18"/>
                <w:szCs w:val="18"/>
                <w:lang w:val="en-US" w:eastAsia="en-US"/>
              </w:rPr>
            </w:pPr>
            <w:r w:rsidRPr="00107491">
              <w:rPr>
                <w:i/>
                <w:iCs/>
                <w:color w:val="000000"/>
                <w:sz w:val="18"/>
                <w:szCs w:val="18"/>
                <w:lang w:val="en-US" w:eastAsia="en-US"/>
              </w:rPr>
              <w:t>30</w:t>
            </w:r>
          </w:p>
        </w:tc>
        <w:tc>
          <w:tcPr>
            <w:tcW w:w="35" w:type="pct"/>
            <w:vAlign w:val="center"/>
            <w:hideMark/>
          </w:tcPr>
          <w:p w14:paraId="30D1613E" w14:textId="77777777" w:rsidR="00107491" w:rsidRPr="00107491" w:rsidRDefault="00107491" w:rsidP="00107491">
            <w:pPr>
              <w:rPr>
                <w:sz w:val="20"/>
                <w:szCs w:val="20"/>
                <w:lang w:val="en-US" w:eastAsia="en-US"/>
              </w:rPr>
            </w:pPr>
          </w:p>
        </w:tc>
      </w:tr>
      <w:tr w:rsidR="00107491" w:rsidRPr="00107491" w14:paraId="66A96891" w14:textId="77777777" w:rsidTr="00107491">
        <w:trPr>
          <w:trHeight w:val="300"/>
        </w:trPr>
        <w:tc>
          <w:tcPr>
            <w:tcW w:w="1056" w:type="pct"/>
            <w:tcBorders>
              <w:top w:val="nil"/>
              <w:left w:val="single" w:sz="8" w:space="0" w:color="auto"/>
              <w:bottom w:val="nil"/>
              <w:right w:val="nil"/>
            </w:tcBorders>
            <w:shd w:val="clear" w:color="auto" w:fill="auto"/>
            <w:noWrap/>
            <w:vAlign w:val="center"/>
            <w:hideMark/>
          </w:tcPr>
          <w:p w14:paraId="02C806BD" w14:textId="77777777" w:rsidR="00107491" w:rsidRPr="00107491" w:rsidRDefault="00107491" w:rsidP="00107491">
            <w:pPr>
              <w:rPr>
                <w:rFonts w:ascii="Calibri" w:hAnsi="Calibri" w:cs="Calibri"/>
                <w:color w:val="000000"/>
                <w:sz w:val="18"/>
                <w:szCs w:val="18"/>
                <w:lang w:val="en-US" w:eastAsia="en-US"/>
              </w:rPr>
            </w:pPr>
            <w:r w:rsidRPr="00107491">
              <w:rPr>
                <w:rFonts w:ascii="Calibri" w:hAnsi="Calibri" w:cs="Calibri"/>
                <w:color w:val="000000"/>
                <w:sz w:val="18"/>
                <w:szCs w:val="18"/>
                <w:lang w:val="en-US" w:eastAsia="en-US"/>
              </w:rPr>
              <w:t> </w:t>
            </w:r>
          </w:p>
        </w:tc>
        <w:tc>
          <w:tcPr>
            <w:tcW w:w="381" w:type="pct"/>
            <w:vMerge/>
            <w:tcBorders>
              <w:top w:val="nil"/>
              <w:left w:val="single" w:sz="8" w:space="0" w:color="auto"/>
              <w:bottom w:val="double" w:sz="6" w:space="0" w:color="000000"/>
              <w:right w:val="single" w:sz="8" w:space="0" w:color="auto"/>
            </w:tcBorders>
            <w:vAlign w:val="center"/>
            <w:hideMark/>
          </w:tcPr>
          <w:p w14:paraId="4EB72F0A" w14:textId="77777777" w:rsidR="00107491" w:rsidRPr="00107491" w:rsidRDefault="00107491" w:rsidP="00107491">
            <w:pPr>
              <w:rPr>
                <w:b/>
                <w:bCs/>
                <w:color w:val="000000"/>
                <w:sz w:val="18"/>
                <w:szCs w:val="18"/>
                <w:lang w:val="en-US" w:eastAsia="en-US"/>
              </w:rPr>
            </w:pPr>
          </w:p>
        </w:tc>
        <w:tc>
          <w:tcPr>
            <w:tcW w:w="453" w:type="pct"/>
            <w:tcBorders>
              <w:top w:val="nil"/>
              <w:left w:val="nil"/>
              <w:bottom w:val="nil"/>
              <w:right w:val="nil"/>
            </w:tcBorders>
            <w:shd w:val="clear" w:color="auto" w:fill="auto"/>
            <w:vAlign w:val="center"/>
            <w:hideMark/>
          </w:tcPr>
          <w:p w14:paraId="64947D2E" w14:textId="77777777" w:rsidR="00107491" w:rsidRPr="00107491" w:rsidRDefault="00107491" w:rsidP="00107491">
            <w:pPr>
              <w:rPr>
                <w:rFonts w:ascii="Calibri" w:hAnsi="Calibri" w:cs="Calibri"/>
                <w:color w:val="000000"/>
                <w:sz w:val="18"/>
                <w:szCs w:val="18"/>
                <w:lang w:val="en-US" w:eastAsia="en-US"/>
              </w:rPr>
            </w:pPr>
          </w:p>
        </w:tc>
        <w:tc>
          <w:tcPr>
            <w:tcW w:w="388" w:type="pct"/>
            <w:tcBorders>
              <w:top w:val="nil"/>
              <w:left w:val="single" w:sz="8" w:space="0" w:color="auto"/>
              <w:bottom w:val="nil"/>
              <w:right w:val="single" w:sz="8" w:space="0" w:color="auto"/>
            </w:tcBorders>
            <w:shd w:val="clear" w:color="auto" w:fill="auto"/>
            <w:vAlign w:val="center"/>
            <w:hideMark/>
          </w:tcPr>
          <w:p w14:paraId="2F9349CB" w14:textId="77777777" w:rsidR="00107491" w:rsidRPr="00107491" w:rsidRDefault="00107491" w:rsidP="00107491">
            <w:pPr>
              <w:jc w:val="center"/>
              <w:rPr>
                <w:b/>
                <w:bCs/>
                <w:color w:val="000000"/>
                <w:sz w:val="18"/>
                <w:szCs w:val="18"/>
                <w:lang w:val="en-US" w:eastAsia="en-US"/>
              </w:rPr>
            </w:pPr>
            <w:r w:rsidRPr="00107491">
              <w:rPr>
                <w:b/>
                <w:bCs/>
                <w:color w:val="000000"/>
                <w:sz w:val="18"/>
                <w:szCs w:val="18"/>
                <w:lang w:val="en-US" w:eastAsia="en-US"/>
              </w:rPr>
              <w:t> </w:t>
            </w:r>
          </w:p>
        </w:tc>
        <w:tc>
          <w:tcPr>
            <w:tcW w:w="258" w:type="pct"/>
            <w:tcBorders>
              <w:top w:val="nil"/>
              <w:left w:val="nil"/>
              <w:bottom w:val="single" w:sz="8" w:space="0" w:color="auto"/>
              <w:right w:val="single" w:sz="8" w:space="0" w:color="auto"/>
            </w:tcBorders>
            <w:shd w:val="clear" w:color="auto" w:fill="auto"/>
            <w:noWrap/>
            <w:vAlign w:val="center"/>
            <w:hideMark/>
          </w:tcPr>
          <w:p w14:paraId="4082C2CB" w14:textId="77777777" w:rsidR="00601D9B" w:rsidRDefault="000E53A0">
            <w:pPr>
              <w:rPr>
                <w:color w:val="000000"/>
                <w:sz w:val="18"/>
                <w:szCs w:val="18"/>
                <w:lang w:val="en-US" w:eastAsia="en-US"/>
              </w:rPr>
            </w:pPr>
            <w:r w:rsidRPr="00107491">
              <w:rPr>
                <w:color w:val="000000"/>
                <w:sz w:val="18"/>
                <w:szCs w:val="18"/>
                <w:lang w:val="en-US" w:eastAsia="en-US"/>
              </w:rPr>
              <w:t>72600</w:t>
            </w:r>
          </w:p>
        </w:tc>
        <w:tc>
          <w:tcPr>
            <w:tcW w:w="458" w:type="pct"/>
            <w:tcBorders>
              <w:top w:val="single" w:sz="8" w:space="0" w:color="auto"/>
              <w:left w:val="nil"/>
              <w:bottom w:val="nil"/>
              <w:right w:val="single" w:sz="8" w:space="0" w:color="auto"/>
            </w:tcBorders>
            <w:shd w:val="clear" w:color="auto" w:fill="auto"/>
            <w:vAlign w:val="center"/>
            <w:hideMark/>
          </w:tcPr>
          <w:p w14:paraId="7377BB9C" w14:textId="77777777" w:rsidR="00601D9B" w:rsidRDefault="000E53A0">
            <w:pPr>
              <w:rPr>
                <w:color w:val="000000"/>
                <w:sz w:val="18"/>
                <w:szCs w:val="18"/>
                <w:lang w:val="en-US" w:eastAsia="en-US"/>
              </w:rPr>
            </w:pPr>
            <w:r w:rsidRPr="00107491">
              <w:rPr>
                <w:color w:val="000000"/>
                <w:sz w:val="18"/>
                <w:szCs w:val="18"/>
                <w:lang w:val="en-US" w:eastAsia="en-US"/>
              </w:rPr>
              <w:t>Subventions</w:t>
            </w:r>
          </w:p>
        </w:tc>
        <w:tc>
          <w:tcPr>
            <w:tcW w:w="254" w:type="pct"/>
            <w:tcBorders>
              <w:top w:val="nil"/>
              <w:left w:val="nil"/>
              <w:bottom w:val="single" w:sz="8" w:space="0" w:color="auto"/>
              <w:right w:val="single" w:sz="8" w:space="0" w:color="auto"/>
            </w:tcBorders>
            <w:shd w:val="clear" w:color="auto" w:fill="auto"/>
            <w:noWrap/>
            <w:vAlign w:val="center"/>
            <w:hideMark/>
          </w:tcPr>
          <w:p w14:paraId="53655604"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 </w:t>
            </w:r>
          </w:p>
        </w:tc>
        <w:tc>
          <w:tcPr>
            <w:tcW w:w="273" w:type="pct"/>
            <w:tcBorders>
              <w:top w:val="nil"/>
              <w:left w:val="nil"/>
              <w:bottom w:val="single" w:sz="8" w:space="0" w:color="auto"/>
              <w:right w:val="single" w:sz="8" w:space="0" w:color="auto"/>
            </w:tcBorders>
            <w:shd w:val="clear" w:color="auto" w:fill="auto"/>
            <w:noWrap/>
            <w:vAlign w:val="center"/>
            <w:hideMark/>
          </w:tcPr>
          <w:p w14:paraId="71A1CB84"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97,500 </w:t>
            </w:r>
          </w:p>
        </w:tc>
        <w:tc>
          <w:tcPr>
            <w:tcW w:w="250" w:type="pct"/>
            <w:tcBorders>
              <w:top w:val="nil"/>
              <w:left w:val="nil"/>
              <w:bottom w:val="single" w:sz="8" w:space="0" w:color="auto"/>
              <w:right w:val="single" w:sz="8" w:space="0" w:color="auto"/>
            </w:tcBorders>
            <w:shd w:val="clear" w:color="auto" w:fill="auto"/>
            <w:noWrap/>
            <w:vAlign w:val="center"/>
            <w:hideMark/>
          </w:tcPr>
          <w:p w14:paraId="67096EA7"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97,500 </w:t>
            </w:r>
          </w:p>
        </w:tc>
        <w:tc>
          <w:tcPr>
            <w:tcW w:w="250" w:type="pct"/>
            <w:tcBorders>
              <w:top w:val="nil"/>
              <w:left w:val="nil"/>
              <w:bottom w:val="single" w:sz="8" w:space="0" w:color="auto"/>
              <w:right w:val="single" w:sz="8" w:space="0" w:color="auto"/>
            </w:tcBorders>
            <w:shd w:val="clear" w:color="auto" w:fill="auto"/>
            <w:noWrap/>
            <w:vAlign w:val="center"/>
            <w:hideMark/>
          </w:tcPr>
          <w:p w14:paraId="6FE6E57D"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97,500 </w:t>
            </w:r>
          </w:p>
        </w:tc>
        <w:tc>
          <w:tcPr>
            <w:tcW w:w="250" w:type="pct"/>
            <w:tcBorders>
              <w:top w:val="nil"/>
              <w:left w:val="nil"/>
              <w:bottom w:val="single" w:sz="8" w:space="0" w:color="auto"/>
              <w:right w:val="single" w:sz="8" w:space="0" w:color="auto"/>
            </w:tcBorders>
            <w:shd w:val="clear" w:color="auto" w:fill="auto"/>
            <w:noWrap/>
            <w:vAlign w:val="center"/>
            <w:hideMark/>
          </w:tcPr>
          <w:p w14:paraId="07FEF109"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97,500 </w:t>
            </w:r>
          </w:p>
        </w:tc>
        <w:tc>
          <w:tcPr>
            <w:tcW w:w="250" w:type="pct"/>
            <w:tcBorders>
              <w:top w:val="nil"/>
              <w:left w:val="nil"/>
              <w:bottom w:val="single" w:sz="8" w:space="0" w:color="auto"/>
              <w:right w:val="single" w:sz="8" w:space="0" w:color="auto"/>
            </w:tcBorders>
            <w:shd w:val="clear" w:color="auto" w:fill="auto"/>
            <w:noWrap/>
            <w:vAlign w:val="center"/>
            <w:hideMark/>
          </w:tcPr>
          <w:p w14:paraId="5A71AD3A"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60,000 </w:t>
            </w:r>
          </w:p>
        </w:tc>
        <w:tc>
          <w:tcPr>
            <w:tcW w:w="261" w:type="pct"/>
            <w:tcBorders>
              <w:top w:val="nil"/>
              <w:left w:val="nil"/>
              <w:bottom w:val="single" w:sz="8" w:space="0" w:color="auto"/>
              <w:right w:val="single" w:sz="8" w:space="0" w:color="auto"/>
            </w:tcBorders>
            <w:shd w:val="clear" w:color="auto" w:fill="auto"/>
            <w:noWrap/>
            <w:vAlign w:val="center"/>
            <w:hideMark/>
          </w:tcPr>
          <w:p w14:paraId="560F646F"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450,000 </w:t>
            </w:r>
          </w:p>
        </w:tc>
        <w:tc>
          <w:tcPr>
            <w:tcW w:w="183" w:type="pct"/>
            <w:tcBorders>
              <w:top w:val="nil"/>
              <w:left w:val="nil"/>
              <w:bottom w:val="single" w:sz="8" w:space="0" w:color="auto"/>
              <w:right w:val="single" w:sz="8" w:space="0" w:color="auto"/>
            </w:tcBorders>
            <w:shd w:val="clear" w:color="auto" w:fill="auto"/>
            <w:vAlign w:val="center"/>
            <w:hideMark/>
          </w:tcPr>
          <w:p w14:paraId="278CD26A" w14:textId="77777777" w:rsidR="00601D9B" w:rsidRDefault="000E53A0">
            <w:pPr>
              <w:jc w:val="center"/>
              <w:rPr>
                <w:i/>
                <w:iCs/>
                <w:color w:val="000000"/>
                <w:sz w:val="18"/>
                <w:szCs w:val="18"/>
                <w:lang w:val="en-US" w:eastAsia="en-US"/>
              </w:rPr>
            </w:pPr>
            <w:r w:rsidRPr="00107491">
              <w:rPr>
                <w:i/>
                <w:iCs/>
                <w:color w:val="000000"/>
                <w:sz w:val="18"/>
                <w:szCs w:val="18"/>
                <w:lang w:val="en-US" w:eastAsia="en-US"/>
              </w:rPr>
              <w:t>31</w:t>
            </w:r>
          </w:p>
        </w:tc>
        <w:tc>
          <w:tcPr>
            <w:tcW w:w="35" w:type="pct"/>
            <w:vAlign w:val="center"/>
            <w:hideMark/>
          </w:tcPr>
          <w:p w14:paraId="6070E90C" w14:textId="77777777" w:rsidR="00107491" w:rsidRPr="00107491" w:rsidRDefault="00107491" w:rsidP="00107491">
            <w:pPr>
              <w:rPr>
                <w:sz w:val="20"/>
                <w:szCs w:val="20"/>
                <w:lang w:val="en-US" w:eastAsia="en-US"/>
              </w:rPr>
            </w:pPr>
          </w:p>
        </w:tc>
      </w:tr>
      <w:tr w:rsidR="00107491" w:rsidRPr="00107491" w14:paraId="774AF863" w14:textId="77777777" w:rsidTr="00107491">
        <w:trPr>
          <w:trHeight w:val="300"/>
        </w:trPr>
        <w:tc>
          <w:tcPr>
            <w:tcW w:w="1056" w:type="pct"/>
            <w:tcBorders>
              <w:top w:val="nil"/>
              <w:left w:val="single" w:sz="8" w:space="0" w:color="auto"/>
              <w:bottom w:val="nil"/>
              <w:right w:val="nil"/>
            </w:tcBorders>
            <w:shd w:val="clear" w:color="auto" w:fill="auto"/>
            <w:noWrap/>
            <w:vAlign w:val="center"/>
            <w:hideMark/>
          </w:tcPr>
          <w:p w14:paraId="0C1D8282" w14:textId="77777777" w:rsidR="00107491" w:rsidRPr="00107491" w:rsidRDefault="00107491" w:rsidP="00107491">
            <w:pPr>
              <w:rPr>
                <w:rFonts w:ascii="Calibri" w:hAnsi="Calibri" w:cs="Calibri"/>
                <w:color w:val="000000"/>
                <w:sz w:val="18"/>
                <w:szCs w:val="18"/>
                <w:lang w:val="en-US" w:eastAsia="en-US"/>
              </w:rPr>
            </w:pPr>
            <w:r w:rsidRPr="00107491">
              <w:rPr>
                <w:rFonts w:ascii="Calibri" w:hAnsi="Calibri" w:cs="Calibri"/>
                <w:color w:val="000000"/>
                <w:sz w:val="18"/>
                <w:szCs w:val="18"/>
                <w:lang w:val="en-US" w:eastAsia="en-US"/>
              </w:rPr>
              <w:t> </w:t>
            </w:r>
          </w:p>
        </w:tc>
        <w:tc>
          <w:tcPr>
            <w:tcW w:w="381" w:type="pct"/>
            <w:vMerge/>
            <w:tcBorders>
              <w:top w:val="nil"/>
              <w:left w:val="single" w:sz="8" w:space="0" w:color="auto"/>
              <w:bottom w:val="double" w:sz="6" w:space="0" w:color="000000"/>
              <w:right w:val="single" w:sz="8" w:space="0" w:color="auto"/>
            </w:tcBorders>
            <w:vAlign w:val="center"/>
            <w:hideMark/>
          </w:tcPr>
          <w:p w14:paraId="6324640E" w14:textId="77777777" w:rsidR="00107491" w:rsidRPr="00107491" w:rsidRDefault="00107491" w:rsidP="00107491">
            <w:pPr>
              <w:rPr>
                <w:b/>
                <w:bCs/>
                <w:color w:val="000000"/>
                <w:sz w:val="18"/>
                <w:szCs w:val="18"/>
                <w:lang w:val="en-US" w:eastAsia="en-US"/>
              </w:rPr>
            </w:pPr>
          </w:p>
        </w:tc>
        <w:tc>
          <w:tcPr>
            <w:tcW w:w="453" w:type="pct"/>
            <w:tcBorders>
              <w:top w:val="nil"/>
              <w:left w:val="nil"/>
              <w:bottom w:val="nil"/>
              <w:right w:val="nil"/>
            </w:tcBorders>
            <w:shd w:val="clear" w:color="auto" w:fill="auto"/>
            <w:vAlign w:val="center"/>
            <w:hideMark/>
          </w:tcPr>
          <w:p w14:paraId="061F5B16" w14:textId="77777777" w:rsidR="00107491" w:rsidRPr="00107491" w:rsidRDefault="00107491" w:rsidP="00107491">
            <w:pPr>
              <w:rPr>
                <w:rFonts w:ascii="Calibri" w:hAnsi="Calibri" w:cs="Calibri"/>
                <w:color w:val="000000"/>
                <w:sz w:val="18"/>
                <w:szCs w:val="18"/>
                <w:lang w:val="en-US" w:eastAsia="en-US"/>
              </w:rPr>
            </w:pPr>
          </w:p>
        </w:tc>
        <w:tc>
          <w:tcPr>
            <w:tcW w:w="388" w:type="pct"/>
            <w:tcBorders>
              <w:top w:val="nil"/>
              <w:left w:val="single" w:sz="8" w:space="0" w:color="auto"/>
              <w:bottom w:val="nil"/>
              <w:right w:val="single" w:sz="8" w:space="0" w:color="auto"/>
            </w:tcBorders>
            <w:shd w:val="clear" w:color="auto" w:fill="auto"/>
            <w:vAlign w:val="center"/>
            <w:hideMark/>
          </w:tcPr>
          <w:p w14:paraId="7BF600FA" w14:textId="77777777" w:rsidR="00107491" w:rsidRPr="00107491" w:rsidRDefault="00107491" w:rsidP="00107491">
            <w:pPr>
              <w:jc w:val="center"/>
              <w:rPr>
                <w:b/>
                <w:bCs/>
                <w:color w:val="000000"/>
                <w:sz w:val="18"/>
                <w:szCs w:val="18"/>
                <w:lang w:val="en-US" w:eastAsia="en-US"/>
              </w:rPr>
            </w:pPr>
            <w:r w:rsidRPr="00107491">
              <w:rPr>
                <w:b/>
                <w:bCs/>
                <w:color w:val="000000"/>
                <w:sz w:val="18"/>
                <w:szCs w:val="18"/>
                <w:lang w:val="en-US" w:eastAsia="en-US"/>
              </w:rPr>
              <w:t> </w:t>
            </w:r>
          </w:p>
        </w:tc>
        <w:tc>
          <w:tcPr>
            <w:tcW w:w="258" w:type="pct"/>
            <w:tcBorders>
              <w:top w:val="nil"/>
              <w:left w:val="nil"/>
              <w:bottom w:val="single" w:sz="8" w:space="0" w:color="auto"/>
              <w:right w:val="single" w:sz="8" w:space="0" w:color="auto"/>
            </w:tcBorders>
            <w:shd w:val="clear" w:color="auto" w:fill="auto"/>
            <w:noWrap/>
            <w:vAlign w:val="center"/>
            <w:hideMark/>
          </w:tcPr>
          <w:p w14:paraId="27907A8C" w14:textId="77777777" w:rsidR="00601D9B" w:rsidRDefault="000E53A0">
            <w:pPr>
              <w:rPr>
                <w:color w:val="000000"/>
                <w:sz w:val="18"/>
                <w:szCs w:val="18"/>
                <w:lang w:val="en-US" w:eastAsia="en-US"/>
              </w:rPr>
            </w:pPr>
            <w:r w:rsidRPr="00107491">
              <w:rPr>
                <w:color w:val="000000"/>
                <w:sz w:val="18"/>
                <w:szCs w:val="18"/>
                <w:lang w:val="en-US" w:eastAsia="en-US"/>
              </w:rPr>
              <w:t>72200</w:t>
            </w:r>
          </w:p>
        </w:tc>
        <w:tc>
          <w:tcPr>
            <w:tcW w:w="458" w:type="pct"/>
            <w:tcBorders>
              <w:top w:val="single" w:sz="8" w:space="0" w:color="auto"/>
              <w:left w:val="nil"/>
              <w:bottom w:val="nil"/>
              <w:right w:val="single" w:sz="8" w:space="0" w:color="auto"/>
            </w:tcBorders>
            <w:shd w:val="clear" w:color="auto" w:fill="auto"/>
            <w:vAlign w:val="center"/>
            <w:hideMark/>
          </w:tcPr>
          <w:p w14:paraId="6CBA0CEC" w14:textId="77777777" w:rsidR="00601D9B" w:rsidRDefault="000E53A0">
            <w:pPr>
              <w:rPr>
                <w:color w:val="000000"/>
                <w:sz w:val="18"/>
                <w:szCs w:val="18"/>
                <w:lang w:val="en-US" w:eastAsia="en-US"/>
              </w:rPr>
            </w:pPr>
            <w:r w:rsidRPr="00107491">
              <w:rPr>
                <w:color w:val="000000"/>
                <w:sz w:val="18"/>
                <w:szCs w:val="18"/>
                <w:lang w:val="en-US" w:eastAsia="en-US"/>
              </w:rPr>
              <w:t>Équipement et mobilier</w:t>
            </w:r>
          </w:p>
        </w:tc>
        <w:tc>
          <w:tcPr>
            <w:tcW w:w="254" w:type="pct"/>
            <w:tcBorders>
              <w:top w:val="nil"/>
              <w:left w:val="nil"/>
              <w:bottom w:val="single" w:sz="8" w:space="0" w:color="auto"/>
              <w:right w:val="single" w:sz="8" w:space="0" w:color="auto"/>
            </w:tcBorders>
            <w:shd w:val="clear" w:color="auto" w:fill="auto"/>
            <w:noWrap/>
            <w:vAlign w:val="center"/>
            <w:hideMark/>
          </w:tcPr>
          <w:p w14:paraId="388E9F30"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 </w:t>
            </w:r>
          </w:p>
        </w:tc>
        <w:tc>
          <w:tcPr>
            <w:tcW w:w="273" w:type="pct"/>
            <w:tcBorders>
              <w:top w:val="nil"/>
              <w:left w:val="nil"/>
              <w:bottom w:val="single" w:sz="8" w:space="0" w:color="auto"/>
              <w:right w:val="single" w:sz="8" w:space="0" w:color="auto"/>
            </w:tcBorders>
            <w:shd w:val="clear" w:color="auto" w:fill="auto"/>
            <w:noWrap/>
            <w:vAlign w:val="center"/>
            <w:hideMark/>
          </w:tcPr>
          <w:p w14:paraId="527DCC2D"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90,000 </w:t>
            </w:r>
          </w:p>
        </w:tc>
        <w:tc>
          <w:tcPr>
            <w:tcW w:w="250" w:type="pct"/>
            <w:tcBorders>
              <w:top w:val="nil"/>
              <w:left w:val="nil"/>
              <w:bottom w:val="single" w:sz="8" w:space="0" w:color="auto"/>
              <w:right w:val="single" w:sz="8" w:space="0" w:color="auto"/>
            </w:tcBorders>
            <w:shd w:val="clear" w:color="auto" w:fill="auto"/>
            <w:noWrap/>
            <w:vAlign w:val="center"/>
            <w:hideMark/>
          </w:tcPr>
          <w:p w14:paraId="3F0ECF16"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90,000 </w:t>
            </w:r>
          </w:p>
        </w:tc>
        <w:tc>
          <w:tcPr>
            <w:tcW w:w="250" w:type="pct"/>
            <w:tcBorders>
              <w:top w:val="nil"/>
              <w:left w:val="nil"/>
              <w:bottom w:val="single" w:sz="8" w:space="0" w:color="auto"/>
              <w:right w:val="single" w:sz="8" w:space="0" w:color="auto"/>
            </w:tcBorders>
            <w:shd w:val="clear" w:color="auto" w:fill="auto"/>
            <w:noWrap/>
            <w:vAlign w:val="center"/>
            <w:hideMark/>
          </w:tcPr>
          <w:p w14:paraId="362B58AF"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90,000 </w:t>
            </w:r>
          </w:p>
        </w:tc>
        <w:tc>
          <w:tcPr>
            <w:tcW w:w="250" w:type="pct"/>
            <w:tcBorders>
              <w:top w:val="nil"/>
              <w:left w:val="nil"/>
              <w:bottom w:val="single" w:sz="8" w:space="0" w:color="auto"/>
              <w:right w:val="single" w:sz="8" w:space="0" w:color="auto"/>
            </w:tcBorders>
            <w:shd w:val="clear" w:color="auto" w:fill="auto"/>
            <w:noWrap/>
            <w:vAlign w:val="center"/>
            <w:hideMark/>
          </w:tcPr>
          <w:p w14:paraId="37F5F54F"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90,000 </w:t>
            </w:r>
          </w:p>
        </w:tc>
        <w:tc>
          <w:tcPr>
            <w:tcW w:w="250" w:type="pct"/>
            <w:tcBorders>
              <w:top w:val="nil"/>
              <w:left w:val="nil"/>
              <w:bottom w:val="single" w:sz="8" w:space="0" w:color="auto"/>
              <w:right w:val="single" w:sz="8" w:space="0" w:color="auto"/>
            </w:tcBorders>
            <w:shd w:val="clear" w:color="auto" w:fill="auto"/>
            <w:noWrap/>
            <w:vAlign w:val="center"/>
            <w:hideMark/>
          </w:tcPr>
          <w:p w14:paraId="71D0B954"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90,000 </w:t>
            </w:r>
          </w:p>
        </w:tc>
        <w:tc>
          <w:tcPr>
            <w:tcW w:w="261" w:type="pct"/>
            <w:tcBorders>
              <w:top w:val="nil"/>
              <w:left w:val="nil"/>
              <w:bottom w:val="single" w:sz="8" w:space="0" w:color="auto"/>
              <w:right w:val="single" w:sz="8" w:space="0" w:color="auto"/>
            </w:tcBorders>
            <w:shd w:val="clear" w:color="auto" w:fill="auto"/>
            <w:noWrap/>
            <w:vAlign w:val="center"/>
            <w:hideMark/>
          </w:tcPr>
          <w:p w14:paraId="6F62BF5A"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450,000 </w:t>
            </w:r>
          </w:p>
        </w:tc>
        <w:tc>
          <w:tcPr>
            <w:tcW w:w="183" w:type="pct"/>
            <w:tcBorders>
              <w:top w:val="nil"/>
              <w:left w:val="nil"/>
              <w:bottom w:val="single" w:sz="8" w:space="0" w:color="auto"/>
              <w:right w:val="single" w:sz="8" w:space="0" w:color="auto"/>
            </w:tcBorders>
            <w:shd w:val="clear" w:color="auto" w:fill="auto"/>
            <w:vAlign w:val="center"/>
            <w:hideMark/>
          </w:tcPr>
          <w:p w14:paraId="3A53D901" w14:textId="77777777" w:rsidR="00601D9B" w:rsidRDefault="000E53A0">
            <w:pPr>
              <w:jc w:val="center"/>
              <w:rPr>
                <w:i/>
                <w:iCs/>
                <w:color w:val="000000"/>
                <w:sz w:val="18"/>
                <w:szCs w:val="18"/>
                <w:lang w:val="en-US" w:eastAsia="en-US"/>
              </w:rPr>
            </w:pPr>
            <w:r w:rsidRPr="00107491">
              <w:rPr>
                <w:i/>
                <w:iCs/>
                <w:color w:val="000000"/>
                <w:sz w:val="18"/>
                <w:szCs w:val="18"/>
                <w:lang w:val="en-US" w:eastAsia="en-US"/>
              </w:rPr>
              <w:t>32</w:t>
            </w:r>
          </w:p>
        </w:tc>
        <w:tc>
          <w:tcPr>
            <w:tcW w:w="35" w:type="pct"/>
            <w:vAlign w:val="center"/>
            <w:hideMark/>
          </w:tcPr>
          <w:p w14:paraId="3DB8D833" w14:textId="77777777" w:rsidR="00107491" w:rsidRPr="00107491" w:rsidRDefault="00107491" w:rsidP="00107491">
            <w:pPr>
              <w:rPr>
                <w:sz w:val="20"/>
                <w:szCs w:val="20"/>
                <w:lang w:val="en-US" w:eastAsia="en-US"/>
              </w:rPr>
            </w:pPr>
          </w:p>
        </w:tc>
      </w:tr>
      <w:tr w:rsidR="00107491" w:rsidRPr="00107491" w14:paraId="59492253" w14:textId="77777777" w:rsidTr="00107491">
        <w:trPr>
          <w:trHeight w:val="300"/>
        </w:trPr>
        <w:tc>
          <w:tcPr>
            <w:tcW w:w="1056" w:type="pct"/>
            <w:tcBorders>
              <w:top w:val="nil"/>
              <w:left w:val="single" w:sz="8" w:space="0" w:color="auto"/>
              <w:bottom w:val="nil"/>
              <w:right w:val="nil"/>
            </w:tcBorders>
            <w:shd w:val="clear" w:color="auto" w:fill="auto"/>
            <w:noWrap/>
            <w:vAlign w:val="center"/>
            <w:hideMark/>
          </w:tcPr>
          <w:p w14:paraId="1227E255" w14:textId="77777777" w:rsidR="00107491" w:rsidRPr="00107491" w:rsidRDefault="00107491" w:rsidP="00107491">
            <w:pPr>
              <w:rPr>
                <w:rFonts w:ascii="Calibri" w:hAnsi="Calibri" w:cs="Calibri"/>
                <w:color w:val="000000"/>
                <w:sz w:val="18"/>
                <w:szCs w:val="18"/>
                <w:lang w:val="en-US" w:eastAsia="en-US"/>
              </w:rPr>
            </w:pPr>
            <w:r w:rsidRPr="00107491">
              <w:rPr>
                <w:rFonts w:ascii="Calibri" w:hAnsi="Calibri" w:cs="Calibri"/>
                <w:color w:val="000000"/>
                <w:sz w:val="18"/>
                <w:szCs w:val="18"/>
                <w:lang w:val="en-US" w:eastAsia="en-US"/>
              </w:rPr>
              <w:t> </w:t>
            </w:r>
          </w:p>
        </w:tc>
        <w:tc>
          <w:tcPr>
            <w:tcW w:w="381" w:type="pct"/>
            <w:vMerge/>
            <w:tcBorders>
              <w:top w:val="nil"/>
              <w:left w:val="single" w:sz="8" w:space="0" w:color="auto"/>
              <w:bottom w:val="double" w:sz="6" w:space="0" w:color="000000"/>
              <w:right w:val="single" w:sz="8" w:space="0" w:color="auto"/>
            </w:tcBorders>
            <w:vAlign w:val="center"/>
            <w:hideMark/>
          </w:tcPr>
          <w:p w14:paraId="1F228DCE" w14:textId="77777777" w:rsidR="00107491" w:rsidRPr="00107491" w:rsidRDefault="00107491" w:rsidP="00107491">
            <w:pPr>
              <w:rPr>
                <w:b/>
                <w:bCs/>
                <w:color w:val="000000"/>
                <w:sz w:val="18"/>
                <w:szCs w:val="18"/>
                <w:lang w:val="en-US" w:eastAsia="en-US"/>
              </w:rPr>
            </w:pPr>
          </w:p>
        </w:tc>
        <w:tc>
          <w:tcPr>
            <w:tcW w:w="453" w:type="pct"/>
            <w:tcBorders>
              <w:top w:val="nil"/>
              <w:left w:val="nil"/>
              <w:bottom w:val="nil"/>
              <w:right w:val="nil"/>
            </w:tcBorders>
            <w:shd w:val="clear" w:color="auto" w:fill="auto"/>
            <w:vAlign w:val="center"/>
            <w:hideMark/>
          </w:tcPr>
          <w:p w14:paraId="0BA6D0C9" w14:textId="77777777" w:rsidR="00107491" w:rsidRPr="00107491" w:rsidRDefault="00107491" w:rsidP="00107491">
            <w:pPr>
              <w:rPr>
                <w:rFonts w:ascii="Calibri" w:hAnsi="Calibri" w:cs="Calibri"/>
                <w:color w:val="000000"/>
                <w:sz w:val="18"/>
                <w:szCs w:val="18"/>
                <w:lang w:val="en-US" w:eastAsia="en-US"/>
              </w:rPr>
            </w:pPr>
          </w:p>
        </w:tc>
        <w:tc>
          <w:tcPr>
            <w:tcW w:w="388" w:type="pct"/>
            <w:tcBorders>
              <w:top w:val="nil"/>
              <w:left w:val="single" w:sz="8" w:space="0" w:color="auto"/>
              <w:bottom w:val="nil"/>
              <w:right w:val="single" w:sz="8" w:space="0" w:color="auto"/>
            </w:tcBorders>
            <w:shd w:val="clear" w:color="auto" w:fill="auto"/>
            <w:vAlign w:val="center"/>
            <w:hideMark/>
          </w:tcPr>
          <w:p w14:paraId="19A4644C" w14:textId="77777777" w:rsidR="00107491" w:rsidRPr="00107491" w:rsidRDefault="00107491" w:rsidP="00107491">
            <w:pPr>
              <w:jc w:val="center"/>
              <w:rPr>
                <w:b/>
                <w:bCs/>
                <w:color w:val="000000"/>
                <w:sz w:val="18"/>
                <w:szCs w:val="18"/>
                <w:lang w:val="en-US" w:eastAsia="en-US"/>
              </w:rPr>
            </w:pPr>
            <w:r w:rsidRPr="00107491">
              <w:rPr>
                <w:b/>
                <w:bCs/>
                <w:color w:val="000000"/>
                <w:sz w:val="18"/>
                <w:szCs w:val="18"/>
                <w:lang w:val="en-US" w:eastAsia="en-US"/>
              </w:rPr>
              <w:t> </w:t>
            </w:r>
          </w:p>
        </w:tc>
        <w:tc>
          <w:tcPr>
            <w:tcW w:w="258" w:type="pct"/>
            <w:tcBorders>
              <w:top w:val="nil"/>
              <w:left w:val="nil"/>
              <w:bottom w:val="single" w:sz="8" w:space="0" w:color="auto"/>
              <w:right w:val="single" w:sz="8" w:space="0" w:color="auto"/>
            </w:tcBorders>
            <w:shd w:val="clear" w:color="auto" w:fill="auto"/>
            <w:noWrap/>
            <w:vAlign w:val="center"/>
            <w:hideMark/>
          </w:tcPr>
          <w:p w14:paraId="52A870B4" w14:textId="77777777" w:rsidR="00601D9B" w:rsidRDefault="000E53A0">
            <w:pPr>
              <w:rPr>
                <w:color w:val="000000"/>
                <w:sz w:val="18"/>
                <w:szCs w:val="18"/>
                <w:lang w:val="en-US" w:eastAsia="en-US"/>
              </w:rPr>
            </w:pPr>
            <w:r w:rsidRPr="00107491">
              <w:rPr>
                <w:color w:val="000000"/>
                <w:sz w:val="18"/>
                <w:szCs w:val="18"/>
                <w:lang w:val="en-US" w:eastAsia="en-US"/>
              </w:rPr>
              <w:t>71600</w:t>
            </w:r>
          </w:p>
        </w:tc>
        <w:tc>
          <w:tcPr>
            <w:tcW w:w="458" w:type="pct"/>
            <w:tcBorders>
              <w:top w:val="single" w:sz="8" w:space="0" w:color="auto"/>
              <w:left w:val="nil"/>
              <w:bottom w:val="nil"/>
              <w:right w:val="single" w:sz="8" w:space="0" w:color="auto"/>
            </w:tcBorders>
            <w:shd w:val="clear" w:color="auto" w:fill="auto"/>
            <w:vAlign w:val="center"/>
            <w:hideMark/>
          </w:tcPr>
          <w:p w14:paraId="22F892F7" w14:textId="77777777" w:rsidR="00601D9B" w:rsidRDefault="000E53A0">
            <w:pPr>
              <w:rPr>
                <w:color w:val="000000"/>
                <w:sz w:val="18"/>
                <w:szCs w:val="18"/>
                <w:lang w:val="en-US" w:eastAsia="en-US"/>
              </w:rPr>
            </w:pPr>
            <w:r w:rsidRPr="00107491">
              <w:rPr>
                <w:color w:val="000000"/>
                <w:sz w:val="18"/>
                <w:szCs w:val="18"/>
                <w:lang w:val="en-US" w:eastAsia="en-US"/>
              </w:rPr>
              <w:t>Voyage</w:t>
            </w:r>
          </w:p>
        </w:tc>
        <w:tc>
          <w:tcPr>
            <w:tcW w:w="254" w:type="pct"/>
            <w:tcBorders>
              <w:top w:val="nil"/>
              <w:left w:val="nil"/>
              <w:bottom w:val="single" w:sz="8" w:space="0" w:color="auto"/>
              <w:right w:val="single" w:sz="8" w:space="0" w:color="auto"/>
            </w:tcBorders>
            <w:shd w:val="clear" w:color="auto" w:fill="auto"/>
            <w:noWrap/>
            <w:vAlign w:val="center"/>
            <w:hideMark/>
          </w:tcPr>
          <w:p w14:paraId="352AE4F3"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 </w:t>
            </w:r>
          </w:p>
        </w:tc>
        <w:tc>
          <w:tcPr>
            <w:tcW w:w="273" w:type="pct"/>
            <w:tcBorders>
              <w:top w:val="nil"/>
              <w:left w:val="nil"/>
              <w:bottom w:val="single" w:sz="8" w:space="0" w:color="auto"/>
              <w:right w:val="single" w:sz="8" w:space="0" w:color="auto"/>
            </w:tcBorders>
            <w:shd w:val="clear" w:color="auto" w:fill="auto"/>
            <w:noWrap/>
            <w:vAlign w:val="center"/>
            <w:hideMark/>
          </w:tcPr>
          <w:p w14:paraId="499E023D"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4,000 </w:t>
            </w:r>
          </w:p>
        </w:tc>
        <w:tc>
          <w:tcPr>
            <w:tcW w:w="250" w:type="pct"/>
            <w:tcBorders>
              <w:top w:val="nil"/>
              <w:left w:val="nil"/>
              <w:bottom w:val="single" w:sz="8" w:space="0" w:color="auto"/>
              <w:right w:val="single" w:sz="8" w:space="0" w:color="auto"/>
            </w:tcBorders>
            <w:shd w:val="clear" w:color="auto" w:fill="auto"/>
            <w:noWrap/>
            <w:vAlign w:val="center"/>
            <w:hideMark/>
          </w:tcPr>
          <w:p w14:paraId="4DC8AE55"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 </w:t>
            </w:r>
          </w:p>
        </w:tc>
        <w:tc>
          <w:tcPr>
            <w:tcW w:w="250" w:type="pct"/>
            <w:tcBorders>
              <w:top w:val="nil"/>
              <w:left w:val="nil"/>
              <w:bottom w:val="single" w:sz="8" w:space="0" w:color="auto"/>
              <w:right w:val="single" w:sz="8" w:space="0" w:color="auto"/>
            </w:tcBorders>
            <w:shd w:val="clear" w:color="auto" w:fill="auto"/>
            <w:noWrap/>
            <w:vAlign w:val="center"/>
            <w:hideMark/>
          </w:tcPr>
          <w:p w14:paraId="26D4DA5B"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 </w:t>
            </w:r>
          </w:p>
        </w:tc>
        <w:tc>
          <w:tcPr>
            <w:tcW w:w="250" w:type="pct"/>
            <w:tcBorders>
              <w:top w:val="nil"/>
              <w:left w:val="nil"/>
              <w:bottom w:val="single" w:sz="8" w:space="0" w:color="auto"/>
              <w:right w:val="single" w:sz="8" w:space="0" w:color="auto"/>
            </w:tcBorders>
            <w:shd w:val="clear" w:color="auto" w:fill="auto"/>
            <w:noWrap/>
            <w:vAlign w:val="center"/>
            <w:hideMark/>
          </w:tcPr>
          <w:p w14:paraId="4EC9A8FA"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 </w:t>
            </w:r>
          </w:p>
        </w:tc>
        <w:tc>
          <w:tcPr>
            <w:tcW w:w="250" w:type="pct"/>
            <w:tcBorders>
              <w:top w:val="nil"/>
              <w:left w:val="nil"/>
              <w:bottom w:val="single" w:sz="8" w:space="0" w:color="auto"/>
              <w:right w:val="single" w:sz="8" w:space="0" w:color="auto"/>
            </w:tcBorders>
            <w:shd w:val="clear" w:color="auto" w:fill="auto"/>
            <w:noWrap/>
            <w:vAlign w:val="center"/>
            <w:hideMark/>
          </w:tcPr>
          <w:p w14:paraId="29646972"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 </w:t>
            </w:r>
          </w:p>
        </w:tc>
        <w:tc>
          <w:tcPr>
            <w:tcW w:w="261" w:type="pct"/>
            <w:tcBorders>
              <w:top w:val="nil"/>
              <w:left w:val="nil"/>
              <w:bottom w:val="single" w:sz="8" w:space="0" w:color="auto"/>
              <w:right w:val="single" w:sz="8" w:space="0" w:color="auto"/>
            </w:tcBorders>
            <w:shd w:val="clear" w:color="auto" w:fill="auto"/>
            <w:noWrap/>
            <w:vAlign w:val="center"/>
            <w:hideMark/>
          </w:tcPr>
          <w:p w14:paraId="0C2E001A"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4,000 </w:t>
            </w:r>
          </w:p>
        </w:tc>
        <w:tc>
          <w:tcPr>
            <w:tcW w:w="183" w:type="pct"/>
            <w:tcBorders>
              <w:top w:val="nil"/>
              <w:left w:val="nil"/>
              <w:bottom w:val="single" w:sz="8" w:space="0" w:color="auto"/>
              <w:right w:val="single" w:sz="8" w:space="0" w:color="auto"/>
            </w:tcBorders>
            <w:shd w:val="clear" w:color="auto" w:fill="auto"/>
            <w:vAlign w:val="center"/>
            <w:hideMark/>
          </w:tcPr>
          <w:p w14:paraId="5BC69613" w14:textId="77777777" w:rsidR="00601D9B" w:rsidRDefault="000E53A0">
            <w:pPr>
              <w:jc w:val="center"/>
              <w:rPr>
                <w:i/>
                <w:iCs/>
                <w:color w:val="000000"/>
                <w:sz w:val="18"/>
                <w:szCs w:val="18"/>
                <w:lang w:val="en-US" w:eastAsia="en-US"/>
              </w:rPr>
            </w:pPr>
            <w:r w:rsidRPr="00107491">
              <w:rPr>
                <w:i/>
                <w:iCs/>
                <w:color w:val="000000"/>
                <w:sz w:val="18"/>
                <w:szCs w:val="18"/>
                <w:lang w:val="en-US" w:eastAsia="en-US"/>
              </w:rPr>
              <w:t>33</w:t>
            </w:r>
          </w:p>
        </w:tc>
        <w:tc>
          <w:tcPr>
            <w:tcW w:w="35" w:type="pct"/>
            <w:vAlign w:val="center"/>
            <w:hideMark/>
          </w:tcPr>
          <w:p w14:paraId="6C782C51" w14:textId="77777777" w:rsidR="00107491" w:rsidRPr="00107491" w:rsidRDefault="00107491" w:rsidP="00107491">
            <w:pPr>
              <w:rPr>
                <w:sz w:val="20"/>
                <w:szCs w:val="20"/>
                <w:lang w:val="en-US" w:eastAsia="en-US"/>
              </w:rPr>
            </w:pPr>
          </w:p>
        </w:tc>
      </w:tr>
      <w:tr w:rsidR="00107491" w:rsidRPr="00107491" w14:paraId="288E3A57" w14:textId="77777777" w:rsidTr="00107491">
        <w:trPr>
          <w:trHeight w:val="300"/>
        </w:trPr>
        <w:tc>
          <w:tcPr>
            <w:tcW w:w="1056" w:type="pct"/>
            <w:tcBorders>
              <w:top w:val="nil"/>
              <w:left w:val="single" w:sz="8" w:space="0" w:color="auto"/>
              <w:bottom w:val="nil"/>
              <w:right w:val="nil"/>
            </w:tcBorders>
            <w:shd w:val="clear" w:color="auto" w:fill="auto"/>
            <w:noWrap/>
            <w:vAlign w:val="center"/>
            <w:hideMark/>
          </w:tcPr>
          <w:p w14:paraId="65B6B094" w14:textId="77777777" w:rsidR="00107491" w:rsidRPr="00107491" w:rsidRDefault="00107491" w:rsidP="00107491">
            <w:pPr>
              <w:rPr>
                <w:rFonts w:ascii="Calibri" w:hAnsi="Calibri" w:cs="Calibri"/>
                <w:color w:val="000000"/>
                <w:sz w:val="18"/>
                <w:szCs w:val="18"/>
                <w:lang w:val="en-US" w:eastAsia="en-US"/>
              </w:rPr>
            </w:pPr>
            <w:r w:rsidRPr="00107491">
              <w:rPr>
                <w:rFonts w:ascii="Calibri" w:hAnsi="Calibri" w:cs="Calibri"/>
                <w:color w:val="000000"/>
                <w:sz w:val="18"/>
                <w:szCs w:val="18"/>
                <w:lang w:val="en-US" w:eastAsia="en-US"/>
              </w:rPr>
              <w:t> </w:t>
            </w:r>
          </w:p>
        </w:tc>
        <w:tc>
          <w:tcPr>
            <w:tcW w:w="381" w:type="pct"/>
            <w:vMerge/>
            <w:tcBorders>
              <w:top w:val="nil"/>
              <w:left w:val="single" w:sz="8" w:space="0" w:color="auto"/>
              <w:bottom w:val="double" w:sz="6" w:space="0" w:color="000000"/>
              <w:right w:val="single" w:sz="8" w:space="0" w:color="auto"/>
            </w:tcBorders>
            <w:vAlign w:val="center"/>
            <w:hideMark/>
          </w:tcPr>
          <w:p w14:paraId="2CA10338" w14:textId="77777777" w:rsidR="00107491" w:rsidRPr="00107491" w:rsidRDefault="00107491" w:rsidP="00107491">
            <w:pPr>
              <w:rPr>
                <w:b/>
                <w:bCs/>
                <w:color w:val="000000"/>
                <w:sz w:val="18"/>
                <w:szCs w:val="18"/>
                <w:lang w:val="en-US" w:eastAsia="en-US"/>
              </w:rPr>
            </w:pPr>
          </w:p>
        </w:tc>
        <w:tc>
          <w:tcPr>
            <w:tcW w:w="453" w:type="pct"/>
            <w:vMerge w:val="restart"/>
            <w:tcBorders>
              <w:top w:val="nil"/>
              <w:left w:val="single" w:sz="8" w:space="0" w:color="auto"/>
              <w:bottom w:val="double" w:sz="6" w:space="0" w:color="000000"/>
              <w:right w:val="single" w:sz="8" w:space="0" w:color="auto"/>
            </w:tcBorders>
            <w:shd w:val="clear" w:color="auto" w:fill="auto"/>
            <w:vAlign w:val="center"/>
            <w:hideMark/>
          </w:tcPr>
          <w:p w14:paraId="380552F0"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62160</w:t>
            </w:r>
          </w:p>
        </w:tc>
        <w:tc>
          <w:tcPr>
            <w:tcW w:w="388" w:type="pct"/>
            <w:vMerge w:val="restart"/>
            <w:tcBorders>
              <w:top w:val="nil"/>
              <w:left w:val="single" w:sz="8" w:space="0" w:color="auto"/>
              <w:bottom w:val="double" w:sz="6" w:space="0" w:color="000000"/>
              <w:right w:val="single" w:sz="8" w:space="0" w:color="auto"/>
            </w:tcBorders>
            <w:shd w:val="clear" w:color="auto" w:fill="auto"/>
            <w:vAlign w:val="center"/>
            <w:hideMark/>
          </w:tcPr>
          <w:p w14:paraId="3F4B81A0"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LDCF</w:t>
            </w:r>
          </w:p>
        </w:tc>
        <w:tc>
          <w:tcPr>
            <w:tcW w:w="258" w:type="pct"/>
            <w:tcBorders>
              <w:top w:val="nil"/>
              <w:left w:val="nil"/>
              <w:bottom w:val="single" w:sz="8" w:space="0" w:color="auto"/>
              <w:right w:val="single" w:sz="8" w:space="0" w:color="auto"/>
            </w:tcBorders>
            <w:shd w:val="clear" w:color="auto" w:fill="auto"/>
            <w:noWrap/>
            <w:vAlign w:val="center"/>
            <w:hideMark/>
          </w:tcPr>
          <w:p w14:paraId="4EB8B90E" w14:textId="77777777" w:rsidR="00601D9B" w:rsidRDefault="000E53A0">
            <w:pPr>
              <w:rPr>
                <w:color w:val="000000"/>
                <w:sz w:val="18"/>
                <w:szCs w:val="18"/>
                <w:lang w:val="en-US" w:eastAsia="en-US"/>
              </w:rPr>
            </w:pPr>
            <w:r w:rsidRPr="00107491">
              <w:rPr>
                <w:color w:val="000000"/>
                <w:sz w:val="18"/>
                <w:szCs w:val="18"/>
                <w:lang w:val="en-US" w:eastAsia="en-US"/>
              </w:rPr>
              <w:t>75700</w:t>
            </w:r>
          </w:p>
        </w:tc>
        <w:tc>
          <w:tcPr>
            <w:tcW w:w="458" w:type="pct"/>
            <w:tcBorders>
              <w:top w:val="single" w:sz="8" w:space="0" w:color="auto"/>
              <w:left w:val="nil"/>
              <w:bottom w:val="single" w:sz="8" w:space="0" w:color="auto"/>
              <w:right w:val="single" w:sz="8" w:space="0" w:color="auto"/>
            </w:tcBorders>
            <w:shd w:val="clear" w:color="auto" w:fill="auto"/>
            <w:vAlign w:val="center"/>
            <w:hideMark/>
          </w:tcPr>
          <w:p w14:paraId="1FA03770" w14:textId="77777777" w:rsidR="00601D9B" w:rsidRDefault="000E53A0">
            <w:pPr>
              <w:rPr>
                <w:color w:val="000000"/>
                <w:sz w:val="18"/>
                <w:szCs w:val="18"/>
                <w:lang w:val="en-US" w:eastAsia="en-US"/>
              </w:rPr>
            </w:pPr>
            <w:r w:rsidRPr="00107491">
              <w:rPr>
                <w:color w:val="000000"/>
                <w:sz w:val="18"/>
                <w:szCs w:val="18"/>
                <w:lang w:val="en-US" w:eastAsia="en-US"/>
              </w:rPr>
              <w:t>Formation, ateliers et confér</w:t>
            </w:r>
            <w:r w:rsidRPr="00107491">
              <w:rPr>
                <w:color w:val="000000"/>
                <w:sz w:val="18"/>
                <w:szCs w:val="18"/>
                <w:lang w:val="en-US" w:eastAsia="en-US"/>
              </w:rPr>
              <w:lastRenderedPageBreak/>
              <w:t>ences</w:t>
            </w:r>
          </w:p>
        </w:tc>
        <w:tc>
          <w:tcPr>
            <w:tcW w:w="254" w:type="pct"/>
            <w:tcBorders>
              <w:top w:val="nil"/>
              <w:left w:val="nil"/>
              <w:bottom w:val="single" w:sz="8" w:space="0" w:color="auto"/>
              <w:right w:val="single" w:sz="8" w:space="0" w:color="auto"/>
            </w:tcBorders>
            <w:shd w:val="clear" w:color="auto" w:fill="auto"/>
            <w:noWrap/>
            <w:vAlign w:val="center"/>
            <w:hideMark/>
          </w:tcPr>
          <w:p w14:paraId="607B85FF" w14:textId="77777777" w:rsidR="00601D9B" w:rsidRDefault="000E53A0">
            <w:pPr>
              <w:jc w:val="center"/>
              <w:rPr>
                <w:color w:val="000000"/>
                <w:sz w:val="18"/>
                <w:szCs w:val="18"/>
                <w:lang w:val="en-US" w:eastAsia="en-US"/>
              </w:rPr>
            </w:pPr>
            <w:r w:rsidRPr="00107491">
              <w:rPr>
                <w:color w:val="000000"/>
                <w:sz w:val="18"/>
                <w:szCs w:val="18"/>
                <w:lang w:val="en-US" w:eastAsia="en-US"/>
              </w:rPr>
              <w:lastRenderedPageBreak/>
              <w:t xml:space="preserve">                     - </w:t>
            </w:r>
          </w:p>
        </w:tc>
        <w:tc>
          <w:tcPr>
            <w:tcW w:w="273" w:type="pct"/>
            <w:tcBorders>
              <w:top w:val="nil"/>
              <w:left w:val="nil"/>
              <w:bottom w:val="single" w:sz="8" w:space="0" w:color="auto"/>
              <w:right w:val="single" w:sz="8" w:space="0" w:color="auto"/>
            </w:tcBorders>
            <w:shd w:val="clear" w:color="auto" w:fill="auto"/>
            <w:noWrap/>
            <w:vAlign w:val="center"/>
            <w:hideMark/>
          </w:tcPr>
          <w:p w14:paraId="7DD07E52"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19,125 </w:t>
            </w:r>
          </w:p>
        </w:tc>
        <w:tc>
          <w:tcPr>
            <w:tcW w:w="250" w:type="pct"/>
            <w:tcBorders>
              <w:top w:val="nil"/>
              <w:left w:val="nil"/>
              <w:bottom w:val="single" w:sz="8" w:space="0" w:color="auto"/>
              <w:right w:val="single" w:sz="8" w:space="0" w:color="auto"/>
            </w:tcBorders>
            <w:shd w:val="clear" w:color="auto" w:fill="auto"/>
            <w:noWrap/>
            <w:vAlign w:val="center"/>
            <w:hideMark/>
          </w:tcPr>
          <w:p w14:paraId="428B0534"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12,000 </w:t>
            </w:r>
          </w:p>
        </w:tc>
        <w:tc>
          <w:tcPr>
            <w:tcW w:w="250" w:type="pct"/>
            <w:tcBorders>
              <w:top w:val="nil"/>
              <w:left w:val="nil"/>
              <w:bottom w:val="single" w:sz="8" w:space="0" w:color="auto"/>
              <w:right w:val="single" w:sz="8" w:space="0" w:color="auto"/>
            </w:tcBorders>
            <w:shd w:val="clear" w:color="auto" w:fill="auto"/>
            <w:noWrap/>
            <w:vAlign w:val="center"/>
            <w:hideMark/>
          </w:tcPr>
          <w:p w14:paraId="6A5367A4"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12,000 </w:t>
            </w:r>
          </w:p>
        </w:tc>
        <w:tc>
          <w:tcPr>
            <w:tcW w:w="250" w:type="pct"/>
            <w:tcBorders>
              <w:top w:val="nil"/>
              <w:left w:val="nil"/>
              <w:bottom w:val="single" w:sz="8" w:space="0" w:color="auto"/>
              <w:right w:val="single" w:sz="8" w:space="0" w:color="auto"/>
            </w:tcBorders>
            <w:shd w:val="clear" w:color="auto" w:fill="auto"/>
            <w:noWrap/>
            <w:vAlign w:val="center"/>
            <w:hideMark/>
          </w:tcPr>
          <w:p w14:paraId="1CBBF0EC"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12,000 </w:t>
            </w:r>
          </w:p>
        </w:tc>
        <w:tc>
          <w:tcPr>
            <w:tcW w:w="250" w:type="pct"/>
            <w:tcBorders>
              <w:top w:val="nil"/>
              <w:left w:val="nil"/>
              <w:bottom w:val="single" w:sz="8" w:space="0" w:color="auto"/>
              <w:right w:val="single" w:sz="8" w:space="0" w:color="auto"/>
            </w:tcBorders>
            <w:shd w:val="clear" w:color="auto" w:fill="auto"/>
            <w:noWrap/>
            <w:vAlign w:val="center"/>
            <w:hideMark/>
          </w:tcPr>
          <w:p w14:paraId="71164840"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12,000 </w:t>
            </w:r>
          </w:p>
        </w:tc>
        <w:tc>
          <w:tcPr>
            <w:tcW w:w="261" w:type="pct"/>
            <w:tcBorders>
              <w:top w:val="nil"/>
              <w:left w:val="nil"/>
              <w:bottom w:val="single" w:sz="8" w:space="0" w:color="auto"/>
              <w:right w:val="single" w:sz="8" w:space="0" w:color="auto"/>
            </w:tcBorders>
            <w:shd w:val="clear" w:color="auto" w:fill="auto"/>
            <w:noWrap/>
            <w:vAlign w:val="center"/>
            <w:hideMark/>
          </w:tcPr>
          <w:p w14:paraId="7EDEBA21"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67,125 </w:t>
            </w:r>
          </w:p>
        </w:tc>
        <w:tc>
          <w:tcPr>
            <w:tcW w:w="183" w:type="pct"/>
            <w:tcBorders>
              <w:top w:val="nil"/>
              <w:left w:val="nil"/>
              <w:bottom w:val="single" w:sz="8" w:space="0" w:color="auto"/>
              <w:right w:val="single" w:sz="8" w:space="0" w:color="auto"/>
            </w:tcBorders>
            <w:shd w:val="clear" w:color="auto" w:fill="auto"/>
            <w:vAlign w:val="center"/>
            <w:hideMark/>
          </w:tcPr>
          <w:p w14:paraId="41977FFF" w14:textId="77777777" w:rsidR="00601D9B" w:rsidRDefault="000E53A0">
            <w:pPr>
              <w:jc w:val="center"/>
              <w:rPr>
                <w:i/>
                <w:iCs/>
                <w:color w:val="000000"/>
                <w:sz w:val="18"/>
                <w:szCs w:val="18"/>
                <w:lang w:val="en-US" w:eastAsia="en-US"/>
              </w:rPr>
            </w:pPr>
            <w:r w:rsidRPr="00107491">
              <w:rPr>
                <w:i/>
                <w:iCs/>
                <w:color w:val="000000"/>
                <w:sz w:val="18"/>
                <w:szCs w:val="18"/>
                <w:lang w:val="en-US" w:eastAsia="en-US"/>
              </w:rPr>
              <w:t>34</w:t>
            </w:r>
          </w:p>
        </w:tc>
        <w:tc>
          <w:tcPr>
            <w:tcW w:w="35" w:type="pct"/>
            <w:vAlign w:val="center"/>
            <w:hideMark/>
          </w:tcPr>
          <w:p w14:paraId="6C1624CA" w14:textId="77777777" w:rsidR="00107491" w:rsidRPr="00107491" w:rsidRDefault="00107491" w:rsidP="00107491">
            <w:pPr>
              <w:rPr>
                <w:sz w:val="20"/>
                <w:szCs w:val="20"/>
                <w:lang w:val="en-US" w:eastAsia="en-US"/>
              </w:rPr>
            </w:pPr>
          </w:p>
        </w:tc>
      </w:tr>
      <w:tr w:rsidR="00107491" w:rsidRPr="00107491" w14:paraId="664BC51E" w14:textId="77777777" w:rsidTr="00107491">
        <w:trPr>
          <w:trHeight w:val="300"/>
        </w:trPr>
        <w:tc>
          <w:tcPr>
            <w:tcW w:w="1056" w:type="pct"/>
            <w:tcBorders>
              <w:top w:val="nil"/>
              <w:left w:val="single" w:sz="8" w:space="0" w:color="auto"/>
              <w:bottom w:val="nil"/>
              <w:right w:val="nil"/>
            </w:tcBorders>
            <w:shd w:val="clear" w:color="auto" w:fill="auto"/>
            <w:noWrap/>
            <w:vAlign w:val="center"/>
            <w:hideMark/>
          </w:tcPr>
          <w:p w14:paraId="7360F73D" w14:textId="77777777" w:rsidR="00107491" w:rsidRPr="00107491" w:rsidRDefault="00107491" w:rsidP="00107491">
            <w:pPr>
              <w:rPr>
                <w:rFonts w:ascii="Calibri" w:hAnsi="Calibri" w:cs="Calibri"/>
                <w:color w:val="000000"/>
                <w:sz w:val="18"/>
                <w:szCs w:val="18"/>
                <w:lang w:val="en-US" w:eastAsia="en-US"/>
              </w:rPr>
            </w:pPr>
            <w:r w:rsidRPr="00107491">
              <w:rPr>
                <w:rFonts w:ascii="Calibri" w:hAnsi="Calibri" w:cs="Calibri"/>
                <w:color w:val="000000"/>
                <w:sz w:val="18"/>
                <w:szCs w:val="18"/>
                <w:lang w:val="en-US" w:eastAsia="en-US"/>
              </w:rPr>
              <w:t> </w:t>
            </w:r>
          </w:p>
        </w:tc>
        <w:tc>
          <w:tcPr>
            <w:tcW w:w="381" w:type="pct"/>
            <w:vMerge/>
            <w:tcBorders>
              <w:top w:val="nil"/>
              <w:left w:val="single" w:sz="8" w:space="0" w:color="auto"/>
              <w:bottom w:val="double" w:sz="6" w:space="0" w:color="000000"/>
              <w:right w:val="single" w:sz="8" w:space="0" w:color="auto"/>
            </w:tcBorders>
            <w:vAlign w:val="center"/>
            <w:hideMark/>
          </w:tcPr>
          <w:p w14:paraId="69F9E4FB" w14:textId="77777777" w:rsidR="00107491" w:rsidRPr="00107491" w:rsidRDefault="00107491" w:rsidP="00107491">
            <w:pPr>
              <w:rPr>
                <w:b/>
                <w:bCs/>
                <w:color w:val="000000"/>
                <w:sz w:val="18"/>
                <w:szCs w:val="18"/>
                <w:lang w:val="en-US" w:eastAsia="en-US"/>
              </w:rPr>
            </w:pPr>
          </w:p>
        </w:tc>
        <w:tc>
          <w:tcPr>
            <w:tcW w:w="453" w:type="pct"/>
            <w:vMerge/>
            <w:tcBorders>
              <w:top w:val="nil"/>
              <w:left w:val="single" w:sz="8" w:space="0" w:color="auto"/>
              <w:bottom w:val="double" w:sz="6" w:space="0" w:color="000000"/>
              <w:right w:val="single" w:sz="8" w:space="0" w:color="auto"/>
            </w:tcBorders>
            <w:vAlign w:val="center"/>
            <w:hideMark/>
          </w:tcPr>
          <w:p w14:paraId="32D25AE9" w14:textId="77777777" w:rsidR="00107491" w:rsidRPr="00107491" w:rsidRDefault="00107491" w:rsidP="00107491">
            <w:pPr>
              <w:rPr>
                <w:b/>
                <w:bCs/>
                <w:color w:val="000000"/>
                <w:sz w:val="18"/>
                <w:szCs w:val="18"/>
                <w:lang w:val="en-US" w:eastAsia="en-US"/>
              </w:rPr>
            </w:pPr>
          </w:p>
        </w:tc>
        <w:tc>
          <w:tcPr>
            <w:tcW w:w="388" w:type="pct"/>
            <w:vMerge/>
            <w:tcBorders>
              <w:top w:val="nil"/>
              <w:left w:val="single" w:sz="8" w:space="0" w:color="auto"/>
              <w:bottom w:val="double" w:sz="6" w:space="0" w:color="000000"/>
              <w:right w:val="single" w:sz="8" w:space="0" w:color="auto"/>
            </w:tcBorders>
            <w:vAlign w:val="center"/>
            <w:hideMark/>
          </w:tcPr>
          <w:p w14:paraId="4AF65B6F" w14:textId="77777777" w:rsidR="00107491" w:rsidRPr="00107491" w:rsidRDefault="00107491" w:rsidP="00107491">
            <w:pPr>
              <w:rPr>
                <w:b/>
                <w:bCs/>
                <w:color w:val="000000"/>
                <w:sz w:val="18"/>
                <w:szCs w:val="18"/>
                <w:lang w:val="en-US" w:eastAsia="en-US"/>
              </w:rPr>
            </w:pPr>
          </w:p>
        </w:tc>
        <w:tc>
          <w:tcPr>
            <w:tcW w:w="258" w:type="pct"/>
            <w:tcBorders>
              <w:top w:val="nil"/>
              <w:left w:val="nil"/>
              <w:bottom w:val="double" w:sz="6" w:space="0" w:color="auto"/>
              <w:right w:val="single" w:sz="8" w:space="0" w:color="auto"/>
            </w:tcBorders>
            <w:shd w:val="clear" w:color="auto" w:fill="auto"/>
            <w:noWrap/>
            <w:vAlign w:val="center"/>
            <w:hideMark/>
          </w:tcPr>
          <w:p w14:paraId="681E9367" w14:textId="77777777" w:rsidR="00107491" w:rsidRPr="00107491" w:rsidRDefault="00107491" w:rsidP="00107491">
            <w:pPr>
              <w:jc w:val="center"/>
              <w:rPr>
                <w:color w:val="000000"/>
                <w:sz w:val="18"/>
                <w:szCs w:val="18"/>
                <w:lang w:val="en-US" w:eastAsia="en-US"/>
              </w:rPr>
            </w:pPr>
            <w:r w:rsidRPr="00107491">
              <w:rPr>
                <w:color w:val="000000"/>
                <w:sz w:val="18"/>
                <w:szCs w:val="18"/>
                <w:lang w:val="en-US" w:eastAsia="en-US"/>
              </w:rPr>
              <w:t> </w:t>
            </w:r>
          </w:p>
        </w:tc>
        <w:tc>
          <w:tcPr>
            <w:tcW w:w="458" w:type="pct"/>
            <w:tcBorders>
              <w:top w:val="nil"/>
              <w:left w:val="nil"/>
              <w:bottom w:val="double" w:sz="6" w:space="0" w:color="auto"/>
              <w:right w:val="single" w:sz="8" w:space="0" w:color="auto"/>
            </w:tcBorders>
            <w:shd w:val="clear" w:color="auto" w:fill="auto"/>
            <w:noWrap/>
            <w:vAlign w:val="center"/>
            <w:hideMark/>
          </w:tcPr>
          <w:p w14:paraId="7809CDB3" w14:textId="77777777" w:rsidR="00601D9B" w:rsidRDefault="000E53A0">
            <w:pPr>
              <w:jc w:val="both"/>
              <w:rPr>
                <w:b/>
                <w:bCs/>
                <w:color w:val="000000"/>
                <w:sz w:val="18"/>
                <w:szCs w:val="18"/>
                <w:lang w:val="en-US" w:eastAsia="en-US"/>
              </w:rPr>
            </w:pPr>
            <w:r w:rsidRPr="00107491">
              <w:rPr>
                <w:b/>
                <w:bCs/>
                <w:color w:val="000000"/>
                <w:sz w:val="18"/>
                <w:szCs w:val="18"/>
                <w:lang w:val="en-US" w:eastAsia="en-US"/>
              </w:rPr>
              <w:t>Sous-total LDCF</w:t>
            </w:r>
          </w:p>
        </w:tc>
        <w:tc>
          <w:tcPr>
            <w:tcW w:w="254" w:type="pct"/>
            <w:tcBorders>
              <w:top w:val="nil"/>
              <w:left w:val="nil"/>
              <w:bottom w:val="double" w:sz="6" w:space="0" w:color="auto"/>
              <w:right w:val="single" w:sz="8" w:space="0" w:color="auto"/>
            </w:tcBorders>
            <w:shd w:val="clear" w:color="auto" w:fill="auto"/>
            <w:noWrap/>
            <w:vAlign w:val="center"/>
            <w:hideMark/>
          </w:tcPr>
          <w:p w14:paraId="2B2552D3"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 xml:space="preserve">              36,000 </w:t>
            </w:r>
          </w:p>
        </w:tc>
        <w:tc>
          <w:tcPr>
            <w:tcW w:w="273" w:type="pct"/>
            <w:tcBorders>
              <w:top w:val="nil"/>
              <w:left w:val="nil"/>
              <w:bottom w:val="double" w:sz="6" w:space="0" w:color="auto"/>
              <w:right w:val="single" w:sz="8" w:space="0" w:color="auto"/>
            </w:tcBorders>
            <w:shd w:val="clear" w:color="auto" w:fill="auto"/>
            <w:noWrap/>
            <w:vAlign w:val="center"/>
            <w:hideMark/>
          </w:tcPr>
          <w:p w14:paraId="51E739CD"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 xml:space="preserve">               452,792 </w:t>
            </w:r>
          </w:p>
        </w:tc>
        <w:tc>
          <w:tcPr>
            <w:tcW w:w="250" w:type="pct"/>
            <w:tcBorders>
              <w:top w:val="nil"/>
              <w:left w:val="nil"/>
              <w:bottom w:val="double" w:sz="6" w:space="0" w:color="auto"/>
              <w:right w:val="single" w:sz="8" w:space="0" w:color="auto"/>
            </w:tcBorders>
            <w:shd w:val="clear" w:color="auto" w:fill="auto"/>
            <w:noWrap/>
            <w:vAlign w:val="center"/>
            <w:hideMark/>
          </w:tcPr>
          <w:p w14:paraId="2EA13C73"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 xml:space="preserve">            429,667 </w:t>
            </w:r>
          </w:p>
        </w:tc>
        <w:tc>
          <w:tcPr>
            <w:tcW w:w="250" w:type="pct"/>
            <w:tcBorders>
              <w:top w:val="nil"/>
              <w:left w:val="nil"/>
              <w:bottom w:val="double" w:sz="6" w:space="0" w:color="auto"/>
              <w:right w:val="single" w:sz="8" w:space="0" w:color="auto"/>
            </w:tcBorders>
            <w:shd w:val="clear" w:color="auto" w:fill="auto"/>
            <w:noWrap/>
            <w:vAlign w:val="center"/>
            <w:hideMark/>
          </w:tcPr>
          <w:p w14:paraId="7A98CC7C"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 xml:space="preserve">            429,667 </w:t>
            </w:r>
          </w:p>
        </w:tc>
        <w:tc>
          <w:tcPr>
            <w:tcW w:w="250" w:type="pct"/>
            <w:tcBorders>
              <w:top w:val="nil"/>
              <w:left w:val="nil"/>
              <w:bottom w:val="double" w:sz="6" w:space="0" w:color="auto"/>
              <w:right w:val="single" w:sz="8" w:space="0" w:color="auto"/>
            </w:tcBorders>
            <w:shd w:val="clear" w:color="auto" w:fill="auto"/>
            <w:noWrap/>
            <w:vAlign w:val="center"/>
            <w:hideMark/>
          </w:tcPr>
          <w:p w14:paraId="52E9A08A"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 xml:space="preserve">            308,000 </w:t>
            </w:r>
          </w:p>
        </w:tc>
        <w:tc>
          <w:tcPr>
            <w:tcW w:w="250" w:type="pct"/>
            <w:tcBorders>
              <w:top w:val="nil"/>
              <w:left w:val="nil"/>
              <w:bottom w:val="double" w:sz="6" w:space="0" w:color="auto"/>
              <w:right w:val="single" w:sz="8" w:space="0" w:color="auto"/>
            </w:tcBorders>
            <w:shd w:val="clear" w:color="auto" w:fill="auto"/>
            <w:noWrap/>
            <w:vAlign w:val="center"/>
            <w:hideMark/>
          </w:tcPr>
          <w:p w14:paraId="67C0B2C2"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 xml:space="preserve">            270,500 </w:t>
            </w:r>
          </w:p>
        </w:tc>
        <w:tc>
          <w:tcPr>
            <w:tcW w:w="261" w:type="pct"/>
            <w:tcBorders>
              <w:top w:val="nil"/>
              <w:left w:val="nil"/>
              <w:bottom w:val="double" w:sz="6" w:space="0" w:color="auto"/>
              <w:right w:val="single" w:sz="8" w:space="0" w:color="auto"/>
            </w:tcBorders>
            <w:shd w:val="clear" w:color="auto" w:fill="auto"/>
            <w:noWrap/>
            <w:vAlign w:val="center"/>
            <w:hideMark/>
          </w:tcPr>
          <w:p w14:paraId="6696BA81"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 xml:space="preserve">           1,926,625 </w:t>
            </w:r>
          </w:p>
        </w:tc>
        <w:tc>
          <w:tcPr>
            <w:tcW w:w="183" w:type="pct"/>
            <w:tcBorders>
              <w:top w:val="nil"/>
              <w:left w:val="nil"/>
              <w:bottom w:val="double" w:sz="6" w:space="0" w:color="auto"/>
              <w:right w:val="single" w:sz="8" w:space="0" w:color="auto"/>
            </w:tcBorders>
            <w:shd w:val="clear" w:color="auto" w:fill="auto"/>
            <w:vAlign w:val="center"/>
            <w:hideMark/>
          </w:tcPr>
          <w:p w14:paraId="3F7DD4A2" w14:textId="77777777" w:rsidR="00107491" w:rsidRPr="00107491" w:rsidRDefault="00107491" w:rsidP="00107491">
            <w:pPr>
              <w:jc w:val="center"/>
              <w:rPr>
                <w:i/>
                <w:iCs/>
                <w:color w:val="000000"/>
                <w:sz w:val="18"/>
                <w:szCs w:val="18"/>
                <w:lang w:val="en-US" w:eastAsia="en-US"/>
              </w:rPr>
            </w:pPr>
            <w:r w:rsidRPr="00107491">
              <w:rPr>
                <w:i/>
                <w:iCs/>
                <w:color w:val="000000"/>
                <w:sz w:val="18"/>
                <w:szCs w:val="18"/>
                <w:lang w:val="en-US" w:eastAsia="en-US"/>
              </w:rPr>
              <w:t> </w:t>
            </w:r>
          </w:p>
        </w:tc>
        <w:tc>
          <w:tcPr>
            <w:tcW w:w="35" w:type="pct"/>
            <w:vAlign w:val="center"/>
            <w:hideMark/>
          </w:tcPr>
          <w:p w14:paraId="595328A9" w14:textId="77777777" w:rsidR="00107491" w:rsidRPr="00107491" w:rsidRDefault="00107491" w:rsidP="00107491">
            <w:pPr>
              <w:rPr>
                <w:sz w:val="20"/>
                <w:szCs w:val="20"/>
                <w:lang w:val="en-US" w:eastAsia="en-US"/>
              </w:rPr>
            </w:pPr>
          </w:p>
        </w:tc>
      </w:tr>
      <w:tr w:rsidR="00107491" w:rsidRPr="00107491" w14:paraId="79555471" w14:textId="77777777" w:rsidTr="00107491">
        <w:trPr>
          <w:trHeight w:val="300"/>
        </w:trPr>
        <w:tc>
          <w:tcPr>
            <w:tcW w:w="1056" w:type="pct"/>
            <w:tcBorders>
              <w:top w:val="nil"/>
              <w:left w:val="single" w:sz="8" w:space="0" w:color="auto"/>
              <w:bottom w:val="double" w:sz="6" w:space="0" w:color="auto"/>
              <w:right w:val="nil"/>
            </w:tcBorders>
            <w:shd w:val="clear" w:color="auto" w:fill="auto"/>
            <w:noWrap/>
            <w:vAlign w:val="center"/>
            <w:hideMark/>
          </w:tcPr>
          <w:p w14:paraId="03D5F50E" w14:textId="77777777" w:rsidR="00107491" w:rsidRPr="00107491" w:rsidRDefault="00107491" w:rsidP="00107491">
            <w:pPr>
              <w:rPr>
                <w:rFonts w:ascii="Calibri" w:hAnsi="Calibri" w:cs="Calibri"/>
                <w:color w:val="000000"/>
                <w:sz w:val="18"/>
                <w:szCs w:val="18"/>
                <w:lang w:val="en-US" w:eastAsia="en-US"/>
              </w:rPr>
            </w:pPr>
            <w:r w:rsidRPr="00107491">
              <w:rPr>
                <w:rFonts w:ascii="Calibri" w:hAnsi="Calibri" w:cs="Calibri"/>
                <w:color w:val="000000"/>
                <w:sz w:val="18"/>
                <w:szCs w:val="18"/>
                <w:lang w:val="en-US" w:eastAsia="en-US"/>
              </w:rPr>
              <w:t> </w:t>
            </w:r>
          </w:p>
        </w:tc>
        <w:tc>
          <w:tcPr>
            <w:tcW w:w="381" w:type="pct"/>
            <w:vMerge/>
            <w:tcBorders>
              <w:top w:val="nil"/>
              <w:left w:val="single" w:sz="8" w:space="0" w:color="auto"/>
              <w:bottom w:val="double" w:sz="6" w:space="0" w:color="000000"/>
              <w:right w:val="single" w:sz="8" w:space="0" w:color="auto"/>
            </w:tcBorders>
            <w:vAlign w:val="center"/>
            <w:hideMark/>
          </w:tcPr>
          <w:p w14:paraId="4226D5CE" w14:textId="77777777" w:rsidR="00107491" w:rsidRPr="00107491" w:rsidRDefault="00107491" w:rsidP="00107491">
            <w:pPr>
              <w:rPr>
                <w:b/>
                <w:bCs/>
                <w:color w:val="000000"/>
                <w:sz w:val="18"/>
                <w:szCs w:val="18"/>
                <w:lang w:val="en-US" w:eastAsia="en-US"/>
              </w:rPr>
            </w:pPr>
          </w:p>
        </w:tc>
        <w:tc>
          <w:tcPr>
            <w:tcW w:w="453" w:type="pct"/>
            <w:tcBorders>
              <w:top w:val="nil"/>
              <w:left w:val="nil"/>
              <w:bottom w:val="double" w:sz="6" w:space="0" w:color="auto"/>
              <w:right w:val="single" w:sz="8" w:space="0" w:color="auto"/>
            </w:tcBorders>
            <w:shd w:val="clear" w:color="auto" w:fill="auto"/>
            <w:vAlign w:val="center"/>
            <w:hideMark/>
          </w:tcPr>
          <w:p w14:paraId="66E510C2" w14:textId="77777777" w:rsidR="00107491" w:rsidRPr="00107491" w:rsidRDefault="00107491" w:rsidP="00107491">
            <w:pPr>
              <w:jc w:val="center"/>
              <w:rPr>
                <w:b/>
                <w:bCs/>
                <w:color w:val="000000"/>
                <w:sz w:val="18"/>
                <w:szCs w:val="18"/>
                <w:lang w:val="en-US" w:eastAsia="en-US"/>
              </w:rPr>
            </w:pPr>
            <w:r w:rsidRPr="00107491">
              <w:rPr>
                <w:b/>
                <w:bCs/>
                <w:color w:val="000000"/>
                <w:sz w:val="18"/>
                <w:szCs w:val="18"/>
                <w:lang w:val="en-US" w:eastAsia="en-US"/>
              </w:rPr>
              <w:t> </w:t>
            </w:r>
          </w:p>
        </w:tc>
        <w:tc>
          <w:tcPr>
            <w:tcW w:w="388" w:type="pct"/>
            <w:tcBorders>
              <w:top w:val="nil"/>
              <w:left w:val="nil"/>
              <w:bottom w:val="double" w:sz="6" w:space="0" w:color="auto"/>
              <w:right w:val="single" w:sz="8" w:space="0" w:color="auto"/>
            </w:tcBorders>
            <w:shd w:val="clear" w:color="auto" w:fill="auto"/>
            <w:vAlign w:val="center"/>
            <w:hideMark/>
          </w:tcPr>
          <w:p w14:paraId="7CC0C2E8" w14:textId="77777777" w:rsidR="00107491" w:rsidRPr="00107491" w:rsidRDefault="00107491" w:rsidP="00107491">
            <w:pPr>
              <w:jc w:val="center"/>
              <w:rPr>
                <w:b/>
                <w:bCs/>
                <w:color w:val="000000"/>
                <w:sz w:val="18"/>
                <w:szCs w:val="18"/>
                <w:lang w:val="en-US" w:eastAsia="en-US"/>
              </w:rPr>
            </w:pPr>
            <w:r w:rsidRPr="00107491">
              <w:rPr>
                <w:b/>
                <w:bCs/>
                <w:color w:val="000000"/>
                <w:sz w:val="18"/>
                <w:szCs w:val="18"/>
                <w:lang w:val="en-US" w:eastAsia="en-US"/>
              </w:rPr>
              <w:t> </w:t>
            </w:r>
          </w:p>
        </w:tc>
        <w:tc>
          <w:tcPr>
            <w:tcW w:w="258" w:type="pct"/>
            <w:tcBorders>
              <w:top w:val="nil"/>
              <w:left w:val="nil"/>
              <w:bottom w:val="double" w:sz="6" w:space="0" w:color="auto"/>
              <w:right w:val="single" w:sz="8" w:space="0" w:color="auto"/>
            </w:tcBorders>
            <w:shd w:val="clear" w:color="auto" w:fill="auto"/>
            <w:noWrap/>
            <w:vAlign w:val="center"/>
            <w:hideMark/>
          </w:tcPr>
          <w:p w14:paraId="0A0235B8" w14:textId="77777777" w:rsidR="00107491" w:rsidRPr="00107491" w:rsidRDefault="00107491" w:rsidP="00107491">
            <w:pPr>
              <w:jc w:val="center"/>
              <w:rPr>
                <w:color w:val="000000"/>
                <w:sz w:val="18"/>
                <w:szCs w:val="18"/>
                <w:lang w:val="en-US" w:eastAsia="en-US"/>
              </w:rPr>
            </w:pPr>
            <w:r w:rsidRPr="00107491">
              <w:rPr>
                <w:color w:val="000000"/>
                <w:sz w:val="18"/>
                <w:szCs w:val="18"/>
                <w:lang w:val="en-US" w:eastAsia="en-US"/>
              </w:rPr>
              <w:t> </w:t>
            </w:r>
          </w:p>
        </w:tc>
        <w:tc>
          <w:tcPr>
            <w:tcW w:w="458" w:type="pct"/>
            <w:tcBorders>
              <w:top w:val="nil"/>
              <w:left w:val="nil"/>
              <w:bottom w:val="double" w:sz="6" w:space="0" w:color="auto"/>
              <w:right w:val="single" w:sz="8" w:space="0" w:color="auto"/>
            </w:tcBorders>
            <w:shd w:val="clear" w:color="auto" w:fill="auto"/>
            <w:noWrap/>
            <w:vAlign w:val="center"/>
            <w:hideMark/>
          </w:tcPr>
          <w:p w14:paraId="11D39C01" w14:textId="77777777" w:rsidR="00601D9B" w:rsidRDefault="000E53A0">
            <w:pPr>
              <w:jc w:val="both"/>
              <w:rPr>
                <w:b/>
                <w:bCs/>
                <w:color w:val="000000"/>
                <w:sz w:val="18"/>
                <w:szCs w:val="18"/>
                <w:lang w:val="en-US" w:eastAsia="en-US"/>
              </w:rPr>
            </w:pPr>
            <w:r w:rsidRPr="00107491">
              <w:rPr>
                <w:b/>
                <w:bCs/>
                <w:color w:val="000000"/>
                <w:sz w:val="18"/>
                <w:szCs w:val="18"/>
                <w:lang w:val="en-US" w:eastAsia="en-US"/>
              </w:rPr>
              <w:t>Résultat total 3</w:t>
            </w:r>
          </w:p>
        </w:tc>
        <w:tc>
          <w:tcPr>
            <w:tcW w:w="254" w:type="pct"/>
            <w:tcBorders>
              <w:top w:val="nil"/>
              <w:left w:val="nil"/>
              <w:bottom w:val="double" w:sz="6" w:space="0" w:color="auto"/>
              <w:right w:val="single" w:sz="8" w:space="0" w:color="auto"/>
            </w:tcBorders>
            <w:shd w:val="clear" w:color="auto" w:fill="auto"/>
            <w:noWrap/>
            <w:vAlign w:val="center"/>
            <w:hideMark/>
          </w:tcPr>
          <w:p w14:paraId="7E1482C3"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 xml:space="preserve">              36,000 </w:t>
            </w:r>
          </w:p>
        </w:tc>
        <w:tc>
          <w:tcPr>
            <w:tcW w:w="273" w:type="pct"/>
            <w:tcBorders>
              <w:top w:val="nil"/>
              <w:left w:val="nil"/>
              <w:bottom w:val="double" w:sz="6" w:space="0" w:color="auto"/>
              <w:right w:val="single" w:sz="8" w:space="0" w:color="auto"/>
            </w:tcBorders>
            <w:shd w:val="clear" w:color="auto" w:fill="auto"/>
            <w:noWrap/>
            <w:vAlign w:val="center"/>
            <w:hideMark/>
          </w:tcPr>
          <w:p w14:paraId="73E98014"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 xml:space="preserve">               452,792 </w:t>
            </w:r>
          </w:p>
        </w:tc>
        <w:tc>
          <w:tcPr>
            <w:tcW w:w="250" w:type="pct"/>
            <w:tcBorders>
              <w:top w:val="nil"/>
              <w:left w:val="nil"/>
              <w:bottom w:val="double" w:sz="6" w:space="0" w:color="auto"/>
              <w:right w:val="single" w:sz="8" w:space="0" w:color="auto"/>
            </w:tcBorders>
            <w:shd w:val="clear" w:color="auto" w:fill="auto"/>
            <w:noWrap/>
            <w:vAlign w:val="center"/>
            <w:hideMark/>
          </w:tcPr>
          <w:p w14:paraId="5FE3683D"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 xml:space="preserve">            429,667 </w:t>
            </w:r>
          </w:p>
        </w:tc>
        <w:tc>
          <w:tcPr>
            <w:tcW w:w="250" w:type="pct"/>
            <w:tcBorders>
              <w:top w:val="nil"/>
              <w:left w:val="nil"/>
              <w:bottom w:val="double" w:sz="6" w:space="0" w:color="auto"/>
              <w:right w:val="single" w:sz="8" w:space="0" w:color="auto"/>
            </w:tcBorders>
            <w:shd w:val="clear" w:color="auto" w:fill="auto"/>
            <w:noWrap/>
            <w:vAlign w:val="center"/>
            <w:hideMark/>
          </w:tcPr>
          <w:p w14:paraId="3222D86F"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 xml:space="preserve">            429,667 </w:t>
            </w:r>
          </w:p>
        </w:tc>
        <w:tc>
          <w:tcPr>
            <w:tcW w:w="250" w:type="pct"/>
            <w:tcBorders>
              <w:top w:val="nil"/>
              <w:left w:val="nil"/>
              <w:bottom w:val="double" w:sz="6" w:space="0" w:color="auto"/>
              <w:right w:val="single" w:sz="8" w:space="0" w:color="auto"/>
            </w:tcBorders>
            <w:shd w:val="clear" w:color="auto" w:fill="auto"/>
            <w:noWrap/>
            <w:vAlign w:val="center"/>
            <w:hideMark/>
          </w:tcPr>
          <w:p w14:paraId="7DD5DFDB"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 xml:space="preserve">            308,000 </w:t>
            </w:r>
          </w:p>
        </w:tc>
        <w:tc>
          <w:tcPr>
            <w:tcW w:w="250" w:type="pct"/>
            <w:tcBorders>
              <w:top w:val="nil"/>
              <w:left w:val="nil"/>
              <w:bottom w:val="double" w:sz="6" w:space="0" w:color="auto"/>
              <w:right w:val="single" w:sz="8" w:space="0" w:color="auto"/>
            </w:tcBorders>
            <w:shd w:val="clear" w:color="auto" w:fill="auto"/>
            <w:noWrap/>
            <w:vAlign w:val="center"/>
            <w:hideMark/>
          </w:tcPr>
          <w:p w14:paraId="10F9C3FB"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 xml:space="preserve">            270,500 </w:t>
            </w:r>
          </w:p>
        </w:tc>
        <w:tc>
          <w:tcPr>
            <w:tcW w:w="261" w:type="pct"/>
            <w:tcBorders>
              <w:top w:val="nil"/>
              <w:left w:val="nil"/>
              <w:bottom w:val="double" w:sz="6" w:space="0" w:color="auto"/>
              <w:right w:val="single" w:sz="8" w:space="0" w:color="auto"/>
            </w:tcBorders>
            <w:shd w:val="clear" w:color="auto" w:fill="auto"/>
            <w:noWrap/>
            <w:vAlign w:val="center"/>
            <w:hideMark/>
          </w:tcPr>
          <w:p w14:paraId="58E02B8E"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 xml:space="preserve">           1,926,625 </w:t>
            </w:r>
          </w:p>
        </w:tc>
        <w:tc>
          <w:tcPr>
            <w:tcW w:w="183" w:type="pct"/>
            <w:tcBorders>
              <w:top w:val="nil"/>
              <w:left w:val="nil"/>
              <w:bottom w:val="double" w:sz="6" w:space="0" w:color="auto"/>
              <w:right w:val="single" w:sz="8" w:space="0" w:color="auto"/>
            </w:tcBorders>
            <w:shd w:val="clear" w:color="auto" w:fill="auto"/>
            <w:vAlign w:val="center"/>
            <w:hideMark/>
          </w:tcPr>
          <w:p w14:paraId="2AF3C958" w14:textId="77777777" w:rsidR="00107491" w:rsidRPr="00107491" w:rsidRDefault="00107491" w:rsidP="00107491">
            <w:pPr>
              <w:jc w:val="center"/>
              <w:rPr>
                <w:i/>
                <w:iCs/>
                <w:color w:val="000000"/>
                <w:sz w:val="18"/>
                <w:szCs w:val="18"/>
                <w:lang w:val="en-US" w:eastAsia="en-US"/>
              </w:rPr>
            </w:pPr>
            <w:r w:rsidRPr="00107491">
              <w:rPr>
                <w:i/>
                <w:iCs/>
                <w:color w:val="000000"/>
                <w:sz w:val="18"/>
                <w:szCs w:val="18"/>
                <w:lang w:val="en-US" w:eastAsia="en-US"/>
              </w:rPr>
              <w:t> </w:t>
            </w:r>
          </w:p>
        </w:tc>
        <w:tc>
          <w:tcPr>
            <w:tcW w:w="35" w:type="pct"/>
            <w:vAlign w:val="center"/>
            <w:hideMark/>
          </w:tcPr>
          <w:p w14:paraId="657FF7E1" w14:textId="77777777" w:rsidR="00107491" w:rsidRPr="00107491" w:rsidRDefault="00107491" w:rsidP="00107491">
            <w:pPr>
              <w:rPr>
                <w:sz w:val="20"/>
                <w:szCs w:val="20"/>
                <w:lang w:val="en-US" w:eastAsia="en-US"/>
              </w:rPr>
            </w:pPr>
          </w:p>
        </w:tc>
      </w:tr>
      <w:tr w:rsidR="00107491" w:rsidRPr="00107491" w14:paraId="63B211A7" w14:textId="77777777" w:rsidTr="00107491">
        <w:trPr>
          <w:trHeight w:val="300"/>
        </w:trPr>
        <w:tc>
          <w:tcPr>
            <w:tcW w:w="1056" w:type="pct"/>
            <w:tcBorders>
              <w:top w:val="nil"/>
              <w:left w:val="single" w:sz="8" w:space="0" w:color="auto"/>
              <w:bottom w:val="nil"/>
              <w:right w:val="nil"/>
            </w:tcBorders>
            <w:shd w:val="clear" w:color="auto" w:fill="auto"/>
            <w:noWrap/>
            <w:vAlign w:val="center"/>
            <w:hideMark/>
          </w:tcPr>
          <w:p w14:paraId="59956DDB" w14:textId="77777777" w:rsidR="00107491" w:rsidRPr="00107491" w:rsidRDefault="00107491" w:rsidP="00107491">
            <w:pPr>
              <w:jc w:val="center"/>
              <w:rPr>
                <w:b/>
                <w:bCs/>
                <w:color w:val="000000"/>
                <w:sz w:val="18"/>
                <w:szCs w:val="18"/>
                <w:lang w:val="en-US" w:eastAsia="en-US"/>
              </w:rPr>
            </w:pPr>
            <w:r w:rsidRPr="00107491">
              <w:rPr>
                <w:b/>
                <w:bCs/>
                <w:color w:val="000000"/>
                <w:sz w:val="18"/>
                <w:szCs w:val="18"/>
                <w:lang w:val="en-US" w:eastAsia="en-US"/>
              </w:rPr>
              <w:t> </w:t>
            </w:r>
          </w:p>
        </w:tc>
        <w:tc>
          <w:tcPr>
            <w:tcW w:w="381" w:type="pct"/>
            <w:vMerge w:val="restart"/>
            <w:tcBorders>
              <w:top w:val="nil"/>
              <w:left w:val="single" w:sz="8" w:space="0" w:color="auto"/>
              <w:bottom w:val="double" w:sz="6" w:space="0" w:color="000000"/>
              <w:right w:val="single" w:sz="8" w:space="0" w:color="auto"/>
            </w:tcBorders>
            <w:shd w:val="clear" w:color="auto" w:fill="auto"/>
            <w:vAlign w:val="center"/>
            <w:hideMark/>
          </w:tcPr>
          <w:p w14:paraId="54A45FAC"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Partie 1</w:t>
            </w:r>
          </w:p>
        </w:tc>
        <w:tc>
          <w:tcPr>
            <w:tcW w:w="453" w:type="pct"/>
            <w:tcBorders>
              <w:top w:val="nil"/>
              <w:left w:val="nil"/>
              <w:bottom w:val="nil"/>
              <w:right w:val="nil"/>
            </w:tcBorders>
            <w:shd w:val="clear" w:color="auto" w:fill="auto"/>
            <w:vAlign w:val="center"/>
            <w:hideMark/>
          </w:tcPr>
          <w:p w14:paraId="40F71FA7"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62000</w:t>
            </w:r>
          </w:p>
        </w:tc>
        <w:tc>
          <w:tcPr>
            <w:tcW w:w="388" w:type="pct"/>
            <w:tcBorders>
              <w:top w:val="single" w:sz="8" w:space="0" w:color="auto"/>
              <w:left w:val="single" w:sz="8" w:space="0" w:color="auto"/>
              <w:bottom w:val="nil"/>
              <w:right w:val="single" w:sz="8" w:space="0" w:color="auto"/>
            </w:tcBorders>
            <w:shd w:val="clear" w:color="auto" w:fill="auto"/>
            <w:vAlign w:val="center"/>
            <w:hideMark/>
          </w:tcPr>
          <w:p w14:paraId="63861F29"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GEF</w:t>
            </w:r>
          </w:p>
        </w:tc>
        <w:tc>
          <w:tcPr>
            <w:tcW w:w="258" w:type="pct"/>
            <w:tcBorders>
              <w:top w:val="single" w:sz="8" w:space="0" w:color="auto"/>
              <w:left w:val="nil"/>
              <w:bottom w:val="single" w:sz="8" w:space="0" w:color="auto"/>
              <w:right w:val="single" w:sz="8" w:space="0" w:color="auto"/>
            </w:tcBorders>
            <w:shd w:val="clear" w:color="auto" w:fill="auto"/>
            <w:noWrap/>
            <w:vAlign w:val="center"/>
            <w:hideMark/>
          </w:tcPr>
          <w:p w14:paraId="2B664B67" w14:textId="77777777" w:rsidR="00601D9B" w:rsidRDefault="000E53A0">
            <w:pPr>
              <w:rPr>
                <w:color w:val="000000"/>
                <w:sz w:val="18"/>
                <w:szCs w:val="18"/>
                <w:lang w:val="en-US" w:eastAsia="en-US"/>
              </w:rPr>
            </w:pPr>
            <w:r w:rsidRPr="00107491">
              <w:rPr>
                <w:color w:val="000000"/>
                <w:sz w:val="18"/>
                <w:szCs w:val="18"/>
                <w:lang w:val="en-US" w:eastAsia="en-US"/>
              </w:rPr>
              <w:t>71200</w:t>
            </w:r>
          </w:p>
        </w:tc>
        <w:tc>
          <w:tcPr>
            <w:tcW w:w="458" w:type="pct"/>
            <w:tcBorders>
              <w:top w:val="single" w:sz="8" w:space="0" w:color="auto"/>
              <w:left w:val="nil"/>
              <w:bottom w:val="nil"/>
              <w:right w:val="single" w:sz="8" w:space="0" w:color="auto"/>
            </w:tcBorders>
            <w:shd w:val="clear" w:color="auto" w:fill="auto"/>
            <w:vAlign w:val="center"/>
            <w:hideMark/>
          </w:tcPr>
          <w:p w14:paraId="0E676A4A" w14:textId="77777777" w:rsidR="00601D9B" w:rsidRDefault="000E53A0">
            <w:pPr>
              <w:rPr>
                <w:color w:val="000000"/>
                <w:sz w:val="18"/>
                <w:szCs w:val="18"/>
                <w:lang w:val="en-US" w:eastAsia="en-US"/>
              </w:rPr>
            </w:pPr>
            <w:r w:rsidRPr="00107491">
              <w:rPr>
                <w:color w:val="000000"/>
                <w:sz w:val="18"/>
                <w:szCs w:val="18"/>
                <w:lang w:val="en-US" w:eastAsia="en-US"/>
              </w:rPr>
              <w:t>Consultants internationaux</w:t>
            </w:r>
          </w:p>
        </w:tc>
        <w:tc>
          <w:tcPr>
            <w:tcW w:w="254" w:type="pct"/>
            <w:tcBorders>
              <w:top w:val="nil"/>
              <w:left w:val="nil"/>
              <w:bottom w:val="single" w:sz="8" w:space="0" w:color="auto"/>
              <w:right w:val="single" w:sz="8" w:space="0" w:color="auto"/>
            </w:tcBorders>
            <w:shd w:val="clear" w:color="auto" w:fill="auto"/>
            <w:noWrap/>
            <w:vAlign w:val="center"/>
            <w:hideMark/>
          </w:tcPr>
          <w:p w14:paraId="30655161"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35,000 </w:t>
            </w:r>
          </w:p>
        </w:tc>
        <w:tc>
          <w:tcPr>
            <w:tcW w:w="273" w:type="pct"/>
            <w:tcBorders>
              <w:top w:val="nil"/>
              <w:left w:val="nil"/>
              <w:bottom w:val="single" w:sz="8" w:space="0" w:color="auto"/>
              <w:right w:val="single" w:sz="8" w:space="0" w:color="auto"/>
            </w:tcBorders>
            <w:shd w:val="clear" w:color="auto" w:fill="auto"/>
            <w:noWrap/>
            <w:vAlign w:val="center"/>
            <w:hideMark/>
          </w:tcPr>
          <w:p w14:paraId="39EFCE6E"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 </w:t>
            </w:r>
          </w:p>
        </w:tc>
        <w:tc>
          <w:tcPr>
            <w:tcW w:w="250" w:type="pct"/>
            <w:tcBorders>
              <w:top w:val="nil"/>
              <w:left w:val="nil"/>
              <w:bottom w:val="single" w:sz="8" w:space="0" w:color="auto"/>
              <w:right w:val="single" w:sz="8" w:space="0" w:color="auto"/>
            </w:tcBorders>
            <w:shd w:val="clear" w:color="auto" w:fill="auto"/>
            <w:noWrap/>
            <w:vAlign w:val="center"/>
            <w:hideMark/>
          </w:tcPr>
          <w:p w14:paraId="3FCF23C8"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44,100 </w:t>
            </w:r>
          </w:p>
        </w:tc>
        <w:tc>
          <w:tcPr>
            <w:tcW w:w="250" w:type="pct"/>
            <w:tcBorders>
              <w:top w:val="nil"/>
              <w:left w:val="nil"/>
              <w:bottom w:val="single" w:sz="8" w:space="0" w:color="auto"/>
              <w:right w:val="single" w:sz="8" w:space="0" w:color="auto"/>
            </w:tcBorders>
            <w:shd w:val="clear" w:color="auto" w:fill="auto"/>
            <w:noWrap/>
            <w:vAlign w:val="center"/>
            <w:hideMark/>
          </w:tcPr>
          <w:p w14:paraId="089C96FC"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 </w:t>
            </w:r>
          </w:p>
        </w:tc>
        <w:tc>
          <w:tcPr>
            <w:tcW w:w="250" w:type="pct"/>
            <w:tcBorders>
              <w:top w:val="nil"/>
              <w:left w:val="nil"/>
              <w:bottom w:val="single" w:sz="8" w:space="0" w:color="auto"/>
              <w:right w:val="single" w:sz="8" w:space="0" w:color="auto"/>
            </w:tcBorders>
            <w:shd w:val="clear" w:color="auto" w:fill="auto"/>
            <w:noWrap/>
            <w:vAlign w:val="center"/>
            <w:hideMark/>
          </w:tcPr>
          <w:p w14:paraId="7A590787"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 </w:t>
            </w:r>
          </w:p>
        </w:tc>
        <w:tc>
          <w:tcPr>
            <w:tcW w:w="250" w:type="pct"/>
            <w:tcBorders>
              <w:top w:val="nil"/>
              <w:left w:val="nil"/>
              <w:bottom w:val="single" w:sz="8" w:space="0" w:color="auto"/>
              <w:right w:val="single" w:sz="8" w:space="0" w:color="auto"/>
            </w:tcBorders>
            <w:shd w:val="clear" w:color="auto" w:fill="auto"/>
            <w:noWrap/>
            <w:vAlign w:val="center"/>
            <w:hideMark/>
          </w:tcPr>
          <w:p w14:paraId="4482B8E8"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51,100 </w:t>
            </w:r>
          </w:p>
        </w:tc>
        <w:tc>
          <w:tcPr>
            <w:tcW w:w="261" w:type="pct"/>
            <w:tcBorders>
              <w:top w:val="nil"/>
              <w:left w:val="nil"/>
              <w:bottom w:val="single" w:sz="8" w:space="0" w:color="auto"/>
              <w:right w:val="single" w:sz="8" w:space="0" w:color="auto"/>
            </w:tcBorders>
            <w:shd w:val="clear" w:color="auto" w:fill="auto"/>
            <w:noWrap/>
            <w:vAlign w:val="center"/>
            <w:hideMark/>
          </w:tcPr>
          <w:p w14:paraId="65FC87A7"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130,200 </w:t>
            </w:r>
          </w:p>
        </w:tc>
        <w:tc>
          <w:tcPr>
            <w:tcW w:w="183" w:type="pct"/>
            <w:tcBorders>
              <w:top w:val="nil"/>
              <w:left w:val="nil"/>
              <w:bottom w:val="single" w:sz="8" w:space="0" w:color="auto"/>
              <w:right w:val="single" w:sz="8" w:space="0" w:color="auto"/>
            </w:tcBorders>
            <w:shd w:val="clear" w:color="auto" w:fill="auto"/>
            <w:vAlign w:val="center"/>
            <w:hideMark/>
          </w:tcPr>
          <w:p w14:paraId="23ECF6AC" w14:textId="77777777" w:rsidR="00601D9B" w:rsidRDefault="000E53A0">
            <w:pPr>
              <w:jc w:val="center"/>
              <w:rPr>
                <w:i/>
                <w:iCs/>
                <w:color w:val="000000"/>
                <w:sz w:val="18"/>
                <w:szCs w:val="18"/>
                <w:lang w:val="en-US" w:eastAsia="en-US"/>
              </w:rPr>
            </w:pPr>
            <w:r w:rsidRPr="00107491">
              <w:rPr>
                <w:i/>
                <w:iCs/>
                <w:color w:val="000000"/>
                <w:sz w:val="18"/>
                <w:szCs w:val="18"/>
                <w:lang w:val="en-US" w:eastAsia="en-US"/>
              </w:rPr>
              <w:t>35</w:t>
            </w:r>
          </w:p>
        </w:tc>
        <w:tc>
          <w:tcPr>
            <w:tcW w:w="35" w:type="pct"/>
            <w:vAlign w:val="center"/>
            <w:hideMark/>
          </w:tcPr>
          <w:p w14:paraId="54BFF8A1" w14:textId="77777777" w:rsidR="00107491" w:rsidRPr="00107491" w:rsidRDefault="00107491" w:rsidP="00107491">
            <w:pPr>
              <w:rPr>
                <w:sz w:val="20"/>
                <w:szCs w:val="20"/>
                <w:lang w:val="en-US" w:eastAsia="en-US"/>
              </w:rPr>
            </w:pPr>
          </w:p>
        </w:tc>
      </w:tr>
      <w:tr w:rsidR="00107491" w:rsidRPr="00107491" w14:paraId="7D87FEC0" w14:textId="77777777" w:rsidTr="00107491">
        <w:trPr>
          <w:trHeight w:val="300"/>
        </w:trPr>
        <w:tc>
          <w:tcPr>
            <w:tcW w:w="1056" w:type="pct"/>
            <w:tcBorders>
              <w:top w:val="nil"/>
              <w:left w:val="single" w:sz="8" w:space="0" w:color="auto"/>
              <w:bottom w:val="nil"/>
              <w:right w:val="nil"/>
            </w:tcBorders>
            <w:shd w:val="clear" w:color="auto" w:fill="auto"/>
            <w:noWrap/>
            <w:vAlign w:val="center"/>
            <w:hideMark/>
          </w:tcPr>
          <w:p w14:paraId="415C135A" w14:textId="77777777" w:rsidR="00601D9B" w:rsidRPr="000E53A0" w:rsidRDefault="000E53A0">
            <w:pPr>
              <w:jc w:val="center"/>
              <w:rPr>
                <w:b/>
                <w:bCs/>
                <w:color w:val="000000"/>
                <w:sz w:val="18"/>
                <w:szCs w:val="18"/>
                <w:lang w:val="fr-FR" w:eastAsia="en-US"/>
              </w:rPr>
            </w:pPr>
            <w:r w:rsidRPr="000E53A0">
              <w:rPr>
                <w:b/>
                <w:bCs/>
                <w:color w:val="000000"/>
                <w:sz w:val="18"/>
                <w:szCs w:val="18"/>
                <w:lang w:val="fr-FR" w:eastAsia="en-US"/>
              </w:rPr>
              <w:t>COMPOSANTE 4 : KM et M&amp;E [5]</w:t>
            </w:r>
          </w:p>
        </w:tc>
        <w:tc>
          <w:tcPr>
            <w:tcW w:w="381" w:type="pct"/>
            <w:vMerge/>
            <w:tcBorders>
              <w:top w:val="nil"/>
              <w:left w:val="single" w:sz="8" w:space="0" w:color="auto"/>
              <w:bottom w:val="double" w:sz="6" w:space="0" w:color="000000"/>
              <w:right w:val="single" w:sz="8" w:space="0" w:color="auto"/>
            </w:tcBorders>
            <w:vAlign w:val="center"/>
            <w:hideMark/>
          </w:tcPr>
          <w:p w14:paraId="045F3BD1" w14:textId="77777777" w:rsidR="00107491" w:rsidRPr="000E53A0" w:rsidRDefault="00107491" w:rsidP="00107491">
            <w:pPr>
              <w:rPr>
                <w:b/>
                <w:bCs/>
                <w:color w:val="000000"/>
                <w:sz w:val="18"/>
                <w:szCs w:val="18"/>
                <w:lang w:val="fr-FR" w:eastAsia="en-US"/>
              </w:rPr>
            </w:pPr>
          </w:p>
        </w:tc>
        <w:tc>
          <w:tcPr>
            <w:tcW w:w="453" w:type="pct"/>
            <w:tcBorders>
              <w:top w:val="nil"/>
              <w:left w:val="nil"/>
              <w:bottom w:val="nil"/>
              <w:right w:val="nil"/>
            </w:tcBorders>
            <w:shd w:val="clear" w:color="auto" w:fill="auto"/>
            <w:vAlign w:val="center"/>
            <w:hideMark/>
          </w:tcPr>
          <w:p w14:paraId="5486656A" w14:textId="77777777" w:rsidR="00107491" w:rsidRPr="000E53A0" w:rsidRDefault="00107491" w:rsidP="00107491">
            <w:pPr>
              <w:jc w:val="center"/>
              <w:rPr>
                <w:b/>
                <w:bCs/>
                <w:color w:val="000000"/>
                <w:sz w:val="18"/>
                <w:szCs w:val="18"/>
                <w:lang w:val="fr-FR" w:eastAsia="en-US"/>
              </w:rPr>
            </w:pPr>
          </w:p>
        </w:tc>
        <w:tc>
          <w:tcPr>
            <w:tcW w:w="388" w:type="pct"/>
            <w:tcBorders>
              <w:top w:val="nil"/>
              <w:left w:val="single" w:sz="8" w:space="0" w:color="auto"/>
              <w:bottom w:val="nil"/>
              <w:right w:val="single" w:sz="8" w:space="0" w:color="auto"/>
            </w:tcBorders>
            <w:shd w:val="clear" w:color="auto" w:fill="auto"/>
            <w:vAlign w:val="center"/>
            <w:hideMark/>
          </w:tcPr>
          <w:p w14:paraId="42ED7EF5" w14:textId="77777777" w:rsidR="00107491" w:rsidRPr="000E53A0" w:rsidRDefault="00107491" w:rsidP="00107491">
            <w:pPr>
              <w:jc w:val="center"/>
              <w:rPr>
                <w:b/>
                <w:bCs/>
                <w:color w:val="000000"/>
                <w:sz w:val="18"/>
                <w:szCs w:val="18"/>
                <w:lang w:val="fr-FR" w:eastAsia="en-US"/>
              </w:rPr>
            </w:pPr>
            <w:r w:rsidRPr="000E53A0">
              <w:rPr>
                <w:b/>
                <w:bCs/>
                <w:color w:val="000000"/>
                <w:sz w:val="18"/>
                <w:szCs w:val="18"/>
                <w:lang w:val="fr-FR" w:eastAsia="en-US"/>
              </w:rPr>
              <w:t> </w:t>
            </w:r>
          </w:p>
        </w:tc>
        <w:tc>
          <w:tcPr>
            <w:tcW w:w="258" w:type="pct"/>
            <w:tcBorders>
              <w:top w:val="nil"/>
              <w:left w:val="nil"/>
              <w:bottom w:val="single" w:sz="8" w:space="0" w:color="auto"/>
              <w:right w:val="single" w:sz="8" w:space="0" w:color="auto"/>
            </w:tcBorders>
            <w:shd w:val="clear" w:color="auto" w:fill="auto"/>
            <w:noWrap/>
            <w:vAlign w:val="center"/>
            <w:hideMark/>
          </w:tcPr>
          <w:p w14:paraId="2C2C429D" w14:textId="77777777" w:rsidR="00601D9B" w:rsidRDefault="000E53A0">
            <w:pPr>
              <w:rPr>
                <w:color w:val="000000"/>
                <w:sz w:val="18"/>
                <w:szCs w:val="18"/>
                <w:lang w:val="en-US" w:eastAsia="en-US"/>
              </w:rPr>
            </w:pPr>
            <w:r w:rsidRPr="00107491">
              <w:rPr>
                <w:color w:val="000000"/>
                <w:sz w:val="18"/>
                <w:szCs w:val="18"/>
                <w:lang w:val="en-US" w:eastAsia="en-US"/>
              </w:rPr>
              <w:t>71300</w:t>
            </w:r>
          </w:p>
        </w:tc>
        <w:tc>
          <w:tcPr>
            <w:tcW w:w="458" w:type="pct"/>
            <w:tcBorders>
              <w:top w:val="single" w:sz="8" w:space="0" w:color="auto"/>
              <w:left w:val="nil"/>
              <w:bottom w:val="nil"/>
              <w:right w:val="single" w:sz="8" w:space="0" w:color="auto"/>
            </w:tcBorders>
            <w:shd w:val="clear" w:color="auto" w:fill="auto"/>
            <w:vAlign w:val="center"/>
            <w:hideMark/>
          </w:tcPr>
          <w:p w14:paraId="3904510F" w14:textId="77777777" w:rsidR="00601D9B" w:rsidRDefault="000E53A0">
            <w:pPr>
              <w:rPr>
                <w:color w:val="000000"/>
                <w:sz w:val="18"/>
                <w:szCs w:val="18"/>
                <w:lang w:val="en-US" w:eastAsia="en-US"/>
              </w:rPr>
            </w:pPr>
            <w:r w:rsidRPr="00107491">
              <w:rPr>
                <w:color w:val="000000"/>
                <w:sz w:val="18"/>
                <w:szCs w:val="18"/>
                <w:lang w:val="en-US" w:eastAsia="en-US"/>
              </w:rPr>
              <w:t>Consultants locaux</w:t>
            </w:r>
          </w:p>
        </w:tc>
        <w:tc>
          <w:tcPr>
            <w:tcW w:w="254" w:type="pct"/>
            <w:tcBorders>
              <w:top w:val="nil"/>
              <w:left w:val="nil"/>
              <w:bottom w:val="single" w:sz="8" w:space="0" w:color="auto"/>
              <w:right w:val="single" w:sz="8" w:space="0" w:color="auto"/>
            </w:tcBorders>
            <w:shd w:val="clear" w:color="auto" w:fill="auto"/>
            <w:noWrap/>
            <w:vAlign w:val="center"/>
            <w:hideMark/>
          </w:tcPr>
          <w:p w14:paraId="75A685FC"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30,000 </w:t>
            </w:r>
          </w:p>
        </w:tc>
        <w:tc>
          <w:tcPr>
            <w:tcW w:w="273" w:type="pct"/>
            <w:tcBorders>
              <w:top w:val="nil"/>
              <w:left w:val="nil"/>
              <w:bottom w:val="single" w:sz="8" w:space="0" w:color="auto"/>
              <w:right w:val="single" w:sz="8" w:space="0" w:color="auto"/>
            </w:tcBorders>
            <w:shd w:val="clear" w:color="auto" w:fill="auto"/>
            <w:noWrap/>
            <w:vAlign w:val="center"/>
            <w:hideMark/>
          </w:tcPr>
          <w:p w14:paraId="106F1713"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6,000 </w:t>
            </w:r>
          </w:p>
        </w:tc>
        <w:tc>
          <w:tcPr>
            <w:tcW w:w="250" w:type="pct"/>
            <w:tcBorders>
              <w:top w:val="nil"/>
              <w:left w:val="nil"/>
              <w:bottom w:val="single" w:sz="8" w:space="0" w:color="auto"/>
              <w:right w:val="single" w:sz="8" w:space="0" w:color="auto"/>
            </w:tcBorders>
            <w:shd w:val="clear" w:color="auto" w:fill="auto"/>
            <w:noWrap/>
            <w:vAlign w:val="center"/>
            <w:hideMark/>
          </w:tcPr>
          <w:p w14:paraId="10D4F791"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24,900 </w:t>
            </w:r>
          </w:p>
        </w:tc>
        <w:tc>
          <w:tcPr>
            <w:tcW w:w="250" w:type="pct"/>
            <w:tcBorders>
              <w:top w:val="nil"/>
              <w:left w:val="nil"/>
              <w:bottom w:val="single" w:sz="8" w:space="0" w:color="auto"/>
              <w:right w:val="single" w:sz="8" w:space="0" w:color="auto"/>
            </w:tcBorders>
            <w:shd w:val="clear" w:color="auto" w:fill="auto"/>
            <w:noWrap/>
            <w:vAlign w:val="center"/>
            <w:hideMark/>
          </w:tcPr>
          <w:p w14:paraId="552A29FA"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6,000 </w:t>
            </w:r>
          </w:p>
        </w:tc>
        <w:tc>
          <w:tcPr>
            <w:tcW w:w="250" w:type="pct"/>
            <w:tcBorders>
              <w:top w:val="nil"/>
              <w:left w:val="nil"/>
              <w:bottom w:val="single" w:sz="8" w:space="0" w:color="auto"/>
              <w:right w:val="single" w:sz="8" w:space="0" w:color="auto"/>
            </w:tcBorders>
            <w:shd w:val="clear" w:color="auto" w:fill="auto"/>
            <w:noWrap/>
            <w:vAlign w:val="center"/>
            <w:hideMark/>
          </w:tcPr>
          <w:p w14:paraId="4D992D6B"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6,000 </w:t>
            </w:r>
          </w:p>
        </w:tc>
        <w:tc>
          <w:tcPr>
            <w:tcW w:w="250" w:type="pct"/>
            <w:tcBorders>
              <w:top w:val="nil"/>
              <w:left w:val="nil"/>
              <w:bottom w:val="single" w:sz="8" w:space="0" w:color="auto"/>
              <w:right w:val="single" w:sz="8" w:space="0" w:color="auto"/>
            </w:tcBorders>
            <w:shd w:val="clear" w:color="auto" w:fill="auto"/>
            <w:noWrap/>
            <w:vAlign w:val="center"/>
            <w:hideMark/>
          </w:tcPr>
          <w:p w14:paraId="0870344C"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27,900 </w:t>
            </w:r>
          </w:p>
        </w:tc>
        <w:tc>
          <w:tcPr>
            <w:tcW w:w="261" w:type="pct"/>
            <w:tcBorders>
              <w:top w:val="nil"/>
              <w:left w:val="nil"/>
              <w:bottom w:val="single" w:sz="8" w:space="0" w:color="auto"/>
              <w:right w:val="single" w:sz="8" w:space="0" w:color="auto"/>
            </w:tcBorders>
            <w:shd w:val="clear" w:color="auto" w:fill="auto"/>
            <w:noWrap/>
            <w:vAlign w:val="center"/>
            <w:hideMark/>
          </w:tcPr>
          <w:p w14:paraId="5392F397"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100,800 </w:t>
            </w:r>
          </w:p>
        </w:tc>
        <w:tc>
          <w:tcPr>
            <w:tcW w:w="183" w:type="pct"/>
            <w:tcBorders>
              <w:top w:val="nil"/>
              <w:left w:val="nil"/>
              <w:bottom w:val="single" w:sz="8" w:space="0" w:color="auto"/>
              <w:right w:val="single" w:sz="8" w:space="0" w:color="auto"/>
            </w:tcBorders>
            <w:shd w:val="clear" w:color="auto" w:fill="auto"/>
            <w:vAlign w:val="center"/>
            <w:hideMark/>
          </w:tcPr>
          <w:p w14:paraId="4797D999" w14:textId="77777777" w:rsidR="00601D9B" w:rsidRDefault="000E53A0">
            <w:pPr>
              <w:jc w:val="center"/>
              <w:rPr>
                <w:i/>
                <w:iCs/>
                <w:color w:val="000000"/>
                <w:sz w:val="18"/>
                <w:szCs w:val="18"/>
                <w:lang w:val="en-US" w:eastAsia="en-US"/>
              </w:rPr>
            </w:pPr>
            <w:r w:rsidRPr="00107491">
              <w:rPr>
                <w:i/>
                <w:iCs/>
                <w:color w:val="000000"/>
                <w:sz w:val="18"/>
                <w:szCs w:val="18"/>
                <w:lang w:val="en-US" w:eastAsia="en-US"/>
              </w:rPr>
              <w:t>36</w:t>
            </w:r>
          </w:p>
        </w:tc>
        <w:tc>
          <w:tcPr>
            <w:tcW w:w="35" w:type="pct"/>
            <w:vAlign w:val="center"/>
            <w:hideMark/>
          </w:tcPr>
          <w:p w14:paraId="27839215" w14:textId="77777777" w:rsidR="00107491" w:rsidRPr="00107491" w:rsidRDefault="00107491" w:rsidP="00107491">
            <w:pPr>
              <w:rPr>
                <w:sz w:val="20"/>
                <w:szCs w:val="20"/>
                <w:lang w:val="en-US" w:eastAsia="en-US"/>
              </w:rPr>
            </w:pPr>
          </w:p>
        </w:tc>
      </w:tr>
      <w:tr w:rsidR="00107491" w:rsidRPr="00107491" w14:paraId="6E9587D5" w14:textId="77777777" w:rsidTr="00107491">
        <w:trPr>
          <w:trHeight w:val="670"/>
        </w:trPr>
        <w:tc>
          <w:tcPr>
            <w:tcW w:w="1056" w:type="pct"/>
            <w:tcBorders>
              <w:top w:val="nil"/>
              <w:left w:val="single" w:sz="8" w:space="0" w:color="auto"/>
              <w:bottom w:val="nil"/>
              <w:right w:val="nil"/>
            </w:tcBorders>
            <w:shd w:val="clear" w:color="auto" w:fill="auto"/>
            <w:vAlign w:val="center"/>
            <w:hideMark/>
          </w:tcPr>
          <w:p w14:paraId="654504C2" w14:textId="77777777" w:rsidR="00601D9B" w:rsidRPr="000E53A0" w:rsidRDefault="000E53A0">
            <w:pPr>
              <w:jc w:val="center"/>
              <w:rPr>
                <w:i/>
                <w:iCs/>
                <w:color w:val="000000"/>
                <w:sz w:val="18"/>
                <w:szCs w:val="18"/>
                <w:lang w:val="fr-FR" w:eastAsia="en-US"/>
              </w:rPr>
            </w:pPr>
            <w:r w:rsidRPr="000E53A0">
              <w:rPr>
                <w:i/>
                <w:iCs/>
                <w:color w:val="000000"/>
                <w:sz w:val="18"/>
                <w:szCs w:val="18"/>
                <w:lang w:val="fr-FR" w:eastAsia="en-US"/>
              </w:rPr>
              <w:t>Suivi et évaluation et gestion des connaissances pour le passage à l'échelle supérieure</w:t>
            </w:r>
          </w:p>
        </w:tc>
        <w:tc>
          <w:tcPr>
            <w:tcW w:w="381" w:type="pct"/>
            <w:vMerge/>
            <w:tcBorders>
              <w:top w:val="nil"/>
              <w:left w:val="single" w:sz="8" w:space="0" w:color="auto"/>
              <w:bottom w:val="double" w:sz="6" w:space="0" w:color="000000"/>
              <w:right w:val="single" w:sz="8" w:space="0" w:color="auto"/>
            </w:tcBorders>
            <w:vAlign w:val="center"/>
            <w:hideMark/>
          </w:tcPr>
          <w:p w14:paraId="23D46DCE" w14:textId="77777777" w:rsidR="00107491" w:rsidRPr="000E53A0" w:rsidRDefault="00107491" w:rsidP="00107491">
            <w:pPr>
              <w:rPr>
                <w:b/>
                <w:bCs/>
                <w:color w:val="000000"/>
                <w:sz w:val="18"/>
                <w:szCs w:val="18"/>
                <w:lang w:val="fr-FR" w:eastAsia="en-US"/>
              </w:rPr>
            </w:pPr>
          </w:p>
        </w:tc>
        <w:tc>
          <w:tcPr>
            <w:tcW w:w="453" w:type="pct"/>
            <w:tcBorders>
              <w:top w:val="nil"/>
              <w:left w:val="nil"/>
              <w:bottom w:val="nil"/>
              <w:right w:val="nil"/>
            </w:tcBorders>
            <w:shd w:val="clear" w:color="auto" w:fill="auto"/>
            <w:vAlign w:val="center"/>
            <w:hideMark/>
          </w:tcPr>
          <w:p w14:paraId="27853DD2" w14:textId="77777777" w:rsidR="00107491" w:rsidRPr="000E53A0" w:rsidRDefault="00107491" w:rsidP="00107491">
            <w:pPr>
              <w:jc w:val="center"/>
              <w:rPr>
                <w:i/>
                <w:iCs/>
                <w:color w:val="000000"/>
                <w:sz w:val="18"/>
                <w:szCs w:val="18"/>
                <w:lang w:val="fr-FR" w:eastAsia="en-US"/>
              </w:rPr>
            </w:pPr>
          </w:p>
        </w:tc>
        <w:tc>
          <w:tcPr>
            <w:tcW w:w="388" w:type="pct"/>
            <w:tcBorders>
              <w:top w:val="nil"/>
              <w:left w:val="single" w:sz="8" w:space="0" w:color="auto"/>
              <w:bottom w:val="nil"/>
              <w:right w:val="single" w:sz="8" w:space="0" w:color="auto"/>
            </w:tcBorders>
            <w:shd w:val="clear" w:color="auto" w:fill="auto"/>
            <w:vAlign w:val="center"/>
            <w:hideMark/>
          </w:tcPr>
          <w:p w14:paraId="3DA16DCB" w14:textId="77777777" w:rsidR="00107491" w:rsidRPr="000E53A0" w:rsidRDefault="00107491" w:rsidP="00107491">
            <w:pPr>
              <w:jc w:val="center"/>
              <w:rPr>
                <w:b/>
                <w:bCs/>
                <w:color w:val="000000"/>
                <w:sz w:val="18"/>
                <w:szCs w:val="18"/>
                <w:lang w:val="fr-FR" w:eastAsia="en-US"/>
              </w:rPr>
            </w:pPr>
            <w:r w:rsidRPr="000E53A0">
              <w:rPr>
                <w:b/>
                <w:bCs/>
                <w:color w:val="000000"/>
                <w:sz w:val="18"/>
                <w:szCs w:val="18"/>
                <w:lang w:val="fr-FR" w:eastAsia="en-US"/>
              </w:rPr>
              <w:t> </w:t>
            </w:r>
          </w:p>
        </w:tc>
        <w:tc>
          <w:tcPr>
            <w:tcW w:w="258" w:type="pct"/>
            <w:tcBorders>
              <w:top w:val="nil"/>
              <w:left w:val="nil"/>
              <w:bottom w:val="single" w:sz="8" w:space="0" w:color="auto"/>
              <w:right w:val="single" w:sz="8" w:space="0" w:color="auto"/>
            </w:tcBorders>
            <w:shd w:val="clear" w:color="auto" w:fill="auto"/>
            <w:noWrap/>
            <w:vAlign w:val="center"/>
            <w:hideMark/>
          </w:tcPr>
          <w:p w14:paraId="74FDC9AD" w14:textId="77777777" w:rsidR="00601D9B" w:rsidRDefault="000E53A0">
            <w:pPr>
              <w:rPr>
                <w:color w:val="000000"/>
                <w:sz w:val="18"/>
                <w:szCs w:val="18"/>
                <w:lang w:val="en-US" w:eastAsia="en-US"/>
              </w:rPr>
            </w:pPr>
            <w:r w:rsidRPr="00107491">
              <w:rPr>
                <w:color w:val="000000"/>
                <w:sz w:val="18"/>
                <w:szCs w:val="18"/>
                <w:lang w:val="en-US" w:eastAsia="en-US"/>
              </w:rPr>
              <w:t>72100</w:t>
            </w:r>
          </w:p>
        </w:tc>
        <w:tc>
          <w:tcPr>
            <w:tcW w:w="458" w:type="pct"/>
            <w:tcBorders>
              <w:top w:val="single" w:sz="8" w:space="0" w:color="auto"/>
              <w:left w:val="nil"/>
              <w:bottom w:val="nil"/>
              <w:right w:val="single" w:sz="8" w:space="0" w:color="auto"/>
            </w:tcBorders>
            <w:shd w:val="clear" w:color="auto" w:fill="auto"/>
            <w:vAlign w:val="center"/>
            <w:hideMark/>
          </w:tcPr>
          <w:p w14:paraId="472EF63F" w14:textId="77777777" w:rsidR="00601D9B" w:rsidRDefault="000E53A0">
            <w:pPr>
              <w:rPr>
                <w:color w:val="000000"/>
                <w:sz w:val="18"/>
                <w:szCs w:val="18"/>
                <w:lang w:val="en-US" w:eastAsia="en-US"/>
              </w:rPr>
            </w:pPr>
            <w:r w:rsidRPr="00107491">
              <w:rPr>
                <w:color w:val="000000"/>
                <w:sz w:val="18"/>
                <w:szCs w:val="18"/>
                <w:lang w:val="en-US" w:eastAsia="en-US"/>
              </w:rPr>
              <w:t>Services contractuels - Entreprises</w:t>
            </w:r>
          </w:p>
        </w:tc>
        <w:tc>
          <w:tcPr>
            <w:tcW w:w="254" w:type="pct"/>
            <w:tcBorders>
              <w:top w:val="nil"/>
              <w:left w:val="nil"/>
              <w:bottom w:val="single" w:sz="8" w:space="0" w:color="auto"/>
              <w:right w:val="single" w:sz="8" w:space="0" w:color="auto"/>
            </w:tcBorders>
            <w:shd w:val="clear" w:color="auto" w:fill="auto"/>
            <w:noWrap/>
            <w:vAlign w:val="center"/>
            <w:hideMark/>
          </w:tcPr>
          <w:p w14:paraId="6FA9A739"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14,167 </w:t>
            </w:r>
          </w:p>
        </w:tc>
        <w:tc>
          <w:tcPr>
            <w:tcW w:w="273" w:type="pct"/>
            <w:tcBorders>
              <w:top w:val="nil"/>
              <w:left w:val="nil"/>
              <w:bottom w:val="single" w:sz="8" w:space="0" w:color="auto"/>
              <w:right w:val="single" w:sz="8" w:space="0" w:color="auto"/>
            </w:tcBorders>
            <w:shd w:val="clear" w:color="auto" w:fill="auto"/>
            <w:noWrap/>
            <w:vAlign w:val="center"/>
            <w:hideMark/>
          </w:tcPr>
          <w:p w14:paraId="5A813BD4"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14,167 </w:t>
            </w:r>
          </w:p>
        </w:tc>
        <w:tc>
          <w:tcPr>
            <w:tcW w:w="250" w:type="pct"/>
            <w:tcBorders>
              <w:top w:val="nil"/>
              <w:left w:val="nil"/>
              <w:bottom w:val="single" w:sz="8" w:space="0" w:color="auto"/>
              <w:right w:val="single" w:sz="8" w:space="0" w:color="auto"/>
            </w:tcBorders>
            <w:shd w:val="clear" w:color="auto" w:fill="auto"/>
            <w:noWrap/>
            <w:vAlign w:val="center"/>
            <w:hideMark/>
          </w:tcPr>
          <w:p w14:paraId="2AE11340"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14,167 </w:t>
            </w:r>
          </w:p>
        </w:tc>
        <w:tc>
          <w:tcPr>
            <w:tcW w:w="250" w:type="pct"/>
            <w:tcBorders>
              <w:top w:val="nil"/>
              <w:left w:val="nil"/>
              <w:bottom w:val="single" w:sz="8" w:space="0" w:color="auto"/>
              <w:right w:val="single" w:sz="8" w:space="0" w:color="auto"/>
            </w:tcBorders>
            <w:shd w:val="clear" w:color="auto" w:fill="auto"/>
            <w:noWrap/>
            <w:vAlign w:val="center"/>
            <w:hideMark/>
          </w:tcPr>
          <w:p w14:paraId="17AC52EC"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14,167 </w:t>
            </w:r>
          </w:p>
        </w:tc>
        <w:tc>
          <w:tcPr>
            <w:tcW w:w="250" w:type="pct"/>
            <w:tcBorders>
              <w:top w:val="nil"/>
              <w:left w:val="nil"/>
              <w:bottom w:val="single" w:sz="8" w:space="0" w:color="auto"/>
              <w:right w:val="single" w:sz="8" w:space="0" w:color="auto"/>
            </w:tcBorders>
            <w:shd w:val="clear" w:color="auto" w:fill="auto"/>
            <w:noWrap/>
            <w:vAlign w:val="center"/>
            <w:hideMark/>
          </w:tcPr>
          <w:p w14:paraId="48F5E4F3"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14,167 </w:t>
            </w:r>
          </w:p>
        </w:tc>
        <w:tc>
          <w:tcPr>
            <w:tcW w:w="250" w:type="pct"/>
            <w:tcBorders>
              <w:top w:val="nil"/>
              <w:left w:val="nil"/>
              <w:bottom w:val="single" w:sz="8" w:space="0" w:color="auto"/>
              <w:right w:val="single" w:sz="8" w:space="0" w:color="auto"/>
            </w:tcBorders>
            <w:shd w:val="clear" w:color="auto" w:fill="auto"/>
            <w:noWrap/>
            <w:vAlign w:val="center"/>
            <w:hideMark/>
          </w:tcPr>
          <w:p w14:paraId="1C5D277B"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14,167 </w:t>
            </w:r>
          </w:p>
        </w:tc>
        <w:tc>
          <w:tcPr>
            <w:tcW w:w="261" w:type="pct"/>
            <w:tcBorders>
              <w:top w:val="nil"/>
              <w:left w:val="nil"/>
              <w:bottom w:val="single" w:sz="8" w:space="0" w:color="auto"/>
              <w:right w:val="single" w:sz="8" w:space="0" w:color="auto"/>
            </w:tcBorders>
            <w:shd w:val="clear" w:color="auto" w:fill="auto"/>
            <w:noWrap/>
            <w:vAlign w:val="center"/>
            <w:hideMark/>
          </w:tcPr>
          <w:p w14:paraId="3CC04E0F"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85,000 </w:t>
            </w:r>
          </w:p>
        </w:tc>
        <w:tc>
          <w:tcPr>
            <w:tcW w:w="183" w:type="pct"/>
            <w:tcBorders>
              <w:top w:val="nil"/>
              <w:left w:val="nil"/>
              <w:bottom w:val="single" w:sz="8" w:space="0" w:color="auto"/>
              <w:right w:val="single" w:sz="8" w:space="0" w:color="auto"/>
            </w:tcBorders>
            <w:shd w:val="clear" w:color="auto" w:fill="auto"/>
            <w:vAlign w:val="center"/>
            <w:hideMark/>
          </w:tcPr>
          <w:p w14:paraId="387F6E04" w14:textId="77777777" w:rsidR="00601D9B" w:rsidRDefault="000E53A0">
            <w:pPr>
              <w:jc w:val="center"/>
              <w:rPr>
                <w:i/>
                <w:iCs/>
                <w:color w:val="000000"/>
                <w:sz w:val="18"/>
                <w:szCs w:val="18"/>
                <w:lang w:val="en-US" w:eastAsia="en-US"/>
              </w:rPr>
            </w:pPr>
            <w:r w:rsidRPr="00107491">
              <w:rPr>
                <w:i/>
                <w:iCs/>
                <w:color w:val="000000"/>
                <w:sz w:val="18"/>
                <w:szCs w:val="18"/>
                <w:lang w:val="en-US" w:eastAsia="en-US"/>
              </w:rPr>
              <w:t>37</w:t>
            </w:r>
          </w:p>
        </w:tc>
        <w:tc>
          <w:tcPr>
            <w:tcW w:w="35" w:type="pct"/>
            <w:vAlign w:val="center"/>
            <w:hideMark/>
          </w:tcPr>
          <w:p w14:paraId="0BAC5DC2" w14:textId="77777777" w:rsidR="00107491" w:rsidRPr="00107491" w:rsidRDefault="00107491" w:rsidP="00107491">
            <w:pPr>
              <w:rPr>
                <w:sz w:val="20"/>
                <w:szCs w:val="20"/>
                <w:lang w:val="en-US" w:eastAsia="en-US"/>
              </w:rPr>
            </w:pPr>
          </w:p>
        </w:tc>
      </w:tr>
      <w:tr w:rsidR="00107491" w:rsidRPr="00107491" w14:paraId="25AC09DA" w14:textId="77777777" w:rsidTr="00107491">
        <w:trPr>
          <w:trHeight w:val="300"/>
        </w:trPr>
        <w:tc>
          <w:tcPr>
            <w:tcW w:w="1056" w:type="pct"/>
            <w:tcBorders>
              <w:top w:val="nil"/>
              <w:left w:val="single" w:sz="8" w:space="0" w:color="auto"/>
              <w:bottom w:val="nil"/>
              <w:right w:val="nil"/>
            </w:tcBorders>
            <w:shd w:val="clear" w:color="auto" w:fill="auto"/>
            <w:noWrap/>
            <w:vAlign w:val="center"/>
            <w:hideMark/>
          </w:tcPr>
          <w:p w14:paraId="7988E498" w14:textId="77777777" w:rsidR="00107491" w:rsidRPr="00107491" w:rsidRDefault="00107491" w:rsidP="00107491">
            <w:pPr>
              <w:rPr>
                <w:rFonts w:ascii="Calibri" w:hAnsi="Calibri" w:cs="Calibri"/>
                <w:color w:val="000000"/>
                <w:sz w:val="18"/>
                <w:szCs w:val="18"/>
                <w:lang w:val="en-US" w:eastAsia="en-US"/>
              </w:rPr>
            </w:pPr>
            <w:r w:rsidRPr="00107491">
              <w:rPr>
                <w:rFonts w:ascii="Calibri" w:hAnsi="Calibri" w:cs="Calibri"/>
                <w:color w:val="000000"/>
                <w:sz w:val="18"/>
                <w:szCs w:val="18"/>
                <w:lang w:val="en-US" w:eastAsia="en-US"/>
              </w:rPr>
              <w:t> </w:t>
            </w:r>
          </w:p>
        </w:tc>
        <w:tc>
          <w:tcPr>
            <w:tcW w:w="381" w:type="pct"/>
            <w:vMerge/>
            <w:tcBorders>
              <w:top w:val="nil"/>
              <w:left w:val="single" w:sz="8" w:space="0" w:color="auto"/>
              <w:bottom w:val="double" w:sz="6" w:space="0" w:color="000000"/>
              <w:right w:val="single" w:sz="8" w:space="0" w:color="auto"/>
            </w:tcBorders>
            <w:vAlign w:val="center"/>
            <w:hideMark/>
          </w:tcPr>
          <w:p w14:paraId="13B6A2EB" w14:textId="77777777" w:rsidR="00107491" w:rsidRPr="00107491" w:rsidRDefault="00107491" w:rsidP="00107491">
            <w:pPr>
              <w:rPr>
                <w:b/>
                <w:bCs/>
                <w:color w:val="000000"/>
                <w:sz w:val="18"/>
                <w:szCs w:val="18"/>
                <w:lang w:val="en-US" w:eastAsia="en-US"/>
              </w:rPr>
            </w:pPr>
          </w:p>
        </w:tc>
        <w:tc>
          <w:tcPr>
            <w:tcW w:w="453" w:type="pct"/>
            <w:tcBorders>
              <w:top w:val="nil"/>
              <w:left w:val="nil"/>
              <w:bottom w:val="nil"/>
              <w:right w:val="nil"/>
            </w:tcBorders>
            <w:shd w:val="clear" w:color="auto" w:fill="auto"/>
            <w:vAlign w:val="center"/>
            <w:hideMark/>
          </w:tcPr>
          <w:p w14:paraId="6094C30C" w14:textId="77777777" w:rsidR="00107491" w:rsidRPr="00107491" w:rsidRDefault="00107491" w:rsidP="00107491">
            <w:pPr>
              <w:rPr>
                <w:rFonts w:ascii="Calibri" w:hAnsi="Calibri" w:cs="Calibri"/>
                <w:color w:val="000000"/>
                <w:sz w:val="18"/>
                <w:szCs w:val="18"/>
                <w:lang w:val="en-US" w:eastAsia="en-US"/>
              </w:rPr>
            </w:pPr>
          </w:p>
        </w:tc>
        <w:tc>
          <w:tcPr>
            <w:tcW w:w="388" w:type="pct"/>
            <w:tcBorders>
              <w:top w:val="nil"/>
              <w:left w:val="single" w:sz="8" w:space="0" w:color="auto"/>
              <w:bottom w:val="nil"/>
              <w:right w:val="single" w:sz="8" w:space="0" w:color="auto"/>
            </w:tcBorders>
            <w:shd w:val="clear" w:color="auto" w:fill="auto"/>
            <w:vAlign w:val="center"/>
            <w:hideMark/>
          </w:tcPr>
          <w:p w14:paraId="460B8D9C" w14:textId="77777777" w:rsidR="00107491" w:rsidRPr="00107491" w:rsidRDefault="00107491" w:rsidP="00107491">
            <w:pPr>
              <w:jc w:val="center"/>
              <w:rPr>
                <w:b/>
                <w:bCs/>
                <w:color w:val="000000"/>
                <w:sz w:val="18"/>
                <w:szCs w:val="18"/>
                <w:lang w:val="en-US" w:eastAsia="en-US"/>
              </w:rPr>
            </w:pPr>
            <w:r w:rsidRPr="00107491">
              <w:rPr>
                <w:b/>
                <w:bCs/>
                <w:color w:val="000000"/>
                <w:sz w:val="18"/>
                <w:szCs w:val="18"/>
                <w:lang w:val="en-US" w:eastAsia="en-US"/>
              </w:rPr>
              <w:t> </w:t>
            </w:r>
          </w:p>
        </w:tc>
        <w:tc>
          <w:tcPr>
            <w:tcW w:w="258" w:type="pct"/>
            <w:tcBorders>
              <w:top w:val="nil"/>
              <w:left w:val="nil"/>
              <w:bottom w:val="single" w:sz="8" w:space="0" w:color="auto"/>
              <w:right w:val="single" w:sz="8" w:space="0" w:color="auto"/>
            </w:tcBorders>
            <w:shd w:val="clear" w:color="auto" w:fill="auto"/>
            <w:noWrap/>
            <w:vAlign w:val="center"/>
            <w:hideMark/>
          </w:tcPr>
          <w:p w14:paraId="444462E0" w14:textId="77777777" w:rsidR="00601D9B" w:rsidRDefault="000E53A0">
            <w:pPr>
              <w:rPr>
                <w:color w:val="000000"/>
                <w:sz w:val="18"/>
                <w:szCs w:val="18"/>
                <w:lang w:val="en-US" w:eastAsia="en-US"/>
              </w:rPr>
            </w:pPr>
            <w:r w:rsidRPr="00107491">
              <w:rPr>
                <w:color w:val="000000"/>
                <w:sz w:val="18"/>
                <w:szCs w:val="18"/>
                <w:lang w:val="en-US" w:eastAsia="en-US"/>
              </w:rPr>
              <w:t>71600</w:t>
            </w:r>
          </w:p>
        </w:tc>
        <w:tc>
          <w:tcPr>
            <w:tcW w:w="458" w:type="pct"/>
            <w:tcBorders>
              <w:top w:val="single" w:sz="8" w:space="0" w:color="auto"/>
              <w:left w:val="nil"/>
              <w:bottom w:val="nil"/>
              <w:right w:val="single" w:sz="8" w:space="0" w:color="auto"/>
            </w:tcBorders>
            <w:shd w:val="clear" w:color="auto" w:fill="auto"/>
            <w:vAlign w:val="center"/>
            <w:hideMark/>
          </w:tcPr>
          <w:p w14:paraId="0E9216FA" w14:textId="77777777" w:rsidR="00601D9B" w:rsidRDefault="000E53A0">
            <w:pPr>
              <w:rPr>
                <w:color w:val="000000"/>
                <w:sz w:val="18"/>
                <w:szCs w:val="18"/>
                <w:lang w:val="en-US" w:eastAsia="en-US"/>
              </w:rPr>
            </w:pPr>
            <w:r w:rsidRPr="00107491">
              <w:rPr>
                <w:color w:val="000000"/>
                <w:sz w:val="18"/>
                <w:szCs w:val="18"/>
                <w:lang w:val="en-US" w:eastAsia="en-US"/>
              </w:rPr>
              <w:t>Voyage</w:t>
            </w:r>
          </w:p>
        </w:tc>
        <w:tc>
          <w:tcPr>
            <w:tcW w:w="254" w:type="pct"/>
            <w:tcBorders>
              <w:top w:val="nil"/>
              <w:left w:val="nil"/>
              <w:bottom w:val="single" w:sz="8" w:space="0" w:color="auto"/>
              <w:right w:val="single" w:sz="8" w:space="0" w:color="auto"/>
            </w:tcBorders>
            <w:shd w:val="clear" w:color="auto" w:fill="auto"/>
            <w:noWrap/>
            <w:vAlign w:val="center"/>
            <w:hideMark/>
          </w:tcPr>
          <w:p w14:paraId="15882201"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15,583 </w:t>
            </w:r>
          </w:p>
        </w:tc>
        <w:tc>
          <w:tcPr>
            <w:tcW w:w="273" w:type="pct"/>
            <w:tcBorders>
              <w:top w:val="nil"/>
              <w:left w:val="nil"/>
              <w:bottom w:val="single" w:sz="8" w:space="0" w:color="auto"/>
              <w:right w:val="single" w:sz="8" w:space="0" w:color="auto"/>
            </w:tcBorders>
            <w:shd w:val="clear" w:color="auto" w:fill="auto"/>
            <w:noWrap/>
            <w:vAlign w:val="center"/>
            <w:hideMark/>
          </w:tcPr>
          <w:p w14:paraId="228D4826"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8,583 </w:t>
            </w:r>
          </w:p>
        </w:tc>
        <w:tc>
          <w:tcPr>
            <w:tcW w:w="250" w:type="pct"/>
            <w:tcBorders>
              <w:top w:val="nil"/>
              <w:left w:val="nil"/>
              <w:bottom w:val="single" w:sz="8" w:space="0" w:color="auto"/>
              <w:right w:val="single" w:sz="8" w:space="0" w:color="auto"/>
            </w:tcBorders>
            <w:shd w:val="clear" w:color="auto" w:fill="auto"/>
            <w:noWrap/>
            <w:vAlign w:val="center"/>
            <w:hideMark/>
          </w:tcPr>
          <w:p w14:paraId="21158DBB"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15,583 </w:t>
            </w:r>
          </w:p>
        </w:tc>
        <w:tc>
          <w:tcPr>
            <w:tcW w:w="250" w:type="pct"/>
            <w:tcBorders>
              <w:top w:val="nil"/>
              <w:left w:val="nil"/>
              <w:bottom w:val="single" w:sz="8" w:space="0" w:color="auto"/>
              <w:right w:val="single" w:sz="8" w:space="0" w:color="auto"/>
            </w:tcBorders>
            <w:shd w:val="clear" w:color="auto" w:fill="auto"/>
            <w:noWrap/>
            <w:vAlign w:val="center"/>
            <w:hideMark/>
          </w:tcPr>
          <w:p w14:paraId="52EB140D"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8,583 </w:t>
            </w:r>
          </w:p>
        </w:tc>
        <w:tc>
          <w:tcPr>
            <w:tcW w:w="250" w:type="pct"/>
            <w:tcBorders>
              <w:top w:val="nil"/>
              <w:left w:val="nil"/>
              <w:bottom w:val="single" w:sz="8" w:space="0" w:color="auto"/>
              <w:right w:val="single" w:sz="8" w:space="0" w:color="auto"/>
            </w:tcBorders>
            <w:shd w:val="clear" w:color="auto" w:fill="auto"/>
            <w:noWrap/>
            <w:vAlign w:val="center"/>
            <w:hideMark/>
          </w:tcPr>
          <w:p w14:paraId="1F6D1DC0"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8,583 </w:t>
            </w:r>
          </w:p>
        </w:tc>
        <w:tc>
          <w:tcPr>
            <w:tcW w:w="250" w:type="pct"/>
            <w:tcBorders>
              <w:top w:val="nil"/>
              <w:left w:val="nil"/>
              <w:bottom w:val="single" w:sz="8" w:space="0" w:color="auto"/>
              <w:right w:val="single" w:sz="8" w:space="0" w:color="auto"/>
            </w:tcBorders>
            <w:shd w:val="clear" w:color="auto" w:fill="auto"/>
            <w:noWrap/>
            <w:vAlign w:val="center"/>
            <w:hideMark/>
          </w:tcPr>
          <w:p w14:paraId="381B1F39"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15,583 </w:t>
            </w:r>
          </w:p>
        </w:tc>
        <w:tc>
          <w:tcPr>
            <w:tcW w:w="261" w:type="pct"/>
            <w:tcBorders>
              <w:top w:val="nil"/>
              <w:left w:val="nil"/>
              <w:bottom w:val="single" w:sz="8" w:space="0" w:color="auto"/>
              <w:right w:val="single" w:sz="8" w:space="0" w:color="auto"/>
            </w:tcBorders>
            <w:shd w:val="clear" w:color="auto" w:fill="auto"/>
            <w:noWrap/>
            <w:vAlign w:val="center"/>
            <w:hideMark/>
          </w:tcPr>
          <w:p w14:paraId="0389AAB2"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72,500 </w:t>
            </w:r>
          </w:p>
        </w:tc>
        <w:tc>
          <w:tcPr>
            <w:tcW w:w="183" w:type="pct"/>
            <w:tcBorders>
              <w:top w:val="nil"/>
              <w:left w:val="nil"/>
              <w:bottom w:val="single" w:sz="8" w:space="0" w:color="auto"/>
              <w:right w:val="single" w:sz="8" w:space="0" w:color="auto"/>
            </w:tcBorders>
            <w:shd w:val="clear" w:color="auto" w:fill="auto"/>
            <w:vAlign w:val="center"/>
            <w:hideMark/>
          </w:tcPr>
          <w:p w14:paraId="53663219" w14:textId="77777777" w:rsidR="00601D9B" w:rsidRDefault="000E53A0">
            <w:pPr>
              <w:jc w:val="center"/>
              <w:rPr>
                <w:i/>
                <w:iCs/>
                <w:color w:val="000000"/>
                <w:sz w:val="18"/>
                <w:szCs w:val="18"/>
                <w:lang w:val="en-US" w:eastAsia="en-US"/>
              </w:rPr>
            </w:pPr>
            <w:r w:rsidRPr="00107491">
              <w:rPr>
                <w:i/>
                <w:iCs/>
                <w:color w:val="000000"/>
                <w:sz w:val="18"/>
                <w:szCs w:val="18"/>
                <w:lang w:val="en-US" w:eastAsia="en-US"/>
              </w:rPr>
              <w:t>38</w:t>
            </w:r>
          </w:p>
        </w:tc>
        <w:tc>
          <w:tcPr>
            <w:tcW w:w="35" w:type="pct"/>
            <w:vAlign w:val="center"/>
            <w:hideMark/>
          </w:tcPr>
          <w:p w14:paraId="129CD535" w14:textId="77777777" w:rsidR="00107491" w:rsidRPr="00107491" w:rsidRDefault="00107491" w:rsidP="00107491">
            <w:pPr>
              <w:rPr>
                <w:sz w:val="20"/>
                <w:szCs w:val="20"/>
                <w:lang w:val="en-US" w:eastAsia="en-US"/>
              </w:rPr>
            </w:pPr>
          </w:p>
        </w:tc>
      </w:tr>
      <w:tr w:rsidR="00107491" w:rsidRPr="00107491" w14:paraId="6B896ABB" w14:textId="77777777" w:rsidTr="00107491">
        <w:trPr>
          <w:trHeight w:val="300"/>
        </w:trPr>
        <w:tc>
          <w:tcPr>
            <w:tcW w:w="1056" w:type="pct"/>
            <w:tcBorders>
              <w:top w:val="nil"/>
              <w:left w:val="single" w:sz="8" w:space="0" w:color="auto"/>
              <w:bottom w:val="nil"/>
              <w:right w:val="nil"/>
            </w:tcBorders>
            <w:shd w:val="clear" w:color="auto" w:fill="auto"/>
            <w:noWrap/>
            <w:vAlign w:val="center"/>
            <w:hideMark/>
          </w:tcPr>
          <w:p w14:paraId="5402C17E" w14:textId="77777777" w:rsidR="00107491" w:rsidRPr="00107491" w:rsidRDefault="00107491" w:rsidP="00107491">
            <w:pPr>
              <w:rPr>
                <w:rFonts w:ascii="Calibri" w:hAnsi="Calibri" w:cs="Calibri"/>
                <w:color w:val="000000"/>
                <w:sz w:val="18"/>
                <w:szCs w:val="18"/>
                <w:lang w:val="en-US" w:eastAsia="en-US"/>
              </w:rPr>
            </w:pPr>
            <w:r w:rsidRPr="00107491">
              <w:rPr>
                <w:rFonts w:ascii="Calibri" w:hAnsi="Calibri" w:cs="Calibri"/>
                <w:color w:val="000000"/>
                <w:sz w:val="18"/>
                <w:szCs w:val="18"/>
                <w:lang w:val="en-US" w:eastAsia="en-US"/>
              </w:rPr>
              <w:t> </w:t>
            </w:r>
          </w:p>
        </w:tc>
        <w:tc>
          <w:tcPr>
            <w:tcW w:w="381" w:type="pct"/>
            <w:vMerge/>
            <w:tcBorders>
              <w:top w:val="nil"/>
              <w:left w:val="single" w:sz="8" w:space="0" w:color="auto"/>
              <w:bottom w:val="double" w:sz="6" w:space="0" w:color="000000"/>
              <w:right w:val="single" w:sz="8" w:space="0" w:color="auto"/>
            </w:tcBorders>
            <w:vAlign w:val="center"/>
            <w:hideMark/>
          </w:tcPr>
          <w:p w14:paraId="08C5DBB0" w14:textId="77777777" w:rsidR="00107491" w:rsidRPr="00107491" w:rsidRDefault="00107491" w:rsidP="00107491">
            <w:pPr>
              <w:rPr>
                <w:b/>
                <w:bCs/>
                <w:color w:val="000000"/>
                <w:sz w:val="18"/>
                <w:szCs w:val="18"/>
                <w:lang w:val="en-US" w:eastAsia="en-US"/>
              </w:rPr>
            </w:pPr>
          </w:p>
        </w:tc>
        <w:tc>
          <w:tcPr>
            <w:tcW w:w="453" w:type="pct"/>
            <w:tcBorders>
              <w:top w:val="nil"/>
              <w:left w:val="nil"/>
              <w:bottom w:val="nil"/>
              <w:right w:val="nil"/>
            </w:tcBorders>
            <w:shd w:val="clear" w:color="auto" w:fill="auto"/>
            <w:vAlign w:val="center"/>
            <w:hideMark/>
          </w:tcPr>
          <w:p w14:paraId="2989AB68" w14:textId="77777777" w:rsidR="00107491" w:rsidRPr="00107491" w:rsidRDefault="00107491" w:rsidP="00107491">
            <w:pPr>
              <w:rPr>
                <w:rFonts w:ascii="Calibri" w:hAnsi="Calibri" w:cs="Calibri"/>
                <w:color w:val="000000"/>
                <w:sz w:val="18"/>
                <w:szCs w:val="18"/>
                <w:lang w:val="en-US" w:eastAsia="en-US"/>
              </w:rPr>
            </w:pPr>
          </w:p>
        </w:tc>
        <w:tc>
          <w:tcPr>
            <w:tcW w:w="388" w:type="pct"/>
            <w:tcBorders>
              <w:top w:val="nil"/>
              <w:left w:val="single" w:sz="8" w:space="0" w:color="auto"/>
              <w:bottom w:val="nil"/>
              <w:right w:val="single" w:sz="8" w:space="0" w:color="auto"/>
            </w:tcBorders>
            <w:shd w:val="clear" w:color="auto" w:fill="auto"/>
            <w:vAlign w:val="center"/>
            <w:hideMark/>
          </w:tcPr>
          <w:p w14:paraId="21817EAA" w14:textId="77777777" w:rsidR="00107491" w:rsidRPr="00107491" w:rsidRDefault="00107491" w:rsidP="00107491">
            <w:pPr>
              <w:jc w:val="center"/>
              <w:rPr>
                <w:b/>
                <w:bCs/>
                <w:color w:val="000000"/>
                <w:sz w:val="18"/>
                <w:szCs w:val="18"/>
                <w:lang w:val="en-US" w:eastAsia="en-US"/>
              </w:rPr>
            </w:pPr>
            <w:r w:rsidRPr="00107491">
              <w:rPr>
                <w:b/>
                <w:bCs/>
                <w:color w:val="000000"/>
                <w:sz w:val="18"/>
                <w:szCs w:val="18"/>
                <w:lang w:val="en-US" w:eastAsia="en-US"/>
              </w:rPr>
              <w:t> </w:t>
            </w:r>
          </w:p>
        </w:tc>
        <w:tc>
          <w:tcPr>
            <w:tcW w:w="258" w:type="pct"/>
            <w:tcBorders>
              <w:top w:val="nil"/>
              <w:left w:val="nil"/>
              <w:bottom w:val="single" w:sz="8" w:space="0" w:color="auto"/>
              <w:right w:val="single" w:sz="8" w:space="0" w:color="auto"/>
            </w:tcBorders>
            <w:shd w:val="clear" w:color="auto" w:fill="auto"/>
            <w:noWrap/>
            <w:vAlign w:val="center"/>
            <w:hideMark/>
          </w:tcPr>
          <w:p w14:paraId="7FE4F6FA" w14:textId="77777777" w:rsidR="00601D9B" w:rsidRDefault="000E53A0">
            <w:pPr>
              <w:rPr>
                <w:color w:val="000000"/>
                <w:sz w:val="18"/>
                <w:szCs w:val="18"/>
                <w:lang w:val="en-US" w:eastAsia="en-US"/>
              </w:rPr>
            </w:pPr>
            <w:r w:rsidRPr="00107491">
              <w:rPr>
                <w:color w:val="000000"/>
                <w:sz w:val="18"/>
                <w:szCs w:val="18"/>
                <w:lang w:val="en-US" w:eastAsia="en-US"/>
              </w:rPr>
              <w:t>75700</w:t>
            </w:r>
          </w:p>
        </w:tc>
        <w:tc>
          <w:tcPr>
            <w:tcW w:w="458" w:type="pct"/>
            <w:tcBorders>
              <w:top w:val="single" w:sz="8" w:space="0" w:color="auto"/>
              <w:left w:val="nil"/>
              <w:bottom w:val="single" w:sz="8" w:space="0" w:color="auto"/>
              <w:right w:val="single" w:sz="8" w:space="0" w:color="auto"/>
            </w:tcBorders>
            <w:shd w:val="clear" w:color="auto" w:fill="auto"/>
            <w:vAlign w:val="center"/>
            <w:hideMark/>
          </w:tcPr>
          <w:p w14:paraId="0DE3D001" w14:textId="77777777" w:rsidR="00601D9B" w:rsidRDefault="000E53A0">
            <w:pPr>
              <w:rPr>
                <w:color w:val="000000"/>
                <w:sz w:val="18"/>
                <w:szCs w:val="18"/>
                <w:lang w:val="en-US" w:eastAsia="en-US"/>
              </w:rPr>
            </w:pPr>
            <w:r w:rsidRPr="00107491">
              <w:rPr>
                <w:color w:val="000000"/>
                <w:sz w:val="18"/>
                <w:szCs w:val="18"/>
                <w:lang w:val="en-US" w:eastAsia="en-US"/>
              </w:rPr>
              <w:t>Formation, ateliers et conférences</w:t>
            </w:r>
          </w:p>
        </w:tc>
        <w:tc>
          <w:tcPr>
            <w:tcW w:w="254" w:type="pct"/>
            <w:tcBorders>
              <w:top w:val="nil"/>
              <w:left w:val="nil"/>
              <w:bottom w:val="single" w:sz="8" w:space="0" w:color="auto"/>
              <w:right w:val="single" w:sz="8" w:space="0" w:color="auto"/>
            </w:tcBorders>
            <w:shd w:val="clear" w:color="auto" w:fill="auto"/>
            <w:noWrap/>
            <w:vAlign w:val="center"/>
            <w:hideMark/>
          </w:tcPr>
          <w:p w14:paraId="77AF8183"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29,000 </w:t>
            </w:r>
          </w:p>
        </w:tc>
        <w:tc>
          <w:tcPr>
            <w:tcW w:w="273" w:type="pct"/>
            <w:tcBorders>
              <w:top w:val="nil"/>
              <w:left w:val="nil"/>
              <w:bottom w:val="single" w:sz="8" w:space="0" w:color="auto"/>
              <w:right w:val="single" w:sz="8" w:space="0" w:color="auto"/>
            </w:tcBorders>
            <w:shd w:val="clear" w:color="auto" w:fill="auto"/>
            <w:noWrap/>
            <w:vAlign w:val="center"/>
            <w:hideMark/>
          </w:tcPr>
          <w:p w14:paraId="230885EA"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24,000 </w:t>
            </w:r>
          </w:p>
        </w:tc>
        <w:tc>
          <w:tcPr>
            <w:tcW w:w="250" w:type="pct"/>
            <w:tcBorders>
              <w:top w:val="nil"/>
              <w:left w:val="nil"/>
              <w:bottom w:val="single" w:sz="8" w:space="0" w:color="auto"/>
              <w:right w:val="single" w:sz="8" w:space="0" w:color="auto"/>
            </w:tcBorders>
            <w:shd w:val="clear" w:color="auto" w:fill="auto"/>
            <w:noWrap/>
            <w:vAlign w:val="center"/>
            <w:hideMark/>
          </w:tcPr>
          <w:p w14:paraId="19061749"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24,000 </w:t>
            </w:r>
          </w:p>
        </w:tc>
        <w:tc>
          <w:tcPr>
            <w:tcW w:w="250" w:type="pct"/>
            <w:tcBorders>
              <w:top w:val="nil"/>
              <w:left w:val="nil"/>
              <w:bottom w:val="single" w:sz="8" w:space="0" w:color="auto"/>
              <w:right w:val="single" w:sz="8" w:space="0" w:color="auto"/>
            </w:tcBorders>
            <w:shd w:val="clear" w:color="auto" w:fill="auto"/>
            <w:noWrap/>
            <w:vAlign w:val="center"/>
            <w:hideMark/>
          </w:tcPr>
          <w:p w14:paraId="19B8049E"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24,000 </w:t>
            </w:r>
          </w:p>
        </w:tc>
        <w:tc>
          <w:tcPr>
            <w:tcW w:w="250" w:type="pct"/>
            <w:tcBorders>
              <w:top w:val="nil"/>
              <w:left w:val="nil"/>
              <w:bottom w:val="single" w:sz="8" w:space="0" w:color="auto"/>
              <w:right w:val="single" w:sz="8" w:space="0" w:color="auto"/>
            </w:tcBorders>
            <w:shd w:val="clear" w:color="auto" w:fill="auto"/>
            <w:noWrap/>
            <w:vAlign w:val="center"/>
            <w:hideMark/>
          </w:tcPr>
          <w:p w14:paraId="4395E49C"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24,000 </w:t>
            </w:r>
          </w:p>
        </w:tc>
        <w:tc>
          <w:tcPr>
            <w:tcW w:w="250" w:type="pct"/>
            <w:tcBorders>
              <w:top w:val="nil"/>
              <w:left w:val="nil"/>
              <w:bottom w:val="single" w:sz="8" w:space="0" w:color="auto"/>
              <w:right w:val="single" w:sz="8" w:space="0" w:color="auto"/>
            </w:tcBorders>
            <w:shd w:val="clear" w:color="auto" w:fill="auto"/>
            <w:noWrap/>
            <w:vAlign w:val="center"/>
            <w:hideMark/>
          </w:tcPr>
          <w:p w14:paraId="68700BE3"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24,000 </w:t>
            </w:r>
          </w:p>
        </w:tc>
        <w:tc>
          <w:tcPr>
            <w:tcW w:w="261" w:type="pct"/>
            <w:tcBorders>
              <w:top w:val="nil"/>
              <w:left w:val="nil"/>
              <w:bottom w:val="single" w:sz="8" w:space="0" w:color="auto"/>
              <w:right w:val="single" w:sz="8" w:space="0" w:color="auto"/>
            </w:tcBorders>
            <w:shd w:val="clear" w:color="auto" w:fill="auto"/>
            <w:noWrap/>
            <w:vAlign w:val="center"/>
            <w:hideMark/>
          </w:tcPr>
          <w:p w14:paraId="2D84EDCA"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149,000 </w:t>
            </w:r>
          </w:p>
        </w:tc>
        <w:tc>
          <w:tcPr>
            <w:tcW w:w="183" w:type="pct"/>
            <w:tcBorders>
              <w:top w:val="nil"/>
              <w:left w:val="nil"/>
              <w:bottom w:val="single" w:sz="8" w:space="0" w:color="auto"/>
              <w:right w:val="single" w:sz="8" w:space="0" w:color="auto"/>
            </w:tcBorders>
            <w:shd w:val="clear" w:color="auto" w:fill="auto"/>
            <w:vAlign w:val="center"/>
            <w:hideMark/>
          </w:tcPr>
          <w:p w14:paraId="5FA32E8E" w14:textId="77777777" w:rsidR="00601D9B" w:rsidRDefault="000E53A0">
            <w:pPr>
              <w:jc w:val="center"/>
              <w:rPr>
                <w:i/>
                <w:iCs/>
                <w:color w:val="000000"/>
                <w:sz w:val="18"/>
                <w:szCs w:val="18"/>
                <w:lang w:val="en-US" w:eastAsia="en-US"/>
              </w:rPr>
            </w:pPr>
            <w:r w:rsidRPr="00107491">
              <w:rPr>
                <w:i/>
                <w:iCs/>
                <w:color w:val="000000"/>
                <w:sz w:val="18"/>
                <w:szCs w:val="18"/>
                <w:lang w:val="en-US" w:eastAsia="en-US"/>
              </w:rPr>
              <w:t>39</w:t>
            </w:r>
          </w:p>
        </w:tc>
        <w:tc>
          <w:tcPr>
            <w:tcW w:w="35" w:type="pct"/>
            <w:vAlign w:val="center"/>
            <w:hideMark/>
          </w:tcPr>
          <w:p w14:paraId="123DE511" w14:textId="77777777" w:rsidR="00107491" w:rsidRPr="00107491" w:rsidRDefault="00107491" w:rsidP="00107491">
            <w:pPr>
              <w:rPr>
                <w:sz w:val="20"/>
                <w:szCs w:val="20"/>
                <w:lang w:val="en-US" w:eastAsia="en-US"/>
              </w:rPr>
            </w:pPr>
          </w:p>
        </w:tc>
      </w:tr>
      <w:tr w:rsidR="00107491" w:rsidRPr="00107491" w14:paraId="27166298" w14:textId="77777777" w:rsidTr="00107491">
        <w:trPr>
          <w:trHeight w:val="300"/>
        </w:trPr>
        <w:tc>
          <w:tcPr>
            <w:tcW w:w="1056" w:type="pct"/>
            <w:tcBorders>
              <w:top w:val="nil"/>
              <w:left w:val="single" w:sz="8" w:space="0" w:color="auto"/>
              <w:bottom w:val="nil"/>
              <w:right w:val="nil"/>
            </w:tcBorders>
            <w:shd w:val="clear" w:color="auto" w:fill="auto"/>
            <w:noWrap/>
            <w:vAlign w:val="center"/>
            <w:hideMark/>
          </w:tcPr>
          <w:p w14:paraId="11D0728F" w14:textId="77777777" w:rsidR="00107491" w:rsidRPr="00107491" w:rsidRDefault="00107491" w:rsidP="00107491">
            <w:pPr>
              <w:rPr>
                <w:rFonts w:ascii="Calibri" w:hAnsi="Calibri" w:cs="Calibri"/>
                <w:color w:val="000000"/>
                <w:sz w:val="18"/>
                <w:szCs w:val="18"/>
                <w:lang w:val="en-US" w:eastAsia="en-US"/>
              </w:rPr>
            </w:pPr>
            <w:r w:rsidRPr="00107491">
              <w:rPr>
                <w:rFonts w:ascii="Calibri" w:hAnsi="Calibri" w:cs="Calibri"/>
                <w:color w:val="000000"/>
                <w:sz w:val="18"/>
                <w:szCs w:val="18"/>
                <w:lang w:val="en-US" w:eastAsia="en-US"/>
              </w:rPr>
              <w:t> </w:t>
            </w:r>
          </w:p>
        </w:tc>
        <w:tc>
          <w:tcPr>
            <w:tcW w:w="381" w:type="pct"/>
            <w:vMerge/>
            <w:tcBorders>
              <w:top w:val="nil"/>
              <w:left w:val="single" w:sz="8" w:space="0" w:color="auto"/>
              <w:bottom w:val="double" w:sz="6" w:space="0" w:color="000000"/>
              <w:right w:val="single" w:sz="8" w:space="0" w:color="auto"/>
            </w:tcBorders>
            <w:vAlign w:val="center"/>
            <w:hideMark/>
          </w:tcPr>
          <w:p w14:paraId="04C79DB6" w14:textId="77777777" w:rsidR="00107491" w:rsidRPr="00107491" w:rsidRDefault="00107491" w:rsidP="00107491">
            <w:pPr>
              <w:rPr>
                <w:b/>
                <w:bCs/>
                <w:color w:val="000000"/>
                <w:sz w:val="18"/>
                <w:szCs w:val="18"/>
                <w:lang w:val="en-US" w:eastAsia="en-US"/>
              </w:rPr>
            </w:pPr>
          </w:p>
        </w:tc>
        <w:tc>
          <w:tcPr>
            <w:tcW w:w="453" w:type="pct"/>
            <w:tcBorders>
              <w:top w:val="nil"/>
              <w:left w:val="nil"/>
              <w:bottom w:val="nil"/>
              <w:right w:val="nil"/>
            </w:tcBorders>
            <w:shd w:val="clear" w:color="auto" w:fill="auto"/>
            <w:vAlign w:val="center"/>
            <w:hideMark/>
          </w:tcPr>
          <w:p w14:paraId="78FA06B6" w14:textId="77777777" w:rsidR="00107491" w:rsidRPr="00107491" w:rsidRDefault="00107491" w:rsidP="00107491">
            <w:pPr>
              <w:rPr>
                <w:rFonts w:ascii="Calibri" w:hAnsi="Calibri" w:cs="Calibri"/>
                <w:color w:val="000000"/>
                <w:sz w:val="18"/>
                <w:szCs w:val="18"/>
                <w:lang w:val="en-US" w:eastAsia="en-US"/>
              </w:rPr>
            </w:pPr>
          </w:p>
        </w:tc>
        <w:tc>
          <w:tcPr>
            <w:tcW w:w="388" w:type="pct"/>
            <w:tcBorders>
              <w:top w:val="nil"/>
              <w:left w:val="single" w:sz="8" w:space="0" w:color="auto"/>
              <w:bottom w:val="nil"/>
              <w:right w:val="single" w:sz="8" w:space="0" w:color="auto"/>
            </w:tcBorders>
            <w:shd w:val="clear" w:color="auto" w:fill="auto"/>
            <w:vAlign w:val="center"/>
            <w:hideMark/>
          </w:tcPr>
          <w:p w14:paraId="2AE06BC7" w14:textId="77777777" w:rsidR="00107491" w:rsidRPr="00107491" w:rsidRDefault="00107491" w:rsidP="00107491">
            <w:pPr>
              <w:jc w:val="center"/>
              <w:rPr>
                <w:b/>
                <w:bCs/>
                <w:color w:val="000000"/>
                <w:sz w:val="18"/>
                <w:szCs w:val="18"/>
                <w:lang w:val="en-US" w:eastAsia="en-US"/>
              </w:rPr>
            </w:pPr>
            <w:r w:rsidRPr="00107491">
              <w:rPr>
                <w:b/>
                <w:bCs/>
                <w:color w:val="000000"/>
                <w:sz w:val="18"/>
                <w:szCs w:val="18"/>
                <w:lang w:val="en-US" w:eastAsia="en-US"/>
              </w:rPr>
              <w:t> </w:t>
            </w:r>
          </w:p>
        </w:tc>
        <w:tc>
          <w:tcPr>
            <w:tcW w:w="258" w:type="pct"/>
            <w:tcBorders>
              <w:top w:val="nil"/>
              <w:left w:val="nil"/>
              <w:bottom w:val="single" w:sz="8" w:space="0" w:color="auto"/>
              <w:right w:val="single" w:sz="8" w:space="0" w:color="auto"/>
            </w:tcBorders>
            <w:shd w:val="clear" w:color="auto" w:fill="auto"/>
            <w:noWrap/>
            <w:vAlign w:val="center"/>
            <w:hideMark/>
          </w:tcPr>
          <w:p w14:paraId="7E938E47" w14:textId="77777777" w:rsidR="00107491" w:rsidRPr="00107491" w:rsidRDefault="00107491" w:rsidP="00107491">
            <w:pPr>
              <w:jc w:val="center"/>
              <w:rPr>
                <w:color w:val="000000"/>
                <w:sz w:val="18"/>
                <w:szCs w:val="18"/>
                <w:lang w:val="en-US" w:eastAsia="en-US"/>
              </w:rPr>
            </w:pPr>
            <w:r w:rsidRPr="00107491">
              <w:rPr>
                <w:color w:val="000000"/>
                <w:sz w:val="18"/>
                <w:szCs w:val="18"/>
                <w:lang w:val="en-US" w:eastAsia="en-US"/>
              </w:rPr>
              <w:t> </w:t>
            </w:r>
          </w:p>
        </w:tc>
        <w:tc>
          <w:tcPr>
            <w:tcW w:w="458" w:type="pct"/>
            <w:tcBorders>
              <w:top w:val="nil"/>
              <w:left w:val="nil"/>
              <w:bottom w:val="single" w:sz="8" w:space="0" w:color="auto"/>
              <w:right w:val="single" w:sz="8" w:space="0" w:color="auto"/>
            </w:tcBorders>
            <w:shd w:val="clear" w:color="auto" w:fill="auto"/>
            <w:noWrap/>
            <w:vAlign w:val="center"/>
            <w:hideMark/>
          </w:tcPr>
          <w:p w14:paraId="7DC62397" w14:textId="77777777" w:rsidR="00601D9B" w:rsidRDefault="000E53A0">
            <w:pPr>
              <w:jc w:val="both"/>
              <w:rPr>
                <w:b/>
                <w:bCs/>
                <w:color w:val="000000"/>
                <w:sz w:val="18"/>
                <w:szCs w:val="18"/>
                <w:lang w:val="en-US" w:eastAsia="en-US"/>
              </w:rPr>
            </w:pPr>
            <w:r w:rsidRPr="00107491">
              <w:rPr>
                <w:b/>
                <w:bCs/>
                <w:color w:val="000000"/>
                <w:sz w:val="18"/>
                <w:szCs w:val="18"/>
                <w:lang w:val="en-US" w:eastAsia="en-US"/>
              </w:rPr>
              <w:t>Sous-total FEM</w:t>
            </w:r>
          </w:p>
        </w:tc>
        <w:tc>
          <w:tcPr>
            <w:tcW w:w="254" w:type="pct"/>
            <w:tcBorders>
              <w:top w:val="nil"/>
              <w:left w:val="nil"/>
              <w:bottom w:val="single" w:sz="8" w:space="0" w:color="auto"/>
              <w:right w:val="single" w:sz="8" w:space="0" w:color="auto"/>
            </w:tcBorders>
            <w:shd w:val="clear" w:color="auto" w:fill="auto"/>
            <w:noWrap/>
            <w:vAlign w:val="center"/>
            <w:hideMark/>
          </w:tcPr>
          <w:p w14:paraId="355043FA"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 xml:space="preserve">            123,750 </w:t>
            </w:r>
          </w:p>
        </w:tc>
        <w:tc>
          <w:tcPr>
            <w:tcW w:w="273" w:type="pct"/>
            <w:tcBorders>
              <w:top w:val="nil"/>
              <w:left w:val="nil"/>
              <w:bottom w:val="single" w:sz="8" w:space="0" w:color="auto"/>
              <w:right w:val="single" w:sz="8" w:space="0" w:color="auto"/>
            </w:tcBorders>
            <w:shd w:val="clear" w:color="auto" w:fill="auto"/>
            <w:noWrap/>
            <w:vAlign w:val="center"/>
            <w:hideMark/>
          </w:tcPr>
          <w:p w14:paraId="634CABDA"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 xml:space="preserve">                52,750 </w:t>
            </w:r>
          </w:p>
        </w:tc>
        <w:tc>
          <w:tcPr>
            <w:tcW w:w="250" w:type="pct"/>
            <w:tcBorders>
              <w:top w:val="nil"/>
              <w:left w:val="nil"/>
              <w:bottom w:val="single" w:sz="8" w:space="0" w:color="auto"/>
              <w:right w:val="single" w:sz="8" w:space="0" w:color="auto"/>
            </w:tcBorders>
            <w:shd w:val="clear" w:color="auto" w:fill="auto"/>
            <w:noWrap/>
            <w:vAlign w:val="center"/>
            <w:hideMark/>
          </w:tcPr>
          <w:p w14:paraId="0F69C8D4"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 xml:space="preserve">            122,750 </w:t>
            </w:r>
          </w:p>
        </w:tc>
        <w:tc>
          <w:tcPr>
            <w:tcW w:w="250" w:type="pct"/>
            <w:tcBorders>
              <w:top w:val="nil"/>
              <w:left w:val="nil"/>
              <w:bottom w:val="single" w:sz="8" w:space="0" w:color="auto"/>
              <w:right w:val="single" w:sz="8" w:space="0" w:color="auto"/>
            </w:tcBorders>
            <w:shd w:val="clear" w:color="auto" w:fill="auto"/>
            <w:noWrap/>
            <w:vAlign w:val="center"/>
            <w:hideMark/>
          </w:tcPr>
          <w:p w14:paraId="684A1F71"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 xml:space="preserve">              52,750 </w:t>
            </w:r>
          </w:p>
        </w:tc>
        <w:tc>
          <w:tcPr>
            <w:tcW w:w="250" w:type="pct"/>
            <w:tcBorders>
              <w:top w:val="nil"/>
              <w:left w:val="nil"/>
              <w:bottom w:val="single" w:sz="8" w:space="0" w:color="auto"/>
              <w:right w:val="single" w:sz="8" w:space="0" w:color="auto"/>
            </w:tcBorders>
            <w:shd w:val="clear" w:color="auto" w:fill="auto"/>
            <w:noWrap/>
            <w:vAlign w:val="center"/>
            <w:hideMark/>
          </w:tcPr>
          <w:p w14:paraId="7EA51541"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 xml:space="preserve">              52,750 </w:t>
            </w:r>
          </w:p>
        </w:tc>
        <w:tc>
          <w:tcPr>
            <w:tcW w:w="250" w:type="pct"/>
            <w:tcBorders>
              <w:top w:val="nil"/>
              <w:left w:val="nil"/>
              <w:bottom w:val="single" w:sz="8" w:space="0" w:color="auto"/>
              <w:right w:val="single" w:sz="8" w:space="0" w:color="auto"/>
            </w:tcBorders>
            <w:shd w:val="clear" w:color="auto" w:fill="auto"/>
            <w:noWrap/>
            <w:vAlign w:val="center"/>
            <w:hideMark/>
          </w:tcPr>
          <w:p w14:paraId="1E2D4B56"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 xml:space="preserve">            132,750 </w:t>
            </w:r>
          </w:p>
        </w:tc>
        <w:tc>
          <w:tcPr>
            <w:tcW w:w="261" w:type="pct"/>
            <w:tcBorders>
              <w:top w:val="nil"/>
              <w:left w:val="nil"/>
              <w:bottom w:val="single" w:sz="8" w:space="0" w:color="auto"/>
              <w:right w:val="single" w:sz="8" w:space="0" w:color="auto"/>
            </w:tcBorders>
            <w:shd w:val="clear" w:color="auto" w:fill="auto"/>
            <w:noWrap/>
            <w:vAlign w:val="center"/>
            <w:hideMark/>
          </w:tcPr>
          <w:p w14:paraId="4AAFEB4C"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 xml:space="preserve">             537,500 </w:t>
            </w:r>
          </w:p>
        </w:tc>
        <w:tc>
          <w:tcPr>
            <w:tcW w:w="183" w:type="pct"/>
            <w:tcBorders>
              <w:top w:val="nil"/>
              <w:left w:val="nil"/>
              <w:bottom w:val="single" w:sz="8" w:space="0" w:color="auto"/>
              <w:right w:val="single" w:sz="8" w:space="0" w:color="auto"/>
            </w:tcBorders>
            <w:shd w:val="clear" w:color="auto" w:fill="auto"/>
            <w:vAlign w:val="center"/>
            <w:hideMark/>
          </w:tcPr>
          <w:p w14:paraId="59E2A045" w14:textId="77777777" w:rsidR="00107491" w:rsidRPr="00107491" w:rsidRDefault="00107491" w:rsidP="00107491">
            <w:pPr>
              <w:jc w:val="center"/>
              <w:rPr>
                <w:i/>
                <w:iCs/>
                <w:color w:val="000000"/>
                <w:sz w:val="18"/>
                <w:szCs w:val="18"/>
                <w:lang w:val="en-US" w:eastAsia="en-US"/>
              </w:rPr>
            </w:pPr>
            <w:r w:rsidRPr="00107491">
              <w:rPr>
                <w:i/>
                <w:iCs/>
                <w:color w:val="000000"/>
                <w:sz w:val="18"/>
                <w:szCs w:val="18"/>
                <w:lang w:val="en-US" w:eastAsia="en-US"/>
              </w:rPr>
              <w:t> </w:t>
            </w:r>
          </w:p>
        </w:tc>
        <w:tc>
          <w:tcPr>
            <w:tcW w:w="35" w:type="pct"/>
            <w:vAlign w:val="center"/>
            <w:hideMark/>
          </w:tcPr>
          <w:p w14:paraId="662B52DA" w14:textId="77777777" w:rsidR="00107491" w:rsidRPr="00107491" w:rsidRDefault="00107491" w:rsidP="00107491">
            <w:pPr>
              <w:rPr>
                <w:sz w:val="20"/>
                <w:szCs w:val="20"/>
                <w:lang w:val="en-US" w:eastAsia="en-US"/>
              </w:rPr>
            </w:pPr>
          </w:p>
        </w:tc>
      </w:tr>
      <w:tr w:rsidR="00107491" w:rsidRPr="00107491" w14:paraId="43F21DE1" w14:textId="77777777" w:rsidTr="00107491">
        <w:trPr>
          <w:trHeight w:val="300"/>
        </w:trPr>
        <w:tc>
          <w:tcPr>
            <w:tcW w:w="1056" w:type="pct"/>
            <w:tcBorders>
              <w:top w:val="nil"/>
              <w:left w:val="single" w:sz="8" w:space="0" w:color="auto"/>
              <w:bottom w:val="nil"/>
              <w:right w:val="nil"/>
            </w:tcBorders>
            <w:shd w:val="clear" w:color="auto" w:fill="auto"/>
            <w:noWrap/>
            <w:vAlign w:val="center"/>
            <w:hideMark/>
          </w:tcPr>
          <w:p w14:paraId="20D11C31" w14:textId="77777777" w:rsidR="00107491" w:rsidRPr="00107491" w:rsidRDefault="00107491" w:rsidP="00107491">
            <w:pPr>
              <w:rPr>
                <w:rFonts w:ascii="Calibri" w:hAnsi="Calibri" w:cs="Calibri"/>
                <w:color w:val="000000"/>
                <w:sz w:val="18"/>
                <w:szCs w:val="18"/>
                <w:lang w:val="en-US" w:eastAsia="en-US"/>
              </w:rPr>
            </w:pPr>
            <w:r w:rsidRPr="00107491">
              <w:rPr>
                <w:rFonts w:ascii="Calibri" w:hAnsi="Calibri" w:cs="Calibri"/>
                <w:color w:val="000000"/>
                <w:sz w:val="18"/>
                <w:szCs w:val="18"/>
                <w:lang w:val="en-US" w:eastAsia="en-US"/>
              </w:rPr>
              <w:t> </w:t>
            </w:r>
          </w:p>
        </w:tc>
        <w:tc>
          <w:tcPr>
            <w:tcW w:w="381" w:type="pct"/>
            <w:vMerge/>
            <w:tcBorders>
              <w:top w:val="nil"/>
              <w:left w:val="single" w:sz="8" w:space="0" w:color="auto"/>
              <w:bottom w:val="double" w:sz="6" w:space="0" w:color="000000"/>
              <w:right w:val="single" w:sz="8" w:space="0" w:color="auto"/>
            </w:tcBorders>
            <w:vAlign w:val="center"/>
            <w:hideMark/>
          </w:tcPr>
          <w:p w14:paraId="11333568" w14:textId="77777777" w:rsidR="00107491" w:rsidRPr="00107491" w:rsidRDefault="00107491" w:rsidP="00107491">
            <w:pPr>
              <w:rPr>
                <w:b/>
                <w:bCs/>
                <w:color w:val="000000"/>
                <w:sz w:val="18"/>
                <w:szCs w:val="18"/>
                <w:lang w:val="en-US" w:eastAsia="en-US"/>
              </w:rPr>
            </w:pPr>
          </w:p>
        </w:tc>
        <w:tc>
          <w:tcPr>
            <w:tcW w:w="453" w:type="pct"/>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14:paraId="749493B2"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62160</w:t>
            </w:r>
          </w:p>
        </w:tc>
        <w:tc>
          <w:tcPr>
            <w:tcW w:w="388" w:type="pct"/>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14:paraId="02F3075B"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LDCF</w:t>
            </w:r>
          </w:p>
        </w:tc>
        <w:tc>
          <w:tcPr>
            <w:tcW w:w="258" w:type="pct"/>
            <w:tcBorders>
              <w:top w:val="nil"/>
              <w:left w:val="nil"/>
              <w:bottom w:val="nil"/>
              <w:right w:val="single" w:sz="8" w:space="0" w:color="auto"/>
            </w:tcBorders>
            <w:shd w:val="clear" w:color="auto" w:fill="auto"/>
            <w:noWrap/>
            <w:vAlign w:val="center"/>
            <w:hideMark/>
          </w:tcPr>
          <w:p w14:paraId="406DF2EB" w14:textId="77777777" w:rsidR="00601D9B" w:rsidRDefault="000E53A0">
            <w:pPr>
              <w:rPr>
                <w:color w:val="000000"/>
                <w:sz w:val="18"/>
                <w:szCs w:val="18"/>
                <w:lang w:val="en-US" w:eastAsia="en-US"/>
              </w:rPr>
            </w:pPr>
            <w:r w:rsidRPr="00107491">
              <w:rPr>
                <w:color w:val="000000"/>
                <w:sz w:val="18"/>
                <w:szCs w:val="18"/>
                <w:lang w:val="en-US" w:eastAsia="en-US"/>
              </w:rPr>
              <w:t>71200</w:t>
            </w:r>
          </w:p>
        </w:tc>
        <w:tc>
          <w:tcPr>
            <w:tcW w:w="458" w:type="pct"/>
            <w:tcBorders>
              <w:top w:val="nil"/>
              <w:left w:val="nil"/>
              <w:bottom w:val="nil"/>
              <w:right w:val="single" w:sz="8" w:space="0" w:color="auto"/>
            </w:tcBorders>
            <w:shd w:val="clear" w:color="auto" w:fill="auto"/>
            <w:vAlign w:val="center"/>
            <w:hideMark/>
          </w:tcPr>
          <w:p w14:paraId="550CF870" w14:textId="77777777" w:rsidR="00601D9B" w:rsidRDefault="000E53A0">
            <w:pPr>
              <w:rPr>
                <w:color w:val="000000"/>
                <w:sz w:val="18"/>
                <w:szCs w:val="18"/>
                <w:lang w:val="en-US" w:eastAsia="en-US"/>
              </w:rPr>
            </w:pPr>
            <w:r w:rsidRPr="00107491">
              <w:rPr>
                <w:color w:val="000000"/>
                <w:sz w:val="18"/>
                <w:szCs w:val="18"/>
                <w:lang w:val="en-US" w:eastAsia="en-US"/>
              </w:rPr>
              <w:t>Consultants internationaux</w:t>
            </w:r>
          </w:p>
        </w:tc>
        <w:tc>
          <w:tcPr>
            <w:tcW w:w="254" w:type="pct"/>
            <w:tcBorders>
              <w:top w:val="nil"/>
              <w:left w:val="nil"/>
              <w:bottom w:val="single" w:sz="8" w:space="0" w:color="auto"/>
              <w:right w:val="single" w:sz="8" w:space="0" w:color="auto"/>
            </w:tcBorders>
            <w:shd w:val="clear" w:color="auto" w:fill="auto"/>
            <w:noWrap/>
            <w:vAlign w:val="center"/>
            <w:hideMark/>
          </w:tcPr>
          <w:p w14:paraId="6DA3D413"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 </w:t>
            </w:r>
          </w:p>
        </w:tc>
        <w:tc>
          <w:tcPr>
            <w:tcW w:w="273" w:type="pct"/>
            <w:tcBorders>
              <w:top w:val="nil"/>
              <w:left w:val="nil"/>
              <w:bottom w:val="single" w:sz="8" w:space="0" w:color="auto"/>
              <w:right w:val="single" w:sz="8" w:space="0" w:color="auto"/>
            </w:tcBorders>
            <w:shd w:val="clear" w:color="auto" w:fill="auto"/>
            <w:noWrap/>
            <w:vAlign w:val="center"/>
            <w:hideMark/>
          </w:tcPr>
          <w:p w14:paraId="410BD29D"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 </w:t>
            </w:r>
          </w:p>
        </w:tc>
        <w:tc>
          <w:tcPr>
            <w:tcW w:w="250" w:type="pct"/>
            <w:tcBorders>
              <w:top w:val="nil"/>
              <w:left w:val="nil"/>
              <w:bottom w:val="single" w:sz="8" w:space="0" w:color="auto"/>
              <w:right w:val="single" w:sz="8" w:space="0" w:color="auto"/>
            </w:tcBorders>
            <w:shd w:val="clear" w:color="auto" w:fill="auto"/>
            <w:noWrap/>
            <w:vAlign w:val="center"/>
            <w:hideMark/>
          </w:tcPr>
          <w:p w14:paraId="7D9BB8A8"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 </w:t>
            </w:r>
          </w:p>
        </w:tc>
        <w:tc>
          <w:tcPr>
            <w:tcW w:w="250" w:type="pct"/>
            <w:tcBorders>
              <w:top w:val="nil"/>
              <w:left w:val="nil"/>
              <w:bottom w:val="single" w:sz="8" w:space="0" w:color="auto"/>
              <w:right w:val="single" w:sz="8" w:space="0" w:color="auto"/>
            </w:tcBorders>
            <w:shd w:val="clear" w:color="auto" w:fill="auto"/>
            <w:noWrap/>
            <w:vAlign w:val="center"/>
            <w:hideMark/>
          </w:tcPr>
          <w:p w14:paraId="5A080D40"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 </w:t>
            </w:r>
          </w:p>
        </w:tc>
        <w:tc>
          <w:tcPr>
            <w:tcW w:w="250" w:type="pct"/>
            <w:tcBorders>
              <w:top w:val="nil"/>
              <w:left w:val="nil"/>
              <w:bottom w:val="single" w:sz="8" w:space="0" w:color="auto"/>
              <w:right w:val="single" w:sz="8" w:space="0" w:color="auto"/>
            </w:tcBorders>
            <w:shd w:val="clear" w:color="auto" w:fill="auto"/>
            <w:noWrap/>
            <w:vAlign w:val="center"/>
            <w:hideMark/>
          </w:tcPr>
          <w:p w14:paraId="01F132C9"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 </w:t>
            </w:r>
          </w:p>
        </w:tc>
        <w:tc>
          <w:tcPr>
            <w:tcW w:w="250" w:type="pct"/>
            <w:tcBorders>
              <w:top w:val="nil"/>
              <w:left w:val="nil"/>
              <w:bottom w:val="single" w:sz="8" w:space="0" w:color="auto"/>
              <w:right w:val="single" w:sz="8" w:space="0" w:color="auto"/>
            </w:tcBorders>
            <w:shd w:val="clear" w:color="auto" w:fill="auto"/>
            <w:noWrap/>
            <w:vAlign w:val="center"/>
            <w:hideMark/>
          </w:tcPr>
          <w:p w14:paraId="1D35F707"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28,000 </w:t>
            </w:r>
          </w:p>
        </w:tc>
        <w:tc>
          <w:tcPr>
            <w:tcW w:w="261" w:type="pct"/>
            <w:tcBorders>
              <w:top w:val="nil"/>
              <w:left w:val="nil"/>
              <w:bottom w:val="single" w:sz="8" w:space="0" w:color="auto"/>
              <w:right w:val="single" w:sz="8" w:space="0" w:color="auto"/>
            </w:tcBorders>
            <w:shd w:val="clear" w:color="auto" w:fill="auto"/>
            <w:noWrap/>
            <w:vAlign w:val="center"/>
            <w:hideMark/>
          </w:tcPr>
          <w:p w14:paraId="3A528F41"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28,000 </w:t>
            </w:r>
          </w:p>
        </w:tc>
        <w:tc>
          <w:tcPr>
            <w:tcW w:w="183" w:type="pct"/>
            <w:tcBorders>
              <w:top w:val="nil"/>
              <w:left w:val="nil"/>
              <w:bottom w:val="single" w:sz="8" w:space="0" w:color="auto"/>
              <w:right w:val="single" w:sz="8" w:space="0" w:color="auto"/>
            </w:tcBorders>
            <w:shd w:val="clear" w:color="auto" w:fill="auto"/>
            <w:vAlign w:val="center"/>
            <w:hideMark/>
          </w:tcPr>
          <w:p w14:paraId="0C4E7494" w14:textId="77777777" w:rsidR="00601D9B" w:rsidRDefault="000E53A0">
            <w:pPr>
              <w:jc w:val="center"/>
              <w:rPr>
                <w:i/>
                <w:iCs/>
                <w:color w:val="000000"/>
                <w:sz w:val="18"/>
                <w:szCs w:val="18"/>
                <w:lang w:val="en-US" w:eastAsia="en-US"/>
              </w:rPr>
            </w:pPr>
            <w:r w:rsidRPr="00107491">
              <w:rPr>
                <w:i/>
                <w:iCs/>
                <w:color w:val="000000"/>
                <w:sz w:val="18"/>
                <w:szCs w:val="18"/>
                <w:lang w:val="en-US" w:eastAsia="en-US"/>
              </w:rPr>
              <w:t>40</w:t>
            </w:r>
          </w:p>
        </w:tc>
        <w:tc>
          <w:tcPr>
            <w:tcW w:w="35" w:type="pct"/>
            <w:vAlign w:val="center"/>
            <w:hideMark/>
          </w:tcPr>
          <w:p w14:paraId="38DAFB94" w14:textId="77777777" w:rsidR="00107491" w:rsidRPr="00107491" w:rsidRDefault="00107491" w:rsidP="00107491">
            <w:pPr>
              <w:rPr>
                <w:sz w:val="20"/>
                <w:szCs w:val="20"/>
                <w:lang w:val="en-US" w:eastAsia="en-US"/>
              </w:rPr>
            </w:pPr>
          </w:p>
        </w:tc>
      </w:tr>
      <w:tr w:rsidR="00107491" w:rsidRPr="00107491" w14:paraId="77FBBE1D" w14:textId="77777777" w:rsidTr="00107491">
        <w:trPr>
          <w:trHeight w:val="300"/>
        </w:trPr>
        <w:tc>
          <w:tcPr>
            <w:tcW w:w="1056" w:type="pct"/>
            <w:tcBorders>
              <w:top w:val="nil"/>
              <w:left w:val="single" w:sz="8" w:space="0" w:color="auto"/>
              <w:bottom w:val="nil"/>
              <w:right w:val="nil"/>
            </w:tcBorders>
            <w:shd w:val="clear" w:color="auto" w:fill="auto"/>
            <w:noWrap/>
            <w:vAlign w:val="center"/>
            <w:hideMark/>
          </w:tcPr>
          <w:p w14:paraId="3A7114A9" w14:textId="77777777" w:rsidR="00107491" w:rsidRPr="00107491" w:rsidRDefault="00107491" w:rsidP="00107491">
            <w:pPr>
              <w:rPr>
                <w:rFonts w:ascii="Calibri" w:hAnsi="Calibri" w:cs="Calibri"/>
                <w:color w:val="000000"/>
                <w:sz w:val="18"/>
                <w:szCs w:val="18"/>
                <w:lang w:val="en-US" w:eastAsia="en-US"/>
              </w:rPr>
            </w:pPr>
            <w:r w:rsidRPr="00107491">
              <w:rPr>
                <w:rFonts w:ascii="Calibri" w:hAnsi="Calibri" w:cs="Calibri"/>
                <w:color w:val="000000"/>
                <w:sz w:val="18"/>
                <w:szCs w:val="18"/>
                <w:lang w:val="en-US" w:eastAsia="en-US"/>
              </w:rPr>
              <w:t> </w:t>
            </w:r>
          </w:p>
        </w:tc>
        <w:tc>
          <w:tcPr>
            <w:tcW w:w="381" w:type="pct"/>
            <w:vMerge/>
            <w:tcBorders>
              <w:top w:val="nil"/>
              <w:left w:val="single" w:sz="8" w:space="0" w:color="auto"/>
              <w:bottom w:val="double" w:sz="6" w:space="0" w:color="000000"/>
              <w:right w:val="single" w:sz="8" w:space="0" w:color="auto"/>
            </w:tcBorders>
            <w:vAlign w:val="center"/>
            <w:hideMark/>
          </w:tcPr>
          <w:p w14:paraId="1F325BA8" w14:textId="77777777" w:rsidR="00107491" w:rsidRPr="00107491" w:rsidRDefault="00107491" w:rsidP="00107491">
            <w:pPr>
              <w:rPr>
                <w:b/>
                <w:bCs/>
                <w:color w:val="000000"/>
                <w:sz w:val="18"/>
                <w:szCs w:val="18"/>
                <w:lang w:val="en-US" w:eastAsia="en-US"/>
              </w:rPr>
            </w:pPr>
          </w:p>
        </w:tc>
        <w:tc>
          <w:tcPr>
            <w:tcW w:w="453" w:type="pct"/>
            <w:vMerge/>
            <w:tcBorders>
              <w:top w:val="single" w:sz="8" w:space="0" w:color="auto"/>
              <w:left w:val="single" w:sz="8" w:space="0" w:color="auto"/>
              <w:bottom w:val="double" w:sz="6" w:space="0" w:color="000000"/>
              <w:right w:val="single" w:sz="8" w:space="0" w:color="auto"/>
            </w:tcBorders>
            <w:vAlign w:val="center"/>
            <w:hideMark/>
          </w:tcPr>
          <w:p w14:paraId="69F301B6" w14:textId="77777777" w:rsidR="00107491" w:rsidRPr="00107491" w:rsidRDefault="00107491" w:rsidP="00107491">
            <w:pPr>
              <w:rPr>
                <w:b/>
                <w:bCs/>
                <w:color w:val="000000"/>
                <w:sz w:val="18"/>
                <w:szCs w:val="18"/>
                <w:lang w:val="en-US" w:eastAsia="en-US"/>
              </w:rPr>
            </w:pPr>
          </w:p>
        </w:tc>
        <w:tc>
          <w:tcPr>
            <w:tcW w:w="388" w:type="pct"/>
            <w:vMerge/>
            <w:tcBorders>
              <w:top w:val="single" w:sz="8" w:space="0" w:color="auto"/>
              <w:left w:val="single" w:sz="8" w:space="0" w:color="auto"/>
              <w:bottom w:val="double" w:sz="6" w:space="0" w:color="000000"/>
              <w:right w:val="single" w:sz="8" w:space="0" w:color="auto"/>
            </w:tcBorders>
            <w:vAlign w:val="center"/>
            <w:hideMark/>
          </w:tcPr>
          <w:p w14:paraId="2A95A079" w14:textId="77777777" w:rsidR="00107491" w:rsidRPr="00107491" w:rsidRDefault="00107491" w:rsidP="00107491">
            <w:pPr>
              <w:rPr>
                <w:b/>
                <w:bCs/>
                <w:color w:val="000000"/>
                <w:sz w:val="18"/>
                <w:szCs w:val="18"/>
                <w:lang w:val="en-US" w:eastAsia="en-US"/>
              </w:rPr>
            </w:pPr>
          </w:p>
        </w:tc>
        <w:tc>
          <w:tcPr>
            <w:tcW w:w="258" w:type="pct"/>
            <w:tcBorders>
              <w:top w:val="single" w:sz="8" w:space="0" w:color="auto"/>
              <w:left w:val="nil"/>
              <w:bottom w:val="nil"/>
              <w:right w:val="single" w:sz="8" w:space="0" w:color="auto"/>
            </w:tcBorders>
            <w:shd w:val="clear" w:color="auto" w:fill="auto"/>
            <w:noWrap/>
            <w:vAlign w:val="center"/>
            <w:hideMark/>
          </w:tcPr>
          <w:p w14:paraId="493A1760" w14:textId="77777777" w:rsidR="00601D9B" w:rsidRDefault="000E53A0">
            <w:pPr>
              <w:rPr>
                <w:color w:val="000000"/>
                <w:sz w:val="18"/>
                <w:szCs w:val="18"/>
                <w:lang w:val="en-US" w:eastAsia="en-US"/>
              </w:rPr>
            </w:pPr>
            <w:r w:rsidRPr="00107491">
              <w:rPr>
                <w:color w:val="000000"/>
                <w:sz w:val="18"/>
                <w:szCs w:val="18"/>
                <w:lang w:val="en-US" w:eastAsia="en-US"/>
              </w:rPr>
              <w:t>71300</w:t>
            </w:r>
          </w:p>
        </w:tc>
        <w:tc>
          <w:tcPr>
            <w:tcW w:w="458" w:type="pct"/>
            <w:tcBorders>
              <w:top w:val="single" w:sz="8" w:space="0" w:color="auto"/>
              <w:left w:val="nil"/>
              <w:bottom w:val="nil"/>
              <w:right w:val="single" w:sz="8" w:space="0" w:color="auto"/>
            </w:tcBorders>
            <w:shd w:val="clear" w:color="auto" w:fill="auto"/>
            <w:vAlign w:val="center"/>
            <w:hideMark/>
          </w:tcPr>
          <w:p w14:paraId="549F9A69" w14:textId="77777777" w:rsidR="00601D9B" w:rsidRDefault="000E53A0">
            <w:pPr>
              <w:rPr>
                <w:color w:val="000000"/>
                <w:sz w:val="18"/>
                <w:szCs w:val="18"/>
                <w:lang w:val="en-US" w:eastAsia="en-US"/>
              </w:rPr>
            </w:pPr>
            <w:r w:rsidRPr="00107491">
              <w:rPr>
                <w:color w:val="000000"/>
                <w:sz w:val="18"/>
                <w:szCs w:val="18"/>
                <w:lang w:val="en-US" w:eastAsia="en-US"/>
              </w:rPr>
              <w:t>Consultants locaux</w:t>
            </w:r>
          </w:p>
        </w:tc>
        <w:tc>
          <w:tcPr>
            <w:tcW w:w="254" w:type="pct"/>
            <w:tcBorders>
              <w:top w:val="nil"/>
              <w:left w:val="nil"/>
              <w:bottom w:val="single" w:sz="8" w:space="0" w:color="auto"/>
              <w:right w:val="single" w:sz="8" w:space="0" w:color="auto"/>
            </w:tcBorders>
            <w:shd w:val="clear" w:color="auto" w:fill="auto"/>
            <w:noWrap/>
            <w:vAlign w:val="center"/>
            <w:hideMark/>
          </w:tcPr>
          <w:p w14:paraId="09F39480"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12,000 </w:t>
            </w:r>
          </w:p>
        </w:tc>
        <w:tc>
          <w:tcPr>
            <w:tcW w:w="273" w:type="pct"/>
            <w:tcBorders>
              <w:top w:val="nil"/>
              <w:left w:val="nil"/>
              <w:bottom w:val="single" w:sz="8" w:space="0" w:color="auto"/>
              <w:right w:val="single" w:sz="8" w:space="0" w:color="auto"/>
            </w:tcBorders>
            <w:shd w:val="clear" w:color="auto" w:fill="auto"/>
            <w:noWrap/>
            <w:vAlign w:val="center"/>
            <w:hideMark/>
          </w:tcPr>
          <w:p w14:paraId="6094AA9F"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 </w:t>
            </w:r>
          </w:p>
        </w:tc>
        <w:tc>
          <w:tcPr>
            <w:tcW w:w="250" w:type="pct"/>
            <w:tcBorders>
              <w:top w:val="nil"/>
              <w:left w:val="nil"/>
              <w:bottom w:val="single" w:sz="8" w:space="0" w:color="auto"/>
              <w:right w:val="single" w:sz="8" w:space="0" w:color="auto"/>
            </w:tcBorders>
            <w:shd w:val="clear" w:color="auto" w:fill="auto"/>
            <w:noWrap/>
            <w:vAlign w:val="center"/>
            <w:hideMark/>
          </w:tcPr>
          <w:p w14:paraId="42627179"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 </w:t>
            </w:r>
          </w:p>
        </w:tc>
        <w:tc>
          <w:tcPr>
            <w:tcW w:w="250" w:type="pct"/>
            <w:tcBorders>
              <w:top w:val="nil"/>
              <w:left w:val="nil"/>
              <w:bottom w:val="single" w:sz="8" w:space="0" w:color="auto"/>
              <w:right w:val="single" w:sz="8" w:space="0" w:color="auto"/>
            </w:tcBorders>
            <w:shd w:val="clear" w:color="auto" w:fill="auto"/>
            <w:noWrap/>
            <w:vAlign w:val="center"/>
            <w:hideMark/>
          </w:tcPr>
          <w:p w14:paraId="55A81562"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 </w:t>
            </w:r>
          </w:p>
        </w:tc>
        <w:tc>
          <w:tcPr>
            <w:tcW w:w="250" w:type="pct"/>
            <w:tcBorders>
              <w:top w:val="nil"/>
              <w:left w:val="nil"/>
              <w:bottom w:val="single" w:sz="8" w:space="0" w:color="auto"/>
              <w:right w:val="single" w:sz="8" w:space="0" w:color="auto"/>
            </w:tcBorders>
            <w:shd w:val="clear" w:color="auto" w:fill="auto"/>
            <w:noWrap/>
            <w:vAlign w:val="center"/>
            <w:hideMark/>
          </w:tcPr>
          <w:p w14:paraId="2C49360E"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 </w:t>
            </w:r>
          </w:p>
        </w:tc>
        <w:tc>
          <w:tcPr>
            <w:tcW w:w="250" w:type="pct"/>
            <w:tcBorders>
              <w:top w:val="nil"/>
              <w:left w:val="nil"/>
              <w:bottom w:val="single" w:sz="8" w:space="0" w:color="auto"/>
              <w:right w:val="single" w:sz="8" w:space="0" w:color="auto"/>
            </w:tcBorders>
            <w:shd w:val="clear" w:color="auto" w:fill="auto"/>
            <w:noWrap/>
            <w:vAlign w:val="center"/>
            <w:hideMark/>
          </w:tcPr>
          <w:p w14:paraId="0FAB8EAE"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12,000 </w:t>
            </w:r>
          </w:p>
        </w:tc>
        <w:tc>
          <w:tcPr>
            <w:tcW w:w="261" w:type="pct"/>
            <w:tcBorders>
              <w:top w:val="nil"/>
              <w:left w:val="nil"/>
              <w:bottom w:val="single" w:sz="8" w:space="0" w:color="auto"/>
              <w:right w:val="single" w:sz="8" w:space="0" w:color="auto"/>
            </w:tcBorders>
            <w:shd w:val="clear" w:color="auto" w:fill="auto"/>
            <w:noWrap/>
            <w:vAlign w:val="center"/>
            <w:hideMark/>
          </w:tcPr>
          <w:p w14:paraId="438D69A6"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24,000 </w:t>
            </w:r>
          </w:p>
        </w:tc>
        <w:tc>
          <w:tcPr>
            <w:tcW w:w="183" w:type="pct"/>
            <w:tcBorders>
              <w:top w:val="nil"/>
              <w:left w:val="nil"/>
              <w:bottom w:val="single" w:sz="8" w:space="0" w:color="auto"/>
              <w:right w:val="single" w:sz="8" w:space="0" w:color="auto"/>
            </w:tcBorders>
            <w:shd w:val="clear" w:color="auto" w:fill="auto"/>
            <w:vAlign w:val="center"/>
            <w:hideMark/>
          </w:tcPr>
          <w:p w14:paraId="231AE73D" w14:textId="77777777" w:rsidR="00601D9B" w:rsidRDefault="000E53A0">
            <w:pPr>
              <w:jc w:val="center"/>
              <w:rPr>
                <w:i/>
                <w:iCs/>
                <w:color w:val="000000"/>
                <w:sz w:val="18"/>
                <w:szCs w:val="18"/>
                <w:lang w:val="en-US" w:eastAsia="en-US"/>
              </w:rPr>
            </w:pPr>
            <w:r w:rsidRPr="00107491">
              <w:rPr>
                <w:i/>
                <w:iCs/>
                <w:color w:val="000000"/>
                <w:sz w:val="18"/>
                <w:szCs w:val="18"/>
                <w:lang w:val="en-US" w:eastAsia="en-US"/>
              </w:rPr>
              <w:t>41</w:t>
            </w:r>
          </w:p>
        </w:tc>
        <w:tc>
          <w:tcPr>
            <w:tcW w:w="35" w:type="pct"/>
            <w:vAlign w:val="center"/>
            <w:hideMark/>
          </w:tcPr>
          <w:p w14:paraId="5A25D225" w14:textId="77777777" w:rsidR="00107491" w:rsidRPr="00107491" w:rsidRDefault="00107491" w:rsidP="00107491">
            <w:pPr>
              <w:rPr>
                <w:sz w:val="20"/>
                <w:szCs w:val="20"/>
                <w:lang w:val="en-US" w:eastAsia="en-US"/>
              </w:rPr>
            </w:pPr>
          </w:p>
        </w:tc>
      </w:tr>
      <w:tr w:rsidR="00107491" w:rsidRPr="00107491" w14:paraId="41B47F85" w14:textId="77777777" w:rsidTr="00107491">
        <w:trPr>
          <w:trHeight w:val="300"/>
        </w:trPr>
        <w:tc>
          <w:tcPr>
            <w:tcW w:w="1056" w:type="pct"/>
            <w:tcBorders>
              <w:top w:val="nil"/>
              <w:left w:val="single" w:sz="8" w:space="0" w:color="auto"/>
              <w:bottom w:val="nil"/>
              <w:right w:val="nil"/>
            </w:tcBorders>
            <w:shd w:val="clear" w:color="auto" w:fill="auto"/>
            <w:noWrap/>
            <w:vAlign w:val="center"/>
            <w:hideMark/>
          </w:tcPr>
          <w:p w14:paraId="0FB9553A" w14:textId="77777777" w:rsidR="00107491" w:rsidRPr="00107491" w:rsidRDefault="00107491" w:rsidP="00107491">
            <w:pPr>
              <w:rPr>
                <w:rFonts w:ascii="Calibri" w:hAnsi="Calibri" w:cs="Calibri"/>
                <w:color w:val="000000"/>
                <w:sz w:val="18"/>
                <w:szCs w:val="18"/>
                <w:lang w:val="en-US" w:eastAsia="en-US"/>
              </w:rPr>
            </w:pPr>
            <w:r w:rsidRPr="00107491">
              <w:rPr>
                <w:rFonts w:ascii="Calibri" w:hAnsi="Calibri" w:cs="Calibri"/>
                <w:color w:val="000000"/>
                <w:sz w:val="18"/>
                <w:szCs w:val="18"/>
                <w:lang w:val="en-US" w:eastAsia="en-US"/>
              </w:rPr>
              <w:t> </w:t>
            </w:r>
          </w:p>
        </w:tc>
        <w:tc>
          <w:tcPr>
            <w:tcW w:w="381" w:type="pct"/>
            <w:vMerge/>
            <w:tcBorders>
              <w:top w:val="nil"/>
              <w:left w:val="single" w:sz="8" w:space="0" w:color="auto"/>
              <w:bottom w:val="double" w:sz="6" w:space="0" w:color="000000"/>
              <w:right w:val="single" w:sz="8" w:space="0" w:color="auto"/>
            </w:tcBorders>
            <w:vAlign w:val="center"/>
            <w:hideMark/>
          </w:tcPr>
          <w:p w14:paraId="54073AC1" w14:textId="77777777" w:rsidR="00107491" w:rsidRPr="00107491" w:rsidRDefault="00107491" w:rsidP="00107491">
            <w:pPr>
              <w:rPr>
                <w:b/>
                <w:bCs/>
                <w:color w:val="000000"/>
                <w:sz w:val="18"/>
                <w:szCs w:val="18"/>
                <w:lang w:val="en-US" w:eastAsia="en-US"/>
              </w:rPr>
            </w:pPr>
          </w:p>
        </w:tc>
        <w:tc>
          <w:tcPr>
            <w:tcW w:w="453" w:type="pct"/>
            <w:vMerge/>
            <w:tcBorders>
              <w:top w:val="single" w:sz="8" w:space="0" w:color="auto"/>
              <w:left w:val="single" w:sz="8" w:space="0" w:color="auto"/>
              <w:bottom w:val="double" w:sz="6" w:space="0" w:color="000000"/>
              <w:right w:val="single" w:sz="8" w:space="0" w:color="auto"/>
            </w:tcBorders>
            <w:vAlign w:val="center"/>
            <w:hideMark/>
          </w:tcPr>
          <w:p w14:paraId="3465F028" w14:textId="77777777" w:rsidR="00107491" w:rsidRPr="00107491" w:rsidRDefault="00107491" w:rsidP="00107491">
            <w:pPr>
              <w:rPr>
                <w:b/>
                <w:bCs/>
                <w:color w:val="000000"/>
                <w:sz w:val="18"/>
                <w:szCs w:val="18"/>
                <w:lang w:val="en-US" w:eastAsia="en-US"/>
              </w:rPr>
            </w:pPr>
          </w:p>
        </w:tc>
        <w:tc>
          <w:tcPr>
            <w:tcW w:w="388" w:type="pct"/>
            <w:vMerge/>
            <w:tcBorders>
              <w:top w:val="single" w:sz="8" w:space="0" w:color="auto"/>
              <w:left w:val="single" w:sz="8" w:space="0" w:color="auto"/>
              <w:bottom w:val="double" w:sz="6" w:space="0" w:color="000000"/>
              <w:right w:val="single" w:sz="8" w:space="0" w:color="auto"/>
            </w:tcBorders>
            <w:vAlign w:val="center"/>
            <w:hideMark/>
          </w:tcPr>
          <w:p w14:paraId="45BAF38A" w14:textId="77777777" w:rsidR="00107491" w:rsidRPr="00107491" w:rsidRDefault="00107491" w:rsidP="00107491">
            <w:pPr>
              <w:rPr>
                <w:b/>
                <w:bCs/>
                <w:color w:val="000000"/>
                <w:sz w:val="18"/>
                <w:szCs w:val="18"/>
                <w:lang w:val="en-US" w:eastAsia="en-US"/>
              </w:rPr>
            </w:pPr>
          </w:p>
        </w:tc>
        <w:tc>
          <w:tcPr>
            <w:tcW w:w="258" w:type="pct"/>
            <w:tcBorders>
              <w:top w:val="single" w:sz="8" w:space="0" w:color="auto"/>
              <w:left w:val="nil"/>
              <w:bottom w:val="nil"/>
              <w:right w:val="single" w:sz="8" w:space="0" w:color="auto"/>
            </w:tcBorders>
            <w:shd w:val="clear" w:color="auto" w:fill="auto"/>
            <w:noWrap/>
            <w:vAlign w:val="center"/>
            <w:hideMark/>
          </w:tcPr>
          <w:p w14:paraId="301DDA23" w14:textId="77777777" w:rsidR="00601D9B" w:rsidRDefault="000E53A0">
            <w:pPr>
              <w:rPr>
                <w:color w:val="000000"/>
                <w:sz w:val="18"/>
                <w:szCs w:val="18"/>
                <w:lang w:val="en-US" w:eastAsia="en-US"/>
              </w:rPr>
            </w:pPr>
            <w:r w:rsidRPr="00107491">
              <w:rPr>
                <w:color w:val="000000"/>
                <w:sz w:val="18"/>
                <w:szCs w:val="18"/>
                <w:lang w:val="en-US" w:eastAsia="en-US"/>
              </w:rPr>
              <w:t>72100</w:t>
            </w:r>
          </w:p>
        </w:tc>
        <w:tc>
          <w:tcPr>
            <w:tcW w:w="458" w:type="pct"/>
            <w:tcBorders>
              <w:top w:val="single" w:sz="8" w:space="0" w:color="auto"/>
              <w:left w:val="nil"/>
              <w:bottom w:val="nil"/>
              <w:right w:val="single" w:sz="8" w:space="0" w:color="auto"/>
            </w:tcBorders>
            <w:shd w:val="clear" w:color="auto" w:fill="auto"/>
            <w:vAlign w:val="center"/>
            <w:hideMark/>
          </w:tcPr>
          <w:p w14:paraId="044644DD" w14:textId="77777777" w:rsidR="00601D9B" w:rsidRDefault="000E53A0">
            <w:pPr>
              <w:rPr>
                <w:color w:val="000000"/>
                <w:sz w:val="18"/>
                <w:szCs w:val="18"/>
                <w:lang w:val="en-US" w:eastAsia="en-US"/>
              </w:rPr>
            </w:pPr>
            <w:r w:rsidRPr="00107491">
              <w:rPr>
                <w:color w:val="000000"/>
                <w:sz w:val="18"/>
                <w:szCs w:val="18"/>
                <w:lang w:val="en-US" w:eastAsia="en-US"/>
              </w:rPr>
              <w:t>Services contrac</w:t>
            </w:r>
            <w:r w:rsidRPr="00107491">
              <w:rPr>
                <w:color w:val="000000"/>
                <w:sz w:val="18"/>
                <w:szCs w:val="18"/>
                <w:lang w:val="en-US" w:eastAsia="en-US"/>
              </w:rPr>
              <w:lastRenderedPageBreak/>
              <w:t>tuels - Entreprises</w:t>
            </w:r>
          </w:p>
        </w:tc>
        <w:tc>
          <w:tcPr>
            <w:tcW w:w="254" w:type="pct"/>
            <w:tcBorders>
              <w:top w:val="nil"/>
              <w:left w:val="nil"/>
              <w:bottom w:val="single" w:sz="8" w:space="0" w:color="auto"/>
              <w:right w:val="single" w:sz="8" w:space="0" w:color="auto"/>
            </w:tcBorders>
            <w:shd w:val="clear" w:color="auto" w:fill="auto"/>
            <w:noWrap/>
            <w:vAlign w:val="center"/>
            <w:hideMark/>
          </w:tcPr>
          <w:p w14:paraId="16CC8517" w14:textId="77777777" w:rsidR="00601D9B" w:rsidRDefault="000E53A0">
            <w:pPr>
              <w:jc w:val="center"/>
              <w:rPr>
                <w:color w:val="000000"/>
                <w:sz w:val="18"/>
                <w:szCs w:val="18"/>
                <w:lang w:val="en-US" w:eastAsia="en-US"/>
              </w:rPr>
            </w:pPr>
            <w:r w:rsidRPr="00107491">
              <w:rPr>
                <w:color w:val="000000"/>
                <w:sz w:val="18"/>
                <w:szCs w:val="18"/>
                <w:lang w:val="en-US" w:eastAsia="en-US"/>
              </w:rPr>
              <w:lastRenderedPageBreak/>
              <w:t xml:space="preserve">                     - </w:t>
            </w:r>
          </w:p>
        </w:tc>
        <w:tc>
          <w:tcPr>
            <w:tcW w:w="273" w:type="pct"/>
            <w:tcBorders>
              <w:top w:val="nil"/>
              <w:left w:val="nil"/>
              <w:bottom w:val="single" w:sz="8" w:space="0" w:color="auto"/>
              <w:right w:val="single" w:sz="8" w:space="0" w:color="auto"/>
            </w:tcBorders>
            <w:shd w:val="clear" w:color="auto" w:fill="auto"/>
            <w:noWrap/>
            <w:vAlign w:val="center"/>
            <w:hideMark/>
          </w:tcPr>
          <w:p w14:paraId="3F1A7CAD"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85,000 </w:t>
            </w:r>
          </w:p>
        </w:tc>
        <w:tc>
          <w:tcPr>
            <w:tcW w:w="250" w:type="pct"/>
            <w:tcBorders>
              <w:top w:val="nil"/>
              <w:left w:val="nil"/>
              <w:bottom w:val="single" w:sz="8" w:space="0" w:color="auto"/>
              <w:right w:val="single" w:sz="8" w:space="0" w:color="auto"/>
            </w:tcBorders>
            <w:shd w:val="clear" w:color="auto" w:fill="auto"/>
            <w:noWrap/>
            <w:vAlign w:val="center"/>
            <w:hideMark/>
          </w:tcPr>
          <w:p w14:paraId="762DD0F6"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 </w:t>
            </w:r>
          </w:p>
        </w:tc>
        <w:tc>
          <w:tcPr>
            <w:tcW w:w="250" w:type="pct"/>
            <w:tcBorders>
              <w:top w:val="nil"/>
              <w:left w:val="nil"/>
              <w:bottom w:val="single" w:sz="8" w:space="0" w:color="auto"/>
              <w:right w:val="single" w:sz="8" w:space="0" w:color="auto"/>
            </w:tcBorders>
            <w:shd w:val="clear" w:color="auto" w:fill="auto"/>
            <w:noWrap/>
            <w:vAlign w:val="center"/>
            <w:hideMark/>
          </w:tcPr>
          <w:p w14:paraId="56B65E95"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 </w:t>
            </w:r>
          </w:p>
        </w:tc>
        <w:tc>
          <w:tcPr>
            <w:tcW w:w="250" w:type="pct"/>
            <w:tcBorders>
              <w:top w:val="nil"/>
              <w:left w:val="nil"/>
              <w:bottom w:val="single" w:sz="8" w:space="0" w:color="auto"/>
              <w:right w:val="single" w:sz="8" w:space="0" w:color="auto"/>
            </w:tcBorders>
            <w:shd w:val="clear" w:color="auto" w:fill="auto"/>
            <w:noWrap/>
            <w:vAlign w:val="center"/>
            <w:hideMark/>
          </w:tcPr>
          <w:p w14:paraId="2D5765A7"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 </w:t>
            </w:r>
          </w:p>
        </w:tc>
        <w:tc>
          <w:tcPr>
            <w:tcW w:w="250" w:type="pct"/>
            <w:tcBorders>
              <w:top w:val="nil"/>
              <w:left w:val="nil"/>
              <w:bottom w:val="single" w:sz="8" w:space="0" w:color="auto"/>
              <w:right w:val="single" w:sz="8" w:space="0" w:color="auto"/>
            </w:tcBorders>
            <w:shd w:val="clear" w:color="auto" w:fill="auto"/>
            <w:noWrap/>
            <w:vAlign w:val="center"/>
            <w:hideMark/>
          </w:tcPr>
          <w:p w14:paraId="0CE38440"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 </w:t>
            </w:r>
          </w:p>
        </w:tc>
        <w:tc>
          <w:tcPr>
            <w:tcW w:w="261" w:type="pct"/>
            <w:tcBorders>
              <w:top w:val="nil"/>
              <w:left w:val="nil"/>
              <w:bottom w:val="single" w:sz="8" w:space="0" w:color="auto"/>
              <w:right w:val="single" w:sz="8" w:space="0" w:color="auto"/>
            </w:tcBorders>
            <w:shd w:val="clear" w:color="auto" w:fill="auto"/>
            <w:noWrap/>
            <w:vAlign w:val="center"/>
            <w:hideMark/>
          </w:tcPr>
          <w:p w14:paraId="0F5530CB"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85,000 </w:t>
            </w:r>
          </w:p>
        </w:tc>
        <w:tc>
          <w:tcPr>
            <w:tcW w:w="183" w:type="pct"/>
            <w:tcBorders>
              <w:top w:val="nil"/>
              <w:left w:val="nil"/>
              <w:bottom w:val="single" w:sz="8" w:space="0" w:color="auto"/>
              <w:right w:val="single" w:sz="8" w:space="0" w:color="auto"/>
            </w:tcBorders>
            <w:shd w:val="clear" w:color="auto" w:fill="auto"/>
            <w:noWrap/>
            <w:vAlign w:val="center"/>
            <w:hideMark/>
          </w:tcPr>
          <w:p w14:paraId="523D8F4C" w14:textId="77777777" w:rsidR="00601D9B" w:rsidRDefault="000E53A0">
            <w:pPr>
              <w:jc w:val="center"/>
              <w:rPr>
                <w:i/>
                <w:iCs/>
                <w:color w:val="000000"/>
                <w:sz w:val="18"/>
                <w:szCs w:val="18"/>
                <w:lang w:val="en-US" w:eastAsia="en-US"/>
              </w:rPr>
            </w:pPr>
            <w:r w:rsidRPr="00107491">
              <w:rPr>
                <w:i/>
                <w:iCs/>
                <w:color w:val="000000"/>
                <w:sz w:val="18"/>
                <w:szCs w:val="18"/>
                <w:lang w:val="en-US" w:eastAsia="en-US"/>
              </w:rPr>
              <w:t>42</w:t>
            </w:r>
          </w:p>
        </w:tc>
        <w:tc>
          <w:tcPr>
            <w:tcW w:w="35" w:type="pct"/>
            <w:vAlign w:val="center"/>
            <w:hideMark/>
          </w:tcPr>
          <w:p w14:paraId="1EAF2F40" w14:textId="77777777" w:rsidR="00107491" w:rsidRPr="00107491" w:rsidRDefault="00107491" w:rsidP="00107491">
            <w:pPr>
              <w:rPr>
                <w:sz w:val="20"/>
                <w:szCs w:val="20"/>
                <w:lang w:val="en-US" w:eastAsia="en-US"/>
              </w:rPr>
            </w:pPr>
          </w:p>
        </w:tc>
      </w:tr>
      <w:tr w:rsidR="00107491" w:rsidRPr="00107491" w14:paraId="4C87AC03" w14:textId="77777777" w:rsidTr="00107491">
        <w:trPr>
          <w:trHeight w:val="300"/>
        </w:trPr>
        <w:tc>
          <w:tcPr>
            <w:tcW w:w="1056" w:type="pct"/>
            <w:tcBorders>
              <w:top w:val="nil"/>
              <w:left w:val="single" w:sz="8" w:space="0" w:color="auto"/>
              <w:bottom w:val="nil"/>
              <w:right w:val="nil"/>
            </w:tcBorders>
            <w:shd w:val="clear" w:color="auto" w:fill="auto"/>
            <w:noWrap/>
            <w:vAlign w:val="center"/>
            <w:hideMark/>
          </w:tcPr>
          <w:p w14:paraId="448CDFEB" w14:textId="77777777" w:rsidR="00107491" w:rsidRPr="00107491" w:rsidRDefault="00107491" w:rsidP="00107491">
            <w:pPr>
              <w:rPr>
                <w:rFonts w:ascii="Calibri" w:hAnsi="Calibri" w:cs="Calibri"/>
                <w:color w:val="000000"/>
                <w:sz w:val="18"/>
                <w:szCs w:val="18"/>
                <w:lang w:val="en-US" w:eastAsia="en-US"/>
              </w:rPr>
            </w:pPr>
            <w:r w:rsidRPr="00107491">
              <w:rPr>
                <w:rFonts w:ascii="Calibri" w:hAnsi="Calibri" w:cs="Calibri"/>
                <w:color w:val="000000"/>
                <w:sz w:val="18"/>
                <w:szCs w:val="18"/>
                <w:lang w:val="en-US" w:eastAsia="en-US"/>
              </w:rPr>
              <w:t> </w:t>
            </w:r>
          </w:p>
        </w:tc>
        <w:tc>
          <w:tcPr>
            <w:tcW w:w="381" w:type="pct"/>
            <w:vMerge/>
            <w:tcBorders>
              <w:top w:val="nil"/>
              <w:left w:val="single" w:sz="8" w:space="0" w:color="auto"/>
              <w:bottom w:val="double" w:sz="6" w:space="0" w:color="000000"/>
              <w:right w:val="single" w:sz="8" w:space="0" w:color="auto"/>
            </w:tcBorders>
            <w:vAlign w:val="center"/>
            <w:hideMark/>
          </w:tcPr>
          <w:p w14:paraId="6B77029A" w14:textId="77777777" w:rsidR="00107491" w:rsidRPr="00107491" w:rsidRDefault="00107491" w:rsidP="00107491">
            <w:pPr>
              <w:rPr>
                <w:b/>
                <w:bCs/>
                <w:color w:val="000000"/>
                <w:sz w:val="18"/>
                <w:szCs w:val="18"/>
                <w:lang w:val="en-US" w:eastAsia="en-US"/>
              </w:rPr>
            </w:pPr>
          </w:p>
        </w:tc>
        <w:tc>
          <w:tcPr>
            <w:tcW w:w="453" w:type="pct"/>
            <w:vMerge/>
            <w:tcBorders>
              <w:top w:val="single" w:sz="8" w:space="0" w:color="auto"/>
              <w:left w:val="single" w:sz="8" w:space="0" w:color="auto"/>
              <w:bottom w:val="double" w:sz="6" w:space="0" w:color="000000"/>
              <w:right w:val="single" w:sz="8" w:space="0" w:color="auto"/>
            </w:tcBorders>
            <w:vAlign w:val="center"/>
            <w:hideMark/>
          </w:tcPr>
          <w:p w14:paraId="4FABABAE" w14:textId="77777777" w:rsidR="00107491" w:rsidRPr="00107491" w:rsidRDefault="00107491" w:rsidP="00107491">
            <w:pPr>
              <w:rPr>
                <w:b/>
                <w:bCs/>
                <w:color w:val="000000"/>
                <w:sz w:val="18"/>
                <w:szCs w:val="18"/>
                <w:lang w:val="en-US" w:eastAsia="en-US"/>
              </w:rPr>
            </w:pPr>
          </w:p>
        </w:tc>
        <w:tc>
          <w:tcPr>
            <w:tcW w:w="388" w:type="pct"/>
            <w:vMerge/>
            <w:tcBorders>
              <w:top w:val="single" w:sz="8" w:space="0" w:color="auto"/>
              <w:left w:val="single" w:sz="8" w:space="0" w:color="auto"/>
              <w:bottom w:val="double" w:sz="6" w:space="0" w:color="000000"/>
              <w:right w:val="single" w:sz="8" w:space="0" w:color="auto"/>
            </w:tcBorders>
            <w:vAlign w:val="center"/>
            <w:hideMark/>
          </w:tcPr>
          <w:p w14:paraId="07E6150C" w14:textId="77777777" w:rsidR="00107491" w:rsidRPr="00107491" w:rsidRDefault="00107491" w:rsidP="00107491">
            <w:pPr>
              <w:rPr>
                <w:b/>
                <w:bCs/>
                <w:color w:val="000000"/>
                <w:sz w:val="18"/>
                <w:szCs w:val="18"/>
                <w:lang w:val="en-US" w:eastAsia="en-US"/>
              </w:rPr>
            </w:pPr>
          </w:p>
        </w:tc>
        <w:tc>
          <w:tcPr>
            <w:tcW w:w="258" w:type="pct"/>
            <w:tcBorders>
              <w:top w:val="single" w:sz="8" w:space="0" w:color="auto"/>
              <w:left w:val="nil"/>
              <w:bottom w:val="nil"/>
              <w:right w:val="single" w:sz="8" w:space="0" w:color="auto"/>
            </w:tcBorders>
            <w:shd w:val="clear" w:color="auto" w:fill="auto"/>
            <w:noWrap/>
            <w:vAlign w:val="center"/>
            <w:hideMark/>
          </w:tcPr>
          <w:p w14:paraId="20C210E1" w14:textId="77777777" w:rsidR="00601D9B" w:rsidRDefault="000E53A0">
            <w:pPr>
              <w:rPr>
                <w:color w:val="000000"/>
                <w:sz w:val="18"/>
                <w:szCs w:val="18"/>
                <w:lang w:val="en-US" w:eastAsia="en-US"/>
              </w:rPr>
            </w:pPr>
            <w:r w:rsidRPr="00107491">
              <w:rPr>
                <w:color w:val="000000"/>
                <w:sz w:val="18"/>
                <w:szCs w:val="18"/>
                <w:lang w:val="en-US" w:eastAsia="en-US"/>
              </w:rPr>
              <w:t>75700</w:t>
            </w:r>
          </w:p>
        </w:tc>
        <w:tc>
          <w:tcPr>
            <w:tcW w:w="458" w:type="pct"/>
            <w:tcBorders>
              <w:top w:val="single" w:sz="8" w:space="0" w:color="auto"/>
              <w:left w:val="nil"/>
              <w:bottom w:val="nil"/>
              <w:right w:val="single" w:sz="8" w:space="0" w:color="auto"/>
            </w:tcBorders>
            <w:shd w:val="clear" w:color="auto" w:fill="auto"/>
            <w:vAlign w:val="center"/>
            <w:hideMark/>
          </w:tcPr>
          <w:p w14:paraId="500E3EF6" w14:textId="77777777" w:rsidR="00601D9B" w:rsidRDefault="000E53A0">
            <w:pPr>
              <w:rPr>
                <w:color w:val="000000"/>
                <w:sz w:val="18"/>
                <w:szCs w:val="18"/>
                <w:lang w:val="en-US" w:eastAsia="en-US"/>
              </w:rPr>
            </w:pPr>
            <w:r w:rsidRPr="00107491">
              <w:rPr>
                <w:color w:val="000000"/>
                <w:sz w:val="18"/>
                <w:szCs w:val="18"/>
                <w:lang w:val="en-US" w:eastAsia="en-US"/>
              </w:rPr>
              <w:t>Formation, ateliers et conférences</w:t>
            </w:r>
          </w:p>
        </w:tc>
        <w:tc>
          <w:tcPr>
            <w:tcW w:w="254" w:type="pct"/>
            <w:tcBorders>
              <w:top w:val="nil"/>
              <w:left w:val="nil"/>
              <w:bottom w:val="single" w:sz="8" w:space="0" w:color="auto"/>
              <w:right w:val="single" w:sz="8" w:space="0" w:color="auto"/>
            </w:tcBorders>
            <w:shd w:val="clear" w:color="auto" w:fill="auto"/>
            <w:noWrap/>
            <w:vAlign w:val="center"/>
            <w:hideMark/>
          </w:tcPr>
          <w:p w14:paraId="4D92382F"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13,000 </w:t>
            </w:r>
          </w:p>
        </w:tc>
        <w:tc>
          <w:tcPr>
            <w:tcW w:w="273" w:type="pct"/>
            <w:tcBorders>
              <w:top w:val="nil"/>
              <w:left w:val="nil"/>
              <w:bottom w:val="single" w:sz="8" w:space="0" w:color="auto"/>
              <w:right w:val="single" w:sz="8" w:space="0" w:color="auto"/>
            </w:tcBorders>
            <w:shd w:val="clear" w:color="auto" w:fill="auto"/>
            <w:noWrap/>
            <w:vAlign w:val="center"/>
            <w:hideMark/>
          </w:tcPr>
          <w:p w14:paraId="7D825496"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21,000 </w:t>
            </w:r>
          </w:p>
        </w:tc>
        <w:tc>
          <w:tcPr>
            <w:tcW w:w="250" w:type="pct"/>
            <w:tcBorders>
              <w:top w:val="nil"/>
              <w:left w:val="nil"/>
              <w:bottom w:val="single" w:sz="8" w:space="0" w:color="auto"/>
              <w:right w:val="single" w:sz="8" w:space="0" w:color="auto"/>
            </w:tcBorders>
            <w:shd w:val="clear" w:color="auto" w:fill="auto"/>
            <w:noWrap/>
            <w:vAlign w:val="center"/>
            <w:hideMark/>
          </w:tcPr>
          <w:p w14:paraId="0BF405D1"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21,000 </w:t>
            </w:r>
          </w:p>
        </w:tc>
        <w:tc>
          <w:tcPr>
            <w:tcW w:w="250" w:type="pct"/>
            <w:tcBorders>
              <w:top w:val="nil"/>
              <w:left w:val="nil"/>
              <w:bottom w:val="single" w:sz="8" w:space="0" w:color="auto"/>
              <w:right w:val="single" w:sz="8" w:space="0" w:color="auto"/>
            </w:tcBorders>
            <w:shd w:val="clear" w:color="auto" w:fill="auto"/>
            <w:noWrap/>
            <w:vAlign w:val="center"/>
            <w:hideMark/>
          </w:tcPr>
          <w:p w14:paraId="2B8FD834"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21,000 </w:t>
            </w:r>
          </w:p>
        </w:tc>
        <w:tc>
          <w:tcPr>
            <w:tcW w:w="250" w:type="pct"/>
            <w:tcBorders>
              <w:top w:val="nil"/>
              <w:left w:val="nil"/>
              <w:bottom w:val="single" w:sz="8" w:space="0" w:color="auto"/>
              <w:right w:val="single" w:sz="8" w:space="0" w:color="auto"/>
            </w:tcBorders>
            <w:shd w:val="clear" w:color="auto" w:fill="auto"/>
            <w:noWrap/>
            <w:vAlign w:val="center"/>
            <w:hideMark/>
          </w:tcPr>
          <w:p w14:paraId="4865FBFC"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41,000 </w:t>
            </w:r>
          </w:p>
        </w:tc>
        <w:tc>
          <w:tcPr>
            <w:tcW w:w="250" w:type="pct"/>
            <w:tcBorders>
              <w:top w:val="nil"/>
              <w:left w:val="nil"/>
              <w:bottom w:val="single" w:sz="8" w:space="0" w:color="auto"/>
              <w:right w:val="single" w:sz="8" w:space="0" w:color="auto"/>
            </w:tcBorders>
            <w:shd w:val="clear" w:color="auto" w:fill="auto"/>
            <w:noWrap/>
            <w:vAlign w:val="center"/>
            <w:hideMark/>
          </w:tcPr>
          <w:p w14:paraId="0B80DC20"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21,000 </w:t>
            </w:r>
          </w:p>
        </w:tc>
        <w:tc>
          <w:tcPr>
            <w:tcW w:w="261" w:type="pct"/>
            <w:tcBorders>
              <w:top w:val="nil"/>
              <w:left w:val="nil"/>
              <w:bottom w:val="single" w:sz="8" w:space="0" w:color="auto"/>
              <w:right w:val="single" w:sz="8" w:space="0" w:color="auto"/>
            </w:tcBorders>
            <w:shd w:val="clear" w:color="auto" w:fill="auto"/>
            <w:noWrap/>
            <w:vAlign w:val="center"/>
            <w:hideMark/>
          </w:tcPr>
          <w:p w14:paraId="6989687A"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138,000 </w:t>
            </w:r>
          </w:p>
        </w:tc>
        <w:tc>
          <w:tcPr>
            <w:tcW w:w="183" w:type="pct"/>
            <w:tcBorders>
              <w:top w:val="nil"/>
              <w:left w:val="nil"/>
              <w:bottom w:val="single" w:sz="8" w:space="0" w:color="auto"/>
              <w:right w:val="single" w:sz="8" w:space="0" w:color="auto"/>
            </w:tcBorders>
            <w:shd w:val="clear" w:color="auto" w:fill="auto"/>
            <w:noWrap/>
            <w:vAlign w:val="center"/>
            <w:hideMark/>
          </w:tcPr>
          <w:p w14:paraId="5779FAA4" w14:textId="77777777" w:rsidR="00601D9B" w:rsidRDefault="000E53A0">
            <w:pPr>
              <w:jc w:val="center"/>
              <w:rPr>
                <w:i/>
                <w:iCs/>
                <w:color w:val="000000"/>
                <w:sz w:val="18"/>
                <w:szCs w:val="18"/>
                <w:lang w:val="en-US" w:eastAsia="en-US"/>
              </w:rPr>
            </w:pPr>
            <w:r w:rsidRPr="00107491">
              <w:rPr>
                <w:i/>
                <w:iCs/>
                <w:color w:val="000000"/>
                <w:sz w:val="18"/>
                <w:szCs w:val="18"/>
                <w:lang w:val="en-US" w:eastAsia="en-US"/>
              </w:rPr>
              <w:t>43</w:t>
            </w:r>
          </w:p>
        </w:tc>
        <w:tc>
          <w:tcPr>
            <w:tcW w:w="35" w:type="pct"/>
            <w:vAlign w:val="center"/>
            <w:hideMark/>
          </w:tcPr>
          <w:p w14:paraId="7D915C1C" w14:textId="77777777" w:rsidR="00107491" w:rsidRPr="00107491" w:rsidRDefault="00107491" w:rsidP="00107491">
            <w:pPr>
              <w:rPr>
                <w:sz w:val="20"/>
                <w:szCs w:val="20"/>
                <w:lang w:val="en-US" w:eastAsia="en-US"/>
              </w:rPr>
            </w:pPr>
          </w:p>
        </w:tc>
      </w:tr>
      <w:tr w:rsidR="00107491" w:rsidRPr="00107491" w14:paraId="526868F6" w14:textId="77777777" w:rsidTr="00107491">
        <w:trPr>
          <w:trHeight w:val="300"/>
        </w:trPr>
        <w:tc>
          <w:tcPr>
            <w:tcW w:w="1056" w:type="pct"/>
            <w:tcBorders>
              <w:top w:val="nil"/>
              <w:left w:val="single" w:sz="8" w:space="0" w:color="auto"/>
              <w:bottom w:val="nil"/>
              <w:right w:val="nil"/>
            </w:tcBorders>
            <w:shd w:val="clear" w:color="auto" w:fill="auto"/>
            <w:noWrap/>
            <w:vAlign w:val="center"/>
            <w:hideMark/>
          </w:tcPr>
          <w:p w14:paraId="0BDEC317" w14:textId="77777777" w:rsidR="00107491" w:rsidRPr="00107491" w:rsidRDefault="00107491" w:rsidP="00107491">
            <w:pPr>
              <w:rPr>
                <w:rFonts w:ascii="Calibri" w:hAnsi="Calibri" w:cs="Calibri"/>
                <w:color w:val="000000"/>
                <w:sz w:val="18"/>
                <w:szCs w:val="18"/>
                <w:lang w:val="en-US" w:eastAsia="en-US"/>
              </w:rPr>
            </w:pPr>
            <w:r w:rsidRPr="00107491">
              <w:rPr>
                <w:rFonts w:ascii="Calibri" w:hAnsi="Calibri" w:cs="Calibri"/>
                <w:color w:val="000000"/>
                <w:sz w:val="18"/>
                <w:szCs w:val="18"/>
                <w:lang w:val="en-US" w:eastAsia="en-US"/>
              </w:rPr>
              <w:t> </w:t>
            </w:r>
          </w:p>
        </w:tc>
        <w:tc>
          <w:tcPr>
            <w:tcW w:w="381" w:type="pct"/>
            <w:vMerge/>
            <w:tcBorders>
              <w:top w:val="nil"/>
              <w:left w:val="single" w:sz="8" w:space="0" w:color="auto"/>
              <w:bottom w:val="double" w:sz="6" w:space="0" w:color="000000"/>
              <w:right w:val="single" w:sz="8" w:space="0" w:color="auto"/>
            </w:tcBorders>
            <w:vAlign w:val="center"/>
            <w:hideMark/>
          </w:tcPr>
          <w:p w14:paraId="7BEEEE38" w14:textId="77777777" w:rsidR="00107491" w:rsidRPr="00107491" w:rsidRDefault="00107491" w:rsidP="00107491">
            <w:pPr>
              <w:rPr>
                <w:b/>
                <w:bCs/>
                <w:color w:val="000000"/>
                <w:sz w:val="18"/>
                <w:szCs w:val="18"/>
                <w:lang w:val="en-US" w:eastAsia="en-US"/>
              </w:rPr>
            </w:pPr>
          </w:p>
        </w:tc>
        <w:tc>
          <w:tcPr>
            <w:tcW w:w="453" w:type="pct"/>
            <w:vMerge/>
            <w:tcBorders>
              <w:top w:val="single" w:sz="8" w:space="0" w:color="auto"/>
              <w:left w:val="single" w:sz="8" w:space="0" w:color="auto"/>
              <w:bottom w:val="double" w:sz="6" w:space="0" w:color="000000"/>
              <w:right w:val="single" w:sz="8" w:space="0" w:color="auto"/>
            </w:tcBorders>
            <w:vAlign w:val="center"/>
            <w:hideMark/>
          </w:tcPr>
          <w:p w14:paraId="1835C246" w14:textId="77777777" w:rsidR="00107491" w:rsidRPr="00107491" w:rsidRDefault="00107491" w:rsidP="00107491">
            <w:pPr>
              <w:rPr>
                <w:b/>
                <w:bCs/>
                <w:color w:val="000000"/>
                <w:sz w:val="18"/>
                <w:szCs w:val="18"/>
                <w:lang w:val="en-US" w:eastAsia="en-US"/>
              </w:rPr>
            </w:pPr>
          </w:p>
        </w:tc>
        <w:tc>
          <w:tcPr>
            <w:tcW w:w="388" w:type="pct"/>
            <w:vMerge/>
            <w:tcBorders>
              <w:top w:val="single" w:sz="8" w:space="0" w:color="auto"/>
              <w:left w:val="single" w:sz="8" w:space="0" w:color="auto"/>
              <w:bottom w:val="double" w:sz="6" w:space="0" w:color="000000"/>
              <w:right w:val="single" w:sz="8" w:space="0" w:color="auto"/>
            </w:tcBorders>
            <w:vAlign w:val="center"/>
            <w:hideMark/>
          </w:tcPr>
          <w:p w14:paraId="616AA882" w14:textId="77777777" w:rsidR="00107491" w:rsidRPr="00107491" w:rsidRDefault="00107491" w:rsidP="00107491">
            <w:pPr>
              <w:rPr>
                <w:b/>
                <w:bCs/>
                <w:color w:val="000000"/>
                <w:sz w:val="18"/>
                <w:szCs w:val="18"/>
                <w:lang w:val="en-US" w:eastAsia="en-US"/>
              </w:rPr>
            </w:pPr>
          </w:p>
        </w:tc>
        <w:tc>
          <w:tcPr>
            <w:tcW w:w="258" w:type="pct"/>
            <w:tcBorders>
              <w:top w:val="single" w:sz="8" w:space="0" w:color="auto"/>
              <w:left w:val="nil"/>
              <w:bottom w:val="single" w:sz="8" w:space="0" w:color="auto"/>
              <w:right w:val="single" w:sz="8" w:space="0" w:color="auto"/>
            </w:tcBorders>
            <w:shd w:val="clear" w:color="auto" w:fill="auto"/>
            <w:noWrap/>
            <w:vAlign w:val="center"/>
            <w:hideMark/>
          </w:tcPr>
          <w:p w14:paraId="53CF5C17" w14:textId="77777777" w:rsidR="00601D9B" w:rsidRDefault="000E53A0">
            <w:pPr>
              <w:jc w:val="right"/>
              <w:rPr>
                <w:color w:val="000000"/>
                <w:sz w:val="18"/>
                <w:szCs w:val="18"/>
                <w:lang w:val="en-US" w:eastAsia="en-US"/>
              </w:rPr>
            </w:pPr>
            <w:r w:rsidRPr="00107491">
              <w:rPr>
                <w:color w:val="000000"/>
                <w:sz w:val="18"/>
                <w:szCs w:val="18"/>
                <w:lang w:val="en-US" w:eastAsia="en-US"/>
              </w:rPr>
              <w:t>72500</w:t>
            </w:r>
          </w:p>
        </w:tc>
        <w:tc>
          <w:tcPr>
            <w:tcW w:w="458" w:type="pct"/>
            <w:tcBorders>
              <w:top w:val="single" w:sz="8" w:space="0" w:color="auto"/>
              <w:left w:val="nil"/>
              <w:bottom w:val="nil"/>
              <w:right w:val="single" w:sz="8" w:space="0" w:color="auto"/>
            </w:tcBorders>
            <w:shd w:val="clear" w:color="auto" w:fill="auto"/>
            <w:vAlign w:val="center"/>
            <w:hideMark/>
          </w:tcPr>
          <w:p w14:paraId="550CC887" w14:textId="77777777" w:rsidR="00601D9B" w:rsidRDefault="000E53A0">
            <w:pPr>
              <w:rPr>
                <w:color w:val="000000"/>
                <w:sz w:val="18"/>
                <w:szCs w:val="18"/>
                <w:lang w:val="en-US" w:eastAsia="en-US"/>
              </w:rPr>
            </w:pPr>
            <w:r w:rsidRPr="00107491">
              <w:rPr>
                <w:color w:val="000000"/>
                <w:sz w:val="18"/>
                <w:szCs w:val="18"/>
                <w:lang w:val="en-US" w:eastAsia="en-US"/>
              </w:rPr>
              <w:t>Fournitures</w:t>
            </w:r>
          </w:p>
        </w:tc>
        <w:tc>
          <w:tcPr>
            <w:tcW w:w="254" w:type="pct"/>
            <w:tcBorders>
              <w:top w:val="nil"/>
              <w:left w:val="nil"/>
              <w:bottom w:val="single" w:sz="8" w:space="0" w:color="auto"/>
              <w:right w:val="single" w:sz="8" w:space="0" w:color="auto"/>
            </w:tcBorders>
            <w:shd w:val="clear" w:color="auto" w:fill="auto"/>
            <w:noWrap/>
            <w:vAlign w:val="center"/>
            <w:hideMark/>
          </w:tcPr>
          <w:p w14:paraId="6675CBA4"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 </w:t>
            </w:r>
          </w:p>
        </w:tc>
        <w:tc>
          <w:tcPr>
            <w:tcW w:w="273" w:type="pct"/>
            <w:tcBorders>
              <w:top w:val="nil"/>
              <w:left w:val="nil"/>
              <w:bottom w:val="single" w:sz="8" w:space="0" w:color="auto"/>
              <w:right w:val="single" w:sz="8" w:space="0" w:color="auto"/>
            </w:tcBorders>
            <w:shd w:val="clear" w:color="auto" w:fill="auto"/>
            <w:noWrap/>
            <w:vAlign w:val="center"/>
            <w:hideMark/>
          </w:tcPr>
          <w:p w14:paraId="5012424C"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 </w:t>
            </w:r>
          </w:p>
        </w:tc>
        <w:tc>
          <w:tcPr>
            <w:tcW w:w="250" w:type="pct"/>
            <w:tcBorders>
              <w:top w:val="nil"/>
              <w:left w:val="nil"/>
              <w:bottom w:val="single" w:sz="8" w:space="0" w:color="auto"/>
              <w:right w:val="single" w:sz="8" w:space="0" w:color="auto"/>
            </w:tcBorders>
            <w:shd w:val="clear" w:color="auto" w:fill="auto"/>
            <w:noWrap/>
            <w:vAlign w:val="center"/>
            <w:hideMark/>
          </w:tcPr>
          <w:p w14:paraId="678630C7"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 </w:t>
            </w:r>
          </w:p>
        </w:tc>
        <w:tc>
          <w:tcPr>
            <w:tcW w:w="250" w:type="pct"/>
            <w:tcBorders>
              <w:top w:val="nil"/>
              <w:left w:val="nil"/>
              <w:bottom w:val="single" w:sz="8" w:space="0" w:color="auto"/>
              <w:right w:val="single" w:sz="8" w:space="0" w:color="auto"/>
            </w:tcBorders>
            <w:shd w:val="clear" w:color="auto" w:fill="auto"/>
            <w:noWrap/>
            <w:vAlign w:val="center"/>
            <w:hideMark/>
          </w:tcPr>
          <w:p w14:paraId="220A33F6"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 </w:t>
            </w:r>
          </w:p>
        </w:tc>
        <w:tc>
          <w:tcPr>
            <w:tcW w:w="250" w:type="pct"/>
            <w:tcBorders>
              <w:top w:val="nil"/>
              <w:left w:val="nil"/>
              <w:bottom w:val="single" w:sz="8" w:space="0" w:color="auto"/>
              <w:right w:val="single" w:sz="8" w:space="0" w:color="auto"/>
            </w:tcBorders>
            <w:shd w:val="clear" w:color="auto" w:fill="auto"/>
            <w:noWrap/>
            <w:vAlign w:val="center"/>
            <w:hideMark/>
          </w:tcPr>
          <w:p w14:paraId="7C782CE5"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 </w:t>
            </w:r>
          </w:p>
        </w:tc>
        <w:tc>
          <w:tcPr>
            <w:tcW w:w="250" w:type="pct"/>
            <w:tcBorders>
              <w:top w:val="nil"/>
              <w:left w:val="nil"/>
              <w:bottom w:val="single" w:sz="8" w:space="0" w:color="auto"/>
              <w:right w:val="single" w:sz="8" w:space="0" w:color="auto"/>
            </w:tcBorders>
            <w:shd w:val="clear" w:color="auto" w:fill="auto"/>
            <w:noWrap/>
            <w:vAlign w:val="center"/>
            <w:hideMark/>
          </w:tcPr>
          <w:p w14:paraId="295F46CD"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15,000 </w:t>
            </w:r>
          </w:p>
        </w:tc>
        <w:tc>
          <w:tcPr>
            <w:tcW w:w="261" w:type="pct"/>
            <w:tcBorders>
              <w:top w:val="nil"/>
              <w:left w:val="nil"/>
              <w:bottom w:val="single" w:sz="8" w:space="0" w:color="auto"/>
              <w:right w:val="single" w:sz="8" w:space="0" w:color="auto"/>
            </w:tcBorders>
            <w:shd w:val="clear" w:color="auto" w:fill="auto"/>
            <w:noWrap/>
            <w:vAlign w:val="center"/>
            <w:hideMark/>
          </w:tcPr>
          <w:p w14:paraId="472BF8D2"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15,000 </w:t>
            </w:r>
          </w:p>
        </w:tc>
        <w:tc>
          <w:tcPr>
            <w:tcW w:w="183" w:type="pct"/>
            <w:tcBorders>
              <w:top w:val="nil"/>
              <w:left w:val="nil"/>
              <w:bottom w:val="single" w:sz="8" w:space="0" w:color="auto"/>
              <w:right w:val="single" w:sz="8" w:space="0" w:color="auto"/>
            </w:tcBorders>
            <w:shd w:val="clear" w:color="auto" w:fill="auto"/>
            <w:noWrap/>
            <w:vAlign w:val="center"/>
            <w:hideMark/>
          </w:tcPr>
          <w:p w14:paraId="7CF55BAA" w14:textId="77777777" w:rsidR="00601D9B" w:rsidRDefault="000E53A0">
            <w:pPr>
              <w:jc w:val="center"/>
              <w:rPr>
                <w:i/>
                <w:iCs/>
                <w:color w:val="000000"/>
                <w:sz w:val="18"/>
                <w:szCs w:val="18"/>
                <w:lang w:val="en-US" w:eastAsia="en-US"/>
              </w:rPr>
            </w:pPr>
            <w:r w:rsidRPr="00107491">
              <w:rPr>
                <w:i/>
                <w:iCs/>
                <w:color w:val="000000"/>
                <w:sz w:val="18"/>
                <w:szCs w:val="18"/>
                <w:lang w:val="en-US" w:eastAsia="en-US"/>
              </w:rPr>
              <w:t>44</w:t>
            </w:r>
          </w:p>
        </w:tc>
        <w:tc>
          <w:tcPr>
            <w:tcW w:w="35" w:type="pct"/>
            <w:vAlign w:val="center"/>
            <w:hideMark/>
          </w:tcPr>
          <w:p w14:paraId="6BCA7E9E" w14:textId="77777777" w:rsidR="00107491" w:rsidRPr="00107491" w:rsidRDefault="00107491" w:rsidP="00107491">
            <w:pPr>
              <w:rPr>
                <w:sz w:val="20"/>
                <w:szCs w:val="20"/>
                <w:lang w:val="en-US" w:eastAsia="en-US"/>
              </w:rPr>
            </w:pPr>
          </w:p>
        </w:tc>
      </w:tr>
      <w:tr w:rsidR="00107491" w:rsidRPr="00107491" w14:paraId="1B887FB3" w14:textId="77777777" w:rsidTr="00107491">
        <w:trPr>
          <w:trHeight w:val="300"/>
        </w:trPr>
        <w:tc>
          <w:tcPr>
            <w:tcW w:w="1056" w:type="pct"/>
            <w:tcBorders>
              <w:top w:val="nil"/>
              <w:left w:val="single" w:sz="8" w:space="0" w:color="auto"/>
              <w:bottom w:val="nil"/>
              <w:right w:val="nil"/>
            </w:tcBorders>
            <w:shd w:val="clear" w:color="auto" w:fill="auto"/>
            <w:noWrap/>
            <w:vAlign w:val="center"/>
            <w:hideMark/>
          </w:tcPr>
          <w:p w14:paraId="0A8F7F0F" w14:textId="77777777" w:rsidR="00107491" w:rsidRPr="00107491" w:rsidRDefault="00107491" w:rsidP="00107491">
            <w:pPr>
              <w:rPr>
                <w:rFonts w:ascii="Calibri" w:hAnsi="Calibri" w:cs="Calibri"/>
                <w:color w:val="000000"/>
                <w:sz w:val="18"/>
                <w:szCs w:val="18"/>
                <w:lang w:val="en-US" w:eastAsia="en-US"/>
              </w:rPr>
            </w:pPr>
            <w:r w:rsidRPr="00107491">
              <w:rPr>
                <w:rFonts w:ascii="Calibri" w:hAnsi="Calibri" w:cs="Calibri"/>
                <w:color w:val="000000"/>
                <w:sz w:val="18"/>
                <w:szCs w:val="18"/>
                <w:lang w:val="en-US" w:eastAsia="en-US"/>
              </w:rPr>
              <w:t> </w:t>
            </w:r>
          </w:p>
        </w:tc>
        <w:tc>
          <w:tcPr>
            <w:tcW w:w="381" w:type="pct"/>
            <w:vMerge/>
            <w:tcBorders>
              <w:top w:val="nil"/>
              <w:left w:val="single" w:sz="8" w:space="0" w:color="auto"/>
              <w:bottom w:val="double" w:sz="6" w:space="0" w:color="000000"/>
              <w:right w:val="single" w:sz="8" w:space="0" w:color="auto"/>
            </w:tcBorders>
            <w:vAlign w:val="center"/>
            <w:hideMark/>
          </w:tcPr>
          <w:p w14:paraId="3E0A262F" w14:textId="77777777" w:rsidR="00107491" w:rsidRPr="00107491" w:rsidRDefault="00107491" w:rsidP="00107491">
            <w:pPr>
              <w:rPr>
                <w:b/>
                <w:bCs/>
                <w:color w:val="000000"/>
                <w:sz w:val="18"/>
                <w:szCs w:val="18"/>
                <w:lang w:val="en-US" w:eastAsia="en-US"/>
              </w:rPr>
            </w:pPr>
          </w:p>
        </w:tc>
        <w:tc>
          <w:tcPr>
            <w:tcW w:w="453" w:type="pct"/>
            <w:vMerge/>
            <w:tcBorders>
              <w:top w:val="single" w:sz="8" w:space="0" w:color="auto"/>
              <w:left w:val="single" w:sz="8" w:space="0" w:color="auto"/>
              <w:bottom w:val="double" w:sz="6" w:space="0" w:color="000000"/>
              <w:right w:val="single" w:sz="8" w:space="0" w:color="auto"/>
            </w:tcBorders>
            <w:vAlign w:val="center"/>
            <w:hideMark/>
          </w:tcPr>
          <w:p w14:paraId="2667BAB5" w14:textId="77777777" w:rsidR="00107491" w:rsidRPr="00107491" w:rsidRDefault="00107491" w:rsidP="00107491">
            <w:pPr>
              <w:rPr>
                <w:b/>
                <w:bCs/>
                <w:color w:val="000000"/>
                <w:sz w:val="18"/>
                <w:szCs w:val="18"/>
                <w:lang w:val="en-US" w:eastAsia="en-US"/>
              </w:rPr>
            </w:pPr>
          </w:p>
        </w:tc>
        <w:tc>
          <w:tcPr>
            <w:tcW w:w="388" w:type="pct"/>
            <w:vMerge/>
            <w:tcBorders>
              <w:top w:val="single" w:sz="8" w:space="0" w:color="auto"/>
              <w:left w:val="single" w:sz="8" w:space="0" w:color="auto"/>
              <w:bottom w:val="double" w:sz="6" w:space="0" w:color="000000"/>
              <w:right w:val="single" w:sz="8" w:space="0" w:color="auto"/>
            </w:tcBorders>
            <w:vAlign w:val="center"/>
            <w:hideMark/>
          </w:tcPr>
          <w:p w14:paraId="74727F3A" w14:textId="77777777" w:rsidR="00107491" w:rsidRPr="00107491" w:rsidRDefault="00107491" w:rsidP="00107491">
            <w:pPr>
              <w:rPr>
                <w:b/>
                <w:bCs/>
                <w:color w:val="000000"/>
                <w:sz w:val="18"/>
                <w:szCs w:val="18"/>
                <w:lang w:val="en-US" w:eastAsia="en-US"/>
              </w:rPr>
            </w:pPr>
          </w:p>
        </w:tc>
        <w:tc>
          <w:tcPr>
            <w:tcW w:w="258" w:type="pct"/>
            <w:tcBorders>
              <w:top w:val="nil"/>
              <w:left w:val="nil"/>
              <w:bottom w:val="single" w:sz="8" w:space="0" w:color="auto"/>
              <w:right w:val="single" w:sz="8" w:space="0" w:color="auto"/>
            </w:tcBorders>
            <w:shd w:val="clear" w:color="auto" w:fill="auto"/>
            <w:noWrap/>
            <w:vAlign w:val="center"/>
            <w:hideMark/>
          </w:tcPr>
          <w:p w14:paraId="6787CD3A" w14:textId="77777777" w:rsidR="00601D9B" w:rsidRDefault="000E53A0">
            <w:pPr>
              <w:rPr>
                <w:color w:val="000000"/>
                <w:sz w:val="18"/>
                <w:szCs w:val="18"/>
                <w:lang w:val="en-US" w:eastAsia="en-US"/>
              </w:rPr>
            </w:pPr>
            <w:r w:rsidRPr="00107491">
              <w:rPr>
                <w:color w:val="000000"/>
                <w:sz w:val="18"/>
                <w:szCs w:val="18"/>
                <w:lang w:val="en-US" w:eastAsia="en-US"/>
              </w:rPr>
              <w:t>71600</w:t>
            </w:r>
          </w:p>
        </w:tc>
        <w:tc>
          <w:tcPr>
            <w:tcW w:w="458" w:type="pct"/>
            <w:tcBorders>
              <w:top w:val="single" w:sz="8" w:space="0" w:color="auto"/>
              <w:left w:val="nil"/>
              <w:bottom w:val="single" w:sz="8" w:space="0" w:color="auto"/>
              <w:right w:val="single" w:sz="8" w:space="0" w:color="auto"/>
            </w:tcBorders>
            <w:shd w:val="clear" w:color="auto" w:fill="auto"/>
            <w:vAlign w:val="center"/>
            <w:hideMark/>
          </w:tcPr>
          <w:p w14:paraId="5FD91F55" w14:textId="77777777" w:rsidR="00601D9B" w:rsidRDefault="000E53A0">
            <w:pPr>
              <w:rPr>
                <w:color w:val="000000"/>
                <w:sz w:val="18"/>
                <w:szCs w:val="18"/>
                <w:lang w:val="en-US" w:eastAsia="en-US"/>
              </w:rPr>
            </w:pPr>
            <w:r w:rsidRPr="00107491">
              <w:rPr>
                <w:color w:val="000000"/>
                <w:sz w:val="18"/>
                <w:szCs w:val="18"/>
                <w:lang w:val="en-US" w:eastAsia="en-US"/>
              </w:rPr>
              <w:t>Voyage</w:t>
            </w:r>
          </w:p>
        </w:tc>
        <w:tc>
          <w:tcPr>
            <w:tcW w:w="254" w:type="pct"/>
            <w:tcBorders>
              <w:top w:val="nil"/>
              <w:left w:val="nil"/>
              <w:bottom w:val="single" w:sz="8" w:space="0" w:color="auto"/>
              <w:right w:val="single" w:sz="8" w:space="0" w:color="auto"/>
            </w:tcBorders>
            <w:shd w:val="clear" w:color="auto" w:fill="auto"/>
            <w:noWrap/>
            <w:vAlign w:val="center"/>
            <w:hideMark/>
          </w:tcPr>
          <w:p w14:paraId="2793E3FC"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20,000 </w:t>
            </w:r>
          </w:p>
        </w:tc>
        <w:tc>
          <w:tcPr>
            <w:tcW w:w="273" w:type="pct"/>
            <w:tcBorders>
              <w:top w:val="nil"/>
              <w:left w:val="nil"/>
              <w:bottom w:val="single" w:sz="8" w:space="0" w:color="auto"/>
              <w:right w:val="single" w:sz="8" w:space="0" w:color="auto"/>
            </w:tcBorders>
            <w:shd w:val="clear" w:color="auto" w:fill="auto"/>
            <w:noWrap/>
            <w:vAlign w:val="center"/>
            <w:hideMark/>
          </w:tcPr>
          <w:p w14:paraId="6F9E07CC"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20,000 </w:t>
            </w:r>
          </w:p>
        </w:tc>
        <w:tc>
          <w:tcPr>
            <w:tcW w:w="250" w:type="pct"/>
            <w:tcBorders>
              <w:top w:val="nil"/>
              <w:left w:val="nil"/>
              <w:bottom w:val="single" w:sz="8" w:space="0" w:color="auto"/>
              <w:right w:val="single" w:sz="8" w:space="0" w:color="auto"/>
            </w:tcBorders>
            <w:shd w:val="clear" w:color="auto" w:fill="auto"/>
            <w:noWrap/>
            <w:vAlign w:val="center"/>
            <w:hideMark/>
          </w:tcPr>
          <w:p w14:paraId="1C9E015E"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20,000 </w:t>
            </w:r>
          </w:p>
        </w:tc>
        <w:tc>
          <w:tcPr>
            <w:tcW w:w="250" w:type="pct"/>
            <w:tcBorders>
              <w:top w:val="nil"/>
              <w:left w:val="nil"/>
              <w:bottom w:val="single" w:sz="8" w:space="0" w:color="auto"/>
              <w:right w:val="single" w:sz="8" w:space="0" w:color="auto"/>
            </w:tcBorders>
            <w:shd w:val="clear" w:color="auto" w:fill="auto"/>
            <w:noWrap/>
            <w:vAlign w:val="center"/>
            <w:hideMark/>
          </w:tcPr>
          <w:p w14:paraId="74A7281F"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20,000 </w:t>
            </w:r>
          </w:p>
        </w:tc>
        <w:tc>
          <w:tcPr>
            <w:tcW w:w="250" w:type="pct"/>
            <w:tcBorders>
              <w:top w:val="nil"/>
              <w:left w:val="nil"/>
              <w:bottom w:val="single" w:sz="8" w:space="0" w:color="auto"/>
              <w:right w:val="single" w:sz="8" w:space="0" w:color="auto"/>
            </w:tcBorders>
            <w:shd w:val="clear" w:color="auto" w:fill="auto"/>
            <w:noWrap/>
            <w:vAlign w:val="center"/>
            <w:hideMark/>
          </w:tcPr>
          <w:p w14:paraId="4BBB1736"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40,000 </w:t>
            </w:r>
          </w:p>
        </w:tc>
        <w:tc>
          <w:tcPr>
            <w:tcW w:w="250" w:type="pct"/>
            <w:tcBorders>
              <w:top w:val="nil"/>
              <w:left w:val="nil"/>
              <w:bottom w:val="single" w:sz="8" w:space="0" w:color="auto"/>
              <w:right w:val="single" w:sz="8" w:space="0" w:color="auto"/>
            </w:tcBorders>
            <w:shd w:val="clear" w:color="auto" w:fill="auto"/>
            <w:noWrap/>
            <w:vAlign w:val="center"/>
            <w:hideMark/>
          </w:tcPr>
          <w:p w14:paraId="63764676"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20,000 </w:t>
            </w:r>
          </w:p>
        </w:tc>
        <w:tc>
          <w:tcPr>
            <w:tcW w:w="261" w:type="pct"/>
            <w:tcBorders>
              <w:top w:val="nil"/>
              <w:left w:val="nil"/>
              <w:bottom w:val="single" w:sz="8" w:space="0" w:color="auto"/>
              <w:right w:val="single" w:sz="8" w:space="0" w:color="auto"/>
            </w:tcBorders>
            <w:shd w:val="clear" w:color="auto" w:fill="auto"/>
            <w:noWrap/>
            <w:vAlign w:val="center"/>
            <w:hideMark/>
          </w:tcPr>
          <w:p w14:paraId="4B7A0085"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140,000 </w:t>
            </w:r>
          </w:p>
        </w:tc>
        <w:tc>
          <w:tcPr>
            <w:tcW w:w="183" w:type="pct"/>
            <w:tcBorders>
              <w:top w:val="nil"/>
              <w:left w:val="nil"/>
              <w:bottom w:val="single" w:sz="8" w:space="0" w:color="auto"/>
              <w:right w:val="single" w:sz="8" w:space="0" w:color="auto"/>
            </w:tcBorders>
            <w:shd w:val="clear" w:color="auto" w:fill="auto"/>
            <w:noWrap/>
            <w:vAlign w:val="center"/>
            <w:hideMark/>
          </w:tcPr>
          <w:p w14:paraId="2272DE7C" w14:textId="77777777" w:rsidR="00601D9B" w:rsidRDefault="000E53A0">
            <w:pPr>
              <w:jc w:val="center"/>
              <w:rPr>
                <w:i/>
                <w:iCs/>
                <w:color w:val="000000"/>
                <w:sz w:val="18"/>
                <w:szCs w:val="18"/>
                <w:lang w:val="en-US" w:eastAsia="en-US"/>
              </w:rPr>
            </w:pPr>
            <w:r w:rsidRPr="00107491">
              <w:rPr>
                <w:i/>
                <w:iCs/>
                <w:color w:val="000000"/>
                <w:sz w:val="18"/>
                <w:szCs w:val="18"/>
                <w:lang w:val="en-US" w:eastAsia="en-US"/>
              </w:rPr>
              <w:t>45</w:t>
            </w:r>
          </w:p>
        </w:tc>
        <w:tc>
          <w:tcPr>
            <w:tcW w:w="35" w:type="pct"/>
            <w:vAlign w:val="center"/>
            <w:hideMark/>
          </w:tcPr>
          <w:p w14:paraId="2BCE11AA" w14:textId="77777777" w:rsidR="00107491" w:rsidRPr="00107491" w:rsidRDefault="00107491" w:rsidP="00107491">
            <w:pPr>
              <w:rPr>
                <w:sz w:val="20"/>
                <w:szCs w:val="20"/>
                <w:lang w:val="en-US" w:eastAsia="en-US"/>
              </w:rPr>
            </w:pPr>
          </w:p>
        </w:tc>
      </w:tr>
      <w:tr w:rsidR="00107491" w:rsidRPr="00107491" w14:paraId="1C468DDD" w14:textId="77777777" w:rsidTr="00107491">
        <w:trPr>
          <w:trHeight w:val="300"/>
        </w:trPr>
        <w:tc>
          <w:tcPr>
            <w:tcW w:w="1056" w:type="pct"/>
            <w:tcBorders>
              <w:top w:val="nil"/>
              <w:left w:val="single" w:sz="8" w:space="0" w:color="auto"/>
              <w:bottom w:val="nil"/>
              <w:right w:val="nil"/>
            </w:tcBorders>
            <w:shd w:val="clear" w:color="auto" w:fill="auto"/>
            <w:noWrap/>
            <w:vAlign w:val="center"/>
            <w:hideMark/>
          </w:tcPr>
          <w:p w14:paraId="5E97C0CE" w14:textId="77777777" w:rsidR="00107491" w:rsidRPr="00107491" w:rsidRDefault="00107491" w:rsidP="00107491">
            <w:pPr>
              <w:rPr>
                <w:rFonts w:ascii="Calibri" w:hAnsi="Calibri" w:cs="Calibri"/>
                <w:color w:val="000000"/>
                <w:sz w:val="18"/>
                <w:szCs w:val="18"/>
                <w:lang w:val="en-US" w:eastAsia="en-US"/>
              </w:rPr>
            </w:pPr>
            <w:r w:rsidRPr="00107491">
              <w:rPr>
                <w:rFonts w:ascii="Calibri" w:hAnsi="Calibri" w:cs="Calibri"/>
                <w:color w:val="000000"/>
                <w:sz w:val="18"/>
                <w:szCs w:val="18"/>
                <w:lang w:val="en-US" w:eastAsia="en-US"/>
              </w:rPr>
              <w:t> </w:t>
            </w:r>
          </w:p>
        </w:tc>
        <w:tc>
          <w:tcPr>
            <w:tcW w:w="381" w:type="pct"/>
            <w:vMerge/>
            <w:tcBorders>
              <w:top w:val="nil"/>
              <w:left w:val="single" w:sz="8" w:space="0" w:color="auto"/>
              <w:bottom w:val="double" w:sz="6" w:space="0" w:color="000000"/>
              <w:right w:val="single" w:sz="8" w:space="0" w:color="auto"/>
            </w:tcBorders>
            <w:vAlign w:val="center"/>
            <w:hideMark/>
          </w:tcPr>
          <w:p w14:paraId="7ECC8350" w14:textId="77777777" w:rsidR="00107491" w:rsidRPr="00107491" w:rsidRDefault="00107491" w:rsidP="00107491">
            <w:pPr>
              <w:rPr>
                <w:b/>
                <w:bCs/>
                <w:color w:val="000000"/>
                <w:sz w:val="18"/>
                <w:szCs w:val="18"/>
                <w:lang w:val="en-US" w:eastAsia="en-US"/>
              </w:rPr>
            </w:pPr>
          </w:p>
        </w:tc>
        <w:tc>
          <w:tcPr>
            <w:tcW w:w="453" w:type="pct"/>
            <w:vMerge/>
            <w:tcBorders>
              <w:top w:val="single" w:sz="8" w:space="0" w:color="auto"/>
              <w:left w:val="single" w:sz="8" w:space="0" w:color="auto"/>
              <w:bottom w:val="double" w:sz="6" w:space="0" w:color="000000"/>
              <w:right w:val="single" w:sz="8" w:space="0" w:color="auto"/>
            </w:tcBorders>
            <w:vAlign w:val="center"/>
            <w:hideMark/>
          </w:tcPr>
          <w:p w14:paraId="06D68429" w14:textId="77777777" w:rsidR="00107491" w:rsidRPr="00107491" w:rsidRDefault="00107491" w:rsidP="00107491">
            <w:pPr>
              <w:rPr>
                <w:b/>
                <w:bCs/>
                <w:color w:val="000000"/>
                <w:sz w:val="18"/>
                <w:szCs w:val="18"/>
                <w:lang w:val="en-US" w:eastAsia="en-US"/>
              </w:rPr>
            </w:pPr>
          </w:p>
        </w:tc>
        <w:tc>
          <w:tcPr>
            <w:tcW w:w="388" w:type="pct"/>
            <w:vMerge/>
            <w:tcBorders>
              <w:top w:val="single" w:sz="8" w:space="0" w:color="auto"/>
              <w:left w:val="single" w:sz="8" w:space="0" w:color="auto"/>
              <w:bottom w:val="double" w:sz="6" w:space="0" w:color="000000"/>
              <w:right w:val="single" w:sz="8" w:space="0" w:color="auto"/>
            </w:tcBorders>
            <w:vAlign w:val="center"/>
            <w:hideMark/>
          </w:tcPr>
          <w:p w14:paraId="6E98C22D" w14:textId="77777777" w:rsidR="00107491" w:rsidRPr="00107491" w:rsidRDefault="00107491" w:rsidP="00107491">
            <w:pPr>
              <w:rPr>
                <w:b/>
                <w:bCs/>
                <w:color w:val="000000"/>
                <w:sz w:val="18"/>
                <w:szCs w:val="18"/>
                <w:lang w:val="en-US" w:eastAsia="en-US"/>
              </w:rPr>
            </w:pPr>
          </w:p>
        </w:tc>
        <w:tc>
          <w:tcPr>
            <w:tcW w:w="258" w:type="pct"/>
            <w:tcBorders>
              <w:top w:val="nil"/>
              <w:left w:val="nil"/>
              <w:bottom w:val="double" w:sz="6" w:space="0" w:color="auto"/>
              <w:right w:val="single" w:sz="8" w:space="0" w:color="auto"/>
            </w:tcBorders>
            <w:shd w:val="clear" w:color="auto" w:fill="auto"/>
            <w:noWrap/>
            <w:vAlign w:val="center"/>
            <w:hideMark/>
          </w:tcPr>
          <w:p w14:paraId="755E3BC5" w14:textId="77777777" w:rsidR="00107491" w:rsidRPr="00107491" w:rsidRDefault="00107491" w:rsidP="00107491">
            <w:pPr>
              <w:jc w:val="center"/>
              <w:rPr>
                <w:color w:val="000000"/>
                <w:sz w:val="18"/>
                <w:szCs w:val="18"/>
                <w:lang w:val="en-US" w:eastAsia="en-US"/>
              </w:rPr>
            </w:pPr>
            <w:r w:rsidRPr="00107491">
              <w:rPr>
                <w:color w:val="000000"/>
                <w:sz w:val="18"/>
                <w:szCs w:val="18"/>
                <w:lang w:val="en-US" w:eastAsia="en-US"/>
              </w:rPr>
              <w:t> </w:t>
            </w:r>
          </w:p>
        </w:tc>
        <w:tc>
          <w:tcPr>
            <w:tcW w:w="458" w:type="pct"/>
            <w:tcBorders>
              <w:top w:val="nil"/>
              <w:left w:val="nil"/>
              <w:bottom w:val="double" w:sz="6" w:space="0" w:color="auto"/>
              <w:right w:val="single" w:sz="8" w:space="0" w:color="auto"/>
            </w:tcBorders>
            <w:shd w:val="clear" w:color="auto" w:fill="auto"/>
            <w:noWrap/>
            <w:vAlign w:val="center"/>
            <w:hideMark/>
          </w:tcPr>
          <w:p w14:paraId="3B27E57C" w14:textId="77777777" w:rsidR="00601D9B" w:rsidRDefault="000E53A0">
            <w:pPr>
              <w:jc w:val="both"/>
              <w:rPr>
                <w:b/>
                <w:bCs/>
                <w:color w:val="000000"/>
                <w:sz w:val="18"/>
                <w:szCs w:val="18"/>
                <w:lang w:val="en-US" w:eastAsia="en-US"/>
              </w:rPr>
            </w:pPr>
            <w:r w:rsidRPr="00107491">
              <w:rPr>
                <w:b/>
                <w:bCs/>
                <w:color w:val="000000"/>
                <w:sz w:val="18"/>
                <w:szCs w:val="18"/>
                <w:lang w:val="en-US" w:eastAsia="en-US"/>
              </w:rPr>
              <w:t>Sous-total LDCF</w:t>
            </w:r>
          </w:p>
        </w:tc>
        <w:tc>
          <w:tcPr>
            <w:tcW w:w="254" w:type="pct"/>
            <w:tcBorders>
              <w:top w:val="nil"/>
              <w:left w:val="nil"/>
              <w:bottom w:val="double" w:sz="6" w:space="0" w:color="auto"/>
              <w:right w:val="single" w:sz="8" w:space="0" w:color="auto"/>
            </w:tcBorders>
            <w:shd w:val="clear" w:color="auto" w:fill="auto"/>
            <w:noWrap/>
            <w:vAlign w:val="center"/>
            <w:hideMark/>
          </w:tcPr>
          <w:p w14:paraId="049B95B3"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 xml:space="preserve">              45,000 </w:t>
            </w:r>
          </w:p>
        </w:tc>
        <w:tc>
          <w:tcPr>
            <w:tcW w:w="273" w:type="pct"/>
            <w:tcBorders>
              <w:top w:val="nil"/>
              <w:left w:val="nil"/>
              <w:bottom w:val="double" w:sz="6" w:space="0" w:color="auto"/>
              <w:right w:val="single" w:sz="8" w:space="0" w:color="auto"/>
            </w:tcBorders>
            <w:shd w:val="clear" w:color="auto" w:fill="auto"/>
            <w:noWrap/>
            <w:vAlign w:val="center"/>
            <w:hideMark/>
          </w:tcPr>
          <w:p w14:paraId="5FCAAAB9"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 xml:space="preserve">               126,000 </w:t>
            </w:r>
          </w:p>
        </w:tc>
        <w:tc>
          <w:tcPr>
            <w:tcW w:w="250" w:type="pct"/>
            <w:tcBorders>
              <w:top w:val="nil"/>
              <w:left w:val="nil"/>
              <w:bottom w:val="double" w:sz="6" w:space="0" w:color="auto"/>
              <w:right w:val="single" w:sz="8" w:space="0" w:color="auto"/>
            </w:tcBorders>
            <w:shd w:val="clear" w:color="auto" w:fill="auto"/>
            <w:noWrap/>
            <w:vAlign w:val="center"/>
            <w:hideMark/>
          </w:tcPr>
          <w:p w14:paraId="7D046BF9"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 xml:space="preserve">              41,000 </w:t>
            </w:r>
          </w:p>
        </w:tc>
        <w:tc>
          <w:tcPr>
            <w:tcW w:w="250" w:type="pct"/>
            <w:tcBorders>
              <w:top w:val="nil"/>
              <w:left w:val="nil"/>
              <w:bottom w:val="double" w:sz="6" w:space="0" w:color="auto"/>
              <w:right w:val="single" w:sz="8" w:space="0" w:color="auto"/>
            </w:tcBorders>
            <w:shd w:val="clear" w:color="auto" w:fill="auto"/>
            <w:noWrap/>
            <w:vAlign w:val="center"/>
            <w:hideMark/>
          </w:tcPr>
          <w:p w14:paraId="2DAF1775"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 xml:space="preserve">              41,000 </w:t>
            </w:r>
          </w:p>
        </w:tc>
        <w:tc>
          <w:tcPr>
            <w:tcW w:w="250" w:type="pct"/>
            <w:tcBorders>
              <w:top w:val="nil"/>
              <w:left w:val="nil"/>
              <w:bottom w:val="double" w:sz="6" w:space="0" w:color="auto"/>
              <w:right w:val="single" w:sz="8" w:space="0" w:color="auto"/>
            </w:tcBorders>
            <w:shd w:val="clear" w:color="auto" w:fill="auto"/>
            <w:noWrap/>
            <w:vAlign w:val="center"/>
            <w:hideMark/>
          </w:tcPr>
          <w:p w14:paraId="3123C1D7"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 xml:space="preserve">              81,000 </w:t>
            </w:r>
          </w:p>
        </w:tc>
        <w:tc>
          <w:tcPr>
            <w:tcW w:w="250" w:type="pct"/>
            <w:tcBorders>
              <w:top w:val="nil"/>
              <w:left w:val="nil"/>
              <w:bottom w:val="double" w:sz="6" w:space="0" w:color="auto"/>
              <w:right w:val="single" w:sz="8" w:space="0" w:color="auto"/>
            </w:tcBorders>
            <w:shd w:val="clear" w:color="auto" w:fill="auto"/>
            <w:noWrap/>
            <w:vAlign w:val="center"/>
            <w:hideMark/>
          </w:tcPr>
          <w:p w14:paraId="43D022E2"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 xml:space="preserve">              96,000 </w:t>
            </w:r>
          </w:p>
        </w:tc>
        <w:tc>
          <w:tcPr>
            <w:tcW w:w="261" w:type="pct"/>
            <w:tcBorders>
              <w:top w:val="nil"/>
              <w:left w:val="nil"/>
              <w:bottom w:val="double" w:sz="6" w:space="0" w:color="auto"/>
              <w:right w:val="single" w:sz="8" w:space="0" w:color="auto"/>
            </w:tcBorders>
            <w:shd w:val="clear" w:color="auto" w:fill="auto"/>
            <w:noWrap/>
            <w:vAlign w:val="center"/>
            <w:hideMark/>
          </w:tcPr>
          <w:p w14:paraId="22D70069"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 xml:space="preserve">             430,000 </w:t>
            </w:r>
          </w:p>
        </w:tc>
        <w:tc>
          <w:tcPr>
            <w:tcW w:w="183" w:type="pct"/>
            <w:tcBorders>
              <w:top w:val="nil"/>
              <w:left w:val="nil"/>
              <w:bottom w:val="double" w:sz="6" w:space="0" w:color="auto"/>
              <w:right w:val="single" w:sz="8" w:space="0" w:color="auto"/>
            </w:tcBorders>
            <w:shd w:val="clear" w:color="auto" w:fill="auto"/>
            <w:vAlign w:val="center"/>
            <w:hideMark/>
          </w:tcPr>
          <w:p w14:paraId="2D377A7D" w14:textId="77777777" w:rsidR="00107491" w:rsidRPr="00107491" w:rsidRDefault="00107491" w:rsidP="00107491">
            <w:pPr>
              <w:jc w:val="center"/>
              <w:rPr>
                <w:i/>
                <w:iCs/>
                <w:color w:val="000000"/>
                <w:sz w:val="18"/>
                <w:szCs w:val="18"/>
                <w:lang w:val="en-US" w:eastAsia="en-US"/>
              </w:rPr>
            </w:pPr>
            <w:r w:rsidRPr="00107491">
              <w:rPr>
                <w:i/>
                <w:iCs/>
                <w:color w:val="000000"/>
                <w:sz w:val="18"/>
                <w:szCs w:val="18"/>
                <w:lang w:val="en-US" w:eastAsia="en-US"/>
              </w:rPr>
              <w:t> </w:t>
            </w:r>
          </w:p>
        </w:tc>
        <w:tc>
          <w:tcPr>
            <w:tcW w:w="35" w:type="pct"/>
            <w:vAlign w:val="center"/>
            <w:hideMark/>
          </w:tcPr>
          <w:p w14:paraId="4462C5AE" w14:textId="77777777" w:rsidR="00107491" w:rsidRPr="00107491" w:rsidRDefault="00107491" w:rsidP="00107491">
            <w:pPr>
              <w:rPr>
                <w:sz w:val="20"/>
                <w:szCs w:val="20"/>
                <w:lang w:val="en-US" w:eastAsia="en-US"/>
              </w:rPr>
            </w:pPr>
          </w:p>
        </w:tc>
      </w:tr>
      <w:tr w:rsidR="00107491" w:rsidRPr="00107491" w14:paraId="558BAC1D" w14:textId="77777777" w:rsidTr="00107491">
        <w:trPr>
          <w:trHeight w:val="300"/>
        </w:trPr>
        <w:tc>
          <w:tcPr>
            <w:tcW w:w="1056" w:type="pct"/>
            <w:tcBorders>
              <w:top w:val="nil"/>
              <w:left w:val="single" w:sz="8" w:space="0" w:color="auto"/>
              <w:bottom w:val="double" w:sz="6" w:space="0" w:color="auto"/>
              <w:right w:val="nil"/>
            </w:tcBorders>
            <w:shd w:val="clear" w:color="auto" w:fill="auto"/>
            <w:noWrap/>
            <w:vAlign w:val="center"/>
            <w:hideMark/>
          </w:tcPr>
          <w:p w14:paraId="59BD0F1B" w14:textId="77777777" w:rsidR="00107491" w:rsidRPr="00107491" w:rsidRDefault="00107491" w:rsidP="00107491">
            <w:pPr>
              <w:rPr>
                <w:rFonts w:ascii="Calibri" w:hAnsi="Calibri" w:cs="Calibri"/>
                <w:color w:val="000000"/>
                <w:sz w:val="18"/>
                <w:szCs w:val="18"/>
                <w:lang w:val="en-US" w:eastAsia="en-US"/>
              </w:rPr>
            </w:pPr>
            <w:r w:rsidRPr="00107491">
              <w:rPr>
                <w:rFonts w:ascii="Calibri" w:hAnsi="Calibri" w:cs="Calibri"/>
                <w:color w:val="000000"/>
                <w:sz w:val="18"/>
                <w:szCs w:val="18"/>
                <w:lang w:val="en-US" w:eastAsia="en-US"/>
              </w:rPr>
              <w:t> </w:t>
            </w:r>
          </w:p>
        </w:tc>
        <w:tc>
          <w:tcPr>
            <w:tcW w:w="381" w:type="pct"/>
            <w:vMerge/>
            <w:tcBorders>
              <w:top w:val="nil"/>
              <w:left w:val="single" w:sz="8" w:space="0" w:color="auto"/>
              <w:bottom w:val="double" w:sz="6" w:space="0" w:color="000000"/>
              <w:right w:val="single" w:sz="8" w:space="0" w:color="auto"/>
            </w:tcBorders>
            <w:vAlign w:val="center"/>
            <w:hideMark/>
          </w:tcPr>
          <w:p w14:paraId="44F96503" w14:textId="77777777" w:rsidR="00107491" w:rsidRPr="00107491" w:rsidRDefault="00107491" w:rsidP="00107491">
            <w:pPr>
              <w:rPr>
                <w:b/>
                <w:bCs/>
                <w:color w:val="000000"/>
                <w:sz w:val="18"/>
                <w:szCs w:val="18"/>
                <w:lang w:val="en-US" w:eastAsia="en-US"/>
              </w:rPr>
            </w:pPr>
          </w:p>
        </w:tc>
        <w:tc>
          <w:tcPr>
            <w:tcW w:w="453" w:type="pct"/>
            <w:tcBorders>
              <w:top w:val="nil"/>
              <w:left w:val="nil"/>
              <w:bottom w:val="double" w:sz="6" w:space="0" w:color="auto"/>
              <w:right w:val="single" w:sz="8" w:space="0" w:color="auto"/>
            </w:tcBorders>
            <w:shd w:val="clear" w:color="auto" w:fill="auto"/>
            <w:vAlign w:val="center"/>
            <w:hideMark/>
          </w:tcPr>
          <w:p w14:paraId="2EA4F4A4" w14:textId="77777777" w:rsidR="00107491" w:rsidRPr="00107491" w:rsidRDefault="00107491" w:rsidP="00107491">
            <w:pPr>
              <w:jc w:val="center"/>
              <w:rPr>
                <w:b/>
                <w:bCs/>
                <w:color w:val="000000"/>
                <w:sz w:val="18"/>
                <w:szCs w:val="18"/>
                <w:lang w:val="en-US" w:eastAsia="en-US"/>
              </w:rPr>
            </w:pPr>
            <w:r w:rsidRPr="00107491">
              <w:rPr>
                <w:b/>
                <w:bCs/>
                <w:color w:val="000000"/>
                <w:sz w:val="18"/>
                <w:szCs w:val="18"/>
                <w:lang w:val="en-US" w:eastAsia="en-US"/>
              </w:rPr>
              <w:t> </w:t>
            </w:r>
          </w:p>
        </w:tc>
        <w:tc>
          <w:tcPr>
            <w:tcW w:w="388" w:type="pct"/>
            <w:tcBorders>
              <w:top w:val="nil"/>
              <w:left w:val="nil"/>
              <w:bottom w:val="double" w:sz="6" w:space="0" w:color="auto"/>
              <w:right w:val="single" w:sz="8" w:space="0" w:color="auto"/>
            </w:tcBorders>
            <w:shd w:val="clear" w:color="auto" w:fill="auto"/>
            <w:vAlign w:val="center"/>
            <w:hideMark/>
          </w:tcPr>
          <w:p w14:paraId="0949F52C" w14:textId="77777777" w:rsidR="00107491" w:rsidRPr="00107491" w:rsidRDefault="00107491" w:rsidP="00107491">
            <w:pPr>
              <w:jc w:val="center"/>
              <w:rPr>
                <w:b/>
                <w:bCs/>
                <w:color w:val="000000"/>
                <w:sz w:val="18"/>
                <w:szCs w:val="18"/>
                <w:lang w:val="en-US" w:eastAsia="en-US"/>
              </w:rPr>
            </w:pPr>
            <w:r w:rsidRPr="00107491">
              <w:rPr>
                <w:b/>
                <w:bCs/>
                <w:color w:val="000000"/>
                <w:sz w:val="18"/>
                <w:szCs w:val="18"/>
                <w:lang w:val="en-US" w:eastAsia="en-US"/>
              </w:rPr>
              <w:t> </w:t>
            </w:r>
          </w:p>
        </w:tc>
        <w:tc>
          <w:tcPr>
            <w:tcW w:w="258" w:type="pct"/>
            <w:tcBorders>
              <w:top w:val="nil"/>
              <w:left w:val="nil"/>
              <w:bottom w:val="double" w:sz="6" w:space="0" w:color="auto"/>
              <w:right w:val="single" w:sz="8" w:space="0" w:color="auto"/>
            </w:tcBorders>
            <w:shd w:val="clear" w:color="auto" w:fill="auto"/>
            <w:noWrap/>
            <w:vAlign w:val="center"/>
            <w:hideMark/>
          </w:tcPr>
          <w:p w14:paraId="754F584C" w14:textId="77777777" w:rsidR="00107491" w:rsidRPr="00107491" w:rsidRDefault="00107491" w:rsidP="00107491">
            <w:pPr>
              <w:jc w:val="center"/>
              <w:rPr>
                <w:color w:val="000000"/>
                <w:sz w:val="18"/>
                <w:szCs w:val="18"/>
                <w:lang w:val="en-US" w:eastAsia="en-US"/>
              </w:rPr>
            </w:pPr>
            <w:r w:rsidRPr="00107491">
              <w:rPr>
                <w:color w:val="000000"/>
                <w:sz w:val="18"/>
                <w:szCs w:val="18"/>
                <w:lang w:val="en-US" w:eastAsia="en-US"/>
              </w:rPr>
              <w:t> </w:t>
            </w:r>
          </w:p>
        </w:tc>
        <w:tc>
          <w:tcPr>
            <w:tcW w:w="458" w:type="pct"/>
            <w:tcBorders>
              <w:top w:val="nil"/>
              <w:left w:val="nil"/>
              <w:bottom w:val="double" w:sz="6" w:space="0" w:color="auto"/>
              <w:right w:val="single" w:sz="8" w:space="0" w:color="auto"/>
            </w:tcBorders>
            <w:shd w:val="clear" w:color="auto" w:fill="auto"/>
            <w:noWrap/>
            <w:vAlign w:val="center"/>
            <w:hideMark/>
          </w:tcPr>
          <w:p w14:paraId="7FFB481A" w14:textId="77777777" w:rsidR="00601D9B" w:rsidRDefault="000E53A0">
            <w:pPr>
              <w:jc w:val="both"/>
              <w:rPr>
                <w:b/>
                <w:bCs/>
                <w:color w:val="000000"/>
                <w:sz w:val="18"/>
                <w:szCs w:val="18"/>
                <w:lang w:val="en-US" w:eastAsia="en-US"/>
              </w:rPr>
            </w:pPr>
            <w:r w:rsidRPr="00107491">
              <w:rPr>
                <w:b/>
                <w:bCs/>
                <w:color w:val="000000"/>
                <w:sz w:val="18"/>
                <w:szCs w:val="18"/>
                <w:lang w:val="en-US" w:eastAsia="en-US"/>
              </w:rPr>
              <w:t>Résultat total 4</w:t>
            </w:r>
          </w:p>
        </w:tc>
        <w:tc>
          <w:tcPr>
            <w:tcW w:w="254" w:type="pct"/>
            <w:tcBorders>
              <w:top w:val="nil"/>
              <w:left w:val="nil"/>
              <w:bottom w:val="double" w:sz="6" w:space="0" w:color="auto"/>
              <w:right w:val="single" w:sz="8" w:space="0" w:color="auto"/>
            </w:tcBorders>
            <w:shd w:val="clear" w:color="auto" w:fill="auto"/>
            <w:noWrap/>
            <w:vAlign w:val="center"/>
            <w:hideMark/>
          </w:tcPr>
          <w:p w14:paraId="660A0E3F"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 xml:space="preserve">            168,750 </w:t>
            </w:r>
          </w:p>
        </w:tc>
        <w:tc>
          <w:tcPr>
            <w:tcW w:w="273" w:type="pct"/>
            <w:tcBorders>
              <w:top w:val="nil"/>
              <w:left w:val="nil"/>
              <w:bottom w:val="double" w:sz="6" w:space="0" w:color="auto"/>
              <w:right w:val="single" w:sz="8" w:space="0" w:color="auto"/>
            </w:tcBorders>
            <w:shd w:val="clear" w:color="auto" w:fill="auto"/>
            <w:noWrap/>
            <w:vAlign w:val="center"/>
            <w:hideMark/>
          </w:tcPr>
          <w:p w14:paraId="2AD16A05"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 xml:space="preserve">               178,750 </w:t>
            </w:r>
          </w:p>
        </w:tc>
        <w:tc>
          <w:tcPr>
            <w:tcW w:w="250" w:type="pct"/>
            <w:tcBorders>
              <w:top w:val="nil"/>
              <w:left w:val="nil"/>
              <w:bottom w:val="double" w:sz="6" w:space="0" w:color="auto"/>
              <w:right w:val="single" w:sz="8" w:space="0" w:color="auto"/>
            </w:tcBorders>
            <w:shd w:val="clear" w:color="auto" w:fill="auto"/>
            <w:noWrap/>
            <w:vAlign w:val="center"/>
            <w:hideMark/>
          </w:tcPr>
          <w:p w14:paraId="3EDD0135"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 xml:space="preserve">            163,750 </w:t>
            </w:r>
          </w:p>
        </w:tc>
        <w:tc>
          <w:tcPr>
            <w:tcW w:w="250" w:type="pct"/>
            <w:tcBorders>
              <w:top w:val="nil"/>
              <w:left w:val="nil"/>
              <w:bottom w:val="double" w:sz="6" w:space="0" w:color="auto"/>
              <w:right w:val="single" w:sz="8" w:space="0" w:color="auto"/>
            </w:tcBorders>
            <w:shd w:val="clear" w:color="auto" w:fill="auto"/>
            <w:noWrap/>
            <w:vAlign w:val="center"/>
            <w:hideMark/>
          </w:tcPr>
          <w:p w14:paraId="3F841B5B"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 xml:space="preserve">              93,750 </w:t>
            </w:r>
          </w:p>
        </w:tc>
        <w:tc>
          <w:tcPr>
            <w:tcW w:w="250" w:type="pct"/>
            <w:tcBorders>
              <w:top w:val="nil"/>
              <w:left w:val="nil"/>
              <w:bottom w:val="double" w:sz="6" w:space="0" w:color="auto"/>
              <w:right w:val="single" w:sz="8" w:space="0" w:color="auto"/>
            </w:tcBorders>
            <w:shd w:val="clear" w:color="auto" w:fill="auto"/>
            <w:noWrap/>
            <w:vAlign w:val="center"/>
            <w:hideMark/>
          </w:tcPr>
          <w:p w14:paraId="4A1A4860"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 xml:space="preserve">            133,750 </w:t>
            </w:r>
          </w:p>
        </w:tc>
        <w:tc>
          <w:tcPr>
            <w:tcW w:w="250" w:type="pct"/>
            <w:tcBorders>
              <w:top w:val="nil"/>
              <w:left w:val="nil"/>
              <w:bottom w:val="double" w:sz="6" w:space="0" w:color="auto"/>
              <w:right w:val="single" w:sz="8" w:space="0" w:color="auto"/>
            </w:tcBorders>
            <w:shd w:val="clear" w:color="auto" w:fill="auto"/>
            <w:noWrap/>
            <w:vAlign w:val="center"/>
            <w:hideMark/>
          </w:tcPr>
          <w:p w14:paraId="6D576E4D"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 xml:space="preserve">            228,750 </w:t>
            </w:r>
          </w:p>
        </w:tc>
        <w:tc>
          <w:tcPr>
            <w:tcW w:w="261" w:type="pct"/>
            <w:tcBorders>
              <w:top w:val="nil"/>
              <w:left w:val="nil"/>
              <w:bottom w:val="double" w:sz="6" w:space="0" w:color="auto"/>
              <w:right w:val="single" w:sz="8" w:space="0" w:color="auto"/>
            </w:tcBorders>
            <w:shd w:val="clear" w:color="auto" w:fill="auto"/>
            <w:noWrap/>
            <w:vAlign w:val="center"/>
            <w:hideMark/>
          </w:tcPr>
          <w:p w14:paraId="4E2F8199"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 xml:space="preserve">             967,500 </w:t>
            </w:r>
          </w:p>
        </w:tc>
        <w:tc>
          <w:tcPr>
            <w:tcW w:w="183" w:type="pct"/>
            <w:tcBorders>
              <w:top w:val="nil"/>
              <w:left w:val="nil"/>
              <w:bottom w:val="double" w:sz="6" w:space="0" w:color="auto"/>
              <w:right w:val="single" w:sz="8" w:space="0" w:color="auto"/>
            </w:tcBorders>
            <w:shd w:val="clear" w:color="auto" w:fill="auto"/>
            <w:vAlign w:val="center"/>
            <w:hideMark/>
          </w:tcPr>
          <w:p w14:paraId="0F8BADB7" w14:textId="77777777" w:rsidR="00107491" w:rsidRPr="00107491" w:rsidRDefault="00107491" w:rsidP="00107491">
            <w:pPr>
              <w:jc w:val="center"/>
              <w:rPr>
                <w:i/>
                <w:iCs/>
                <w:color w:val="000000"/>
                <w:sz w:val="18"/>
                <w:szCs w:val="18"/>
                <w:lang w:val="en-US" w:eastAsia="en-US"/>
              </w:rPr>
            </w:pPr>
            <w:r w:rsidRPr="00107491">
              <w:rPr>
                <w:i/>
                <w:iCs/>
                <w:color w:val="000000"/>
                <w:sz w:val="18"/>
                <w:szCs w:val="18"/>
                <w:lang w:val="en-US" w:eastAsia="en-US"/>
              </w:rPr>
              <w:t> </w:t>
            </w:r>
          </w:p>
        </w:tc>
        <w:tc>
          <w:tcPr>
            <w:tcW w:w="35" w:type="pct"/>
            <w:vAlign w:val="center"/>
            <w:hideMark/>
          </w:tcPr>
          <w:p w14:paraId="7C9404DE" w14:textId="77777777" w:rsidR="00107491" w:rsidRPr="00107491" w:rsidRDefault="00107491" w:rsidP="00107491">
            <w:pPr>
              <w:rPr>
                <w:sz w:val="20"/>
                <w:szCs w:val="20"/>
                <w:lang w:val="en-US" w:eastAsia="en-US"/>
              </w:rPr>
            </w:pPr>
          </w:p>
        </w:tc>
      </w:tr>
      <w:tr w:rsidR="00107491" w:rsidRPr="00107491" w14:paraId="5FEA6C82" w14:textId="77777777" w:rsidTr="00107491">
        <w:trPr>
          <w:trHeight w:val="300"/>
        </w:trPr>
        <w:tc>
          <w:tcPr>
            <w:tcW w:w="1056" w:type="pct"/>
            <w:tcBorders>
              <w:top w:val="nil"/>
              <w:left w:val="single" w:sz="8" w:space="0" w:color="auto"/>
              <w:bottom w:val="nil"/>
              <w:right w:val="single" w:sz="8" w:space="0" w:color="auto"/>
            </w:tcBorders>
            <w:shd w:val="clear" w:color="auto" w:fill="auto"/>
            <w:vAlign w:val="center"/>
            <w:hideMark/>
          </w:tcPr>
          <w:p w14:paraId="6A56AAED" w14:textId="77777777" w:rsidR="00601D9B" w:rsidRPr="000E53A0" w:rsidRDefault="000E53A0">
            <w:pPr>
              <w:jc w:val="center"/>
              <w:rPr>
                <w:rFonts w:ascii="Calibri" w:hAnsi="Calibri" w:cs="Calibri"/>
                <w:b/>
                <w:bCs/>
                <w:color w:val="000000"/>
                <w:sz w:val="20"/>
                <w:szCs w:val="20"/>
                <w:lang w:val="fr-FR" w:eastAsia="en-US"/>
              </w:rPr>
            </w:pPr>
            <w:bookmarkStart w:id="58" w:name="RANGE!A77"/>
            <w:r w:rsidRPr="000E53A0">
              <w:rPr>
                <w:rFonts w:ascii="Calibri" w:hAnsi="Calibri" w:cs="Calibri"/>
                <w:b/>
                <w:bCs/>
                <w:color w:val="000000"/>
                <w:sz w:val="20"/>
                <w:szCs w:val="20"/>
                <w:lang w:val="fr-FR" w:eastAsia="en-US"/>
              </w:rPr>
              <w:t xml:space="preserve">Coûts de gestion du projet [6] </w:t>
            </w:r>
            <w:bookmarkEnd w:id="58"/>
          </w:p>
        </w:tc>
        <w:tc>
          <w:tcPr>
            <w:tcW w:w="381" w:type="pct"/>
            <w:tcBorders>
              <w:top w:val="nil"/>
              <w:left w:val="nil"/>
              <w:bottom w:val="nil"/>
              <w:right w:val="single" w:sz="8" w:space="0" w:color="auto"/>
            </w:tcBorders>
            <w:shd w:val="clear" w:color="auto" w:fill="auto"/>
            <w:vAlign w:val="center"/>
            <w:hideMark/>
          </w:tcPr>
          <w:p w14:paraId="19E83080" w14:textId="77777777" w:rsidR="00107491" w:rsidRPr="000E53A0" w:rsidRDefault="00107491" w:rsidP="00107491">
            <w:pPr>
              <w:jc w:val="center"/>
              <w:rPr>
                <w:b/>
                <w:bCs/>
                <w:color w:val="000000"/>
                <w:sz w:val="18"/>
                <w:szCs w:val="18"/>
                <w:lang w:val="fr-FR" w:eastAsia="en-US"/>
              </w:rPr>
            </w:pPr>
            <w:r w:rsidRPr="000E53A0">
              <w:rPr>
                <w:b/>
                <w:bCs/>
                <w:color w:val="000000"/>
                <w:sz w:val="18"/>
                <w:szCs w:val="18"/>
                <w:lang w:val="fr-FR" w:eastAsia="en-US"/>
              </w:rPr>
              <w:t> </w:t>
            </w:r>
          </w:p>
        </w:tc>
        <w:tc>
          <w:tcPr>
            <w:tcW w:w="453" w:type="pct"/>
            <w:tcBorders>
              <w:top w:val="nil"/>
              <w:left w:val="nil"/>
              <w:bottom w:val="nil"/>
              <w:right w:val="nil"/>
            </w:tcBorders>
            <w:shd w:val="clear" w:color="auto" w:fill="auto"/>
            <w:vAlign w:val="center"/>
            <w:hideMark/>
          </w:tcPr>
          <w:p w14:paraId="7B994F46"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62000</w:t>
            </w:r>
          </w:p>
        </w:tc>
        <w:tc>
          <w:tcPr>
            <w:tcW w:w="388" w:type="pct"/>
            <w:tcBorders>
              <w:top w:val="single" w:sz="8" w:space="0" w:color="auto"/>
              <w:left w:val="single" w:sz="8" w:space="0" w:color="auto"/>
              <w:bottom w:val="nil"/>
              <w:right w:val="single" w:sz="8" w:space="0" w:color="auto"/>
            </w:tcBorders>
            <w:shd w:val="clear" w:color="auto" w:fill="auto"/>
            <w:vAlign w:val="center"/>
            <w:hideMark/>
          </w:tcPr>
          <w:p w14:paraId="43833A26"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GEF</w:t>
            </w:r>
          </w:p>
        </w:tc>
        <w:tc>
          <w:tcPr>
            <w:tcW w:w="258" w:type="pct"/>
            <w:tcBorders>
              <w:top w:val="single" w:sz="8" w:space="0" w:color="auto"/>
              <w:left w:val="nil"/>
              <w:bottom w:val="nil"/>
              <w:right w:val="single" w:sz="8" w:space="0" w:color="auto"/>
            </w:tcBorders>
            <w:shd w:val="clear" w:color="auto" w:fill="auto"/>
            <w:noWrap/>
            <w:vAlign w:val="center"/>
            <w:hideMark/>
          </w:tcPr>
          <w:p w14:paraId="1C5A9840" w14:textId="77777777" w:rsidR="00601D9B" w:rsidRDefault="000E53A0">
            <w:pPr>
              <w:rPr>
                <w:color w:val="000000"/>
                <w:sz w:val="18"/>
                <w:szCs w:val="18"/>
                <w:lang w:val="en-US" w:eastAsia="en-US"/>
              </w:rPr>
            </w:pPr>
            <w:r w:rsidRPr="00107491">
              <w:rPr>
                <w:color w:val="000000"/>
                <w:sz w:val="18"/>
                <w:szCs w:val="18"/>
                <w:lang w:val="en-US" w:eastAsia="en-US"/>
              </w:rPr>
              <w:t>74598/64398</w:t>
            </w:r>
          </w:p>
        </w:tc>
        <w:tc>
          <w:tcPr>
            <w:tcW w:w="458" w:type="pct"/>
            <w:tcBorders>
              <w:top w:val="single" w:sz="8" w:space="0" w:color="auto"/>
              <w:left w:val="nil"/>
              <w:bottom w:val="nil"/>
              <w:right w:val="single" w:sz="8" w:space="0" w:color="auto"/>
            </w:tcBorders>
            <w:shd w:val="clear" w:color="auto" w:fill="auto"/>
            <w:vAlign w:val="center"/>
            <w:hideMark/>
          </w:tcPr>
          <w:p w14:paraId="5A8F9DEC" w14:textId="77777777" w:rsidR="00601D9B" w:rsidRDefault="000E53A0">
            <w:pPr>
              <w:rPr>
                <w:color w:val="000000"/>
                <w:sz w:val="18"/>
                <w:szCs w:val="18"/>
                <w:lang w:val="en-US" w:eastAsia="en-US"/>
              </w:rPr>
            </w:pPr>
            <w:r w:rsidRPr="00107491">
              <w:rPr>
                <w:color w:val="000000"/>
                <w:sz w:val="18"/>
                <w:szCs w:val="18"/>
                <w:lang w:val="en-US" w:eastAsia="en-US"/>
              </w:rPr>
              <w:t>Coûts directs du projet</w:t>
            </w:r>
          </w:p>
        </w:tc>
        <w:tc>
          <w:tcPr>
            <w:tcW w:w="254" w:type="pct"/>
            <w:tcBorders>
              <w:top w:val="nil"/>
              <w:left w:val="nil"/>
              <w:bottom w:val="single" w:sz="8" w:space="0" w:color="auto"/>
              <w:right w:val="single" w:sz="8" w:space="0" w:color="auto"/>
            </w:tcBorders>
            <w:shd w:val="clear" w:color="auto" w:fill="auto"/>
            <w:noWrap/>
            <w:vAlign w:val="center"/>
            <w:hideMark/>
          </w:tcPr>
          <w:p w14:paraId="52AA5C4C"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15,000 </w:t>
            </w:r>
          </w:p>
        </w:tc>
        <w:tc>
          <w:tcPr>
            <w:tcW w:w="273" w:type="pct"/>
            <w:tcBorders>
              <w:top w:val="nil"/>
              <w:left w:val="nil"/>
              <w:bottom w:val="single" w:sz="8" w:space="0" w:color="auto"/>
              <w:right w:val="single" w:sz="8" w:space="0" w:color="auto"/>
            </w:tcBorders>
            <w:shd w:val="clear" w:color="auto" w:fill="auto"/>
            <w:noWrap/>
            <w:vAlign w:val="center"/>
            <w:hideMark/>
          </w:tcPr>
          <w:p w14:paraId="6CA3A939"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15,000 </w:t>
            </w:r>
          </w:p>
        </w:tc>
        <w:tc>
          <w:tcPr>
            <w:tcW w:w="250" w:type="pct"/>
            <w:tcBorders>
              <w:top w:val="nil"/>
              <w:left w:val="nil"/>
              <w:bottom w:val="single" w:sz="8" w:space="0" w:color="auto"/>
              <w:right w:val="single" w:sz="8" w:space="0" w:color="auto"/>
            </w:tcBorders>
            <w:shd w:val="clear" w:color="auto" w:fill="auto"/>
            <w:noWrap/>
            <w:vAlign w:val="center"/>
            <w:hideMark/>
          </w:tcPr>
          <w:p w14:paraId="5D9FD2D6"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15,000 </w:t>
            </w:r>
          </w:p>
        </w:tc>
        <w:tc>
          <w:tcPr>
            <w:tcW w:w="250" w:type="pct"/>
            <w:tcBorders>
              <w:top w:val="nil"/>
              <w:left w:val="nil"/>
              <w:bottom w:val="single" w:sz="8" w:space="0" w:color="auto"/>
              <w:right w:val="single" w:sz="8" w:space="0" w:color="auto"/>
            </w:tcBorders>
            <w:shd w:val="clear" w:color="auto" w:fill="auto"/>
            <w:noWrap/>
            <w:vAlign w:val="center"/>
            <w:hideMark/>
          </w:tcPr>
          <w:p w14:paraId="57684192"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15,000 </w:t>
            </w:r>
          </w:p>
        </w:tc>
        <w:tc>
          <w:tcPr>
            <w:tcW w:w="250" w:type="pct"/>
            <w:tcBorders>
              <w:top w:val="nil"/>
              <w:left w:val="nil"/>
              <w:bottom w:val="single" w:sz="8" w:space="0" w:color="auto"/>
              <w:right w:val="single" w:sz="8" w:space="0" w:color="auto"/>
            </w:tcBorders>
            <w:shd w:val="clear" w:color="auto" w:fill="auto"/>
            <w:noWrap/>
            <w:vAlign w:val="center"/>
            <w:hideMark/>
          </w:tcPr>
          <w:p w14:paraId="55A8521C"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15,000 </w:t>
            </w:r>
          </w:p>
        </w:tc>
        <w:tc>
          <w:tcPr>
            <w:tcW w:w="250" w:type="pct"/>
            <w:tcBorders>
              <w:top w:val="nil"/>
              <w:left w:val="nil"/>
              <w:bottom w:val="single" w:sz="8" w:space="0" w:color="auto"/>
              <w:right w:val="single" w:sz="8" w:space="0" w:color="auto"/>
            </w:tcBorders>
            <w:shd w:val="clear" w:color="auto" w:fill="auto"/>
            <w:noWrap/>
            <w:vAlign w:val="center"/>
            <w:hideMark/>
          </w:tcPr>
          <w:p w14:paraId="3562CE5F"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15,000 </w:t>
            </w:r>
          </w:p>
        </w:tc>
        <w:tc>
          <w:tcPr>
            <w:tcW w:w="261" w:type="pct"/>
            <w:tcBorders>
              <w:top w:val="nil"/>
              <w:left w:val="nil"/>
              <w:bottom w:val="single" w:sz="8" w:space="0" w:color="auto"/>
              <w:right w:val="single" w:sz="8" w:space="0" w:color="auto"/>
            </w:tcBorders>
            <w:shd w:val="clear" w:color="auto" w:fill="auto"/>
            <w:noWrap/>
            <w:vAlign w:val="center"/>
            <w:hideMark/>
          </w:tcPr>
          <w:p w14:paraId="2A93CFF4"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90,000 </w:t>
            </w:r>
          </w:p>
        </w:tc>
        <w:tc>
          <w:tcPr>
            <w:tcW w:w="183" w:type="pct"/>
            <w:tcBorders>
              <w:top w:val="nil"/>
              <w:left w:val="nil"/>
              <w:bottom w:val="single" w:sz="8" w:space="0" w:color="auto"/>
              <w:right w:val="single" w:sz="8" w:space="0" w:color="auto"/>
            </w:tcBorders>
            <w:shd w:val="clear" w:color="auto" w:fill="auto"/>
            <w:vAlign w:val="center"/>
            <w:hideMark/>
          </w:tcPr>
          <w:p w14:paraId="039D9B63" w14:textId="77777777" w:rsidR="00601D9B" w:rsidRDefault="000E53A0">
            <w:pPr>
              <w:jc w:val="center"/>
              <w:rPr>
                <w:i/>
                <w:iCs/>
                <w:color w:val="000000"/>
                <w:sz w:val="18"/>
                <w:szCs w:val="18"/>
                <w:lang w:val="en-US" w:eastAsia="en-US"/>
              </w:rPr>
            </w:pPr>
            <w:r w:rsidRPr="00107491">
              <w:rPr>
                <w:i/>
                <w:iCs/>
                <w:color w:val="000000"/>
                <w:sz w:val="18"/>
                <w:szCs w:val="18"/>
                <w:lang w:val="en-US" w:eastAsia="en-US"/>
              </w:rPr>
              <w:t>46</w:t>
            </w:r>
          </w:p>
        </w:tc>
        <w:tc>
          <w:tcPr>
            <w:tcW w:w="35" w:type="pct"/>
            <w:vAlign w:val="center"/>
            <w:hideMark/>
          </w:tcPr>
          <w:p w14:paraId="505ECCFA" w14:textId="77777777" w:rsidR="00107491" w:rsidRPr="00107491" w:rsidRDefault="00107491" w:rsidP="00107491">
            <w:pPr>
              <w:rPr>
                <w:sz w:val="20"/>
                <w:szCs w:val="20"/>
                <w:lang w:val="en-US" w:eastAsia="en-US"/>
              </w:rPr>
            </w:pPr>
          </w:p>
        </w:tc>
      </w:tr>
      <w:tr w:rsidR="00107491" w:rsidRPr="00107491" w14:paraId="38471E49" w14:textId="77777777" w:rsidTr="00107491">
        <w:trPr>
          <w:trHeight w:val="470"/>
        </w:trPr>
        <w:tc>
          <w:tcPr>
            <w:tcW w:w="1056" w:type="pct"/>
            <w:tcBorders>
              <w:top w:val="nil"/>
              <w:left w:val="single" w:sz="8" w:space="0" w:color="auto"/>
              <w:bottom w:val="nil"/>
              <w:right w:val="single" w:sz="8" w:space="0" w:color="auto"/>
            </w:tcBorders>
            <w:shd w:val="clear" w:color="auto" w:fill="auto"/>
            <w:vAlign w:val="center"/>
            <w:hideMark/>
          </w:tcPr>
          <w:p w14:paraId="3F51A153" w14:textId="77777777" w:rsidR="00107491" w:rsidRPr="00107491" w:rsidRDefault="00107491" w:rsidP="00107491">
            <w:pPr>
              <w:jc w:val="center"/>
              <w:rPr>
                <w:b/>
                <w:bCs/>
                <w:color w:val="000000"/>
                <w:sz w:val="18"/>
                <w:szCs w:val="18"/>
                <w:lang w:val="en-US" w:eastAsia="en-US"/>
              </w:rPr>
            </w:pPr>
            <w:r w:rsidRPr="00107491">
              <w:rPr>
                <w:b/>
                <w:bCs/>
                <w:color w:val="000000"/>
                <w:sz w:val="18"/>
                <w:szCs w:val="18"/>
                <w:lang w:val="en-US" w:eastAsia="en-US"/>
              </w:rPr>
              <w:t> </w:t>
            </w:r>
          </w:p>
        </w:tc>
        <w:tc>
          <w:tcPr>
            <w:tcW w:w="381" w:type="pct"/>
            <w:tcBorders>
              <w:top w:val="nil"/>
              <w:left w:val="nil"/>
              <w:bottom w:val="nil"/>
              <w:right w:val="single" w:sz="8" w:space="0" w:color="auto"/>
            </w:tcBorders>
            <w:shd w:val="clear" w:color="auto" w:fill="auto"/>
            <w:vAlign w:val="center"/>
            <w:hideMark/>
          </w:tcPr>
          <w:p w14:paraId="39A6CEC9"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Partie 1</w:t>
            </w:r>
          </w:p>
        </w:tc>
        <w:tc>
          <w:tcPr>
            <w:tcW w:w="453" w:type="pct"/>
            <w:tcBorders>
              <w:top w:val="nil"/>
              <w:left w:val="nil"/>
              <w:bottom w:val="nil"/>
              <w:right w:val="nil"/>
            </w:tcBorders>
            <w:shd w:val="clear" w:color="auto" w:fill="auto"/>
            <w:vAlign w:val="center"/>
            <w:hideMark/>
          </w:tcPr>
          <w:p w14:paraId="4F57C27F" w14:textId="77777777" w:rsidR="00107491" w:rsidRPr="00107491" w:rsidRDefault="00107491" w:rsidP="00107491">
            <w:pPr>
              <w:jc w:val="center"/>
              <w:rPr>
                <w:b/>
                <w:bCs/>
                <w:color w:val="000000"/>
                <w:sz w:val="18"/>
                <w:szCs w:val="18"/>
                <w:lang w:val="en-US" w:eastAsia="en-US"/>
              </w:rPr>
            </w:pPr>
          </w:p>
        </w:tc>
        <w:tc>
          <w:tcPr>
            <w:tcW w:w="388" w:type="pct"/>
            <w:tcBorders>
              <w:top w:val="nil"/>
              <w:left w:val="single" w:sz="8" w:space="0" w:color="auto"/>
              <w:bottom w:val="nil"/>
              <w:right w:val="single" w:sz="8" w:space="0" w:color="auto"/>
            </w:tcBorders>
            <w:shd w:val="clear" w:color="auto" w:fill="auto"/>
            <w:vAlign w:val="center"/>
            <w:hideMark/>
          </w:tcPr>
          <w:p w14:paraId="74CD54EE" w14:textId="77777777" w:rsidR="00107491" w:rsidRPr="00107491" w:rsidRDefault="00107491" w:rsidP="00107491">
            <w:pPr>
              <w:jc w:val="center"/>
              <w:rPr>
                <w:b/>
                <w:bCs/>
                <w:color w:val="000000"/>
                <w:sz w:val="18"/>
                <w:szCs w:val="18"/>
                <w:lang w:val="en-US" w:eastAsia="en-US"/>
              </w:rPr>
            </w:pPr>
            <w:r w:rsidRPr="00107491">
              <w:rPr>
                <w:b/>
                <w:bCs/>
                <w:color w:val="000000"/>
                <w:sz w:val="18"/>
                <w:szCs w:val="18"/>
                <w:lang w:val="en-US" w:eastAsia="en-US"/>
              </w:rPr>
              <w:t> </w:t>
            </w:r>
          </w:p>
        </w:tc>
        <w:tc>
          <w:tcPr>
            <w:tcW w:w="258" w:type="pct"/>
            <w:tcBorders>
              <w:top w:val="single" w:sz="8" w:space="0" w:color="auto"/>
              <w:left w:val="nil"/>
              <w:bottom w:val="nil"/>
              <w:right w:val="single" w:sz="8" w:space="0" w:color="auto"/>
            </w:tcBorders>
            <w:shd w:val="clear" w:color="auto" w:fill="auto"/>
            <w:noWrap/>
            <w:vAlign w:val="center"/>
            <w:hideMark/>
          </w:tcPr>
          <w:p w14:paraId="044023A7" w14:textId="77777777" w:rsidR="00601D9B" w:rsidRDefault="000E53A0">
            <w:pPr>
              <w:rPr>
                <w:color w:val="000000"/>
                <w:sz w:val="18"/>
                <w:szCs w:val="18"/>
                <w:lang w:val="en-US" w:eastAsia="en-US"/>
              </w:rPr>
            </w:pPr>
            <w:r w:rsidRPr="00107491">
              <w:rPr>
                <w:color w:val="000000"/>
                <w:sz w:val="18"/>
                <w:szCs w:val="18"/>
                <w:lang w:val="en-US" w:eastAsia="en-US"/>
              </w:rPr>
              <w:t>72100</w:t>
            </w:r>
          </w:p>
        </w:tc>
        <w:tc>
          <w:tcPr>
            <w:tcW w:w="458" w:type="pct"/>
            <w:tcBorders>
              <w:top w:val="single" w:sz="8" w:space="0" w:color="auto"/>
              <w:left w:val="nil"/>
              <w:bottom w:val="nil"/>
              <w:right w:val="single" w:sz="8" w:space="0" w:color="auto"/>
            </w:tcBorders>
            <w:shd w:val="clear" w:color="auto" w:fill="auto"/>
            <w:vAlign w:val="center"/>
            <w:hideMark/>
          </w:tcPr>
          <w:p w14:paraId="2BA47471" w14:textId="77777777" w:rsidR="00601D9B" w:rsidRDefault="000E53A0">
            <w:pPr>
              <w:rPr>
                <w:color w:val="000000"/>
                <w:sz w:val="18"/>
                <w:szCs w:val="18"/>
                <w:lang w:val="en-US" w:eastAsia="en-US"/>
              </w:rPr>
            </w:pPr>
            <w:r w:rsidRPr="00107491">
              <w:rPr>
                <w:color w:val="000000"/>
                <w:sz w:val="18"/>
                <w:szCs w:val="18"/>
                <w:lang w:val="en-US" w:eastAsia="en-US"/>
              </w:rPr>
              <w:t>Services contractuels - Entreprises</w:t>
            </w:r>
          </w:p>
        </w:tc>
        <w:tc>
          <w:tcPr>
            <w:tcW w:w="254" w:type="pct"/>
            <w:tcBorders>
              <w:top w:val="nil"/>
              <w:left w:val="nil"/>
              <w:bottom w:val="single" w:sz="8" w:space="0" w:color="auto"/>
              <w:right w:val="single" w:sz="8" w:space="0" w:color="auto"/>
            </w:tcBorders>
            <w:shd w:val="clear" w:color="auto" w:fill="auto"/>
            <w:noWrap/>
            <w:vAlign w:val="center"/>
            <w:hideMark/>
          </w:tcPr>
          <w:p w14:paraId="5F13E46C"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6,000 </w:t>
            </w:r>
          </w:p>
        </w:tc>
        <w:tc>
          <w:tcPr>
            <w:tcW w:w="273" w:type="pct"/>
            <w:tcBorders>
              <w:top w:val="nil"/>
              <w:left w:val="nil"/>
              <w:bottom w:val="single" w:sz="8" w:space="0" w:color="auto"/>
              <w:right w:val="single" w:sz="8" w:space="0" w:color="auto"/>
            </w:tcBorders>
            <w:shd w:val="clear" w:color="auto" w:fill="auto"/>
            <w:noWrap/>
            <w:vAlign w:val="center"/>
            <w:hideMark/>
          </w:tcPr>
          <w:p w14:paraId="192EE71E"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6,000 </w:t>
            </w:r>
          </w:p>
        </w:tc>
        <w:tc>
          <w:tcPr>
            <w:tcW w:w="250" w:type="pct"/>
            <w:tcBorders>
              <w:top w:val="nil"/>
              <w:left w:val="nil"/>
              <w:bottom w:val="single" w:sz="8" w:space="0" w:color="auto"/>
              <w:right w:val="single" w:sz="8" w:space="0" w:color="auto"/>
            </w:tcBorders>
            <w:shd w:val="clear" w:color="auto" w:fill="auto"/>
            <w:noWrap/>
            <w:vAlign w:val="center"/>
            <w:hideMark/>
          </w:tcPr>
          <w:p w14:paraId="3765223F"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6,000 </w:t>
            </w:r>
          </w:p>
        </w:tc>
        <w:tc>
          <w:tcPr>
            <w:tcW w:w="250" w:type="pct"/>
            <w:tcBorders>
              <w:top w:val="nil"/>
              <w:left w:val="nil"/>
              <w:bottom w:val="single" w:sz="8" w:space="0" w:color="auto"/>
              <w:right w:val="single" w:sz="8" w:space="0" w:color="auto"/>
            </w:tcBorders>
            <w:shd w:val="clear" w:color="auto" w:fill="auto"/>
            <w:noWrap/>
            <w:vAlign w:val="center"/>
            <w:hideMark/>
          </w:tcPr>
          <w:p w14:paraId="3DDF9524"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6,000 </w:t>
            </w:r>
          </w:p>
        </w:tc>
        <w:tc>
          <w:tcPr>
            <w:tcW w:w="250" w:type="pct"/>
            <w:tcBorders>
              <w:top w:val="nil"/>
              <w:left w:val="nil"/>
              <w:bottom w:val="single" w:sz="8" w:space="0" w:color="auto"/>
              <w:right w:val="single" w:sz="8" w:space="0" w:color="auto"/>
            </w:tcBorders>
            <w:shd w:val="clear" w:color="auto" w:fill="auto"/>
            <w:noWrap/>
            <w:vAlign w:val="center"/>
            <w:hideMark/>
          </w:tcPr>
          <w:p w14:paraId="45696024"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6,000 </w:t>
            </w:r>
          </w:p>
        </w:tc>
        <w:tc>
          <w:tcPr>
            <w:tcW w:w="250" w:type="pct"/>
            <w:tcBorders>
              <w:top w:val="nil"/>
              <w:left w:val="nil"/>
              <w:bottom w:val="single" w:sz="8" w:space="0" w:color="auto"/>
              <w:right w:val="single" w:sz="8" w:space="0" w:color="auto"/>
            </w:tcBorders>
            <w:shd w:val="clear" w:color="auto" w:fill="auto"/>
            <w:noWrap/>
            <w:vAlign w:val="center"/>
            <w:hideMark/>
          </w:tcPr>
          <w:p w14:paraId="769A2BA7"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6,000 </w:t>
            </w:r>
          </w:p>
        </w:tc>
        <w:tc>
          <w:tcPr>
            <w:tcW w:w="261" w:type="pct"/>
            <w:tcBorders>
              <w:top w:val="nil"/>
              <w:left w:val="nil"/>
              <w:bottom w:val="single" w:sz="8" w:space="0" w:color="auto"/>
              <w:right w:val="single" w:sz="8" w:space="0" w:color="auto"/>
            </w:tcBorders>
            <w:shd w:val="clear" w:color="auto" w:fill="auto"/>
            <w:noWrap/>
            <w:vAlign w:val="center"/>
            <w:hideMark/>
          </w:tcPr>
          <w:p w14:paraId="13899910"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36,000 </w:t>
            </w:r>
          </w:p>
        </w:tc>
        <w:tc>
          <w:tcPr>
            <w:tcW w:w="183" w:type="pct"/>
            <w:tcBorders>
              <w:top w:val="nil"/>
              <w:left w:val="nil"/>
              <w:bottom w:val="single" w:sz="8" w:space="0" w:color="auto"/>
              <w:right w:val="single" w:sz="8" w:space="0" w:color="auto"/>
            </w:tcBorders>
            <w:shd w:val="clear" w:color="auto" w:fill="auto"/>
            <w:vAlign w:val="center"/>
            <w:hideMark/>
          </w:tcPr>
          <w:p w14:paraId="20C1A3CD" w14:textId="77777777" w:rsidR="00601D9B" w:rsidRDefault="000E53A0">
            <w:pPr>
              <w:jc w:val="center"/>
              <w:rPr>
                <w:i/>
                <w:iCs/>
                <w:color w:val="000000"/>
                <w:sz w:val="18"/>
                <w:szCs w:val="18"/>
                <w:lang w:val="en-US" w:eastAsia="en-US"/>
              </w:rPr>
            </w:pPr>
            <w:r w:rsidRPr="00107491">
              <w:rPr>
                <w:i/>
                <w:iCs/>
                <w:color w:val="000000"/>
                <w:sz w:val="18"/>
                <w:szCs w:val="18"/>
                <w:lang w:val="en-US" w:eastAsia="en-US"/>
              </w:rPr>
              <w:t>47</w:t>
            </w:r>
          </w:p>
        </w:tc>
        <w:tc>
          <w:tcPr>
            <w:tcW w:w="35" w:type="pct"/>
            <w:vAlign w:val="center"/>
            <w:hideMark/>
          </w:tcPr>
          <w:p w14:paraId="3FB5B0A9" w14:textId="77777777" w:rsidR="00107491" w:rsidRPr="00107491" w:rsidRDefault="00107491" w:rsidP="00107491">
            <w:pPr>
              <w:rPr>
                <w:sz w:val="20"/>
                <w:szCs w:val="20"/>
                <w:lang w:val="en-US" w:eastAsia="en-US"/>
              </w:rPr>
            </w:pPr>
          </w:p>
        </w:tc>
      </w:tr>
      <w:tr w:rsidR="00107491" w:rsidRPr="00107491" w14:paraId="45734D90" w14:textId="77777777" w:rsidTr="00107491">
        <w:trPr>
          <w:trHeight w:val="300"/>
        </w:trPr>
        <w:tc>
          <w:tcPr>
            <w:tcW w:w="1056" w:type="pct"/>
            <w:tcBorders>
              <w:top w:val="nil"/>
              <w:left w:val="single" w:sz="8" w:space="0" w:color="auto"/>
              <w:bottom w:val="nil"/>
              <w:right w:val="single" w:sz="8" w:space="0" w:color="auto"/>
            </w:tcBorders>
            <w:shd w:val="clear" w:color="auto" w:fill="auto"/>
            <w:vAlign w:val="center"/>
            <w:hideMark/>
          </w:tcPr>
          <w:p w14:paraId="1B6196A9" w14:textId="77777777" w:rsidR="00107491" w:rsidRPr="00107491" w:rsidRDefault="00107491" w:rsidP="00107491">
            <w:pPr>
              <w:rPr>
                <w:rFonts w:ascii="Calibri" w:hAnsi="Calibri" w:cs="Calibri"/>
                <w:color w:val="000000"/>
                <w:sz w:val="18"/>
                <w:szCs w:val="18"/>
                <w:lang w:val="en-US" w:eastAsia="en-US"/>
              </w:rPr>
            </w:pPr>
            <w:r w:rsidRPr="00107491">
              <w:rPr>
                <w:rFonts w:ascii="Calibri" w:hAnsi="Calibri" w:cs="Calibri"/>
                <w:color w:val="000000"/>
                <w:sz w:val="18"/>
                <w:szCs w:val="18"/>
                <w:lang w:val="en-US" w:eastAsia="en-US"/>
              </w:rPr>
              <w:t> </w:t>
            </w:r>
          </w:p>
        </w:tc>
        <w:tc>
          <w:tcPr>
            <w:tcW w:w="381" w:type="pct"/>
            <w:tcBorders>
              <w:top w:val="nil"/>
              <w:left w:val="nil"/>
              <w:bottom w:val="nil"/>
              <w:right w:val="single" w:sz="8" w:space="0" w:color="auto"/>
            </w:tcBorders>
            <w:shd w:val="clear" w:color="auto" w:fill="auto"/>
            <w:vAlign w:val="center"/>
            <w:hideMark/>
          </w:tcPr>
          <w:p w14:paraId="09DD9775" w14:textId="77777777" w:rsidR="00107491" w:rsidRPr="00107491" w:rsidRDefault="00107491" w:rsidP="00107491">
            <w:pPr>
              <w:rPr>
                <w:rFonts w:ascii="Calibri" w:hAnsi="Calibri" w:cs="Calibri"/>
                <w:color w:val="000000"/>
                <w:sz w:val="18"/>
                <w:szCs w:val="18"/>
                <w:lang w:val="en-US" w:eastAsia="en-US"/>
              </w:rPr>
            </w:pPr>
            <w:r w:rsidRPr="00107491">
              <w:rPr>
                <w:rFonts w:ascii="Calibri" w:hAnsi="Calibri" w:cs="Calibri"/>
                <w:color w:val="000000"/>
                <w:sz w:val="18"/>
                <w:szCs w:val="18"/>
                <w:lang w:val="en-US" w:eastAsia="en-US"/>
              </w:rPr>
              <w:t> </w:t>
            </w:r>
          </w:p>
        </w:tc>
        <w:tc>
          <w:tcPr>
            <w:tcW w:w="453" w:type="pct"/>
            <w:tcBorders>
              <w:top w:val="nil"/>
              <w:left w:val="nil"/>
              <w:bottom w:val="nil"/>
              <w:right w:val="nil"/>
            </w:tcBorders>
            <w:shd w:val="clear" w:color="auto" w:fill="auto"/>
            <w:vAlign w:val="center"/>
            <w:hideMark/>
          </w:tcPr>
          <w:p w14:paraId="1508109D" w14:textId="77777777" w:rsidR="00107491" w:rsidRPr="00107491" w:rsidRDefault="00107491" w:rsidP="00107491">
            <w:pPr>
              <w:rPr>
                <w:rFonts w:ascii="Calibri" w:hAnsi="Calibri" w:cs="Calibri"/>
                <w:color w:val="000000"/>
                <w:sz w:val="18"/>
                <w:szCs w:val="18"/>
                <w:lang w:val="en-US" w:eastAsia="en-US"/>
              </w:rPr>
            </w:pPr>
          </w:p>
        </w:tc>
        <w:tc>
          <w:tcPr>
            <w:tcW w:w="388" w:type="pct"/>
            <w:tcBorders>
              <w:top w:val="nil"/>
              <w:left w:val="single" w:sz="8" w:space="0" w:color="auto"/>
              <w:bottom w:val="nil"/>
              <w:right w:val="single" w:sz="8" w:space="0" w:color="auto"/>
            </w:tcBorders>
            <w:shd w:val="clear" w:color="auto" w:fill="auto"/>
            <w:vAlign w:val="center"/>
            <w:hideMark/>
          </w:tcPr>
          <w:p w14:paraId="717217D8" w14:textId="77777777" w:rsidR="00107491" w:rsidRPr="00107491" w:rsidRDefault="00107491" w:rsidP="00107491">
            <w:pPr>
              <w:jc w:val="center"/>
              <w:rPr>
                <w:b/>
                <w:bCs/>
                <w:color w:val="000000"/>
                <w:sz w:val="18"/>
                <w:szCs w:val="18"/>
                <w:lang w:val="en-US" w:eastAsia="en-US"/>
              </w:rPr>
            </w:pPr>
            <w:r w:rsidRPr="00107491">
              <w:rPr>
                <w:b/>
                <w:bCs/>
                <w:color w:val="000000"/>
                <w:sz w:val="18"/>
                <w:szCs w:val="18"/>
                <w:lang w:val="en-US" w:eastAsia="en-US"/>
              </w:rPr>
              <w:t> </w:t>
            </w:r>
          </w:p>
        </w:tc>
        <w:tc>
          <w:tcPr>
            <w:tcW w:w="258" w:type="pct"/>
            <w:tcBorders>
              <w:top w:val="nil"/>
              <w:left w:val="nil"/>
              <w:bottom w:val="single" w:sz="8" w:space="0" w:color="auto"/>
              <w:right w:val="single" w:sz="8" w:space="0" w:color="auto"/>
            </w:tcBorders>
            <w:shd w:val="clear" w:color="auto" w:fill="auto"/>
            <w:noWrap/>
            <w:vAlign w:val="center"/>
            <w:hideMark/>
          </w:tcPr>
          <w:p w14:paraId="4109BE3E" w14:textId="77777777" w:rsidR="00107491" w:rsidRPr="00107491" w:rsidRDefault="00107491" w:rsidP="00107491">
            <w:pPr>
              <w:jc w:val="center"/>
              <w:rPr>
                <w:color w:val="000000"/>
                <w:sz w:val="18"/>
                <w:szCs w:val="18"/>
                <w:lang w:val="en-US" w:eastAsia="en-US"/>
              </w:rPr>
            </w:pPr>
            <w:r w:rsidRPr="00107491">
              <w:rPr>
                <w:color w:val="000000"/>
                <w:sz w:val="18"/>
                <w:szCs w:val="18"/>
                <w:lang w:val="en-US" w:eastAsia="en-US"/>
              </w:rPr>
              <w:t> </w:t>
            </w:r>
          </w:p>
        </w:tc>
        <w:tc>
          <w:tcPr>
            <w:tcW w:w="458" w:type="pct"/>
            <w:tcBorders>
              <w:top w:val="nil"/>
              <w:left w:val="nil"/>
              <w:bottom w:val="single" w:sz="8" w:space="0" w:color="auto"/>
              <w:right w:val="single" w:sz="8" w:space="0" w:color="auto"/>
            </w:tcBorders>
            <w:shd w:val="clear" w:color="auto" w:fill="auto"/>
            <w:noWrap/>
            <w:vAlign w:val="center"/>
            <w:hideMark/>
          </w:tcPr>
          <w:p w14:paraId="2DD42545" w14:textId="77777777" w:rsidR="00601D9B" w:rsidRDefault="000E53A0">
            <w:pPr>
              <w:jc w:val="both"/>
              <w:rPr>
                <w:b/>
                <w:bCs/>
                <w:color w:val="000000"/>
                <w:sz w:val="18"/>
                <w:szCs w:val="18"/>
                <w:lang w:val="en-US" w:eastAsia="en-US"/>
              </w:rPr>
            </w:pPr>
            <w:r w:rsidRPr="00107491">
              <w:rPr>
                <w:b/>
                <w:bCs/>
                <w:color w:val="000000"/>
                <w:sz w:val="18"/>
                <w:szCs w:val="18"/>
                <w:lang w:val="en-US" w:eastAsia="en-US"/>
              </w:rPr>
              <w:t>Sous-total FEM</w:t>
            </w:r>
          </w:p>
        </w:tc>
        <w:tc>
          <w:tcPr>
            <w:tcW w:w="254" w:type="pct"/>
            <w:tcBorders>
              <w:top w:val="nil"/>
              <w:left w:val="nil"/>
              <w:bottom w:val="single" w:sz="8" w:space="0" w:color="auto"/>
              <w:right w:val="single" w:sz="8" w:space="0" w:color="auto"/>
            </w:tcBorders>
            <w:shd w:val="clear" w:color="auto" w:fill="auto"/>
            <w:noWrap/>
            <w:vAlign w:val="center"/>
            <w:hideMark/>
          </w:tcPr>
          <w:p w14:paraId="3EA68C40"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 xml:space="preserve">              21,000 </w:t>
            </w:r>
          </w:p>
        </w:tc>
        <w:tc>
          <w:tcPr>
            <w:tcW w:w="273" w:type="pct"/>
            <w:tcBorders>
              <w:top w:val="nil"/>
              <w:left w:val="nil"/>
              <w:bottom w:val="single" w:sz="8" w:space="0" w:color="auto"/>
              <w:right w:val="single" w:sz="8" w:space="0" w:color="auto"/>
            </w:tcBorders>
            <w:shd w:val="clear" w:color="auto" w:fill="auto"/>
            <w:noWrap/>
            <w:vAlign w:val="center"/>
            <w:hideMark/>
          </w:tcPr>
          <w:p w14:paraId="165F5855"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 xml:space="preserve">                21,000 </w:t>
            </w:r>
          </w:p>
        </w:tc>
        <w:tc>
          <w:tcPr>
            <w:tcW w:w="250" w:type="pct"/>
            <w:tcBorders>
              <w:top w:val="nil"/>
              <w:left w:val="nil"/>
              <w:bottom w:val="single" w:sz="8" w:space="0" w:color="auto"/>
              <w:right w:val="single" w:sz="8" w:space="0" w:color="auto"/>
            </w:tcBorders>
            <w:shd w:val="clear" w:color="auto" w:fill="auto"/>
            <w:noWrap/>
            <w:vAlign w:val="center"/>
            <w:hideMark/>
          </w:tcPr>
          <w:p w14:paraId="62CC69A0"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 xml:space="preserve">              21,000 </w:t>
            </w:r>
          </w:p>
        </w:tc>
        <w:tc>
          <w:tcPr>
            <w:tcW w:w="250" w:type="pct"/>
            <w:tcBorders>
              <w:top w:val="nil"/>
              <w:left w:val="nil"/>
              <w:bottom w:val="single" w:sz="8" w:space="0" w:color="auto"/>
              <w:right w:val="single" w:sz="8" w:space="0" w:color="auto"/>
            </w:tcBorders>
            <w:shd w:val="clear" w:color="auto" w:fill="auto"/>
            <w:noWrap/>
            <w:vAlign w:val="center"/>
            <w:hideMark/>
          </w:tcPr>
          <w:p w14:paraId="56FD1A88"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 xml:space="preserve">              21,000 </w:t>
            </w:r>
          </w:p>
        </w:tc>
        <w:tc>
          <w:tcPr>
            <w:tcW w:w="250" w:type="pct"/>
            <w:tcBorders>
              <w:top w:val="nil"/>
              <w:left w:val="nil"/>
              <w:bottom w:val="single" w:sz="8" w:space="0" w:color="auto"/>
              <w:right w:val="single" w:sz="8" w:space="0" w:color="auto"/>
            </w:tcBorders>
            <w:shd w:val="clear" w:color="auto" w:fill="auto"/>
            <w:noWrap/>
            <w:vAlign w:val="center"/>
            <w:hideMark/>
          </w:tcPr>
          <w:p w14:paraId="46EFB377"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 xml:space="preserve">              21,000 </w:t>
            </w:r>
          </w:p>
        </w:tc>
        <w:tc>
          <w:tcPr>
            <w:tcW w:w="250" w:type="pct"/>
            <w:tcBorders>
              <w:top w:val="nil"/>
              <w:left w:val="nil"/>
              <w:bottom w:val="single" w:sz="8" w:space="0" w:color="auto"/>
              <w:right w:val="single" w:sz="8" w:space="0" w:color="auto"/>
            </w:tcBorders>
            <w:shd w:val="clear" w:color="auto" w:fill="auto"/>
            <w:noWrap/>
            <w:vAlign w:val="center"/>
            <w:hideMark/>
          </w:tcPr>
          <w:p w14:paraId="74C4B0D2"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 xml:space="preserve">              21,000 </w:t>
            </w:r>
          </w:p>
        </w:tc>
        <w:tc>
          <w:tcPr>
            <w:tcW w:w="261" w:type="pct"/>
            <w:tcBorders>
              <w:top w:val="nil"/>
              <w:left w:val="nil"/>
              <w:bottom w:val="single" w:sz="8" w:space="0" w:color="auto"/>
              <w:right w:val="single" w:sz="8" w:space="0" w:color="auto"/>
            </w:tcBorders>
            <w:shd w:val="clear" w:color="auto" w:fill="auto"/>
            <w:noWrap/>
            <w:vAlign w:val="center"/>
            <w:hideMark/>
          </w:tcPr>
          <w:p w14:paraId="38C06B44"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 xml:space="preserve">             126,000 </w:t>
            </w:r>
          </w:p>
        </w:tc>
        <w:tc>
          <w:tcPr>
            <w:tcW w:w="183" w:type="pct"/>
            <w:tcBorders>
              <w:top w:val="nil"/>
              <w:left w:val="nil"/>
              <w:bottom w:val="single" w:sz="8" w:space="0" w:color="auto"/>
              <w:right w:val="single" w:sz="8" w:space="0" w:color="auto"/>
            </w:tcBorders>
            <w:shd w:val="clear" w:color="auto" w:fill="auto"/>
            <w:vAlign w:val="center"/>
            <w:hideMark/>
          </w:tcPr>
          <w:p w14:paraId="48DFD6A9" w14:textId="77777777" w:rsidR="00107491" w:rsidRPr="00107491" w:rsidRDefault="00107491" w:rsidP="00107491">
            <w:pPr>
              <w:jc w:val="center"/>
              <w:rPr>
                <w:i/>
                <w:iCs/>
                <w:color w:val="000000"/>
                <w:sz w:val="18"/>
                <w:szCs w:val="18"/>
                <w:lang w:val="en-US" w:eastAsia="en-US"/>
              </w:rPr>
            </w:pPr>
            <w:r w:rsidRPr="00107491">
              <w:rPr>
                <w:i/>
                <w:iCs/>
                <w:color w:val="000000"/>
                <w:sz w:val="18"/>
                <w:szCs w:val="18"/>
                <w:lang w:val="en-US" w:eastAsia="en-US"/>
              </w:rPr>
              <w:t> </w:t>
            </w:r>
          </w:p>
        </w:tc>
        <w:tc>
          <w:tcPr>
            <w:tcW w:w="35" w:type="pct"/>
            <w:vAlign w:val="center"/>
            <w:hideMark/>
          </w:tcPr>
          <w:p w14:paraId="4E3AEBC2" w14:textId="77777777" w:rsidR="00107491" w:rsidRPr="00107491" w:rsidRDefault="00107491" w:rsidP="00107491">
            <w:pPr>
              <w:rPr>
                <w:sz w:val="20"/>
                <w:szCs w:val="20"/>
                <w:lang w:val="en-US" w:eastAsia="en-US"/>
              </w:rPr>
            </w:pPr>
          </w:p>
        </w:tc>
      </w:tr>
      <w:tr w:rsidR="00107491" w:rsidRPr="00107491" w14:paraId="1DFD55E3" w14:textId="77777777" w:rsidTr="00107491">
        <w:trPr>
          <w:trHeight w:val="300"/>
        </w:trPr>
        <w:tc>
          <w:tcPr>
            <w:tcW w:w="1056" w:type="pct"/>
            <w:tcBorders>
              <w:top w:val="nil"/>
              <w:left w:val="single" w:sz="8" w:space="0" w:color="auto"/>
              <w:bottom w:val="nil"/>
              <w:right w:val="single" w:sz="8" w:space="0" w:color="auto"/>
            </w:tcBorders>
            <w:shd w:val="clear" w:color="auto" w:fill="auto"/>
            <w:vAlign w:val="center"/>
            <w:hideMark/>
          </w:tcPr>
          <w:p w14:paraId="73737037" w14:textId="77777777" w:rsidR="00107491" w:rsidRPr="00107491" w:rsidRDefault="00107491" w:rsidP="00107491">
            <w:pPr>
              <w:rPr>
                <w:rFonts w:ascii="Calibri" w:hAnsi="Calibri" w:cs="Calibri"/>
                <w:color w:val="000000"/>
                <w:sz w:val="18"/>
                <w:szCs w:val="18"/>
                <w:lang w:val="en-US" w:eastAsia="en-US"/>
              </w:rPr>
            </w:pPr>
            <w:r w:rsidRPr="00107491">
              <w:rPr>
                <w:rFonts w:ascii="Calibri" w:hAnsi="Calibri" w:cs="Calibri"/>
                <w:color w:val="000000"/>
                <w:sz w:val="18"/>
                <w:szCs w:val="18"/>
                <w:lang w:val="en-US" w:eastAsia="en-US"/>
              </w:rPr>
              <w:t> </w:t>
            </w:r>
          </w:p>
        </w:tc>
        <w:tc>
          <w:tcPr>
            <w:tcW w:w="381" w:type="pct"/>
            <w:tcBorders>
              <w:top w:val="nil"/>
              <w:left w:val="nil"/>
              <w:bottom w:val="nil"/>
              <w:right w:val="single" w:sz="8" w:space="0" w:color="auto"/>
            </w:tcBorders>
            <w:shd w:val="clear" w:color="auto" w:fill="auto"/>
            <w:vAlign w:val="center"/>
            <w:hideMark/>
          </w:tcPr>
          <w:p w14:paraId="2EA4E531" w14:textId="77777777" w:rsidR="00107491" w:rsidRPr="00107491" w:rsidRDefault="00107491" w:rsidP="00107491">
            <w:pPr>
              <w:rPr>
                <w:rFonts w:ascii="Calibri" w:hAnsi="Calibri" w:cs="Calibri"/>
                <w:color w:val="000000"/>
                <w:sz w:val="18"/>
                <w:szCs w:val="18"/>
                <w:lang w:val="en-US" w:eastAsia="en-US"/>
              </w:rPr>
            </w:pPr>
            <w:r w:rsidRPr="00107491">
              <w:rPr>
                <w:rFonts w:ascii="Calibri" w:hAnsi="Calibri" w:cs="Calibri"/>
                <w:color w:val="000000"/>
                <w:sz w:val="18"/>
                <w:szCs w:val="18"/>
                <w:lang w:val="en-US" w:eastAsia="en-US"/>
              </w:rPr>
              <w:t> </w:t>
            </w:r>
          </w:p>
        </w:tc>
        <w:tc>
          <w:tcPr>
            <w:tcW w:w="453" w:type="pct"/>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14:paraId="06F96258"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62160</w:t>
            </w:r>
          </w:p>
        </w:tc>
        <w:tc>
          <w:tcPr>
            <w:tcW w:w="388" w:type="pct"/>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14:paraId="283E7FC5"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LDCF</w:t>
            </w:r>
          </w:p>
        </w:tc>
        <w:tc>
          <w:tcPr>
            <w:tcW w:w="258" w:type="pct"/>
            <w:tcBorders>
              <w:top w:val="nil"/>
              <w:left w:val="nil"/>
              <w:bottom w:val="nil"/>
              <w:right w:val="single" w:sz="8" w:space="0" w:color="auto"/>
            </w:tcBorders>
            <w:shd w:val="clear" w:color="auto" w:fill="auto"/>
            <w:noWrap/>
            <w:vAlign w:val="center"/>
            <w:hideMark/>
          </w:tcPr>
          <w:p w14:paraId="00B86C15" w14:textId="77777777" w:rsidR="00601D9B" w:rsidRDefault="000E53A0">
            <w:pPr>
              <w:rPr>
                <w:color w:val="000000"/>
                <w:sz w:val="18"/>
                <w:szCs w:val="18"/>
                <w:lang w:val="en-US" w:eastAsia="en-US"/>
              </w:rPr>
            </w:pPr>
            <w:r w:rsidRPr="00107491">
              <w:rPr>
                <w:color w:val="000000"/>
                <w:sz w:val="18"/>
                <w:szCs w:val="18"/>
                <w:lang w:val="en-US" w:eastAsia="en-US"/>
              </w:rPr>
              <w:t>64398</w:t>
            </w:r>
          </w:p>
        </w:tc>
        <w:tc>
          <w:tcPr>
            <w:tcW w:w="458" w:type="pct"/>
            <w:tcBorders>
              <w:top w:val="nil"/>
              <w:left w:val="nil"/>
              <w:bottom w:val="nil"/>
              <w:right w:val="single" w:sz="8" w:space="0" w:color="auto"/>
            </w:tcBorders>
            <w:shd w:val="clear" w:color="auto" w:fill="auto"/>
            <w:vAlign w:val="center"/>
            <w:hideMark/>
          </w:tcPr>
          <w:p w14:paraId="3E1707FE" w14:textId="77777777" w:rsidR="00601D9B" w:rsidRPr="000E53A0" w:rsidRDefault="000E53A0">
            <w:pPr>
              <w:rPr>
                <w:color w:val="000000"/>
                <w:sz w:val="18"/>
                <w:szCs w:val="18"/>
                <w:lang w:val="fr-FR" w:eastAsia="en-US"/>
              </w:rPr>
            </w:pPr>
            <w:r w:rsidRPr="000E53A0">
              <w:rPr>
                <w:color w:val="000000"/>
                <w:sz w:val="18"/>
                <w:szCs w:val="18"/>
                <w:lang w:val="fr-FR" w:eastAsia="en-US"/>
              </w:rPr>
              <w:t>Coût direct du projet - Personnel</w:t>
            </w:r>
          </w:p>
        </w:tc>
        <w:tc>
          <w:tcPr>
            <w:tcW w:w="254" w:type="pct"/>
            <w:tcBorders>
              <w:top w:val="nil"/>
              <w:left w:val="nil"/>
              <w:bottom w:val="single" w:sz="8" w:space="0" w:color="auto"/>
              <w:right w:val="single" w:sz="8" w:space="0" w:color="auto"/>
            </w:tcBorders>
            <w:shd w:val="clear" w:color="auto" w:fill="auto"/>
            <w:noWrap/>
            <w:vAlign w:val="center"/>
            <w:hideMark/>
          </w:tcPr>
          <w:p w14:paraId="149A751E" w14:textId="77777777" w:rsidR="00601D9B" w:rsidRDefault="000E53A0">
            <w:pPr>
              <w:jc w:val="center"/>
              <w:rPr>
                <w:color w:val="000000"/>
                <w:sz w:val="18"/>
                <w:szCs w:val="18"/>
                <w:lang w:val="en-US" w:eastAsia="en-US"/>
              </w:rPr>
            </w:pPr>
            <w:r w:rsidRPr="000E53A0">
              <w:rPr>
                <w:color w:val="000000"/>
                <w:sz w:val="18"/>
                <w:szCs w:val="18"/>
                <w:lang w:val="fr-FR" w:eastAsia="en-US"/>
              </w:rPr>
              <w:t xml:space="preserve">              </w:t>
            </w:r>
            <w:r w:rsidRPr="00107491">
              <w:rPr>
                <w:color w:val="000000"/>
                <w:sz w:val="18"/>
                <w:szCs w:val="18"/>
                <w:lang w:val="en-US" w:eastAsia="en-US"/>
              </w:rPr>
              <w:t xml:space="preserve">28,500 </w:t>
            </w:r>
          </w:p>
        </w:tc>
        <w:tc>
          <w:tcPr>
            <w:tcW w:w="273" w:type="pct"/>
            <w:tcBorders>
              <w:top w:val="nil"/>
              <w:left w:val="nil"/>
              <w:bottom w:val="single" w:sz="8" w:space="0" w:color="auto"/>
              <w:right w:val="single" w:sz="8" w:space="0" w:color="auto"/>
            </w:tcBorders>
            <w:shd w:val="clear" w:color="auto" w:fill="auto"/>
            <w:noWrap/>
            <w:vAlign w:val="center"/>
            <w:hideMark/>
          </w:tcPr>
          <w:p w14:paraId="048BB6AD"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28,500 </w:t>
            </w:r>
          </w:p>
        </w:tc>
        <w:tc>
          <w:tcPr>
            <w:tcW w:w="250" w:type="pct"/>
            <w:tcBorders>
              <w:top w:val="nil"/>
              <w:left w:val="nil"/>
              <w:bottom w:val="single" w:sz="8" w:space="0" w:color="auto"/>
              <w:right w:val="single" w:sz="8" w:space="0" w:color="auto"/>
            </w:tcBorders>
            <w:shd w:val="clear" w:color="auto" w:fill="auto"/>
            <w:noWrap/>
            <w:vAlign w:val="center"/>
            <w:hideMark/>
          </w:tcPr>
          <w:p w14:paraId="7EEBB5DA"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28,500 </w:t>
            </w:r>
          </w:p>
        </w:tc>
        <w:tc>
          <w:tcPr>
            <w:tcW w:w="250" w:type="pct"/>
            <w:tcBorders>
              <w:top w:val="nil"/>
              <w:left w:val="nil"/>
              <w:bottom w:val="single" w:sz="8" w:space="0" w:color="auto"/>
              <w:right w:val="single" w:sz="8" w:space="0" w:color="auto"/>
            </w:tcBorders>
            <w:shd w:val="clear" w:color="auto" w:fill="auto"/>
            <w:noWrap/>
            <w:vAlign w:val="center"/>
            <w:hideMark/>
          </w:tcPr>
          <w:p w14:paraId="33AC7670"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28,500 </w:t>
            </w:r>
          </w:p>
        </w:tc>
        <w:tc>
          <w:tcPr>
            <w:tcW w:w="250" w:type="pct"/>
            <w:tcBorders>
              <w:top w:val="nil"/>
              <w:left w:val="nil"/>
              <w:bottom w:val="single" w:sz="8" w:space="0" w:color="auto"/>
              <w:right w:val="single" w:sz="8" w:space="0" w:color="auto"/>
            </w:tcBorders>
            <w:shd w:val="clear" w:color="auto" w:fill="auto"/>
            <w:noWrap/>
            <w:vAlign w:val="center"/>
            <w:hideMark/>
          </w:tcPr>
          <w:p w14:paraId="7A488578"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28,500 </w:t>
            </w:r>
          </w:p>
        </w:tc>
        <w:tc>
          <w:tcPr>
            <w:tcW w:w="250" w:type="pct"/>
            <w:tcBorders>
              <w:top w:val="nil"/>
              <w:left w:val="nil"/>
              <w:bottom w:val="single" w:sz="8" w:space="0" w:color="auto"/>
              <w:right w:val="single" w:sz="8" w:space="0" w:color="auto"/>
            </w:tcBorders>
            <w:shd w:val="clear" w:color="auto" w:fill="auto"/>
            <w:noWrap/>
            <w:vAlign w:val="center"/>
            <w:hideMark/>
          </w:tcPr>
          <w:p w14:paraId="4B35442E"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28,500 </w:t>
            </w:r>
          </w:p>
        </w:tc>
        <w:tc>
          <w:tcPr>
            <w:tcW w:w="261" w:type="pct"/>
            <w:tcBorders>
              <w:top w:val="nil"/>
              <w:left w:val="nil"/>
              <w:bottom w:val="single" w:sz="8" w:space="0" w:color="auto"/>
              <w:right w:val="single" w:sz="8" w:space="0" w:color="auto"/>
            </w:tcBorders>
            <w:shd w:val="clear" w:color="auto" w:fill="auto"/>
            <w:noWrap/>
            <w:vAlign w:val="center"/>
            <w:hideMark/>
          </w:tcPr>
          <w:p w14:paraId="55856EA7"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171,000 </w:t>
            </w:r>
          </w:p>
        </w:tc>
        <w:tc>
          <w:tcPr>
            <w:tcW w:w="183" w:type="pct"/>
            <w:tcBorders>
              <w:top w:val="nil"/>
              <w:left w:val="nil"/>
              <w:bottom w:val="single" w:sz="8" w:space="0" w:color="auto"/>
              <w:right w:val="single" w:sz="8" w:space="0" w:color="auto"/>
            </w:tcBorders>
            <w:shd w:val="clear" w:color="auto" w:fill="auto"/>
            <w:vAlign w:val="center"/>
            <w:hideMark/>
          </w:tcPr>
          <w:p w14:paraId="7AF2E39E" w14:textId="77777777" w:rsidR="00601D9B" w:rsidRDefault="000E53A0">
            <w:pPr>
              <w:jc w:val="center"/>
              <w:rPr>
                <w:i/>
                <w:iCs/>
                <w:color w:val="000000"/>
                <w:sz w:val="18"/>
                <w:szCs w:val="18"/>
                <w:lang w:val="en-US" w:eastAsia="en-US"/>
              </w:rPr>
            </w:pPr>
            <w:r w:rsidRPr="00107491">
              <w:rPr>
                <w:i/>
                <w:iCs/>
                <w:color w:val="000000"/>
                <w:sz w:val="18"/>
                <w:szCs w:val="18"/>
                <w:lang w:val="en-US" w:eastAsia="en-US"/>
              </w:rPr>
              <w:t>48</w:t>
            </w:r>
          </w:p>
        </w:tc>
        <w:tc>
          <w:tcPr>
            <w:tcW w:w="35" w:type="pct"/>
            <w:vAlign w:val="center"/>
            <w:hideMark/>
          </w:tcPr>
          <w:p w14:paraId="53131444" w14:textId="77777777" w:rsidR="00107491" w:rsidRPr="00107491" w:rsidRDefault="00107491" w:rsidP="00107491">
            <w:pPr>
              <w:rPr>
                <w:sz w:val="20"/>
                <w:szCs w:val="20"/>
                <w:lang w:val="en-US" w:eastAsia="en-US"/>
              </w:rPr>
            </w:pPr>
          </w:p>
        </w:tc>
      </w:tr>
      <w:tr w:rsidR="00107491" w:rsidRPr="00107491" w14:paraId="72621921" w14:textId="77777777" w:rsidTr="00107491">
        <w:trPr>
          <w:trHeight w:val="250"/>
        </w:trPr>
        <w:tc>
          <w:tcPr>
            <w:tcW w:w="1056" w:type="pct"/>
            <w:tcBorders>
              <w:top w:val="nil"/>
              <w:left w:val="single" w:sz="8" w:space="0" w:color="auto"/>
              <w:bottom w:val="nil"/>
              <w:right w:val="single" w:sz="8" w:space="0" w:color="auto"/>
            </w:tcBorders>
            <w:shd w:val="clear" w:color="auto" w:fill="auto"/>
            <w:vAlign w:val="center"/>
            <w:hideMark/>
          </w:tcPr>
          <w:p w14:paraId="1AD4AF7F" w14:textId="77777777" w:rsidR="00107491" w:rsidRPr="00107491" w:rsidRDefault="00107491" w:rsidP="00107491">
            <w:pPr>
              <w:rPr>
                <w:rFonts w:ascii="Calibri" w:hAnsi="Calibri" w:cs="Calibri"/>
                <w:color w:val="000000"/>
                <w:sz w:val="18"/>
                <w:szCs w:val="18"/>
                <w:lang w:val="en-US" w:eastAsia="en-US"/>
              </w:rPr>
            </w:pPr>
            <w:bookmarkStart w:id="59" w:name="RANGE!A81"/>
            <w:r w:rsidRPr="00107491">
              <w:rPr>
                <w:rFonts w:ascii="Calibri" w:hAnsi="Calibri" w:cs="Calibri"/>
                <w:color w:val="000000"/>
                <w:sz w:val="18"/>
                <w:szCs w:val="18"/>
                <w:lang w:val="en-US" w:eastAsia="en-US"/>
              </w:rPr>
              <w:t> </w:t>
            </w:r>
            <w:bookmarkEnd w:id="59"/>
          </w:p>
        </w:tc>
        <w:tc>
          <w:tcPr>
            <w:tcW w:w="381" w:type="pct"/>
            <w:tcBorders>
              <w:top w:val="nil"/>
              <w:left w:val="nil"/>
              <w:bottom w:val="nil"/>
              <w:right w:val="single" w:sz="8" w:space="0" w:color="auto"/>
            </w:tcBorders>
            <w:shd w:val="clear" w:color="auto" w:fill="auto"/>
            <w:vAlign w:val="center"/>
            <w:hideMark/>
          </w:tcPr>
          <w:p w14:paraId="6C5D604B" w14:textId="77777777" w:rsidR="00107491" w:rsidRPr="00107491" w:rsidRDefault="00107491" w:rsidP="00107491">
            <w:pPr>
              <w:rPr>
                <w:rFonts w:ascii="Calibri" w:hAnsi="Calibri" w:cs="Calibri"/>
                <w:color w:val="000000"/>
                <w:sz w:val="18"/>
                <w:szCs w:val="18"/>
                <w:lang w:val="en-US" w:eastAsia="en-US"/>
              </w:rPr>
            </w:pPr>
            <w:r w:rsidRPr="00107491">
              <w:rPr>
                <w:rFonts w:ascii="Calibri" w:hAnsi="Calibri" w:cs="Calibri"/>
                <w:color w:val="000000"/>
                <w:sz w:val="18"/>
                <w:szCs w:val="18"/>
                <w:lang w:val="en-US" w:eastAsia="en-US"/>
              </w:rPr>
              <w:t> </w:t>
            </w:r>
          </w:p>
        </w:tc>
        <w:tc>
          <w:tcPr>
            <w:tcW w:w="453" w:type="pct"/>
            <w:vMerge/>
            <w:tcBorders>
              <w:top w:val="single" w:sz="8" w:space="0" w:color="auto"/>
              <w:left w:val="single" w:sz="8" w:space="0" w:color="auto"/>
              <w:bottom w:val="double" w:sz="6" w:space="0" w:color="000000"/>
              <w:right w:val="single" w:sz="8" w:space="0" w:color="auto"/>
            </w:tcBorders>
            <w:vAlign w:val="center"/>
            <w:hideMark/>
          </w:tcPr>
          <w:p w14:paraId="5544102F" w14:textId="77777777" w:rsidR="00107491" w:rsidRPr="00107491" w:rsidRDefault="00107491" w:rsidP="00107491">
            <w:pPr>
              <w:rPr>
                <w:b/>
                <w:bCs/>
                <w:color w:val="000000"/>
                <w:sz w:val="18"/>
                <w:szCs w:val="18"/>
                <w:lang w:val="en-US" w:eastAsia="en-US"/>
              </w:rPr>
            </w:pPr>
          </w:p>
        </w:tc>
        <w:tc>
          <w:tcPr>
            <w:tcW w:w="388" w:type="pct"/>
            <w:vMerge/>
            <w:tcBorders>
              <w:top w:val="single" w:sz="8" w:space="0" w:color="auto"/>
              <w:left w:val="single" w:sz="8" w:space="0" w:color="auto"/>
              <w:bottom w:val="double" w:sz="6" w:space="0" w:color="000000"/>
              <w:right w:val="single" w:sz="8" w:space="0" w:color="auto"/>
            </w:tcBorders>
            <w:vAlign w:val="center"/>
            <w:hideMark/>
          </w:tcPr>
          <w:p w14:paraId="2F2DCD7E" w14:textId="77777777" w:rsidR="00107491" w:rsidRPr="00107491" w:rsidRDefault="00107491" w:rsidP="00107491">
            <w:pPr>
              <w:rPr>
                <w:b/>
                <w:bCs/>
                <w:color w:val="000000"/>
                <w:sz w:val="18"/>
                <w:szCs w:val="18"/>
                <w:lang w:val="en-US" w:eastAsia="en-US"/>
              </w:rPr>
            </w:pPr>
          </w:p>
        </w:tc>
        <w:tc>
          <w:tcPr>
            <w:tcW w:w="258" w:type="pct"/>
            <w:tcBorders>
              <w:top w:val="single" w:sz="8" w:space="0" w:color="auto"/>
              <w:left w:val="nil"/>
              <w:bottom w:val="nil"/>
              <w:right w:val="single" w:sz="8" w:space="0" w:color="auto"/>
            </w:tcBorders>
            <w:shd w:val="clear" w:color="auto" w:fill="auto"/>
            <w:noWrap/>
            <w:vAlign w:val="center"/>
            <w:hideMark/>
          </w:tcPr>
          <w:p w14:paraId="0B311C44" w14:textId="77777777" w:rsidR="00601D9B" w:rsidRDefault="000E53A0">
            <w:pPr>
              <w:rPr>
                <w:color w:val="000000"/>
                <w:sz w:val="18"/>
                <w:szCs w:val="18"/>
                <w:lang w:val="en-US" w:eastAsia="en-US"/>
              </w:rPr>
            </w:pPr>
            <w:r w:rsidRPr="00107491">
              <w:rPr>
                <w:color w:val="000000"/>
                <w:sz w:val="18"/>
                <w:szCs w:val="18"/>
                <w:lang w:val="en-US" w:eastAsia="en-US"/>
              </w:rPr>
              <w:t>71600</w:t>
            </w:r>
          </w:p>
        </w:tc>
        <w:tc>
          <w:tcPr>
            <w:tcW w:w="458" w:type="pct"/>
            <w:tcBorders>
              <w:top w:val="single" w:sz="8" w:space="0" w:color="auto"/>
              <w:left w:val="nil"/>
              <w:bottom w:val="nil"/>
              <w:right w:val="single" w:sz="8" w:space="0" w:color="auto"/>
            </w:tcBorders>
            <w:shd w:val="clear" w:color="auto" w:fill="auto"/>
            <w:vAlign w:val="center"/>
            <w:hideMark/>
          </w:tcPr>
          <w:p w14:paraId="761606BC" w14:textId="77777777" w:rsidR="00601D9B" w:rsidRDefault="000E53A0">
            <w:pPr>
              <w:rPr>
                <w:color w:val="000000"/>
                <w:sz w:val="18"/>
                <w:szCs w:val="18"/>
                <w:lang w:val="en-US" w:eastAsia="en-US"/>
              </w:rPr>
            </w:pPr>
            <w:r w:rsidRPr="00107491">
              <w:rPr>
                <w:color w:val="000000"/>
                <w:sz w:val="18"/>
                <w:szCs w:val="18"/>
                <w:lang w:val="en-US" w:eastAsia="en-US"/>
              </w:rPr>
              <w:t>Voyage</w:t>
            </w:r>
          </w:p>
        </w:tc>
        <w:tc>
          <w:tcPr>
            <w:tcW w:w="254" w:type="pct"/>
            <w:tcBorders>
              <w:top w:val="nil"/>
              <w:left w:val="nil"/>
              <w:bottom w:val="single" w:sz="8" w:space="0" w:color="auto"/>
              <w:right w:val="single" w:sz="8" w:space="0" w:color="auto"/>
            </w:tcBorders>
            <w:shd w:val="clear" w:color="auto" w:fill="auto"/>
            <w:noWrap/>
            <w:vAlign w:val="center"/>
            <w:hideMark/>
          </w:tcPr>
          <w:p w14:paraId="460D56AE"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3,000 </w:t>
            </w:r>
          </w:p>
        </w:tc>
        <w:tc>
          <w:tcPr>
            <w:tcW w:w="273" w:type="pct"/>
            <w:tcBorders>
              <w:top w:val="nil"/>
              <w:left w:val="nil"/>
              <w:bottom w:val="single" w:sz="8" w:space="0" w:color="auto"/>
              <w:right w:val="single" w:sz="8" w:space="0" w:color="auto"/>
            </w:tcBorders>
            <w:shd w:val="clear" w:color="auto" w:fill="auto"/>
            <w:noWrap/>
            <w:vAlign w:val="center"/>
            <w:hideMark/>
          </w:tcPr>
          <w:p w14:paraId="08C318C5"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3,000 </w:t>
            </w:r>
          </w:p>
        </w:tc>
        <w:tc>
          <w:tcPr>
            <w:tcW w:w="250" w:type="pct"/>
            <w:tcBorders>
              <w:top w:val="nil"/>
              <w:left w:val="nil"/>
              <w:bottom w:val="single" w:sz="8" w:space="0" w:color="auto"/>
              <w:right w:val="single" w:sz="8" w:space="0" w:color="auto"/>
            </w:tcBorders>
            <w:shd w:val="clear" w:color="auto" w:fill="auto"/>
            <w:noWrap/>
            <w:vAlign w:val="center"/>
            <w:hideMark/>
          </w:tcPr>
          <w:p w14:paraId="3F9A02F3"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3,000 </w:t>
            </w:r>
          </w:p>
        </w:tc>
        <w:tc>
          <w:tcPr>
            <w:tcW w:w="250" w:type="pct"/>
            <w:tcBorders>
              <w:top w:val="nil"/>
              <w:left w:val="nil"/>
              <w:bottom w:val="single" w:sz="8" w:space="0" w:color="auto"/>
              <w:right w:val="single" w:sz="8" w:space="0" w:color="auto"/>
            </w:tcBorders>
            <w:shd w:val="clear" w:color="auto" w:fill="auto"/>
            <w:noWrap/>
            <w:vAlign w:val="center"/>
            <w:hideMark/>
          </w:tcPr>
          <w:p w14:paraId="127005C3"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3,000 </w:t>
            </w:r>
          </w:p>
        </w:tc>
        <w:tc>
          <w:tcPr>
            <w:tcW w:w="250" w:type="pct"/>
            <w:tcBorders>
              <w:top w:val="nil"/>
              <w:left w:val="nil"/>
              <w:bottom w:val="single" w:sz="8" w:space="0" w:color="auto"/>
              <w:right w:val="single" w:sz="8" w:space="0" w:color="auto"/>
            </w:tcBorders>
            <w:shd w:val="clear" w:color="auto" w:fill="auto"/>
            <w:noWrap/>
            <w:vAlign w:val="center"/>
            <w:hideMark/>
          </w:tcPr>
          <w:p w14:paraId="6E99C960"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3,000 </w:t>
            </w:r>
          </w:p>
        </w:tc>
        <w:tc>
          <w:tcPr>
            <w:tcW w:w="250" w:type="pct"/>
            <w:tcBorders>
              <w:top w:val="nil"/>
              <w:left w:val="nil"/>
              <w:bottom w:val="single" w:sz="8" w:space="0" w:color="auto"/>
              <w:right w:val="single" w:sz="8" w:space="0" w:color="auto"/>
            </w:tcBorders>
            <w:shd w:val="clear" w:color="auto" w:fill="auto"/>
            <w:noWrap/>
            <w:vAlign w:val="center"/>
            <w:hideMark/>
          </w:tcPr>
          <w:p w14:paraId="1CCF6947"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3,000 </w:t>
            </w:r>
          </w:p>
        </w:tc>
        <w:tc>
          <w:tcPr>
            <w:tcW w:w="261" w:type="pct"/>
            <w:tcBorders>
              <w:top w:val="nil"/>
              <w:left w:val="nil"/>
              <w:bottom w:val="single" w:sz="8" w:space="0" w:color="auto"/>
              <w:right w:val="single" w:sz="8" w:space="0" w:color="auto"/>
            </w:tcBorders>
            <w:shd w:val="clear" w:color="auto" w:fill="auto"/>
            <w:noWrap/>
            <w:vAlign w:val="center"/>
            <w:hideMark/>
          </w:tcPr>
          <w:p w14:paraId="5C0696F1"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18,000 </w:t>
            </w:r>
          </w:p>
        </w:tc>
        <w:tc>
          <w:tcPr>
            <w:tcW w:w="183" w:type="pct"/>
            <w:tcBorders>
              <w:top w:val="nil"/>
              <w:left w:val="nil"/>
              <w:bottom w:val="single" w:sz="8" w:space="0" w:color="auto"/>
              <w:right w:val="single" w:sz="8" w:space="0" w:color="auto"/>
            </w:tcBorders>
            <w:shd w:val="clear" w:color="auto" w:fill="auto"/>
            <w:vAlign w:val="center"/>
            <w:hideMark/>
          </w:tcPr>
          <w:p w14:paraId="03D986B4" w14:textId="77777777" w:rsidR="00601D9B" w:rsidRDefault="000E53A0">
            <w:pPr>
              <w:jc w:val="center"/>
              <w:rPr>
                <w:i/>
                <w:iCs/>
                <w:color w:val="000000"/>
                <w:sz w:val="18"/>
                <w:szCs w:val="18"/>
                <w:lang w:val="en-US" w:eastAsia="en-US"/>
              </w:rPr>
            </w:pPr>
            <w:r w:rsidRPr="00107491">
              <w:rPr>
                <w:i/>
                <w:iCs/>
                <w:color w:val="000000"/>
                <w:sz w:val="18"/>
                <w:szCs w:val="18"/>
                <w:lang w:val="en-US" w:eastAsia="en-US"/>
              </w:rPr>
              <w:t>49</w:t>
            </w:r>
          </w:p>
        </w:tc>
        <w:tc>
          <w:tcPr>
            <w:tcW w:w="35" w:type="pct"/>
            <w:vAlign w:val="center"/>
            <w:hideMark/>
          </w:tcPr>
          <w:p w14:paraId="4B115120" w14:textId="77777777" w:rsidR="00107491" w:rsidRPr="00107491" w:rsidRDefault="00107491" w:rsidP="00107491">
            <w:pPr>
              <w:rPr>
                <w:sz w:val="20"/>
                <w:szCs w:val="20"/>
                <w:lang w:val="en-US" w:eastAsia="en-US"/>
              </w:rPr>
            </w:pPr>
          </w:p>
        </w:tc>
      </w:tr>
      <w:tr w:rsidR="00107491" w:rsidRPr="00107491" w14:paraId="06004052" w14:textId="77777777" w:rsidTr="00107491">
        <w:trPr>
          <w:trHeight w:val="470"/>
        </w:trPr>
        <w:tc>
          <w:tcPr>
            <w:tcW w:w="1056" w:type="pct"/>
            <w:tcBorders>
              <w:top w:val="nil"/>
              <w:left w:val="single" w:sz="8" w:space="0" w:color="auto"/>
              <w:bottom w:val="nil"/>
              <w:right w:val="single" w:sz="8" w:space="0" w:color="auto"/>
            </w:tcBorders>
            <w:shd w:val="clear" w:color="auto" w:fill="auto"/>
            <w:vAlign w:val="center"/>
            <w:hideMark/>
          </w:tcPr>
          <w:p w14:paraId="386B0565" w14:textId="77777777" w:rsidR="00107491" w:rsidRPr="00107491" w:rsidRDefault="00107491" w:rsidP="00107491">
            <w:pPr>
              <w:rPr>
                <w:rFonts w:ascii="Calibri" w:hAnsi="Calibri" w:cs="Calibri"/>
                <w:color w:val="000000"/>
                <w:sz w:val="18"/>
                <w:szCs w:val="18"/>
                <w:lang w:val="en-US" w:eastAsia="en-US"/>
              </w:rPr>
            </w:pPr>
            <w:r w:rsidRPr="00107491">
              <w:rPr>
                <w:rFonts w:ascii="Calibri" w:hAnsi="Calibri" w:cs="Calibri"/>
                <w:color w:val="000000"/>
                <w:sz w:val="18"/>
                <w:szCs w:val="18"/>
                <w:lang w:val="en-US" w:eastAsia="en-US"/>
              </w:rPr>
              <w:t> </w:t>
            </w:r>
          </w:p>
        </w:tc>
        <w:tc>
          <w:tcPr>
            <w:tcW w:w="381" w:type="pct"/>
            <w:tcBorders>
              <w:top w:val="nil"/>
              <w:left w:val="nil"/>
              <w:bottom w:val="nil"/>
              <w:right w:val="single" w:sz="8" w:space="0" w:color="auto"/>
            </w:tcBorders>
            <w:shd w:val="clear" w:color="auto" w:fill="auto"/>
            <w:vAlign w:val="center"/>
            <w:hideMark/>
          </w:tcPr>
          <w:p w14:paraId="7CBAB7A6" w14:textId="77777777" w:rsidR="00107491" w:rsidRPr="00107491" w:rsidRDefault="00107491" w:rsidP="00107491">
            <w:pPr>
              <w:rPr>
                <w:rFonts w:ascii="Calibri" w:hAnsi="Calibri" w:cs="Calibri"/>
                <w:color w:val="000000"/>
                <w:sz w:val="18"/>
                <w:szCs w:val="18"/>
                <w:lang w:val="en-US" w:eastAsia="en-US"/>
              </w:rPr>
            </w:pPr>
            <w:r w:rsidRPr="00107491">
              <w:rPr>
                <w:rFonts w:ascii="Calibri" w:hAnsi="Calibri" w:cs="Calibri"/>
                <w:color w:val="000000"/>
                <w:sz w:val="18"/>
                <w:szCs w:val="18"/>
                <w:lang w:val="en-US" w:eastAsia="en-US"/>
              </w:rPr>
              <w:t> </w:t>
            </w:r>
          </w:p>
        </w:tc>
        <w:tc>
          <w:tcPr>
            <w:tcW w:w="453" w:type="pct"/>
            <w:vMerge/>
            <w:tcBorders>
              <w:top w:val="single" w:sz="8" w:space="0" w:color="auto"/>
              <w:left w:val="single" w:sz="8" w:space="0" w:color="auto"/>
              <w:bottom w:val="double" w:sz="6" w:space="0" w:color="000000"/>
              <w:right w:val="single" w:sz="8" w:space="0" w:color="auto"/>
            </w:tcBorders>
            <w:vAlign w:val="center"/>
            <w:hideMark/>
          </w:tcPr>
          <w:p w14:paraId="222451D8" w14:textId="77777777" w:rsidR="00107491" w:rsidRPr="00107491" w:rsidRDefault="00107491" w:rsidP="00107491">
            <w:pPr>
              <w:rPr>
                <w:b/>
                <w:bCs/>
                <w:color w:val="000000"/>
                <w:sz w:val="18"/>
                <w:szCs w:val="18"/>
                <w:lang w:val="en-US" w:eastAsia="en-US"/>
              </w:rPr>
            </w:pPr>
          </w:p>
        </w:tc>
        <w:tc>
          <w:tcPr>
            <w:tcW w:w="388" w:type="pct"/>
            <w:vMerge/>
            <w:tcBorders>
              <w:top w:val="single" w:sz="8" w:space="0" w:color="auto"/>
              <w:left w:val="single" w:sz="8" w:space="0" w:color="auto"/>
              <w:bottom w:val="double" w:sz="6" w:space="0" w:color="000000"/>
              <w:right w:val="single" w:sz="8" w:space="0" w:color="auto"/>
            </w:tcBorders>
            <w:vAlign w:val="center"/>
            <w:hideMark/>
          </w:tcPr>
          <w:p w14:paraId="66648CBB" w14:textId="77777777" w:rsidR="00107491" w:rsidRPr="00107491" w:rsidRDefault="00107491" w:rsidP="00107491">
            <w:pPr>
              <w:rPr>
                <w:b/>
                <w:bCs/>
                <w:color w:val="000000"/>
                <w:sz w:val="18"/>
                <w:szCs w:val="18"/>
                <w:lang w:val="en-US" w:eastAsia="en-US"/>
              </w:rPr>
            </w:pPr>
          </w:p>
        </w:tc>
        <w:tc>
          <w:tcPr>
            <w:tcW w:w="258" w:type="pct"/>
            <w:tcBorders>
              <w:top w:val="single" w:sz="8" w:space="0" w:color="auto"/>
              <w:left w:val="nil"/>
              <w:bottom w:val="nil"/>
              <w:right w:val="single" w:sz="8" w:space="0" w:color="auto"/>
            </w:tcBorders>
            <w:shd w:val="clear" w:color="auto" w:fill="auto"/>
            <w:noWrap/>
            <w:vAlign w:val="center"/>
            <w:hideMark/>
          </w:tcPr>
          <w:p w14:paraId="3A77C3CA" w14:textId="77777777" w:rsidR="00601D9B" w:rsidRDefault="000E53A0">
            <w:pPr>
              <w:rPr>
                <w:color w:val="000000"/>
                <w:sz w:val="18"/>
                <w:szCs w:val="18"/>
                <w:lang w:val="en-US" w:eastAsia="en-US"/>
              </w:rPr>
            </w:pPr>
            <w:r w:rsidRPr="00107491">
              <w:rPr>
                <w:color w:val="000000"/>
                <w:sz w:val="18"/>
                <w:szCs w:val="18"/>
                <w:lang w:val="en-US" w:eastAsia="en-US"/>
              </w:rPr>
              <w:t>73100</w:t>
            </w:r>
          </w:p>
        </w:tc>
        <w:tc>
          <w:tcPr>
            <w:tcW w:w="458" w:type="pct"/>
            <w:tcBorders>
              <w:top w:val="single" w:sz="8" w:space="0" w:color="auto"/>
              <w:left w:val="nil"/>
              <w:bottom w:val="nil"/>
              <w:right w:val="single" w:sz="8" w:space="0" w:color="auto"/>
            </w:tcBorders>
            <w:shd w:val="clear" w:color="auto" w:fill="auto"/>
            <w:vAlign w:val="center"/>
            <w:hideMark/>
          </w:tcPr>
          <w:p w14:paraId="1F9EFEC4" w14:textId="77777777" w:rsidR="00601D9B" w:rsidRDefault="000E53A0">
            <w:pPr>
              <w:rPr>
                <w:color w:val="000000"/>
                <w:sz w:val="18"/>
                <w:szCs w:val="18"/>
                <w:lang w:val="en-US" w:eastAsia="en-US"/>
              </w:rPr>
            </w:pPr>
            <w:r w:rsidRPr="00107491">
              <w:rPr>
                <w:color w:val="000000"/>
                <w:sz w:val="18"/>
                <w:szCs w:val="18"/>
                <w:lang w:val="en-US" w:eastAsia="en-US"/>
              </w:rPr>
              <w:t>Location et entreti</w:t>
            </w:r>
            <w:r w:rsidRPr="00107491">
              <w:rPr>
                <w:color w:val="000000"/>
                <w:sz w:val="18"/>
                <w:szCs w:val="18"/>
                <w:lang w:val="en-US" w:eastAsia="en-US"/>
              </w:rPr>
              <w:lastRenderedPageBreak/>
              <w:t>en - locaux</w:t>
            </w:r>
          </w:p>
        </w:tc>
        <w:tc>
          <w:tcPr>
            <w:tcW w:w="254" w:type="pct"/>
            <w:tcBorders>
              <w:top w:val="nil"/>
              <w:left w:val="nil"/>
              <w:bottom w:val="single" w:sz="8" w:space="0" w:color="auto"/>
              <w:right w:val="single" w:sz="8" w:space="0" w:color="auto"/>
            </w:tcBorders>
            <w:shd w:val="clear" w:color="auto" w:fill="auto"/>
            <w:noWrap/>
            <w:vAlign w:val="center"/>
            <w:hideMark/>
          </w:tcPr>
          <w:p w14:paraId="31A06BA3" w14:textId="77777777" w:rsidR="00601D9B" w:rsidRDefault="000E53A0">
            <w:pPr>
              <w:jc w:val="center"/>
              <w:rPr>
                <w:color w:val="000000"/>
                <w:sz w:val="18"/>
                <w:szCs w:val="18"/>
                <w:lang w:val="en-US" w:eastAsia="en-US"/>
              </w:rPr>
            </w:pPr>
            <w:r w:rsidRPr="00107491">
              <w:rPr>
                <w:color w:val="000000"/>
                <w:sz w:val="18"/>
                <w:szCs w:val="18"/>
                <w:lang w:val="en-US" w:eastAsia="en-US"/>
              </w:rPr>
              <w:lastRenderedPageBreak/>
              <w:t xml:space="preserve">                5,000 </w:t>
            </w:r>
          </w:p>
        </w:tc>
        <w:tc>
          <w:tcPr>
            <w:tcW w:w="273" w:type="pct"/>
            <w:tcBorders>
              <w:top w:val="nil"/>
              <w:left w:val="nil"/>
              <w:bottom w:val="single" w:sz="8" w:space="0" w:color="auto"/>
              <w:right w:val="single" w:sz="8" w:space="0" w:color="auto"/>
            </w:tcBorders>
            <w:shd w:val="clear" w:color="auto" w:fill="auto"/>
            <w:noWrap/>
            <w:vAlign w:val="center"/>
            <w:hideMark/>
          </w:tcPr>
          <w:p w14:paraId="724E1C29"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5,000 </w:t>
            </w:r>
          </w:p>
        </w:tc>
        <w:tc>
          <w:tcPr>
            <w:tcW w:w="250" w:type="pct"/>
            <w:tcBorders>
              <w:top w:val="nil"/>
              <w:left w:val="nil"/>
              <w:bottom w:val="single" w:sz="8" w:space="0" w:color="auto"/>
              <w:right w:val="single" w:sz="8" w:space="0" w:color="auto"/>
            </w:tcBorders>
            <w:shd w:val="clear" w:color="auto" w:fill="auto"/>
            <w:noWrap/>
            <w:vAlign w:val="center"/>
            <w:hideMark/>
          </w:tcPr>
          <w:p w14:paraId="399B49D4"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5,000 </w:t>
            </w:r>
          </w:p>
        </w:tc>
        <w:tc>
          <w:tcPr>
            <w:tcW w:w="250" w:type="pct"/>
            <w:tcBorders>
              <w:top w:val="nil"/>
              <w:left w:val="nil"/>
              <w:bottom w:val="single" w:sz="8" w:space="0" w:color="auto"/>
              <w:right w:val="single" w:sz="8" w:space="0" w:color="auto"/>
            </w:tcBorders>
            <w:shd w:val="clear" w:color="auto" w:fill="auto"/>
            <w:noWrap/>
            <w:vAlign w:val="center"/>
            <w:hideMark/>
          </w:tcPr>
          <w:p w14:paraId="156C2A74"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5,000 </w:t>
            </w:r>
          </w:p>
        </w:tc>
        <w:tc>
          <w:tcPr>
            <w:tcW w:w="250" w:type="pct"/>
            <w:tcBorders>
              <w:top w:val="nil"/>
              <w:left w:val="nil"/>
              <w:bottom w:val="single" w:sz="8" w:space="0" w:color="auto"/>
              <w:right w:val="single" w:sz="8" w:space="0" w:color="auto"/>
            </w:tcBorders>
            <w:shd w:val="clear" w:color="auto" w:fill="auto"/>
            <w:noWrap/>
            <w:vAlign w:val="center"/>
            <w:hideMark/>
          </w:tcPr>
          <w:p w14:paraId="71A54ED9"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5,000 </w:t>
            </w:r>
          </w:p>
        </w:tc>
        <w:tc>
          <w:tcPr>
            <w:tcW w:w="250" w:type="pct"/>
            <w:tcBorders>
              <w:top w:val="nil"/>
              <w:left w:val="nil"/>
              <w:bottom w:val="single" w:sz="8" w:space="0" w:color="auto"/>
              <w:right w:val="single" w:sz="8" w:space="0" w:color="auto"/>
            </w:tcBorders>
            <w:shd w:val="clear" w:color="auto" w:fill="auto"/>
            <w:noWrap/>
            <w:vAlign w:val="center"/>
            <w:hideMark/>
          </w:tcPr>
          <w:p w14:paraId="6DCEC933"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5,000 </w:t>
            </w:r>
          </w:p>
        </w:tc>
        <w:tc>
          <w:tcPr>
            <w:tcW w:w="261" w:type="pct"/>
            <w:tcBorders>
              <w:top w:val="nil"/>
              <w:left w:val="nil"/>
              <w:bottom w:val="single" w:sz="8" w:space="0" w:color="auto"/>
              <w:right w:val="single" w:sz="8" w:space="0" w:color="auto"/>
            </w:tcBorders>
            <w:shd w:val="clear" w:color="auto" w:fill="auto"/>
            <w:noWrap/>
            <w:vAlign w:val="center"/>
            <w:hideMark/>
          </w:tcPr>
          <w:p w14:paraId="310998CC"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30,000 </w:t>
            </w:r>
          </w:p>
        </w:tc>
        <w:tc>
          <w:tcPr>
            <w:tcW w:w="183" w:type="pct"/>
            <w:tcBorders>
              <w:top w:val="nil"/>
              <w:left w:val="nil"/>
              <w:bottom w:val="single" w:sz="8" w:space="0" w:color="auto"/>
              <w:right w:val="single" w:sz="8" w:space="0" w:color="auto"/>
            </w:tcBorders>
            <w:shd w:val="clear" w:color="auto" w:fill="auto"/>
            <w:vAlign w:val="center"/>
            <w:hideMark/>
          </w:tcPr>
          <w:p w14:paraId="583799E8" w14:textId="77777777" w:rsidR="00601D9B" w:rsidRDefault="000E53A0">
            <w:pPr>
              <w:jc w:val="center"/>
              <w:rPr>
                <w:i/>
                <w:iCs/>
                <w:color w:val="000000"/>
                <w:sz w:val="18"/>
                <w:szCs w:val="18"/>
                <w:lang w:val="en-US" w:eastAsia="en-US"/>
              </w:rPr>
            </w:pPr>
            <w:r w:rsidRPr="00107491">
              <w:rPr>
                <w:i/>
                <w:iCs/>
                <w:color w:val="000000"/>
                <w:sz w:val="18"/>
                <w:szCs w:val="18"/>
                <w:lang w:val="en-US" w:eastAsia="en-US"/>
              </w:rPr>
              <w:t>50</w:t>
            </w:r>
          </w:p>
        </w:tc>
        <w:tc>
          <w:tcPr>
            <w:tcW w:w="35" w:type="pct"/>
            <w:vAlign w:val="center"/>
            <w:hideMark/>
          </w:tcPr>
          <w:p w14:paraId="68184447" w14:textId="77777777" w:rsidR="00107491" w:rsidRPr="00107491" w:rsidRDefault="00107491" w:rsidP="00107491">
            <w:pPr>
              <w:rPr>
                <w:sz w:val="20"/>
                <w:szCs w:val="20"/>
                <w:lang w:val="en-US" w:eastAsia="en-US"/>
              </w:rPr>
            </w:pPr>
          </w:p>
        </w:tc>
      </w:tr>
      <w:tr w:rsidR="00107491" w:rsidRPr="00107491" w14:paraId="7E908E17" w14:textId="77777777" w:rsidTr="00107491">
        <w:trPr>
          <w:trHeight w:val="470"/>
        </w:trPr>
        <w:tc>
          <w:tcPr>
            <w:tcW w:w="1056" w:type="pct"/>
            <w:tcBorders>
              <w:top w:val="nil"/>
              <w:left w:val="single" w:sz="8" w:space="0" w:color="auto"/>
              <w:bottom w:val="nil"/>
              <w:right w:val="single" w:sz="8" w:space="0" w:color="auto"/>
            </w:tcBorders>
            <w:shd w:val="clear" w:color="auto" w:fill="auto"/>
            <w:vAlign w:val="center"/>
            <w:hideMark/>
          </w:tcPr>
          <w:p w14:paraId="52B04C2D" w14:textId="77777777" w:rsidR="00107491" w:rsidRPr="00107491" w:rsidRDefault="00107491" w:rsidP="00107491">
            <w:pPr>
              <w:rPr>
                <w:rFonts w:ascii="Calibri" w:hAnsi="Calibri" w:cs="Calibri"/>
                <w:color w:val="000000"/>
                <w:sz w:val="18"/>
                <w:szCs w:val="18"/>
                <w:lang w:val="en-US" w:eastAsia="en-US"/>
              </w:rPr>
            </w:pPr>
            <w:r w:rsidRPr="00107491">
              <w:rPr>
                <w:rFonts w:ascii="Calibri" w:hAnsi="Calibri" w:cs="Calibri"/>
                <w:color w:val="000000"/>
                <w:sz w:val="18"/>
                <w:szCs w:val="18"/>
                <w:lang w:val="en-US" w:eastAsia="en-US"/>
              </w:rPr>
              <w:t> </w:t>
            </w:r>
          </w:p>
        </w:tc>
        <w:tc>
          <w:tcPr>
            <w:tcW w:w="381" w:type="pct"/>
            <w:tcBorders>
              <w:top w:val="nil"/>
              <w:left w:val="nil"/>
              <w:bottom w:val="nil"/>
              <w:right w:val="single" w:sz="8" w:space="0" w:color="auto"/>
            </w:tcBorders>
            <w:shd w:val="clear" w:color="auto" w:fill="auto"/>
            <w:vAlign w:val="center"/>
            <w:hideMark/>
          </w:tcPr>
          <w:p w14:paraId="506731A3" w14:textId="77777777" w:rsidR="00107491" w:rsidRPr="00107491" w:rsidRDefault="00107491" w:rsidP="00107491">
            <w:pPr>
              <w:rPr>
                <w:rFonts w:ascii="Calibri" w:hAnsi="Calibri" w:cs="Calibri"/>
                <w:color w:val="000000"/>
                <w:sz w:val="18"/>
                <w:szCs w:val="18"/>
                <w:lang w:val="en-US" w:eastAsia="en-US"/>
              </w:rPr>
            </w:pPr>
            <w:r w:rsidRPr="00107491">
              <w:rPr>
                <w:rFonts w:ascii="Calibri" w:hAnsi="Calibri" w:cs="Calibri"/>
                <w:color w:val="000000"/>
                <w:sz w:val="18"/>
                <w:szCs w:val="18"/>
                <w:lang w:val="en-US" w:eastAsia="en-US"/>
              </w:rPr>
              <w:t> </w:t>
            </w:r>
          </w:p>
        </w:tc>
        <w:tc>
          <w:tcPr>
            <w:tcW w:w="453" w:type="pct"/>
            <w:vMerge/>
            <w:tcBorders>
              <w:top w:val="single" w:sz="8" w:space="0" w:color="auto"/>
              <w:left w:val="single" w:sz="8" w:space="0" w:color="auto"/>
              <w:bottom w:val="double" w:sz="6" w:space="0" w:color="000000"/>
              <w:right w:val="single" w:sz="8" w:space="0" w:color="auto"/>
            </w:tcBorders>
            <w:vAlign w:val="center"/>
            <w:hideMark/>
          </w:tcPr>
          <w:p w14:paraId="21E82B82" w14:textId="77777777" w:rsidR="00107491" w:rsidRPr="00107491" w:rsidRDefault="00107491" w:rsidP="00107491">
            <w:pPr>
              <w:rPr>
                <w:b/>
                <w:bCs/>
                <w:color w:val="000000"/>
                <w:sz w:val="18"/>
                <w:szCs w:val="18"/>
                <w:lang w:val="en-US" w:eastAsia="en-US"/>
              </w:rPr>
            </w:pPr>
          </w:p>
        </w:tc>
        <w:tc>
          <w:tcPr>
            <w:tcW w:w="388" w:type="pct"/>
            <w:vMerge/>
            <w:tcBorders>
              <w:top w:val="single" w:sz="8" w:space="0" w:color="auto"/>
              <w:left w:val="single" w:sz="8" w:space="0" w:color="auto"/>
              <w:bottom w:val="double" w:sz="6" w:space="0" w:color="000000"/>
              <w:right w:val="single" w:sz="8" w:space="0" w:color="auto"/>
            </w:tcBorders>
            <w:vAlign w:val="center"/>
            <w:hideMark/>
          </w:tcPr>
          <w:p w14:paraId="62D9E647" w14:textId="77777777" w:rsidR="00107491" w:rsidRPr="00107491" w:rsidRDefault="00107491" w:rsidP="00107491">
            <w:pPr>
              <w:rPr>
                <w:b/>
                <w:bCs/>
                <w:color w:val="000000"/>
                <w:sz w:val="18"/>
                <w:szCs w:val="18"/>
                <w:lang w:val="en-US" w:eastAsia="en-US"/>
              </w:rPr>
            </w:pPr>
          </w:p>
        </w:tc>
        <w:tc>
          <w:tcPr>
            <w:tcW w:w="258" w:type="pct"/>
            <w:tcBorders>
              <w:top w:val="single" w:sz="8" w:space="0" w:color="auto"/>
              <w:left w:val="nil"/>
              <w:bottom w:val="nil"/>
              <w:right w:val="single" w:sz="8" w:space="0" w:color="auto"/>
            </w:tcBorders>
            <w:shd w:val="clear" w:color="auto" w:fill="auto"/>
            <w:noWrap/>
            <w:vAlign w:val="center"/>
            <w:hideMark/>
          </w:tcPr>
          <w:p w14:paraId="5C6419A4" w14:textId="77777777" w:rsidR="00601D9B" w:rsidRDefault="000E53A0">
            <w:pPr>
              <w:rPr>
                <w:color w:val="000000"/>
                <w:sz w:val="18"/>
                <w:szCs w:val="18"/>
                <w:lang w:val="en-US" w:eastAsia="en-US"/>
              </w:rPr>
            </w:pPr>
            <w:r w:rsidRPr="00107491">
              <w:rPr>
                <w:color w:val="000000"/>
                <w:sz w:val="18"/>
                <w:szCs w:val="18"/>
                <w:lang w:val="en-US" w:eastAsia="en-US"/>
              </w:rPr>
              <w:t>72800</w:t>
            </w:r>
          </w:p>
        </w:tc>
        <w:tc>
          <w:tcPr>
            <w:tcW w:w="458" w:type="pct"/>
            <w:tcBorders>
              <w:top w:val="single" w:sz="8" w:space="0" w:color="auto"/>
              <w:left w:val="nil"/>
              <w:bottom w:val="nil"/>
              <w:right w:val="single" w:sz="8" w:space="0" w:color="auto"/>
            </w:tcBorders>
            <w:shd w:val="clear" w:color="auto" w:fill="auto"/>
            <w:vAlign w:val="center"/>
            <w:hideMark/>
          </w:tcPr>
          <w:p w14:paraId="07389F58" w14:textId="77777777" w:rsidR="00601D9B" w:rsidRPr="000E53A0" w:rsidRDefault="000E53A0">
            <w:pPr>
              <w:rPr>
                <w:color w:val="000000"/>
                <w:sz w:val="18"/>
                <w:szCs w:val="18"/>
                <w:lang w:val="fr-FR" w:eastAsia="en-US"/>
              </w:rPr>
            </w:pPr>
            <w:r w:rsidRPr="000E53A0">
              <w:rPr>
                <w:color w:val="000000"/>
                <w:sz w:val="18"/>
                <w:szCs w:val="18"/>
                <w:lang w:val="fr-FR" w:eastAsia="en-US"/>
              </w:rPr>
              <w:t>Équipements de technologie de l'information</w:t>
            </w:r>
          </w:p>
        </w:tc>
        <w:tc>
          <w:tcPr>
            <w:tcW w:w="254" w:type="pct"/>
            <w:tcBorders>
              <w:top w:val="nil"/>
              <w:left w:val="nil"/>
              <w:bottom w:val="single" w:sz="8" w:space="0" w:color="auto"/>
              <w:right w:val="single" w:sz="8" w:space="0" w:color="auto"/>
            </w:tcBorders>
            <w:shd w:val="clear" w:color="auto" w:fill="auto"/>
            <w:noWrap/>
            <w:vAlign w:val="center"/>
            <w:hideMark/>
          </w:tcPr>
          <w:p w14:paraId="2245A2A0" w14:textId="77777777" w:rsidR="00601D9B" w:rsidRDefault="000E53A0">
            <w:pPr>
              <w:jc w:val="center"/>
              <w:rPr>
                <w:color w:val="000000"/>
                <w:sz w:val="18"/>
                <w:szCs w:val="18"/>
                <w:lang w:val="en-US" w:eastAsia="en-US"/>
              </w:rPr>
            </w:pPr>
            <w:r w:rsidRPr="000E53A0">
              <w:rPr>
                <w:color w:val="000000"/>
                <w:sz w:val="18"/>
                <w:szCs w:val="18"/>
                <w:lang w:val="fr-FR" w:eastAsia="en-US"/>
              </w:rPr>
              <w:t xml:space="preserve">                </w:t>
            </w:r>
            <w:r w:rsidRPr="00107491">
              <w:rPr>
                <w:color w:val="000000"/>
                <w:sz w:val="18"/>
                <w:szCs w:val="18"/>
                <w:lang w:val="en-US" w:eastAsia="en-US"/>
              </w:rPr>
              <w:t xml:space="preserve">6,741 </w:t>
            </w:r>
          </w:p>
        </w:tc>
        <w:tc>
          <w:tcPr>
            <w:tcW w:w="273" w:type="pct"/>
            <w:tcBorders>
              <w:top w:val="nil"/>
              <w:left w:val="nil"/>
              <w:bottom w:val="single" w:sz="8" w:space="0" w:color="auto"/>
              <w:right w:val="single" w:sz="8" w:space="0" w:color="auto"/>
            </w:tcBorders>
            <w:shd w:val="clear" w:color="auto" w:fill="auto"/>
            <w:noWrap/>
            <w:vAlign w:val="center"/>
            <w:hideMark/>
          </w:tcPr>
          <w:p w14:paraId="647C9BAE"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 </w:t>
            </w:r>
          </w:p>
        </w:tc>
        <w:tc>
          <w:tcPr>
            <w:tcW w:w="250" w:type="pct"/>
            <w:tcBorders>
              <w:top w:val="nil"/>
              <w:left w:val="nil"/>
              <w:bottom w:val="single" w:sz="8" w:space="0" w:color="auto"/>
              <w:right w:val="single" w:sz="8" w:space="0" w:color="auto"/>
            </w:tcBorders>
            <w:shd w:val="clear" w:color="auto" w:fill="auto"/>
            <w:noWrap/>
            <w:vAlign w:val="center"/>
            <w:hideMark/>
          </w:tcPr>
          <w:p w14:paraId="1B6D4DF6"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 </w:t>
            </w:r>
          </w:p>
        </w:tc>
        <w:tc>
          <w:tcPr>
            <w:tcW w:w="250" w:type="pct"/>
            <w:tcBorders>
              <w:top w:val="nil"/>
              <w:left w:val="nil"/>
              <w:bottom w:val="single" w:sz="8" w:space="0" w:color="auto"/>
              <w:right w:val="single" w:sz="8" w:space="0" w:color="auto"/>
            </w:tcBorders>
            <w:shd w:val="clear" w:color="auto" w:fill="auto"/>
            <w:noWrap/>
            <w:vAlign w:val="center"/>
            <w:hideMark/>
          </w:tcPr>
          <w:p w14:paraId="4B54917C"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 </w:t>
            </w:r>
          </w:p>
        </w:tc>
        <w:tc>
          <w:tcPr>
            <w:tcW w:w="250" w:type="pct"/>
            <w:tcBorders>
              <w:top w:val="nil"/>
              <w:left w:val="nil"/>
              <w:bottom w:val="single" w:sz="8" w:space="0" w:color="auto"/>
              <w:right w:val="single" w:sz="8" w:space="0" w:color="auto"/>
            </w:tcBorders>
            <w:shd w:val="clear" w:color="auto" w:fill="auto"/>
            <w:noWrap/>
            <w:vAlign w:val="center"/>
            <w:hideMark/>
          </w:tcPr>
          <w:p w14:paraId="065E27F4"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 </w:t>
            </w:r>
          </w:p>
        </w:tc>
        <w:tc>
          <w:tcPr>
            <w:tcW w:w="250" w:type="pct"/>
            <w:tcBorders>
              <w:top w:val="nil"/>
              <w:left w:val="nil"/>
              <w:bottom w:val="single" w:sz="8" w:space="0" w:color="auto"/>
              <w:right w:val="single" w:sz="8" w:space="0" w:color="auto"/>
            </w:tcBorders>
            <w:shd w:val="clear" w:color="auto" w:fill="auto"/>
            <w:noWrap/>
            <w:vAlign w:val="center"/>
            <w:hideMark/>
          </w:tcPr>
          <w:p w14:paraId="652F7050"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 </w:t>
            </w:r>
          </w:p>
        </w:tc>
        <w:tc>
          <w:tcPr>
            <w:tcW w:w="261" w:type="pct"/>
            <w:tcBorders>
              <w:top w:val="nil"/>
              <w:left w:val="nil"/>
              <w:bottom w:val="single" w:sz="8" w:space="0" w:color="auto"/>
              <w:right w:val="single" w:sz="8" w:space="0" w:color="auto"/>
            </w:tcBorders>
            <w:shd w:val="clear" w:color="auto" w:fill="auto"/>
            <w:noWrap/>
            <w:vAlign w:val="center"/>
            <w:hideMark/>
          </w:tcPr>
          <w:p w14:paraId="67F4A180"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6,741 </w:t>
            </w:r>
          </w:p>
        </w:tc>
        <w:tc>
          <w:tcPr>
            <w:tcW w:w="183" w:type="pct"/>
            <w:tcBorders>
              <w:top w:val="nil"/>
              <w:left w:val="nil"/>
              <w:bottom w:val="single" w:sz="8" w:space="0" w:color="auto"/>
              <w:right w:val="single" w:sz="8" w:space="0" w:color="auto"/>
            </w:tcBorders>
            <w:shd w:val="clear" w:color="auto" w:fill="auto"/>
            <w:vAlign w:val="center"/>
            <w:hideMark/>
          </w:tcPr>
          <w:p w14:paraId="2EE48FAE" w14:textId="77777777" w:rsidR="00601D9B" w:rsidRDefault="000E53A0">
            <w:pPr>
              <w:jc w:val="center"/>
              <w:rPr>
                <w:i/>
                <w:iCs/>
                <w:color w:val="000000"/>
                <w:sz w:val="18"/>
                <w:szCs w:val="18"/>
                <w:lang w:val="en-US" w:eastAsia="en-US"/>
              </w:rPr>
            </w:pPr>
            <w:r w:rsidRPr="00107491">
              <w:rPr>
                <w:i/>
                <w:iCs/>
                <w:color w:val="000000"/>
                <w:sz w:val="18"/>
                <w:szCs w:val="18"/>
                <w:lang w:val="en-US" w:eastAsia="en-US"/>
              </w:rPr>
              <w:t>51</w:t>
            </w:r>
          </w:p>
        </w:tc>
        <w:tc>
          <w:tcPr>
            <w:tcW w:w="35" w:type="pct"/>
            <w:vAlign w:val="center"/>
            <w:hideMark/>
          </w:tcPr>
          <w:p w14:paraId="1168DA6F" w14:textId="77777777" w:rsidR="00107491" w:rsidRPr="00107491" w:rsidRDefault="00107491" w:rsidP="00107491">
            <w:pPr>
              <w:rPr>
                <w:sz w:val="20"/>
                <w:szCs w:val="20"/>
                <w:lang w:val="en-US" w:eastAsia="en-US"/>
              </w:rPr>
            </w:pPr>
          </w:p>
        </w:tc>
      </w:tr>
      <w:tr w:rsidR="00107491" w:rsidRPr="00107491" w14:paraId="4166A3C2" w14:textId="77777777" w:rsidTr="00107491">
        <w:trPr>
          <w:trHeight w:val="300"/>
        </w:trPr>
        <w:tc>
          <w:tcPr>
            <w:tcW w:w="1056" w:type="pct"/>
            <w:tcBorders>
              <w:top w:val="nil"/>
              <w:left w:val="single" w:sz="8" w:space="0" w:color="auto"/>
              <w:bottom w:val="nil"/>
              <w:right w:val="single" w:sz="8" w:space="0" w:color="auto"/>
            </w:tcBorders>
            <w:shd w:val="clear" w:color="auto" w:fill="auto"/>
            <w:vAlign w:val="center"/>
            <w:hideMark/>
          </w:tcPr>
          <w:p w14:paraId="0AA80A49" w14:textId="77777777" w:rsidR="00107491" w:rsidRPr="00107491" w:rsidRDefault="00107491" w:rsidP="00107491">
            <w:pPr>
              <w:rPr>
                <w:rFonts w:ascii="Calibri" w:hAnsi="Calibri" w:cs="Calibri"/>
                <w:color w:val="000000"/>
                <w:sz w:val="18"/>
                <w:szCs w:val="18"/>
                <w:lang w:val="en-US" w:eastAsia="en-US"/>
              </w:rPr>
            </w:pPr>
            <w:r w:rsidRPr="00107491">
              <w:rPr>
                <w:rFonts w:ascii="Calibri" w:hAnsi="Calibri" w:cs="Calibri"/>
                <w:color w:val="000000"/>
                <w:sz w:val="18"/>
                <w:szCs w:val="18"/>
                <w:lang w:val="en-US" w:eastAsia="en-US"/>
              </w:rPr>
              <w:t> </w:t>
            </w:r>
          </w:p>
        </w:tc>
        <w:tc>
          <w:tcPr>
            <w:tcW w:w="381" w:type="pct"/>
            <w:tcBorders>
              <w:top w:val="nil"/>
              <w:left w:val="nil"/>
              <w:bottom w:val="nil"/>
              <w:right w:val="single" w:sz="8" w:space="0" w:color="auto"/>
            </w:tcBorders>
            <w:shd w:val="clear" w:color="auto" w:fill="auto"/>
            <w:vAlign w:val="center"/>
            <w:hideMark/>
          </w:tcPr>
          <w:p w14:paraId="6B9F44CB" w14:textId="77777777" w:rsidR="00107491" w:rsidRPr="00107491" w:rsidRDefault="00107491" w:rsidP="00107491">
            <w:pPr>
              <w:rPr>
                <w:rFonts w:ascii="Calibri" w:hAnsi="Calibri" w:cs="Calibri"/>
                <w:color w:val="000000"/>
                <w:sz w:val="18"/>
                <w:szCs w:val="18"/>
                <w:lang w:val="en-US" w:eastAsia="en-US"/>
              </w:rPr>
            </w:pPr>
            <w:r w:rsidRPr="00107491">
              <w:rPr>
                <w:rFonts w:ascii="Calibri" w:hAnsi="Calibri" w:cs="Calibri"/>
                <w:color w:val="000000"/>
                <w:sz w:val="18"/>
                <w:szCs w:val="18"/>
                <w:lang w:val="en-US" w:eastAsia="en-US"/>
              </w:rPr>
              <w:t> </w:t>
            </w:r>
          </w:p>
        </w:tc>
        <w:tc>
          <w:tcPr>
            <w:tcW w:w="453" w:type="pct"/>
            <w:vMerge/>
            <w:tcBorders>
              <w:top w:val="single" w:sz="8" w:space="0" w:color="auto"/>
              <w:left w:val="single" w:sz="8" w:space="0" w:color="auto"/>
              <w:bottom w:val="double" w:sz="6" w:space="0" w:color="000000"/>
              <w:right w:val="single" w:sz="8" w:space="0" w:color="auto"/>
            </w:tcBorders>
            <w:vAlign w:val="center"/>
            <w:hideMark/>
          </w:tcPr>
          <w:p w14:paraId="581F1B60" w14:textId="77777777" w:rsidR="00107491" w:rsidRPr="00107491" w:rsidRDefault="00107491" w:rsidP="00107491">
            <w:pPr>
              <w:rPr>
                <w:b/>
                <w:bCs/>
                <w:color w:val="000000"/>
                <w:sz w:val="18"/>
                <w:szCs w:val="18"/>
                <w:lang w:val="en-US" w:eastAsia="en-US"/>
              </w:rPr>
            </w:pPr>
          </w:p>
        </w:tc>
        <w:tc>
          <w:tcPr>
            <w:tcW w:w="388" w:type="pct"/>
            <w:vMerge/>
            <w:tcBorders>
              <w:top w:val="single" w:sz="8" w:space="0" w:color="auto"/>
              <w:left w:val="single" w:sz="8" w:space="0" w:color="auto"/>
              <w:bottom w:val="double" w:sz="6" w:space="0" w:color="000000"/>
              <w:right w:val="single" w:sz="8" w:space="0" w:color="auto"/>
            </w:tcBorders>
            <w:vAlign w:val="center"/>
            <w:hideMark/>
          </w:tcPr>
          <w:p w14:paraId="3C6A26FD" w14:textId="77777777" w:rsidR="00107491" w:rsidRPr="00107491" w:rsidRDefault="00107491" w:rsidP="00107491">
            <w:pPr>
              <w:rPr>
                <w:b/>
                <w:bCs/>
                <w:color w:val="000000"/>
                <w:sz w:val="18"/>
                <w:szCs w:val="18"/>
                <w:lang w:val="en-US" w:eastAsia="en-US"/>
              </w:rPr>
            </w:pPr>
          </w:p>
        </w:tc>
        <w:tc>
          <w:tcPr>
            <w:tcW w:w="258" w:type="pct"/>
            <w:tcBorders>
              <w:top w:val="single" w:sz="8" w:space="0" w:color="auto"/>
              <w:left w:val="nil"/>
              <w:bottom w:val="nil"/>
              <w:right w:val="single" w:sz="8" w:space="0" w:color="auto"/>
            </w:tcBorders>
            <w:shd w:val="clear" w:color="auto" w:fill="auto"/>
            <w:noWrap/>
            <w:vAlign w:val="center"/>
            <w:hideMark/>
          </w:tcPr>
          <w:p w14:paraId="4F668E14" w14:textId="77777777" w:rsidR="00601D9B" w:rsidRDefault="000E53A0">
            <w:pPr>
              <w:rPr>
                <w:color w:val="000000"/>
                <w:sz w:val="18"/>
                <w:szCs w:val="18"/>
                <w:lang w:val="en-US" w:eastAsia="en-US"/>
              </w:rPr>
            </w:pPr>
            <w:r w:rsidRPr="00107491">
              <w:rPr>
                <w:color w:val="000000"/>
                <w:sz w:val="18"/>
                <w:szCs w:val="18"/>
                <w:lang w:val="en-US" w:eastAsia="en-US"/>
              </w:rPr>
              <w:t>72500</w:t>
            </w:r>
          </w:p>
        </w:tc>
        <w:tc>
          <w:tcPr>
            <w:tcW w:w="458" w:type="pct"/>
            <w:tcBorders>
              <w:top w:val="single" w:sz="8" w:space="0" w:color="auto"/>
              <w:left w:val="nil"/>
              <w:bottom w:val="single" w:sz="8" w:space="0" w:color="auto"/>
              <w:right w:val="single" w:sz="8" w:space="0" w:color="auto"/>
            </w:tcBorders>
            <w:shd w:val="clear" w:color="auto" w:fill="auto"/>
            <w:vAlign w:val="center"/>
            <w:hideMark/>
          </w:tcPr>
          <w:p w14:paraId="2C656AC3" w14:textId="77777777" w:rsidR="00601D9B" w:rsidRDefault="000E53A0">
            <w:pPr>
              <w:rPr>
                <w:color w:val="000000"/>
                <w:sz w:val="18"/>
                <w:szCs w:val="18"/>
                <w:lang w:val="en-US" w:eastAsia="en-US"/>
              </w:rPr>
            </w:pPr>
            <w:r w:rsidRPr="00107491">
              <w:rPr>
                <w:color w:val="000000"/>
                <w:sz w:val="18"/>
                <w:szCs w:val="18"/>
                <w:lang w:val="en-US" w:eastAsia="en-US"/>
              </w:rPr>
              <w:t>Fournitures</w:t>
            </w:r>
          </w:p>
        </w:tc>
        <w:tc>
          <w:tcPr>
            <w:tcW w:w="254" w:type="pct"/>
            <w:tcBorders>
              <w:top w:val="nil"/>
              <w:left w:val="nil"/>
              <w:bottom w:val="single" w:sz="8" w:space="0" w:color="auto"/>
              <w:right w:val="single" w:sz="8" w:space="0" w:color="auto"/>
            </w:tcBorders>
            <w:shd w:val="clear" w:color="auto" w:fill="auto"/>
            <w:noWrap/>
            <w:vAlign w:val="center"/>
            <w:hideMark/>
          </w:tcPr>
          <w:p w14:paraId="49BD77FB"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1,000 </w:t>
            </w:r>
          </w:p>
        </w:tc>
        <w:tc>
          <w:tcPr>
            <w:tcW w:w="273" w:type="pct"/>
            <w:tcBorders>
              <w:top w:val="nil"/>
              <w:left w:val="nil"/>
              <w:bottom w:val="single" w:sz="8" w:space="0" w:color="auto"/>
              <w:right w:val="single" w:sz="8" w:space="0" w:color="auto"/>
            </w:tcBorders>
            <w:shd w:val="clear" w:color="auto" w:fill="auto"/>
            <w:noWrap/>
            <w:vAlign w:val="center"/>
            <w:hideMark/>
          </w:tcPr>
          <w:p w14:paraId="04B0BA6B"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1,000 </w:t>
            </w:r>
          </w:p>
        </w:tc>
        <w:tc>
          <w:tcPr>
            <w:tcW w:w="250" w:type="pct"/>
            <w:tcBorders>
              <w:top w:val="nil"/>
              <w:left w:val="nil"/>
              <w:bottom w:val="single" w:sz="8" w:space="0" w:color="auto"/>
              <w:right w:val="single" w:sz="8" w:space="0" w:color="auto"/>
            </w:tcBorders>
            <w:shd w:val="clear" w:color="auto" w:fill="auto"/>
            <w:noWrap/>
            <w:vAlign w:val="center"/>
            <w:hideMark/>
          </w:tcPr>
          <w:p w14:paraId="0AEC535F"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1,000 </w:t>
            </w:r>
          </w:p>
        </w:tc>
        <w:tc>
          <w:tcPr>
            <w:tcW w:w="250" w:type="pct"/>
            <w:tcBorders>
              <w:top w:val="nil"/>
              <w:left w:val="nil"/>
              <w:bottom w:val="single" w:sz="8" w:space="0" w:color="auto"/>
              <w:right w:val="single" w:sz="8" w:space="0" w:color="auto"/>
            </w:tcBorders>
            <w:shd w:val="clear" w:color="auto" w:fill="auto"/>
            <w:noWrap/>
            <w:vAlign w:val="center"/>
            <w:hideMark/>
          </w:tcPr>
          <w:p w14:paraId="27471557"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1,000 </w:t>
            </w:r>
          </w:p>
        </w:tc>
        <w:tc>
          <w:tcPr>
            <w:tcW w:w="250" w:type="pct"/>
            <w:tcBorders>
              <w:top w:val="nil"/>
              <w:left w:val="nil"/>
              <w:bottom w:val="single" w:sz="8" w:space="0" w:color="auto"/>
              <w:right w:val="single" w:sz="8" w:space="0" w:color="auto"/>
            </w:tcBorders>
            <w:shd w:val="clear" w:color="auto" w:fill="auto"/>
            <w:noWrap/>
            <w:vAlign w:val="center"/>
            <w:hideMark/>
          </w:tcPr>
          <w:p w14:paraId="6D0A7C6D"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1,000 </w:t>
            </w:r>
          </w:p>
        </w:tc>
        <w:tc>
          <w:tcPr>
            <w:tcW w:w="250" w:type="pct"/>
            <w:tcBorders>
              <w:top w:val="nil"/>
              <w:left w:val="nil"/>
              <w:bottom w:val="single" w:sz="8" w:space="0" w:color="auto"/>
              <w:right w:val="single" w:sz="8" w:space="0" w:color="auto"/>
            </w:tcBorders>
            <w:shd w:val="clear" w:color="auto" w:fill="auto"/>
            <w:noWrap/>
            <w:vAlign w:val="center"/>
            <w:hideMark/>
          </w:tcPr>
          <w:p w14:paraId="465448EC"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1,000 </w:t>
            </w:r>
          </w:p>
        </w:tc>
        <w:tc>
          <w:tcPr>
            <w:tcW w:w="261" w:type="pct"/>
            <w:tcBorders>
              <w:top w:val="nil"/>
              <w:left w:val="nil"/>
              <w:bottom w:val="single" w:sz="8" w:space="0" w:color="auto"/>
              <w:right w:val="single" w:sz="8" w:space="0" w:color="auto"/>
            </w:tcBorders>
            <w:shd w:val="clear" w:color="auto" w:fill="auto"/>
            <w:noWrap/>
            <w:vAlign w:val="center"/>
            <w:hideMark/>
          </w:tcPr>
          <w:p w14:paraId="2A7E7228" w14:textId="77777777" w:rsidR="00601D9B" w:rsidRDefault="000E53A0">
            <w:pPr>
              <w:jc w:val="center"/>
              <w:rPr>
                <w:color w:val="000000"/>
                <w:sz w:val="18"/>
                <w:szCs w:val="18"/>
                <w:lang w:val="en-US" w:eastAsia="en-US"/>
              </w:rPr>
            </w:pPr>
            <w:r w:rsidRPr="00107491">
              <w:rPr>
                <w:color w:val="000000"/>
                <w:sz w:val="18"/>
                <w:szCs w:val="18"/>
                <w:lang w:val="en-US" w:eastAsia="en-US"/>
              </w:rPr>
              <w:t xml:space="preserve">                 6,000 </w:t>
            </w:r>
          </w:p>
        </w:tc>
        <w:tc>
          <w:tcPr>
            <w:tcW w:w="183" w:type="pct"/>
            <w:tcBorders>
              <w:top w:val="nil"/>
              <w:left w:val="nil"/>
              <w:bottom w:val="single" w:sz="8" w:space="0" w:color="auto"/>
              <w:right w:val="single" w:sz="8" w:space="0" w:color="auto"/>
            </w:tcBorders>
            <w:shd w:val="clear" w:color="auto" w:fill="auto"/>
            <w:vAlign w:val="center"/>
            <w:hideMark/>
          </w:tcPr>
          <w:p w14:paraId="4FEE3C00" w14:textId="77777777" w:rsidR="00601D9B" w:rsidRDefault="000E53A0">
            <w:pPr>
              <w:jc w:val="center"/>
              <w:rPr>
                <w:i/>
                <w:iCs/>
                <w:color w:val="000000"/>
                <w:sz w:val="18"/>
                <w:szCs w:val="18"/>
                <w:lang w:val="en-US" w:eastAsia="en-US"/>
              </w:rPr>
            </w:pPr>
            <w:r w:rsidRPr="00107491">
              <w:rPr>
                <w:i/>
                <w:iCs/>
                <w:color w:val="000000"/>
                <w:sz w:val="18"/>
                <w:szCs w:val="18"/>
                <w:lang w:val="en-US" w:eastAsia="en-US"/>
              </w:rPr>
              <w:t>52</w:t>
            </w:r>
          </w:p>
        </w:tc>
        <w:tc>
          <w:tcPr>
            <w:tcW w:w="35" w:type="pct"/>
            <w:vAlign w:val="center"/>
            <w:hideMark/>
          </w:tcPr>
          <w:p w14:paraId="0180B32E" w14:textId="77777777" w:rsidR="00107491" w:rsidRPr="00107491" w:rsidRDefault="00107491" w:rsidP="00107491">
            <w:pPr>
              <w:rPr>
                <w:sz w:val="20"/>
                <w:szCs w:val="20"/>
                <w:lang w:val="en-US" w:eastAsia="en-US"/>
              </w:rPr>
            </w:pPr>
          </w:p>
        </w:tc>
      </w:tr>
      <w:tr w:rsidR="00107491" w:rsidRPr="00107491" w14:paraId="12961A03" w14:textId="77777777" w:rsidTr="00107491">
        <w:trPr>
          <w:trHeight w:val="300"/>
        </w:trPr>
        <w:tc>
          <w:tcPr>
            <w:tcW w:w="1056" w:type="pct"/>
            <w:tcBorders>
              <w:top w:val="nil"/>
              <w:left w:val="single" w:sz="8" w:space="0" w:color="auto"/>
              <w:bottom w:val="nil"/>
              <w:right w:val="single" w:sz="8" w:space="0" w:color="auto"/>
            </w:tcBorders>
            <w:shd w:val="clear" w:color="auto" w:fill="auto"/>
            <w:vAlign w:val="center"/>
            <w:hideMark/>
          </w:tcPr>
          <w:p w14:paraId="19A51E39" w14:textId="77777777" w:rsidR="00107491" w:rsidRPr="00107491" w:rsidRDefault="00107491" w:rsidP="00107491">
            <w:pPr>
              <w:rPr>
                <w:rFonts w:ascii="Calibri" w:hAnsi="Calibri" w:cs="Calibri"/>
                <w:color w:val="000000"/>
                <w:sz w:val="18"/>
                <w:szCs w:val="18"/>
                <w:lang w:val="en-US" w:eastAsia="en-US"/>
              </w:rPr>
            </w:pPr>
            <w:r w:rsidRPr="00107491">
              <w:rPr>
                <w:rFonts w:ascii="Calibri" w:hAnsi="Calibri" w:cs="Calibri"/>
                <w:color w:val="000000"/>
                <w:sz w:val="18"/>
                <w:szCs w:val="18"/>
                <w:lang w:val="en-US" w:eastAsia="en-US"/>
              </w:rPr>
              <w:t> </w:t>
            </w:r>
          </w:p>
        </w:tc>
        <w:tc>
          <w:tcPr>
            <w:tcW w:w="381" w:type="pct"/>
            <w:tcBorders>
              <w:top w:val="nil"/>
              <w:left w:val="nil"/>
              <w:bottom w:val="nil"/>
              <w:right w:val="single" w:sz="8" w:space="0" w:color="auto"/>
            </w:tcBorders>
            <w:shd w:val="clear" w:color="auto" w:fill="auto"/>
            <w:vAlign w:val="center"/>
            <w:hideMark/>
          </w:tcPr>
          <w:p w14:paraId="6E85405A" w14:textId="77777777" w:rsidR="00107491" w:rsidRPr="00107491" w:rsidRDefault="00107491" w:rsidP="00107491">
            <w:pPr>
              <w:rPr>
                <w:rFonts w:ascii="Calibri" w:hAnsi="Calibri" w:cs="Calibri"/>
                <w:color w:val="000000"/>
                <w:sz w:val="18"/>
                <w:szCs w:val="18"/>
                <w:lang w:val="en-US" w:eastAsia="en-US"/>
              </w:rPr>
            </w:pPr>
            <w:r w:rsidRPr="00107491">
              <w:rPr>
                <w:rFonts w:ascii="Calibri" w:hAnsi="Calibri" w:cs="Calibri"/>
                <w:color w:val="000000"/>
                <w:sz w:val="18"/>
                <w:szCs w:val="18"/>
                <w:lang w:val="en-US" w:eastAsia="en-US"/>
              </w:rPr>
              <w:t> </w:t>
            </w:r>
          </w:p>
        </w:tc>
        <w:tc>
          <w:tcPr>
            <w:tcW w:w="453" w:type="pct"/>
            <w:vMerge/>
            <w:tcBorders>
              <w:top w:val="single" w:sz="8" w:space="0" w:color="auto"/>
              <w:left w:val="single" w:sz="8" w:space="0" w:color="auto"/>
              <w:bottom w:val="double" w:sz="6" w:space="0" w:color="000000"/>
              <w:right w:val="single" w:sz="8" w:space="0" w:color="auto"/>
            </w:tcBorders>
            <w:vAlign w:val="center"/>
            <w:hideMark/>
          </w:tcPr>
          <w:p w14:paraId="0902C020" w14:textId="77777777" w:rsidR="00107491" w:rsidRPr="00107491" w:rsidRDefault="00107491" w:rsidP="00107491">
            <w:pPr>
              <w:rPr>
                <w:b/>
                <w:bCs/>
                <w:color w:val="000000"/>
                <w:sz w:val="18"/>
                <w:szCs w:val="18"/>
                <w:lang w:val="en-US" w:eastAsia="en-US"/>
              </w:rPr>
            </w:pPr>
          </w:p>
        </w:tc>
        <w:tc>
          <w:tcPr>
            <w:tcW w:w="388" w:type="pct"/>
            <w:vMerge/>
            <w:tcBorders>
              <w:top w:val="single" w:sz="8" w:space="0" w:color="auto"/>
              <w:left w:val="single" w:sz="8" w:space="0" w:color="auto"/>
              <w:bottom w:val="double" w:sz="6" w:space="0" w:color="000000"/>
              <w:right w:val="single" w:sz="8" w:space="0" w:color="auto"/>
            </w:tcBorders>
            <w:vAlign w:val="center"/>
            <w:hideMark/>
          </w:tcPr>
          <w:p w14:paraId="49912FD1" w14:textId="77777777" w:rsidR="00107491" w:rsidRPr="00107491" w:rsidRDefault="00107491" w:rsidP="00107491">
            <w:pPr>
              <w:rPr>
                <w:b/>
                <w:bCs/>
                <w:color w:val="000000"/>
                <w:sz w:val="18"/>
                <w:szCs w:val="18"/>
                <w:lang w:val="en-US" w:eastAsia="en-US"/>
              </w:rPr>
            </w:pPr>
          </w:p>
        </w:tc>
        <w:tc>
          <w:tcPr>
            <w:tcW w:w="258" w:type="pct"/>
            <w:tcBorders>
              <w:top w:val="single" w:sz="8" w:space="0" w:color="auto"/>
              <w:left w:val="nil"/>
              <w:bottom w:val="double" w:sz="6" w:space="0" w:color="auto"/>
              <w:right w:val="single" w:sz="8" w:space="0" w:color="auto"/>
            </w:tcBorders>
            <w:shd w:val="clear" w:color="auto" w:fill="auto"/>
            <w:noWrap/>
            <w:vAlign w:val="center"/>
            <w:hideMark/>
          </w:tcPr>
          <w:p w14:paraId="61E4347F" w14:textId="77777777" w:rsidR="00107491" w:rsidRPr="00107491" w:rsidRDefault="00107491" w:rsidP="00107491">
            <w:pPr>
              <w:jc w:val="center"/>
              <w:rPr>
                <w:color w:val="000000"/>
                <w:sz w:val="18"/>
                <w:szCs w:val="18"/>
                <w:lang w:val="en-US" w:eastAsia="en-US"/>
              </w:rPr>
            </w:pPr>
            <w:r w:rsidRPr="00107491">
              <w:rPr>
                <w:color w:val="000000"/>
                <w:sz w:val="18"/>
                <w:szCs w:val="18"/>
                <w:lang w:val="en-US" w:eastAsia="en-US"/>
              </w:rPr>
              <w:t> </w:t>
            </w:r>
          </w:p>
        </w:tc>
        <w:tc>
          <w:tcPr>
            <w:tcW w:w="458" w:type="pct"/>
            <w:tcBorders>
              <w:top w:val="nil"/>
              <w:left w:val="nil"/>
              <w:bottom w:val="double" w:sz="6" w:space="0" w:color="auto"/>
              <w:right w:val="single" w:sz="8" w:space="0" w:color="auto"/>
            </w:tcBorders>
            <w:shd w:val="clear" w:color="auto" w:fill="auto"/>
            <w:vAlign w:val="center"/>
            <w:hideMark/>
          </w:tcPr>
          <w:p w14:paraId="0ABEE899" w14:textId="77777777" w:rsidR="00601D9B" w:rsidRDefault="000E53A0">
            <w:pPr>
              <w:jc w:val="both"/>
              <w:rPr>
                <w:b/>
                <w:bCs/>
                <w:color w:val="000000"/>
                <w:sz w:val="18"/>
                <w:szCs w:val="18"/>
                <w:lang w:val="en-US" w:eastAsia="en-US"/>
              </w:rPr>
            </w:pPr>
            <w:r w:rsidRPr="00107491">
              <w:rPr>
                <w:b/>
                <w:bCs/>
                <w:color w:val="000000"/>
                <w:sz w:val="18"/>
                <w:szCs w:val="18"/>
                <w:lang w:val="en-US" w:eastAsia="en-US"/>
              </w:rPr>
              <w:t>Sous-total LDCF</w:t>
            </w:r>
          </w:p>
        </w:tc>
        <w:tc>
          <w:tcPr>
            <w:tcW w:w="254" w:type="pct"/>
            <w:tcBorders>
              <w:top w:val="nil"/>
              <w:left w:val="nil"/>
              <w:bottom w:val="double" w:sz="6" w:space="0" w:color="auto"/>
              <w:right w:val="single" w:sz="8" w:space="0" w:color="auto"/>
            </w:tcBorders>
            <w:shd w:val="clear" w:color="auto" w:fill="auto"/>
            <w:noWrap/>
            <w:vAlign w:val="center"/>
            <w:hideMark/>
          </w:tcPr>
          <w:p w14:paraId="58EDDDBE"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 xml:space="preserve">              44,241 </w:t>
            </w:r>
          </w:p>
        </w:tc>
        <w:tc>
          <w:tcPr>
            <w:tcW w:w="273" w:type="pct"/>
            <w:tcBorders>
              <w:top w:val="nil"/>
              <w:left w:val="nil"/>
              <w:bottom w:val="double" w:sz="6" w:space="0" w:color="auto"/>
              <w:right w:val="single" w:sz="8" w:space="0" w:color="auto"/>
            </w:tcBorders>
            <w:shd w:val="clear" w:color="auto" w:fill="auto"/>
            <w:noWrap/>
            <w:vAlign w:val="center"/>
            <w:hideMark/>
          </w:tcPr>
          <w:p w14:paraId="3860A9A6"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 xml:space="preserve">                37,500 </w:t>
            </w:r>
          </w:p>
        </w:tc>
        <w:tc>
          <w:tcPr>
            <w:tcW w:w="250" w:type="pct"/>
            <w:tcBorders>
              <w:top w:val="nil"/>
              <w:left w:val="nil"/>
              <w:bottom w:val="double" w:sz="6" w:space="0" w:color="auto"/>
              <w:right w:val="single" w:sz="8" w:space="0" w:color="auto"/>
            </w:tcBorders>
            <w:shd w:val="clear" w:color="auto" w:fill="auto"/>
            <w:noWrap/>
            <w:vAlign w:val="center"/>
            <w:hideMark/>
          </w:tcPr>
          <w:p w14:paraId="6F592729"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 xml:space="preserve">              37,500 </w:t>
            </w:r>
          </w:p>
        </w:tc>
        <w:tc>
          <w:tcPr>
            <w:tcW w:w="250" w:type="pct"/>
            <w:tcBorders>
              <w:top w:val="nil"/>
              <w:left w:val="nil"/>
              <w:bottom w:val="double" w:sz="6" w:space="0" w:color="auto"/>
              <w:right w:val="single" w:sz="8" w:space="0" w:color="auto"/>
            </w:tcBorders>
            <w:shd w:val="clear" w:color="auto" w:fill="auto"/>
            <w:noWrap/>
            <w:vAlign w:val="center"/>
            <w:hideMark/>
          </w:tcPr>
          <w:p w14:paraId="4A403246"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 xml:space="preserve">              37,500 </w:t>
            </w:r>
          </w:p>
        </w:tc>
        <w:tc>
          <w:tcPr>
            <w:tcW w:w="250" w:type="pct"/>
            <w:tcBorders>
              <w:top w:val="nil"/>
              <w:left w:val="nil"/>
              <w:bottom w:val="double" w:sz="6" w:space="0" w:color="auto"/>
              <w:right w:val="single" w:sz="8" w:space="0" w:color="auto"/>
            </w:tcBorders>
            <w:shd w:val="clear" w:color="auto" w:fill="auto"/>
            <w:noWrap/>
            <w:vAlign w:val="center"/>
            <w:hideMark/>
          </w:tcPr>
          <w:p w14:paraId="1BD5944E"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 xml:space="preserve">              37,500 </w:t>
            </w:r>
          </w:p>
        </w:tc>
        <w:tc>
          <w:tcPr>
            <w:tcW w:w="250" w:type="pct"/>
            <w:tcBorders>
              <w:top w:val="nil"/>
              <w:left w:val="nil"/>
              <w:bottom w:val="double" w:sz="6" w:space="0" w:color="auto"/>
              <w:right w:val="single" w:sz="8" w:space="0" w:color="auto"/>
            </w:tcBorders>
            <w:shd w:val="clear" w:color="auto" w:fill="auto"/>
            <w:noWrap/>
            <w:vAlign w:val="center"/>
            <w:hideMark/>
          </w:tcPr>
          <w:p w14:paraId="6BA724E3"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 xml:space="preserve">              37,500 </w:t>
            </w:r>
          </w:p>
        </w:tc>
        <w:tc>
          <w:tcPr>
            <w:tcW w:w="261" w:type="pct"/>
            <w:tcBorders>
              <w:top w:val="nil"/>
              <w:left w:val="nil"/>
              <w:bottom w:val="double" w:sz="6" w:space="0" w:color="auto"/>
              <w:right w:val="single" w:sz="8" w:space="0" w:color="auto"/>
            </w:tcBorders>
            <w:shd w:val="clear" w:color="auto" w:fill="auto"/>
            <w:noWrap/>
            <w:vAlign w:val="center"/>
            <w:hideMark/>
          </w:tcPr>
          <w:p w14:paraId="063F0D48"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 xml:space="preserve">             231,741 </w:t>
            </w:r>
          </w:p>
        </w:tc>
        <w:tc>
          <w:tcPr>
            <w:tcW w:w="183" w:type="pct"/>
            <w:tcBorders>
              <w:top w:val="nil"/>
              <w:left w:val="nil"/>
              <w:bottom w:val="double" w:sz="6" w:space="0" w:color="auto"/>
              <w:right w:val="single" w:sz="8" w:space="0" w:color="auto"/>
            </w:tcBorders>
            <w:shd w:val="clear" w:color="auto" w:fill="auto"/>
            <w:vAlign w:val="center"/>
            <w:hideMark/>
          </w:tcPr>
          <w:p w14:paraId="3BED3D87" w14:textId="77777777" w:rsidR="00107491" w:rsidRPr="00107491" w:rsidRDefault="00107491" w:rsidP="00107491">
            <w:pPr>
              <w:jc w:val="center"/>
              <w:rPr>
                <w:i/>
                <w:iCs/>
                <w:color w:val="000000"/>
                <w:sz w:val="18"/>
                <w:szCs w:val="18"/>
                <w:lang w:val="en-US" w:eastAsia="en-US"/>
              </w:rPr>
            </w:pPr>
            <w:r w:rsidRPr="00107491">
              <w:rPr>
                <w:i/>
                <w:iCs/>
                <w:color w:val="000000"/>
                <w:sz w:val="18"/>
                <w:szCs w:val="18"/>
                <w:lang w:val="en-US" w:eastAsia="en-US"/>
              </w:rPr>
              <w:t> </w:t>
            </w:r>
          </w:p>
        </w:tc>
        <w:tc>
          <w:tcPr>
            <w:tcW w:w="35" w:type="pct"/>
            <w:vAlign w:val="center"/>
            <w:hideMark/>
          </w:tcPr>
          <w:p w14:paraId="175E2AA1" w14:textId="77777777" w:rsidR="00107491" w:rsidRPr="00107491" w:rsidRDefault="00107491" w:rsidP="00107491">
            <w:pPr>
              <w:rPr>
                <w:sz w:val="20"/>
                <w:szCs w:val="20"/>
                <w:lang w:val="en-US" w:eastAsia="en-US"/>
              </w:rPr>
            </w:pPr>
          </w:p>
        </w:tc>
      </w:tr>
      <w:tr w:rsidR="00107491" w:rsidRPr="00107491" w14:paraId="58C3E74E" w14:textId="77777777" w:rsidTr="00107491">
        <w:trPr>
          <w:trHeight w:val="300"/>
        </w:trPr>
        <w:tc>
          <w:tcPr>
            <w:tcW w:w="1056" w:type="pct"/>
            <w:tcBorders>
              <w:top w:val="nil"/>
              <w:left w:val="single" w:sz="8" w:space="0" w:color="auto"/>
              <w:bottom w:val="nil"/>
              <w:right w:val="single" w:sz="8" w:space="0" w:color="auto"/>
            </w:tcBorders>
            <w:shd w:val="clear" w:color="auto" w:fill="auto"/>
            <w:vAlign w:val="center"/>
            <w:hideMark/>
          </w:tcPr>
          <w:p w14:paraId="2370AF6C" w14:textId="77777777" w:rsidR="00107491" w:rsidRPr="00107491" w:rsidRDefault="00107491" w:rsidP="00107491">
            <w:pPr>
              <w:rPr>
                <w:rFonts w:ascii="Calibri" w:hAnsi="Calibri" w:cs="Calibri"/>
                <w:color w:val="000000"/>
                <w:sz w:val="18"/>
                <w:szCs w:val="18"/>
                <w:lang w:val="en-US" w:eastAsia="en-US"/>
              </w:rPr>
            </w:pPr>
            <w:r w:rsidRPr="00107491">
              <w:rPr>
                <w:rFonts w:ascii="Calibri" w:hAnsi="Calibri" w:cs="Calibri"/>
                <w:color w:val="000000"/>
                <w:sz w:val="18"/>
                <w:szCs w:val="18"/>
                <w:lang w:val="en-US" w:eastAsia="en-US"/>
              </w:rPr>
              <w:t> </w:t>
            </w:r>
          </w:p>
        </w:tc>
        <w:tc>
          <w:tcPr>
            <w:tcW w:w="381" w:type="pct"/>
            <w:tcBorders>
              <w:top w:val="nil"/>
              <w:left w:val="nil"/>
              <w:bottom w:val="nil"/>
              <w:right w:val="single" w:sz="8" w:space="0" w:color="auto"/>
            </w:tcBorders>
            <w:shd w:val="clear" w:color="auto" w:fill="auto"/>
            <w:vAlign w:val="center"/>
            <w:hideMark/>
          </w:tcPr>
          <w:p w14:paraId="35067CE7" w14:textId="77777777" w:rsidR="00107491" w:rsidRPr="00107491" w:rsidRDefault="00107491" w:rsidP="00107491">
            <w:pPr>
              <w:rPr>
                <w:rFonts w:ascii="Calibri" w:hAnsi="Calibri" w:cs="Calibri"/>
                <w:color w:val="000000"/>
                <w:sz w:val="18"/>
                <w:szCs w:val="18"/>
                <w:lang w:val="en-US" w:eastAsia="en-US"/>
              </w:rPr>
            </w:pPr>
            <w:r w:rsidRPr="00107491">
              <w:rPr>
                <w:rFonts w:ascii="Calibri" w:hAnsi="Calibri" w:cs="Calibri"/>
                <w:color w:val="000000"/>
                <w:sz w:val="18"/>
                <w:szCs w:val="18"/>
                <w:lang w:val="en-US" w:eastAsia="en-US"/>
              </w:rPr>
              <w:t> </w:t>
            </w:r>
          </w:p>
        </w:tc>
        <w:tc>
          <w:tcPr>
            <w:tcW w:w="453" w:type="pct"/>
            <w:tcBorders>
              <w:top w:val="nil"/>
              <w:left w:val="nil"/>
              <w:bottom w:val="double" w:sz="6" w:space="0" w:color="auto"/>
              <w:right w:val="single" w:sz="8" w:space="0" w:color="auto"/>
            </w:tcBorders>
            <w:shd w:val="clear" w:color="auto" w:fill="auto"/>
            <w:vAlign w:val="center"/>
            <w:hideMark/>
          </w:tcPr>
          <w:p w14:paraId="54F28C5F" w14:textId="77777777" w:rsidR="00107491" w:rsidRPr="00107491" w:rsidRDefault="00107491" w:rsidP="00107491">
            <w:pPr>
              <w:jc w:val="both"/>
              <w:rPr>
                <w:b/>
                <w:bCs/>
                <w:color w:val="000000"/>
                <w:sz w:val="18"/>
                <w:szCs w:val="18"/>
                <w:lang w:val="en-US" w:eastAsia="en-US"/>
              </w:rPr>
            </w:pPr>
            <w:r w:rsidRPr="00107491">
              <w:rPr>
                <w:b/>
                <w:bCs/>
                <w:color w:val="000000"/>
                <w:sz w:val="18"/>
                <w:szCs w:val="18"/>
                <w:lang w:val="en-US" w:eastAsia="en-US"/>
              </w:rPr>
              <w:t> </w:t>
            </w:r>
          </w:p>
        </w:tc>
        <w:tc>
          <w:tcPr>
            <w:tcW w:w="388" w:type="pct"/>
            <w:tcBorders>
              <w:top w:val="nil"/>
              <w:left w:val="nil"/>
              <w:bottom w:val="double" w:sz="6" w:space="0" w:color="auto"/>
              <w:right w:val="single" w:sz="8" w:space="0" w:color="auto"/>
            </w:tcBorders>
            <w:shd w:val="clear" w:color="auto" w:fill="auto"/>
            <w:vAlign w:val="center"/>
            <w:hideMark/>
          </w:tcPr>
          <w:p w14:paraId="78000C46" w14:textId="77777777" w:rsidR="00107491" w:rsidRPr="00107491" w:rsidRDefault="00107491" w:rsidP="00107491">
            <w:pPr>
              <w:jc w:val="both"/>
              <w:rPr>
                <w:b/>
                <w:bCs/>
                <w:color w:val="000000"/>
                <w:sz w:val="18"/>
                <w:szCs w:val="18"/>
                <w:lang w:val="en-US" w:eastAsia="en-US"/>
              </w:rPr>
            </w:pPr>
            <w:r w:rsidRPr="00107491">
              <w:rPr>
                <w:b/>
                <w:bCs/>
                <w:color w:val="000000"/>
                <w:sz w:val="18"/>
                <w:szCs w:val="18"/>
                <w:lang w:val="en-US" w:eastAsia="en-US"/>
              </w:rPr>
              <w:t> </w:t>
            </w:r>
          </w:p>
        </w:tc>
        <w:tc>
          <w:tcPr>
            <w:tcW w:w="258" w:type="pct"/>
            <w:tcBorders>
              <w:top w:val="nil"/>
              <w:left w:val="nil"/>
              <w:bottom w:val="double" w:sz="6" w:space="0" w:color="auto"/>
              <w:right w:val="single" w:sz="8" w:space="0" w:color="auto"/>
            </w:tcBorders>
            <w:shd w:val="clear" w:color="auto" w:fill="auto"/>
            <w:noWrap/>
            <w:vAlign w:val="center"/>
            <w:hideMark/>
          </w:tcPr>
          <w:p w14:paraId="34E3CB9F" w14:textId="77777777" w:rsidR="00107491" w:rsidRPr="00107491" w:rsidRDefault="00107491" w:rsidP="00107491">
            <w:pPr>
              <w:jc w:val="center"/>
              <w:rPr>
                <w:color w:val="000000"/>
                <w:sz w:val="18"/>
                <w:szCs w:val="18"/>
                <w:lang w:val="en-US" w:eastAsia="en-US"/>
              </w:rPr>
            </w:pPr>
            <w:r w:rsidRPr="00107491">
              <w:rPr>
                <w:color w:val="000000"/>
                <w:sz w:val="18"/>
                <w:szCs w:val="18"/>
                <w:lang w:val="en-US" w:eastAsia="en-US"/>
              </w:rPr>
              <w:t> </w:t>
            </w:r>
          </w:p>
        </w:tc>
        <w:tc>
          <w:tcPr>
            <w:tcW w:w="458" w:type="pct"/>
            <w:tcBorders>
              <w:top w:val="nil"/>
              <w:left w:val="nil"/>
              <w:bottom w:val="double" w:sz="6" w:space="0" w:color="auto"/>
              <w:right w:val="single" w:sz="8" w:space="0" w:color="auto"/>
            </w:tcBorders>
            <w:shd w:val="clear" w:color="auto" w:fill="auto"/>
            <w:vAlign w:val="center"/>
            <w:hideMark/>
          </w:tcPr>
          <w:p w14:paraId="220765B6" w14:textId="77777777" w:rsidR="00601D9B" w:rsidRDefault="000E53A0">
            <w:pPr>
              <w:jc w:val="both"/>
              <w:rPr>
                <w:b/>
                <w:bCs/>
                <w:color w:val="000000"/>
                <w:sz w:val="18"/>
                <w:szCs w:val="18"/>
                <w:lang w:val="en-US" w:eastAsia="en-US"/>
              </w:rPr>
            </w:pPr>
            <w:r w:rsidRPr="00107491">
              <w:rPr>
                <w:b/>
                <w:bCs/>
                <w:color w:val="000000"/>
                <w:sz w:val="18"/>
                <w:szCs w:val="18"/>
                <w:lang w:val="en-US" w:eastAsia="en-US"/>
              </w:rPr>
              <w:t>Gestion totale du projet</w:t>
            </w:r>
          </w:p>
        </w:tc>
        <w:tc>
          <w:tcPr>
            <w:tcW w:w="254" w:type="pct"/>
            <w:tcBorders>
              <w:top w:val="nil"/>
              <w:left w:val="nil"/>
              <w:bottom w:val="double" w:sz="6" w:space="0" w:color="auto"/>
              <w:right w:val="single" w:sz="8" w:space="0" w:color="auto"/>
            </w:tcBorders>
            <w:shd w:val="clear" w:color="auto" w:fill="auto"/>
            <w:noWrap/>
            <w:vAlign w:val="center"/>
            <w:hideMark/>
          </w:tcPr>
          <w:p w14:paraId="10D5AD85"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 xml:space="preserve">              65,241 </w:t>
            </w:r>
          </w:p>
        </w:tc>
        <w:tc>
          <w:tcPr>
            <w:tcW w:w="273" w:type="pct"/>
            <w:tcBorders>
              <w:top w:val="nil"/>
              <w:left w:val="nil"/>
              <w:bottom w:val="double" w:sz="6" w:space="0" w:color="auto"/>
              <w:right w:val="single" w:sz="8" w:space="0" w:color="auto"/>
            </w:tcBorders>
            <w:shd w:val="clear" w:color="auto" w:fill="auto"/>
            <w:noWrap/>
            <w:vAlign w:val="center"/>
            <w:hideMark/>
          </w:tcPr>
          <w:p w14:paraId="706E75D8"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 xml:space="preserve">                58,500 </w:t>
            </w:r>
          </w:p>
        </w:tc>
        <w:tc>
          <w:tcPr>
            <w:tcW w:w="250" w:type="pct"/>
            <w:tcBorders>
              <w:top w:val="nil"/>
              <w:left w:val="nil"/>
              <w:bottom w:val="double" w:sz="6" w:space="0" w:color="auto"/>
              <w:right w:val="single" w:sz="8" w:space="0" w:color="auto"/>
            </w:tcBorders>
            <w:shd w:val="clear" w:color="auto" w:fill="auto"/>
            <w:noWrap/>
            <w:vAlign w:val="center"/>
            <w:hideMark/>
          </w:tcPr>
          <w:p w14:paraId="58ABD7F4"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 xml:space="preserve">              58,500 </w:t>
            </w:r>
          </w:p>
        </w:tc>
        <w:tc>
          <w:tcPr>
            <w:tcW w:w="250" w:type="pct"/>
            <w:tcBorders>
              <w:top w:val="nil"/>
              <w:left w:val="nil"/>
              <w:bottom w:val="double" w:sz="6" w:space="0" w:color="auto"/>
              <w:right w:val="single" w:sz="8" w:space="0" w:color="auto"/>
            </w:tcBorders>
            <w:shd w:val="clear" w:color="auto" w:fill="auto"/>
            <w:noWrap/>
            <w:vAlign w:val="center"/>
            <w:hideMark/>
          </w:tcPr>
          <w:p w14:paraId="5388887A"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 xml:space="preserve">              58,500 </w:t>
            </w:r>
          </w:p>
        </w:tc>
        <w:tc>
          <w:tcPr>
            <w:tcW w:w="250" w:type="pct"/>
            <w:tcBorders>
              <w:top w:val="nil"/>
              <w:left w:val="nil"/>
              <w:bottom w:val="double" w:sz="6" w:space="0" w:color="auto"/>
              <w:right w:val="single" w:sz="8" w:space="0" w:color="auto"/>
            </w:tcBorders>
            <w:shd w:val="clear" w:color="auto" w:fill="auto"/>
            <w:noWrap/>
            <w:vAlign w:val="center"/>
            <w:hideMark/>
          </w:tcPr>
          <w:p w14:paraId="37E88C2F"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 xml:space="preserve">              58,500 </w:t>
            </w:r>
          </w:p>
        </w:tc>
        <w:tc>
          <w:tcPr>
            <w:tcW w:w="250" w:type="pct"/>
            <w:tcBorders>
              <w:top w:val="nil"/>
              <w:left w:val="nil"/>
              <w:bottom w:val="double" w:sz="6" w:space="0" w:color="auto"/>
              <w:right w:val="single" w:sz="8" w:space="0" w:color="auto"/>
            </w:tcBorders>
            <w:shd w:val="clear" w:color="auto" w:fill="auto"/>
            <w:noWrap/>
            <w:vAlign w:val="center"/>
            <w:hideMark/>
          </w:tcPr>
          <w:p w14:paraId="6F56B512"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 xml:space="preserve">              58,500 </w:t>
            </w:r>
          </w:p>
        </w:tc>
        <w:tc>
          <w:tcPr>
            <w:tcW w:w="261" w:type="pct"/>
            <w:tcBorders>
              <w:top w:val="nil"/>
              <w:left w:val="nil"/>
              <w:bottom w:val="double" w:sz="6" w:space="0" w:color="auto"/>
              <w:right w:val="single" w:sz="8" w:space="0" w:color="auto"/>
            </w:tcBorders>
            <w:shd w:val="clear" w:color="auto" w:fill="auto"/>
            <w:noWrap/>
            <w:vAlign w:val="center"/>
            <w:hideMark/>
          </w:tcPr>
          <w:p w14:paraId="6C6D771C"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 xml:space="preserve">             357,741 </w:t>
            </w:r>
          </w:p>
        </w:tc>
        <w:tc>
          <w:tcPr>
            <w:tcW w:w="183" w:type="pct"/>
            <w:tcBorders>
              <w:top w:val="nil"/>
              <w:left w:val="nil"/>
              <w:bottom w:val="double" w:sz="6" w:space="0" w:color="auto"/>
              <w:right w:val="single" w:sz="8" w:space="0" w:color="auto"/>
            </w:tcBorders>
            <w:shd w:val="clear" w:color="auto" w:fill="auto"/>
            <w:vAlign w:val="center"/>
            <w:hideMark/>
          </w:tcPr>
          <w:p w14:paraId="3E7F6BE0" w14:textId="77777777" w:rsidR="00107491" w:rsidRPr="00107491" w:rsidRDefault="00107491" w:rsidP="00107491">
            <w:pPr>
              <w:jc w:val="center"/>
              <w:rPr>
                <w:i/>
                <w:iCs/>
                <w:color w:val="000000"/>
                <w:sz w:val="18"/>
                <w:szCs w:val="18"/>
                <w:lang w:val="en-US" w:eastAsia="en-US"/>
              </w:rPr>
            </w:pPr>
            <w:r w:rsidRPr="00107491">
              <w:rPr>
                <w:i/>
                <w:iCs/>
                <w:color w:val="000000"/>
                <w:sz w:val="18"/>
                <w:szCs w:val="18"/>
                <w:lang w:val="en-US" w:eastAsia="en-US"/>
              </w:rPr>
              <w:t> </w:t>
            </w:r>
          </w:p>
        </w:tc>
        <w:tc>
          <w:tcPr>
            <w:tcW w:w="35" w:type="pct"/>
            <w:vAlign w:val="center"/>
            <w:hideMark/>
          </w:tcPr>
          <w:p w14:paraId="395A5036" w14:textId="77777777" w:rsidR="00107491" w:rsidRPr="00107491" w:rsidRDefault="00107491" w:rsidP="00107491">
            <w:pPr>
              <w:rPr>
                <w:sz w:val="20"/>
                <w:szCs w:val="20"/>
                <w:lang w:val="en-US" w:eastAsia="en-US"/>
              </w:rPr>
            </w:pPr>
          </w:p>
        </w:tc>
      </w:tr>
      <w:tr w:rsidR="00107491" w:rsidRPr="00107491" w14:paraId="2C85A57E" w14:textId="77777777" w:rsidTr="00107491">
        <w:trPr>
          <w:trHeight w:val="300"/>
        </w:trPr>
        <w:tc>
          <w:tcPr>
            <w:tcW w:w="1056" w:type="pct"/>
            <w:tcBorders>
              <w:top w:val="double" w:sz="6" w:space="0" w:color="auto"/>
              <w:left w:val="single" w:sz="8" w:space="0" w:color="auto"/>
              <w:bottom w:val="double" w:sz="6" w:space="0" w:color="auto"/>
              <w:right w:val="nil"/>
            </w:tcBorders>
            <w:shd w:val="clear" w:color="auto" w:fill="auto"/>
            <w:vAlign w:val="center"/>
            <w:hideMark/>
          </w:tcPr>
          <w:p w14:paraId="6E8D844F" w14:textId="77777777" w:rsidR="00107491" w:rsidRPr="00107491" w:rsidRDefault="00107491" w:rsidP="00107491">
            <w:pPr>
              <w:jc w:val="both"/>
              <w:rPr>
                <w:b/>
                <w:bCs/>
                <w:color w:val="000000"/>
                <w:sz w:val="18"/>
                <w:szCs w:val="18"/>
                <w:lang w:val="en-US" w:eastAsia="en-US"/>
              </w:rPr>
            </w:pPr>
            <w:r w:rsidRPr="00107491">
              <w:rPr>
                <w:b/>
                <w:bCs/>
                <w:color w:val="000000"/>
                <w:sz w:val="18"/>
                <w:szCs w:val="18"/>
                <w:lang w:val="en-US" w:eastAsia="en-US"/>
              </w:rPr>
              <w:t xml:space="preserve"> </w:t>
            </w:r>
          </w:p>
        </w:tc>
        <w:tc>
          <w:tcPr>
            <w:tcW w:w="381" w:type="pct"/>
            <w:tcBorders>
              <w:top w:val="double" w:sz="6" w:space="0" w:color="auto"/>
              <w:left w:val="nil"/>
              <w:bottom w:val="double" w:sz="6" w:space="0" w:color="auto"/>
              <w:right w:val="nil"/>
            </w:tcBorders>
            <w:shd w:val="clear" w:color="auto" w:fill="auto"/>
            <w:vAlign w:val="center"/>
            <w:hideMark/>
          </w:tcPr>
          <w:p w14:paraId="4619B6E5" w14:textId="77777777" w:rsidR="00107491" w:rsidRPr="00107491" w:rsidRDefault="00107491" w:rsidP="00107491">
            <w:pPr>
              <w:jc w:val="both"/>
              <w:rPr>
                <w:b/>
                <w:bCs/>
                <w:color w:val="000000"/>
                <w:sz w:val="18"/>
                <w:szCs w:val="18"/>
                <w:lang w:val="en-US" w:eastAsia="en-US"/>
              </w:rPr>
            </w:pPr>
            <w:r w:rsidRPr="00107491">
              <w:rPr>
                <w:b/>
                <w:bCs/>
                <w:color w:val="000000"/>
                <w:sz w:val="18"/>
                <w:szCs w:val="18"/>
                <w:lang w:val="en-US" w:eastAsia="en-US"/>
              </w:rPr>
              <w:t> </w:t>
            </w:r>
          </w:p>
        </w:tc>
        <w:tc>
          <w:tcPr>
            <w:tcW w:w="453" w:type="pct"/>
            <w:tcBorders>
              <w:top w:val="nil"/>
              <w:left w:val="nil"/>
              <w:bottom w:val="double" w:sz="6" w:space="0" w:color="auto"/>
              <w:right w:val="nil"/>
            </w:tcBorders>
            <w:shd w:val="clear" w:color="auto" w:fill="auto"/>
            <w:vAlign w:val="center"/>
            <w:hideMark/>
          </w:tcPr>
          <w:p w14:paraId="638A541E" w14:textId="77777777" w:rsidR="00107491" w:rsidRPr="00107491" w:rsidRDefault="00107491" w:rsidP="00107491">
            <w:pPr>
              <w:jc w:val="both"/>
              <w:rPr>
                <w:b/>
                <w:bCs/>
                <w:color w:val="000000"/>
                <w:sz w:val="18"/>
                <w:szCs w:val="18"/>
                <w:lang w:val="en-US" w:eastAsia="en-US"/>
              </w:rPr>
            </w:pPr>
            <w:r w:rsidRPr="00107491">
              <w:rPr>
                <w:b/>
                <w:bCs/>
                <w:color w:val="000000"/>
                <w:sz w:val="18"/>
                <w:szCs w:val="18"/>
                <w:lang w:val="en-US" w:eastAsia="en-US"/>
              </w:rPr>
              <w:t> </w:t>
            </w:r>
          </w:p>
        </w:tc>
        <w:tc>
          <w:tcPr>
            <w:tcW w:w="388" w:type="pct"/>
            <w:tcBorders>
              <w:top w:val="nil"/>
              <w:left w:val="nil"/>
              <w:bottom w:val="double" w:sz="6" w:space="0" w:color="auto"/>
              <w:right w:val="nil"/>
            </w:tcBorders>
            <w:shd w:val="clear" w:color="auto" w:fill="auto"/>
            <w:vAlign w:val="center"/>
            <w:hideMark/>
          </w:tcPr>
          <w:p w14:paraId="4CC9F670" w14:textId="77777777" w:rsidR="00107491" w:rsidRPr="00107491" w:rsidRDefault="00107491" w:rsidP="00107491">
            <w:pPr>
              <w:jc w:val="both"/>
              <w:rPr>
                <w:b/>
                <w:bCs/>
                <w:color w:val="000000"/>
                <w:sz w:val="18"/>
                <w:szCs w:val="18"/>
                <w:lang w:val="en-US" w:eastAsia="en-US"/>
              </w:rPr>
            </w:pPr>
            <w:r w:rsidRPr="00107491">
              <w:rPr>
                <w:b/>
                <w:bCs/>
                <w:color w:val="000000"/>
                <w:sz w:val="18"/>
                <w:szCs w:val="18"/>
                <w:lang w:val="en-US" w:eastAsia="en-US"/>
              </w:rPr>
              <w:t> </w:t>
            </w:r>
          </w:p>
        </w:tc>
        <w:tc>
          <w:tcPr>
            <w:tcW w:w="716" w:type="pct"/>
            <w:gridSpan w:val="2"/>
            <w:tcBorders>
              <w:top w:val="double" w:sz="6" w:space="0" w:color="auto"/>
              <w:left w:val="nil"/>
              <w:bottom w:val="double" w:sz="6" w:space="0" w:color="auto"/>
              <w:right w:val="single" w:sz="8" w:space="0" w:color="000000"/>
            </w:tcBorders>
            <w:shd w:val="clear" w:color="auto" w:fill="auto"/>
            <w:noWrap/>
            <w:vAlign w:val="center"/>
            <w:hideMark/>
          </w:tcPr>
          <w:p w14:paraId="7B0003F8" w14:textId="77777777" w:rsidR="00601D9B" w:rsidRDefault="000E53A0">
            <w:pPr>
              <w:jc w:val="right"/>
              <w:rPr>
                <w:b/>
                <w:bCs/>
                <w:color w:val="000000"/>
                <w:sz w:val="18"/>
                <w:szCs w:val="18"/>
                <w:lang w:val="en-US" w:eastAsia="en-US"/>
              </w:rPr>
            </w:pPr>
            <w:r w:rsidRPr="00107491">
              <w:rPr>
                <w:b/>
                <w:bCs/>
                <w:color w:val="000000"/>
                <w:sz w:val="18"/>
                <w:szCs w:val="18"/>
                <w:lang w:val="en-US" w:eastAsia="en-US"/>
              </w:rPr>
              <w:t>SOUS-TOTAL FEM</w:t>
            </w:r>
          </w:p>
        </w:tc>
        <w:tc>
          <w:tcPr>
            <w:tcW w:w="254" w:type="pct"/>
            <w:tcBorders>
              <w:top w:val="nil"/>
              <w:left w:val="nil"/>
              <w:bottom w:val="double" w:sz="6" w:space="0" w:color="auto"/>
              <w:right w:val="single" w:sz="8" w:space="0" w:color="auto"/>
            </w:tcBorders>
            <w:shd w:val="clear" w:color="auto" w:fill="auto"/>
            <w:noWrap/>
            <w:vAlign w:val="center"/>
            <w:hideMark/>
          </w:tcPr>
          <w:p w14:paraId="4AA546C4"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 xml:space="preserve">            337,776 </w:t>
            </w:r>
          </w:p>
        </w:tc>
        <w:tc>
          <w:tcPr>
            <w:tcW w:w="273" w:type="pct"/>
            <w:tcBorders>
              <w:top w:val="nil"/>
              <w:left w:val="nil"/>
              <w:bottom w:val="double" w:sz="6" w:space="0" w:color="auto"/>
              <w:right w:val="single" w:sz="8" w:space="0" w:color="auto"/>
            </w:tcBorders>
            <w:shd w:val="clear" w:color="auto" w:fill="auto"/>
            <w:noWrap/>
            <w:vAlign w:val="center"/>
            <w:hideMark/>
          </w:tcPr>
          <w:p w14:paraId="4198A8D7"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 xml:space="preserve">               524,025 </w:t>
            </w:r>
          </w:p>
        </w:tc>
        <w:tc>
          <w:tcPr>
            <w:tcW w:w="250" w:type="pct"/>
            <w:tcBorders>
              <w:top w:val="nil"/>
              <w:left w:val="nil"/>
              <w:bottom w:val="double" w:sz="6" w:space="0" w:color="auto"/>
              <w:right w:val="single" w:sz="8" w:space="0" w:color="auto"/>
            </w:tcBorders>
            <w:shd w:val="clear" w:color="auto" w:fill="auto"/>
            <w:noWrap/>
            <w:vAlign w:val="center"/>
            <w:hideMark/>
          </w:tcPr>
          <w:p w14:paraId="18921F91"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 xml:space="preserve">            506,700 </w:t>
            </w:r>
          </w:p>
        </w:tc>
        <w:tc>
          <w:tcPr>
            <w:tcW w:w="250" w:type="pct"/>
            <w:tcBorders>
              <w:top w:val="nil"/>
              <w:left w:val="nil"/>
              <w:bottom w:val="double" w:sz="6" w:space="0" w:color="auto"/>
              <w:right w:val="single" w:sz="8" w:space="0" w:color="auto"/>
            </w:tcBorders>
            <w:shd w:val="clear" w:color="auto" w:fill="auto"/>
            <w:noWrap/>
            <w:vAlign w:val="center"/>
            <w:hideMark/>
          </w:tcPr>
          <w:p w14:paraId="38D1C0E3"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 xml:space="preserve">            393,075 </w:t>
            </w:r>
          </w:p>
        </w:tc>
        <w:tc>
          <w:tcPr>
            <w:tcW w:w="250" w:type="pct"/>
            <w:tcBorders>
              <w:top w:val="nil"/>
              <w:left w:val="nil"/>
              <w:bottom w:val="double" w:sz="6" w:space="0" w:color="auto"/>
              <w:right w:val="single" w:sz="8" w:space="0" w:color="auto"/>
            </w:tcBorders>
            <w:shd w:val="clear" w:color="auto" w:fill="auto"/>
            <w:noWrap/>
            <w:vAlign w:val="center"/>
            <w:hideMark/>
          </w:tcPr>
          <w:p w14:paraId="61E19BAE"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 xml:space="preserve">            393,075 </w:t>
            </w:r>
          </w:p>
        </w:tc>
        <w:tc>
          <w:tcPr>
            <w:tcW w:w="250" w:type="pct"/>
            <w:tcBorders>
              <w:top w:val="nil"/>
              <w:left w:val="nil"/>
              <w:bottom w:val="double" w:sz="6" w:space="0" w:color="auto"/>
              <w:right w:val="single" w:sz="8" w:space="0" w:color="auto"/>
            </w:tcBorders>
            <w:shd w:val="clear" w:color="auto" w:fill="auto"/>
            <w:noWrap/>
            <w:vAlign w:val="center"/>
            <w:hideMark/>
          </w:tcPr>
          <w:p w14:paraId="271E4C89"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 xml:space="preserve">            485,075 </w:t>
            </w:r>
          </w:p>
        </w:tc>
        <w:tc>
          <w:tcPr>
            <w:tcW w:w="261" w:type="pct"/>
            <w:tcBorders>
              <w:top w:val="nil"/>
              <w:left w:val="nil"/>
              <w:bottom w:val="double" w:sz="6" w:space="0" w:color="auto"/>
              <w:right w:val="single" w:sz="8" w:space="0" w:color="auto"/>
            </w:tcBorders>
            <w:shd w:val="clear" w:color="auto" w:fill="auto"/>
            <w:noWrap/>
            <w:vAlign w:val="center"/>
            <w:hideMark/>
          </w:tcPr>
          <w:p w14:paraId="506AF3F1"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 xml:space="preserve">           2,639,726 </w:t>
            </w:r>
          </w:p>
        </w:tc>
        <w:tc>
          <w:tcPr>
            <w:tcW w:w="183" w:type="pct"/>
            <w:tcBorders>
              <w:top w:val="nil"/>
              <w:left w:val="nil"/>
              <w:bottom w:val="double" w:sz="6" w:space="0" w:color="auto"/>
              <w:right w:val="single" w:sz="8" w:space="0" w:color="auto"/>
            </w:tcBorders>
            <w:shd w:val="clear" w:color="auto" w:fill="auto"/>
            <w:vAlign w:val="center"/>
            <w:hideMark/>
          </w:tcPr>
          <w:p w14:paraId="321D4C07" w14:textId="77777777" w:rsidR="00107491" w:rsidRPr="00107491" w:rsidRDefault="00107491" w:rsidP="00107491">
            <w:pPr>
              <w:jc w:val="center"/>
              <w:rPr>
                <w:i/>
                <w:iCs/>
                <w:color w:val="000000"/>
                <w:sz w:val="18"/>
                <w:szCs w:val="18"/>
                <w:lang w:val="en-US" w:eastAsia="en-US"/>
              </w:rPr>
            </w:pPr>
            <w:r w:rsidRPr="00107491">
              <w:rPr>
                <w:i/>
                <w:iCs/>
                <w:color w:val="000000"/>
                <w:sz w:val="18"/>
                <w:szCs w:val="18"/>
                <w:lang w:val="en-US" w:eastAsia="en-US"/>
              </w:rPr>
              <w:t> </w:t>
            </w:r>
          </w:p>
        </w:tc>
        <w:tc>
          <w:tcPr>
            <w:tcW w:w="35" w:type="pct"/>
            <w:vAlign w:val="center"/>
            <w:hideMark/>
          </w:tcPr>
          <w:p w14:paraId="28FA7C77" w14:textId="77777777" w:rsidR="00107491" w:rsidRPr="00107491" w:rsidRDefault="00107491" w:rsidP="00107491">
            <w:pPr>
              <w:rPr>
                <w:sz w:val="20"/>
                <w:szCs w:val="20"/>
                <w:lang w:val="en-US" w:eastAsia="en-US"/>
              </w:rPr>
            </w:pPr>
          </w:p>
        </w:tc>
      </w:tr>
      <w:tr w:rsidR="00107491" w:rsidRPr="00107491" w14:paraId="217597BE" w14:textId="77777777" w:rsidTr="00107491">
        <w:trPr>
          <w:trHeight w:val="300"/>
        </w:trPr>
        <w:tc>
          <w:tcPr>
            <w:tcW w:w="1056" w:type="pct"/>
            <w:tcBorders>
              <w:top w:val="nil"/>
              <w:left w:val="single" w:sz="8" w:space="0" w:color="auto"/>
              <w:bottom w:val="double" w:sz="6" w:space="0" w:color="auto"/>
              <w:right w:val="nil"/>
            </w:tcBorders>
            <w:shd w:val="clear" w:color="auto" w:fill="auto"/>
            <w:vAlign w:val="center"/>
            <w:hideMark/>
          </w:tcPr>
          <w:p w14:paraId="1E2A9876" w14:textId="77777777" w:rsidR="00107491" w:rsidRPr="00107491" w:rsidRDefault="00107491" w:rsidP="00107491">
            <w:pPr>
              <w:jc w:val="both"/>
              <w:rPr>
                <w:b/>
                <w:bCs/>
                <w:color w:val="000000"/>
                <w:sz w:val="18"/>
                <w:szCs w:val="18"/>
                <w:lang w:val="en-US" w:eastAsia="en-US"/>
              </w:rPr>
            </w:pPr>
            <w:r w:rsidRPr="00107491">
              <w:rPr>
                <w:b/>
                <w:bCs/>
                <w:color w:val="000000"/>
                <w:sz w:val="18"/>
                <w:szCs w:val="18"/>
                <w:lang w:val="en-US" w:eastAsia="en-US"/>
              </w:rPr>
              <w:t> </w:t>
            </w:r>
          </w:p>
        </w:tc>
        <w:tc>
          <w:tcPr>
            <w:tcW w:w="381" w:type="pct"/>
            <w:tcBorders>
              <w:top w:val="nil"/>
              <w:left w:val="nil"/>
              <w:bottom w:val="double" w:sz="6" w:space="0" w:color="auto"/>
              <w:right w:val="nil"/>
            </w:tcBorders>
            <w:shd w:val="clear" w:color="auto" w:fill="auto"/>
            <w:vAlign w:val="center"/>
            <w:hideMark/>
          </w:tcPr>
          <w:p w14:paraId="6327977E" w14:textId="77777777" w:rsidR="00107491" w:rsidRPr="00107491" w:rsidRDefault="00107491" w:rsidP="00107491">
            <w:pPr>
              <w:jc w:val="both"/>
              <w:rPr>
                <w:b/>
                <w:bCs/>
                <w:color w:val="000000"/>
                <w:sz w:val="18"/>
                <w:szCs w:val="18"/>
                <w:lang w:val="en-US" w:eastAsia="en-US"/>
              </w:rPr>
            </w:pPr>
            <w:r w:rsidRPr="00107491">
              <w:rPr>
                <w:b/>
                <w:bCs/>
                <w:color w:val="000000"/>
                <w:sz w:val="18"/>
                <w:szCs w:val="18"/>
                <w:lang w:val="en-US" w:eastAsia="en-US"/>
              </w:rPr>
              <w:t> </w:t>
            </w:r>
          </w:p>
        </w:tc>
        <w:tc>
          <w:tcPr>
            <w:tcW w:w="453" w:type="pct"/>
            <w:tcBorders>
              <w:top w:val="nil"/>
              <w:left w:val="nil"/>
              <w:bottom w:val="double" w:sz="6" w:space="0" w:color="auto"/>
              <w:right w:val="nil"/>
            </w:tcBorders>
            <w:shd w:val="clear" w:color="auto" w:fill="auto"/>
            <w:vAlign w:val="center"/>
            <w:hideMark/>
          </w:tcPr>
          <w:p w14:paraId="00EBB88F" w14:textId="77777777" w:rsidR="00107491" w:rsidRPr="00107491" w:rsidRDefault="00107491" w:rsidP="00107491">
            <w:pPr>
              <w:jc w:val="both"/>
              <w:rPr>
                <w:b/>
                <w:bCs/>
                <w:color w:val="000000"/>
                <w:sz w:val="18"/>
                <w:szCs w:val="18"/>
                <w:lang w:val="en-US" w:eastAsia="en-US"/>
              </w:rPr>
            </w:pPr>
            <w:r w:rsidRPr="00107491">
              <w:rPr>
                <w:b/>
                <w:bCs/>
                <w:color w:val="000000"/>
                <w:sz w:val="18"/>
                <w:szCs w:val="18"/>
                <w:lang w:val="en-US" w:eastAsia="en-US"/>
              </w:rPr>
              <w:t> </w:t>
            </w:r>
          </w:p>
        </w:tc>
        <w:tc>
          <w:tcPr>
            <w:tcW w:w="388" w:type="pct"/>
            <w:tcBorders>
              <w:top w:val="nil"/>
              <w:left w:val="nil"/>
              <w:bottom w:val="double" w:sz="6" w:space="0" w:color="auto"/>
              <w:right w:val="nil"/>
            </w:tcBorders>
            <w:shd w:val="clear" w:color="auto" w:fill="auto"/>
            <w:vAlign w:val="center"/>
            <w:hideMark/>
          </w:tcPr>
          <w:p w14:paraId="6E13FC1F" w14:textId="77777777" w:rsidR="00107491" w:rsidRPr="00107491" w:rsidRDefault="00107491" w:rsidP="00107491">
            <w:pPr>
              <w:jc w:val="both"/>
              <w:rPr>
                <w:b/>
                <w:bCs/>
                <w:color w:val="000000"/>
                <w:sz w:val="18"/>
                <w:szCs w:val="18"/>
                <w:lang w:val="en-US" w:eastAsia="en-US"/>
              </w:rPr>
            </w:pPr>
            <w:r w:rsidRPr="00107491">
              <w:rPr>
                <w:b/>
                <w:bCs/>
                <w:color w:val="000000"/>
                <w:sz w:val="18"/>
                <w:szCs w:val="18"/>
                <w:lang w:val="en-US" w:eastAsia="en-US"/>
              </w:rPr>
              <w:t> </w:t>
            </w:r>
          </w:p>
        </w:tc>
        <w:tc>
          <w:tcPr>
            <w:tcW w:w="716" w:type="pct"/>
            <w:gridSpan w:val="2"/>
            <w:tcBorders>
              <w:top w:val="double" w:sz="6" w:space="0" w:color="auto"/>
              <w:left w:val="nil"/>
              <w:bottom w:val="double" w:sz="6" w:space="0" w:color="auto"/>
              <w:right w:val="single" w:sz="8" w:space="0" w:color="000000"/>
            </w:tcBorders>
            <w:shd w:val="clear" w:color="auto" w:fill="auto"/>
            <w:noWrap/>
            <w:vAlign w:val="center"/>
            <w:hideMark/>
          </w:tcPr>
          <w:p w14:paraId="0FBC179E" w14:textId="77777777" w:rsidR="00601D9B" w:rsidRDefault="000E53A0">
            <w:pPr>
              <w:jc w:val="right"/>
              <w:rPr>
                <w:b/>
                <w:bCs/>
                <w:color w:val="000000"/>
                <w:sz w:val="18"/>
                <w:szCs w:val="18"/>
                <w:lang w:val="en-US" w:eastAsia="en-US"/>
              </w:rPr>
            </w:pPr>
            <w:r w:rsidRPr="00107491">
              <w:rPr>
                <w:b/>
                <w:bCs/>
                <w:color w:val="000000"/>
                <w:sz w:val="18"/>
                <w:szCs w:val="18"/>
                <w:lang w:val="en-US" w:eastAsia="en-US"/>
              </w:rPr>
              <w:t>SOUS-TOTAL LDCF</w:t>
            </w:r>
          </w:p>
        </w:tc>
        <w:tc>
          <w:tcPr>
            <w:tcW w:w="254" w:type="pct"/>
            <w:tcBorders>
              <w:top w:val="nil"/>
              <w:left w:val="nil"/>
              <w:bottom w:val="double" w:sz="6" w:space="0" w:color="auto"/>
              <w:right w:val="single" w:sz="8" w:space="0" w:color="auto"/>
            </w:tcBorders>
            <w:shd w:val="clear" w:color="auto" w:fill="auto"/>
            <w:noWrap/>
            <w:vAlign w:val="center"/>
            <w:hideMark/>
          </w:tcPr>
          <w:p w14:paraId="3DE2CC0F"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 xml:space="preserve">            246,356 </w:t>
            </w:r>
          </w:p>
        </w:tc>
        <w:tc>
          <w:tcPr>
            <w:tcW w:w="273" w:type="pct"/>
            <w:tcBorders>
              <w:top w:val="nil"/>
              <w:left w:val="nil"/>
              <w:bottom w:val="double" w:sz="6" w:space="0" w:color="auto"/>
              <w:right w:val="single" w:sz="8" w:space="0" w:color="auto"/>
            </w:tcBorders>
            <w:shd w:val="clear" w:color="auto" w:fill="auto"/>
            <w:noWrap/>
            <w:vAlign w:val="center"/>
            <w:hideMark/>
          </w:tcPr>
          <w:p w14:paraId="40BB361D"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 xml:space="preserve">            1,004,867 </w:t>
            </w:r>
          </w:p>
        </w:tc>
        <w:tc>
          <w:tcPr>
            <w:tcW w:w="250" w:type="pct"/>
            <w:tcBorders>
              <w:top w:val="nil"/>
              <w:left w:val="nil"/>
              <w:bottom w:val="double" w:sz="6" w:space="0" w:color="auto"/>
              <w:right w:val="single" w:sz="8" w:space="0" w:color="auto"/>
            </w:tcBorders>
            <w:shd w:val="clear" w:color="auto" w:fill="auto"/>
            <w:noWrap/>
            <w:vAlign w:val="center"/>
            <w:hideMark/>
          </w:tcPr>
          <w:p w14:paraId="6917C821"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 xml:space="preserve">         1,179,067 </w:t>
            </w:r>
          </w:p>
        </w:tc>
        <w:tc>
          <w:tcPr>
            <w:tcW w:w="250" w:type="pct"/>
            <w:tcBorders>
              <w:top w:val="nil"/>
              <w:left w:val="nil"/>
              <w:bottom w:val="double" w:sz="6" w:space="0" w:color="auto"/>
              <w:right w:val="single" w:sz="8" w:space="0" w:color="auto"/>
            </w:tcBorders>
            <w:shd w:val="clear" w:color="auto" w:fill="auto"/>
            <w:noWrap/>
            <w:vAlign w:val="center"/>
            <w:hideMark/>
          </w:tcPr>
          <w:p w14:paraId="506592C6"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 xml:space="preserve">         1,115,167 </w:t>
            </w:r>
          </w:p>
        </w:tc>
        <w:tc>
          <w:tcPr>
            <w:tcW w:w="250" w:type="pct"/>
            <w:tcBorders>
              <w:top w:val="nil"/>
              <w:left w:val="nil"/>
              <w:bottom w:val="double" w:sz="6" w:space="0" w:color="auto"/>
              <w:right w:val="single" w:sz="8" w:space="0" w:color="auto"/>
            </w:tcBorders>
            <w:shd w:val="clear" w:color="auto" w:fill="auto"/>
            <w:noWrap/>
            <w:vAlign w:val="center"/>
            <w:hideMark/>
          </w:tcPr>
          <w:p w14:paraId="63BC8846"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 xml:space="preserve">            868,000 </w:t>
            </w:r>
          </w:p>
        </w:tc>
        <w:tc>
          <w:tcPr>
            <w:tcW w:w="250" w:type="pct"/>
            <w:tcBorders>
              <w:top w:val="nil"/>
              <w:left w:val="nil"/>
              <w:bottom w:val="double" w:sz="6" w:space="0" w:color="auto"/>
              <w:right w:val="single" w:sz="8" w:space="0" w:color="auto"/>
            </w:tcBorders>
            <w:shd w:val="clear" w:color="auto" w:fill="auto"/>
            <w:noWrap/>
            <w:vAlign w:val="center"/>
            <w:hideMark/>
          </w:tcPr>
          <w:p w14:paraId="52C4D72C"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 xml:space="preserve">            459,375 </w:t>
            </w:r>
          </w:p>
        </w:tc>
        <w:tc>
          <w:tcPr>
            <w:tcW w:w="261" w:type="pct"/>
            <w:tcBorders>
              <w:top w:val="nil"/>
              <w:left w:val="nil"/>
              <w:bottom w:val="double" w:sz="6" w:space="0" w:color="auto"/>
              <w:right w:val="single" w:sz="8" w:space="0" w:color="auto"/>
            </w:tcBorders>
            <w:shd w:val="clear" w:color="auto" w:fill="auto"/>
            <w:noWrap/>
            <w:vAlign w:val="center"/>
            <w:hideMark/>
          </w:tcPr>
          <w:p w14:paraId="647F827B"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 xml:space="preserve">           4,872,831 </w:t>
            </w:r>
          </w:p>
        </w:tc>
        <w:tc>
          <w:tcPr>
            <w:tcW w:w="183" w:type="pct"/>
            <w:tcBorders>
              <w:top w:val="nil"/>
              <w:left w:val="nil"/>
              <w:bottom w:val="double" w:sz="6" w:space="0" w:color="auto"/>
              <w:right w:val="single" w:sz="8" w:space="0" w:color="auto"/>
            </w:tcBorders>
            <w:shd w:val="clear" w:color="auto" w:fill="auto"/>
            <w:vAlign w:val="center"/>
            <w:hideMark/>
          </w:tcPr>
          <w:p w14:paraId="0ABD9E2D" w14:textId="77777777" w:rsidR="00107491" w:rsidRPr="00107491" w:rsidRDefault="00107491" w:rsidP="00107491">
            <w:pPr>
              <w:jc w:val="center"/>
              <w:rPr>
                <w:i/>
                <w:iCs/>
                <w:color w:val="000000"/>
                <w:sz w:val="18"/>
                <w:szCs w:val="18"/>
                <w:lang w:val="en-US" w:eastAsia="en-US"/>
              </w:rPr>
            </w:pPr>
            <w:r w:rsidRPr="00107491">
              <w:rPr>
                <w:i/>
                <w:iCs/>
                <w:color w:val="000000"/>
                <w:sz w:val="18"/>
                <w:szCs w:val="18"/>
                <w:lang w:val="en-US" w:eastAsia="en-US"/>
              </w:rPr>
              <w:t> </w:t>
            </w:r>
          </w:p>
        </w:tc>
        <w:tc>
          <w:tcPr>
            <w:tcW w:w="35" w:type="pct"/>
            <w:vAlign w:val="center"/>
            <w:hideMark/>
          </w:tcPr>
          <w:p w14:paraId="2769D0A2" w14:textId="77777777" w:rsidR="00107491" w:rsidRPr="00107491" w:rsidRDefault="00107491" w:rsidP="00107491">
            <w:pPr>
              <w:rPr>
                <w:sz w:val="20"/>
                <w:szCs w:val="20"/>
                <w:lang w:val="en-US" w:eastAsia="en-US"/>
              </w:rPr>
            </w:pPr>
          </w:p>
        </w:tc>
      </w:tr>
      <w:tr w:rsidR="00107491" w:rsidRPr="00107491" w14:paraId="750FF0CA" w14:textId="77777777" w:rsidTr="00107491">
        <w:trPr>
          <w:trHeight w:val="300"/>
        </w:trPr>
        <w:tc>
          <w:tcPr>
            <w:tcW w:w="1056" w:type="pct"/>
            <w:tcBorders>
              <w:top w:val="nil"/>
              <w:left w:val="single" w:sz="8" w:space="0" w:color="auto"/>
              <w:bottom w:val="single" w:sz="8" w:space="0" w:color="auto"/>
              <w:right w:val="nil"/>
            </w:tcBorders>
            <w:shd w:val="clear" w:color="auto" w:fill="auto"/>
            <w:vAlign w:val="center"/>
            <w:hideMark/>
          </w:tcPr>
          <w:p w14:paraId="374B130A" w14:textId="77777777" w:rsidR="00107491" w:rsidRPr="00107491" w:rsidRDefault="00107491" w:rsidP="00107491">
            <w:pPr>
              <w:jc w:val="both"/>
              <w:rPr>
                <w:b/>
                <w:bCs/>
                <w:color w:val="000000"/>
                <w:sz w:val="18"/>
                <w:szCs w:val="18"/>
                <w:lang w:val="en-US" w:eastAsia="en-US"/>
              </w:rPr>
            </w:pPr>
            <w:r w:rsidRPr="00107491">
              <w:rPr>
                <w:b/>
                <w:bCs/>
                <w:color w:val="000000"/>
                <w:sz w:val="18"/>
                <w:szCs w:val="18"/>
                <w:lang w:val="en-US" w:eastAsia="en-US"/>
              </w:rPr>
              <w:t> </w:t>
            </w:r>
          </w:p>
        </w:tc>
        <w:tc>
          <w:tcPr>
            <w:tcW w:w="381" w:type="pct"/>
            <w:tcBorders>
              <w:top w:val="nil"/>
              <w:left w:val="nil"/>
              <w:bottom w:val="single" w:sz="8" w:space="0" w:color="auto"/>
              <w:right w:val="nil"/>
            </w:tcBorders>
            <w:shd w:val="clear" w:color="auto" w:fill="auto"/>
            <w:vAlign w:val="center"/>
            <w:hideMark/>
          </w:tcPr>
          <w:p w14:paraId="56263741" w14:textId="77777777" w:rsidR="00107491" w:rsidRPr="00107491" w:rsidRDefault="00107491" w:rsidP="00107491">
            <w:pPr>
              <w:jc w:val="both"/>
              <w:rPr>
                <w:b/>
                <w:bCs/>
                <w:color w:val="000000"/>
                <w:sz w:val="18"/>
                <w:szCs w:val="18"/>
                <w:lang w:val="en-US" w:eastAsia="en-US"/>
              </w:rPr>
            </w:pPr>
            <w:r w:rsidRPr="00107491">
              <w:rPr>
                <w:b/>
                <w:bCs/>
                <w:color w:val="000000"/>
                <w:sz w:val="18"/>
                <w:szCs w:val="18"/>
                <w:lang w:val="en-US" w:eastAsia="en-US"/>
              </w:rPr>
              <w:t> </w:t>
            </w:r>
          </w:p>
        </w:tc>
        <w:tc>
          <w:tcPr>
            <w:tcW w:w="453" w:type="pct"/>
            <w:tcBorders>
              <w:top w:val="nil"/>
              <w:left w:val="nil"/>
              <w:bottom w:val="single" w:sz="8" w:space="0" w:color="auto"/>
              <w:right w:val="nil"/>
            </w:tcBorders>
            <w:shd w:val="clear" w:color="auto" w:fill="auto"/>
            <w:vAlign w:val="center"/>
            <w:hideMark/>
          </w:tcPr>
          <w:p w14:paraId="1322A38A" w14:textId="77777777" w:rsidR="00107491" w:rsidRPr="00107491" w:rsidRDefault="00107491" w:rsidP="00107491">
            <w:pPr>
              <w:jc w:val="both"/>
              <w:rPr>
                <w:b/>
                <w:bCs/>
                <w:color w:val="000000"/>
                <w:sz w:val="18"/>
                <w:szCs w:val="18"/>
                <w:lang w:val="en-US" w:eastAsia="en-US"/>
              </w:rPr>
            </w:pPr>
            <w:r w:rsidRPr="00107491">
              <w:rPr>
                <w:b/>
                <w:bCs/>
                <w:color w:val="000000"/>
                <w:sz w:val="18"/>
                <w:szCs w:val="18"/>
                <w:lang w:val="en-US" w:eastAsia="en-US"/>
              </w:rPr>
              <w:t> </w:t>
            </w:r>
          </w:p>
        </w:tc>
        <w:tc>
          <w:tcPr>
            <w:tcW w:w="388" w:type="pct"/>
            <w:tcBorders>
              <w:top w:val="nil"/>
              <w:left w:val="nil"/>
              <w:bottom w:val="single" w:sz="8" w:space="0" w:color="auto"/>
              <w:right w:val="nil"/>
            </w:tcBorders>
            <w:shd w:val="clear" w:color="auto" w:fill="auto"/>
            <w:vAlign w:val="center"/>
            <w:hideMark/>
          </w:tcPr>
          <w:p w14:paraId="32E8A054" w14:textId="77777777" w:rsidR="00107491" w:rsidRPr="00107491" w:rsidRDefault="00107491" w:rsidP="00107491">
            <w:pPr>
              <w:jc w:val="both"/>
              <w:rPr>
                <w:b/>
                <w:bCs/>
                <w:color w:val="000000"/>
                <w:sz w:val="18"/>
                <w:szCs w:val="18"/>
                <w:lang w:val="en-US" w:eastAsia="en-US"/>
              </w:rPr>
            </w:pPr>
            <w:r w:rsidRPr="00107491">
              <w:rPr>
                <w:b/>
                <w:bCs/>
                <w:color w:val="000000"/>
                <w:sz w:val="18"/>
                <w:szCs w:val="18"/>
                <w:lang w:val="en-US" w:eastAsia="en-US"/>
              </w:rPr>
              <w:t> </w:t>
            </w:r>
          </w:p>
        </w:tc>
        <w:tc>
          <w:tcPr>
            <w:tcW w:w="716" w:type="pct"/>
            <w:gridSpan w:val="2"/>
            <w:tcBorders>
              <w:top w:val="double" w:sz="6" w:space="0" w:color="auto"/>
              <w:left w:val="nil"/>
              <w:bottom w:val="single" w:sz="8" w:space="0" w:color="auto"/>
              <w:right w:val="single" w:sz="8" w:space="0" w:color="000000"/>
            </w:tcBorders>
            <w:shd w:val="clear" w:color="auto" w:fill="auto"/>
            <w:noWrap/>
            <w:vAlign w:val="center"/>
            <w:hideMark/>
          </w:tcPr>
          <w:p w14:paraId="215B7D06" w14:textId="77777777" w:rsidR="00601D9B" w:rsidRDefault="000E53A0">
            <w:pPr>
              <w:jc w:val="right"/>
              <w:rPr>
                <w:b/>
                <w:bCs/>
                <w:color w:val="000000"/>
                <w:sz w:val="18"/>
                <w:szCs w:val="18"/>
                <w:lang w:val="en-US" w:eastAsia="en-US"/>
              </w:rPr>
            </w:pPr>
            <w:r w:rsidRPr="00107491">
              <w:rPr>
                <w:b/>
                <w:bCs/>
                <w:color w:val="000000"/>
                <w:sz w:val="18"/>
                <w:szCs w:val="18"/>
                <w:lang w:val="en-US" w:eastAsia="en-US"/>
              </w:rPr>
              <w:t>PROJET TOTAL</w:t>
            </w:r>
          </w:p>
        </w:tc>
        <w:tc>
          <w:tcPr>
            <w:tcW w:w="254" w:type="pct"/>
            <w:tcBorders>
              <w:top w:val="nil"/>
              <w:left w:val="nil"/>
              <w:bottom w:val="single" w:sz="8" w:space="0" w:color="auto"/>
              <w:right w:val="single" w:sz="8" w:space="0" w:color="auto"/>
            </w:tcBorders>
            <w:shd w:val="clear" w:color="auto" w:fill="auto"/>
            <w:noWrap/>
            <w:vAlign w:val="center"/>
            <w:hideMark/>
          </w:tcPr>
          <w:p w14:paraId="4DD82619"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 xml:space="preserve">            584,132 </w:t>
            </w:r>
          </w:p>
        </w:tc>
        <w:tc>
          <w:tcPr>
            <w:tcW w:w="273" w:type="pct"/>
            <w:tcBorders>
              <w:top w:val="nil"/>
              <w:left w:val="nil"/>
              <w:bottom w:val="single" w:sz="8" w:space="0" w:color="auto"/>
              <w:right w:val="single" w:sz="8" w:space="0" w:color="auto"/>
            </w:tcBorders>
            <w:shd w:val="clear" w:color="auto" w:fill="auto"/>
            <w:noWrap/>
            <w:vAlign w:val="center"/>
            <w:hideMark/>
          </w:tcPr>
          <w:p w14:paraId="783A5B87"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 xml:space="preserve">            1,528,892 </w:t>
            </w:r>
          </w:p>
        </w:tc>
        <w:tc>
          <w:tcPr>
            <w:tcW w:w="250" w:type="pct"/>
            <w:tcBorders>
              <w:top w:val="nil"/>
              <w:left w:val="nil"/>
              <w:bottom w:val="single" w:sz="8" w:space="0" w:color="auto"/>
              <w:right w:val="single" w:sz="8" w:space="0" w:color="auto"/>
            </w:tcBorders>
            <w:shd w:val="clear" w:color="auto" w:fill="auto"/>
            <w:noWrap/>
            <w:vAlign w:val="center"/>
            <w:hideMark/>
          </w:tcPr>
          <w:p w14:paraId="71D65110"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 xml:space="preserve">         1,685,767 </w:t>
            </w:r>
          </w:p>
        </w:tc>
        <w:tc>
          <w:tcPr>
            <w:tcW w:w="250" w:type="pct"/>
            <w:tcBorders>
              <w:top w:val="nil"/>
              <w:left w:val="nil"/>
              <w:bottom w:val="single" w:sz="8" w:space="0" w:color="auto"/>
              <w:right w:val="single" w:sz="8" w:space="0" w:color="auto"/>
            </w:tcBorders>
            <w:shd w:val="clear" w:color="auto" w:fill="auto"/>
            <w:noWrap/>
            <w:vAlign w:val="center"/>
            <w:hideMark/>
          </w:tcPr>
          <w:p w14:paraId="45F0B8F1"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 xml:space="preserve">         1,508,242 </w:t>
            </w:r>
          </w:p>
        </w:tc>
        <w:tc>
          <w:tcPr>
            <w:tcW w:w="250" w:type="pct"/>
            <w:tcBorders>
              <w:top w:val="nil"/>
              <w:left w:val="nil"/>
              <w:bottom w:val="single" w:sz="8" w:space="0" w:color="auto"/>
              <w:right w:val="single" w:sz="8" w:space="0" w:color="auto"/>
            </w:tcBorders>
            <w:shd w:val="clear" w:color="auto" w:fill="auto"/>
            <w:noWrap/>
            <w:vAlign w:val="center"/>
            <w:hideMark/>
          </w:tcPr>
          <w:p w14:paraId="3EF3BF35"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 xml:space="preserve">         1,261,075 </w:t>
            </w:r>
          </w:p>
        </w:tc>
        <w:tc>
          <w:tcPr>
            <w:tcW w:w="250" w:type="pct"/>
            <w:tcBorders>
              <w:top w:val="nil"/>
              <w:left w:val="nil"/>
              <w:bottom w:val="single" w:sz="8" w:space="0" w:color="auto"/>
              <w:right w:val="single" w:sz="8" w:space="0" w:color="auto"/>
            </w:tcBorders>
            <w:shd w:val="clear" w:color="auto" w:fill="auto"/>
            <w:noWrap/>
            <w:vAlign w:val="center"/>
            <w:hideMark/>
          </w:tcPr>
          <w:p w14:paraId="27FB1CF0"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 xml:space="preserve">            944,450 </w:t>
            </w:r>
          </w:p>
        </w:tc>
        <w:tc>
          <w:tcPr>
            <w:tcW w:w="261" w:type="pct"/>
            <w:tcBorders>
              <w:top w:val="nil"/>
              <w:left w:val="nil"/>
              <w:bottom w:val="single" w:sz="8" w:space="0" w:color="auto"/>
              <w:right w:val="single" w:sz="8" w:space="0" w:color="auto"/>
            </w:tcBorders>
            <w:shd w:val="clear" w:color="auto" w:fill="auto"/>
            <w:noWrap/>
            <w:vAlign w:val="center"/>
            <w:hideMark/>
          </w:tcPr>
          <w:p w14:paraId="6791DE01" w14:textId="77777777" w:rsidR="00601D9B" w:rsidRDefault="000E53A0">
            <w:pPr>
              <w:jc w:val="center"/>
              <w:rPr>
                <w:b/>
                <w:bCs/>
                <w:color w:val="000000"/>
                <w:sz w:val="18"/>
                <w:szCs w:val="18"/>
                <w:lang w:val="en-US" w:eastAsia="en-US"/>
              </w:rPr>
            </w:pPr>
            <w:r w:rsidRPr="00107491">
              <w:rPr>
                <w:b/>
                <w:bCs/>
                <w:color w:val="000000"/>
                <w:sz w:val="18"/>
                <w:szCs w:val="18"/>
                <w:lang w:val="en-US" w:eastAsia="en-US"/>
              </w:rPr>
              <w:t xml:space="preserve">           7,512,557 </w:t>
            </w:r>
          </w:p>
        </w:tc>
        <w:tc>
          <w:tcPr>
            <w:tcW w:w="183" w:type="pct"/>
            <w:tcBorders>
              <w:top w:val="nil"/>
              <w:left w:val="nil"/>
              <w:bottom w:val="single" w:sz="8" w:space="0" w:color="auto"/>
              <w:right w:val="single" w:sz="8" w:space="0" w:color="auto"/>
            </w:tcBorders>
            <w:shd w:val="clear" w:color="auto" w:fill="auto"/>
            <w:vAlign w:val="center"/>
            <w:hideMark/>
          </w:tcPr>
          <w:p w14:paraId="61FEBCC1" w14:textId="77777777" w:rsidR="00107491" w:rsidRPr="00107491" w:rsidRDefault="00107491" w:rsidP="00107491">
            <w:pPr>
              <w:jc w:val="center"/>
              <w:rPr>
                <w:i/>
                <w:iCs/>
                <w:color w:val="000000"/>
                <w:sz w:val="18"/>
                <w:szCs w:val="18"/>
                <w:lang w:val="en-US" w:eastAsia="en-US"/>
              </w:rPr>
            </w:pPr>
            <w:r w:rsidRPr="00107491">
              <w:rPr>
                <w:i/>
                <w:iCs/>
                <w:color w:val="000000"/>
                <w:sz w:val="18"/>
                <w:szCs w:val="18"/>
                <w:lang w:val="en-US" w:eastAsia="en-US"/>
              </w:rPr>
              <w:t> </w:t>
            </w:r>
          </w:p>
        </w:tc>
        <w:tc>
          <w:tcPr>
            <w:tcW w:w="35" w:type="pct"/>
            <w:vAlign w:val="center"/>
            <w:hideMark/>
          </w:tcPr>
          <w:p w14:paraId="049C23A4" w14:textId="77777777" w:rsidR="00107491" w:rsidRPr="00107491" w:rsidRDefault="00107491" w:rsidP="00107491">
            <w:pPr>
              <w:rPr>
                <w:sz w:val="20"/>
                <w:szCs w:val="20"/>
                <w:lang w:val="en-US" w:eastAsia="en-US"/>
              </w:rPr>
            </w:pPr>
          </w:p>
        </w:tc>
      </w:tr>
      <w:tr w:rsidR="00107491" w:rsidRPr="00107491" w14:paraId="4A9C6153" w14:textId="77777777" w:rsidTr="00107491">
        <w:trPr>
          <w:trHeight w:val="240"/>
        </w:trPr>
        <w:tc>
          <w:tcPr>
            <w:tcW w:w="1056" w:type="pct"/>
            <w:tcBorders>
              <w:top w:val="nil"/>
              <w:left w:val="nil"/>
              <w:bottom w:val="nil"/>
              <w:right w:val="nil"/>
            </w:tcBorders>
            <w:shd w:val="clear" w:color="auto" w:fill="auto"/>
            <w:noWrap/>
            <w:vAlign w:val="bottom"/>
            <w:hideMark/>
          </w:tcPr>
          <w:p w14:paraId="7F9567A5" w14:textId="77777777" w:rsidR="00107491" w:rsidRPr="00107491" w:rsidRDefault="00107491" w:rsidP="00107491">
            <w:pPr>
              <w:jc w:val="center"/>
              <w:rPr>
                <w:i/>
                <w:iCs/>
                <w:color w:val="000000"/>
                <w:sz w:val="18"/>
                <w:szCs w:val="18"/>
                <w:lang w:val="en-US" w:eastAsia="en-US"/>
              </w:rPr>
            </w:pPr>
          </w:p>
        </w:tc>
        <w:tc>
          <w:tcPr>
            <w:tcW w:w="381" w:type="pct"/>
            <w:tcBorders>
              <w:top w:val="nil"/>
              <w:left w:val="nil"/>
              <w:bottom w:val="nil"/>
              <w:right w:val="nil"/>
            </w:tcBorders>
            <w:shd w:val="clear" w:color="auto" w:fill="auto"/>
            <w:noWrap/>
            <w:vAlign w:val="bottom"/>
            <w:hideMark/>
          </w:tcPr>
          <w:p w14:paraId="21B6254C" w14:textId="77777777" w:rsidR="00107491" w:rsidRPr="00107491" w:rsidRDefault="00107491" w:rsidP="00107491">
            <w:pPr>
              <w:rPr>
                <w:sz w:val="20"/>
                <w:szCs w:val="20"/>
                <w:lang w:val="en-US" w:eastAsia="en-US"/>
              </w:rPr>
            </w:pPr>
          </w:p>
        </w:tc>
        <w:tc>
          <w:tcPr>
            <w:tcW w:w="453" w:type="pct"/>
            <w:tcBorders>
              <w:top w:val="nil"/>
              <w:left w:val="nil"/>
              <w:bottom w:val="nil"/>
              <w:right w:val="nil"/>
            </w:tcBorders>
            <w:shd w:val="clear" w:color="auto" w:fill="auto"/>
            <w:noWrap/>
            <w:vAlign w:val="bottom"/>
            <w:hideMark/>
          </w:tcPr>
          <w:p w14:paraId="63C18DED" w14:textId="77777777" w:rsidR="00107491" w:rsidRPr="00107491" w:rsidRDefault="00107491" w:rsidP="00107491">
            <w:pPr>
              <w:rPr>
                <w:sz w:val="20"/>
                <w:szCs w:val="20"/>
                <w:lang w:val="en-US" w:eastAsia="en-US"/>
              </w:rPr>
            </w:pPr>
          </w:p>
        </w:tc>
        <w:tc>
          <w:tcPr>
            <w:tcW w:w="388" w:type="pct"/>
            <w:tcBorders>
              <w:top w:val="nil"/>
              <w:left w:val="nil"/>
              <w:bottom w:val="nil"/>
              <w:right w:val="nil"/>
            </w:tcBorders>
            <w:shd w:val="clear" w:color="auto" w:fill="auto"/>
            <w:noWrap/>
            <w:vAlign w:val="bottom"/>
            <w:hideMark/>
          </w:tcPr>
          <w:p w14:paraId="136EBB94" w14:textId="77777777" w:rsidR="00107491" w:rsidRPr="00107491" w:rsidRDefault="00107491" w:rsidP="00107491">
            <w:pPr>
              <w:rPr>
                <w:sz w:val="20"/>
                <w:szCs w:val="20"/>
                <w:lang w:val="en-US" w:eastAsia="en-US"/>
              </w:rPr>
            </w:pPr>
          </w:p>
        </w:tc>
        <w:tc>
          <w:tcPr>
            <w:tcW w:w="258" w:type="pct"/>
            <w:tcBorders>
              <w:top w:val="nil"/>
              <w:left w:val="nil"/>
              <w:bottom w:val="nil"/>
              <w:right w:val="nil"/>
            </w:tcBorders>
            <w:shd w:val="clear" w:color="auto" w:fill="auto"/>
            <w:noWrap/>
            <w:vAlign w:val="bottom"/>
            <w:hideMark/>
          </w:tcPr>
          <w:p w14:paraId="1A1EE79F" w14:textId="77777777" w:rsidR="00107491" w:rsidRPr="00107491" w:rsidRDefault="00107491" w:rsidP="00107491">
            <w:pPr>
              <w:rPr>
                <w:sz w:val="20"/>
                <w:szCs w:val="20"/>
                <w:lang w:val="en-US" w:eastAsia="en-US"/>
              </w:rPr>
            </w:pPr>
          </w:p>
        </w:tc>
        <w:tc>
          <w:tcPr>
            <w:tcW w:w="458" w:type="pct"/>
            <w:tcBorders>
              <w:top w:val="nil"/>
              <w:left w:val="nil"/>
              <w:bottom w:val="nil"/>
              <w:right w:val="nil"/>
            </w:tcBorders>
            <w:shd w:val="clear" w:color="auto" w:fill="auto"/>
            <w:noWrap/>
            <w:vAlign w:val="bottom"/>
            <w:hideMark/>
          </w:tcPr>
          <w:p w14:paraId="2EA883D9" w14:textId="77777777" w:rsidR="00107491" w:rsidRPr="00107491" w:rsidRDefault="00107491" w:rsidP="00107491">
            <w:pPr>
              <w:rPr>
                <w:sz w:val="20"/>
                <w:szCs w:val="20"/>
                <w:lang w:val="en-US" w:eastAsia="en-US"/>
              </w:rPr>
            </w:pPr>
          </w:p>
        </w:tc>
        <w:tc>
          <w:tcPr>
            <w:tcW w:w="254" w:type="pct"/>
            <w:tcBorders>
              <w:top w:val="nil"/>
              <w:left w:val="nil"/>
              <w:bottom w:val="nil"/>
              <w:right w:val="nil"/>
            </w:tcBorders>
            <w:shd w:val="clear" w:color="auto" w:fill="auto"/>
            <w:noWrap/>
            <w:vAlign w:val="bottom"/>
            <w:hideMark/>
          </w:tcPr>
          <w:p w14:paraId="11D6E172" w14:textId="77777777" w:rsidR="00107491" w:rsidRPr="00107491" w:rsidRDefault="00107491" w:rsidP="00107491">
            <w:pPr>
              <w:rPr>
                <w:sz w:val="20"/>
                <w:szCs w:val="20"/>
                <w:lang w:val="en-US" w:eastAsia="en-US"/>
              </w:rPr>
            </w:pPr>
          </w:p>
        </w:tc>
        <w:tc>
          <w:tcPr>
            <w:tcW w:w="273" w:type="pct"/>
            <w:tcBorders>
              <w:top w:val="nil"/>
              <w:left w:val="nil"/>
              <w:bottom w:val="nil"/>
              <w:right w:val="nil"/>
            </w:tcBorders>
            <w:shd w:val="clear" w:color="auto" w:fill="auto"/>
            <w:noWrap/>
            <w:vAlign w:val="bottom"/>
            <w:hideMark/>
          </w:tcPr>
          <w:p w14:paraId="7B937C12" w14:textId="77777777" w:rsidR="00107491" w:rsidRPr="00107491" w:rsidRDefault="00107491" w:rsidP="00107491">
            <w:pPr>
              <w:rPr>
                <w:sz w:val="20"/>
                <w:szCs w:val="20"/>
                <w:lang w:val="en-US" w:eastAsia="en-US"/>
              </w:rPr>
            </w:pPr>
          </w:p>
        </w:tc>
        <w:tc>
          <w:tcPr>
            <w:tcW w:w="250" w:type="pct"/>
            <w:tcBorders>
              <w:top w:val="nil"/>
              <w:left w:val="nil"/>
              <w:bottom w:val="nil"/>
              <w:right w:val="nil"/>
            </w:tcBorders>
            <w:shd w:val="clear" w:color="auto" w:fill="auto"/>
            <w:noWrap/>
            <w:vAlign w:val="bottom"/>
            <w:hideMark/>
          </w:tcPr>
          <w:p w14:paraId="640BBE71" w14:textId="77777777" w:rsidR="00107491" w:rsidRPr="00107491" w:rsidRDefault="00107491" w:rsidP="00107491">
            <w:pPr>
              <w:rPr>
                <w:sz w:val="20"/>
                <w:szCs w:val="20"/>
                <w:lang w:val="en-US" w:eastAsia="en-US"/>
              </w:rPr>
            </w:pPr>
          </w:p>
        </w:tc>
        <w:tc>
          <w:tcPr>
            <w:tcW w:w="250" w:type="pct"/>
            <w:tcBorders>
              <w:top w:val="nil"/>
              <w:left w:val="nil"/>
              <w:bottom w:val="nil"/>
              <w:right w:val="nil"/>
            </w:tcBorders>
            <w:shd w:val="clear" w:color="auto" w:fill="auto"/>
            <w:noWrap/>
            <w:vAlign w:val="bottom"/>
            <w:hideMark/>
          </w:tcPr>
          <w:p w14:paraId="3195D14A" w14:textId="77777777" w:rsidR="00107491" w:rsidRPr="00107491" w:rsidRDefault="00107491" w:rsidP="00107491">
            <w:pPr>
              <w:rPr>
                <w:sz w:val="20"/>
                <w:szCs w:val="20"/>
                <w:lang w:val="en-US" w:eastAsia="en-US"/>
              </w:rPr>
            </w:pPr>
          </w:p>
        </w:tc>
        <w:tc>
          <w:tcPr>
            <w:tcW w:w="250" w:type="pct"/>
            <w:tcBorders>
              <w:top w:val="nil"/>
              <w:left w:val="nil"/>
              <w:bottom w:val="nil"/>
              <w:right w:val="nil"/>
            </w:tcBorders>
            <w:shd w:val="clear" w:color="auto" w:fill="auto"/>
            <w:noWrap/>
            <w:vAlign w:val="bottom"/>
            <w:hideMark/>
          </w:tcPr>
          <w:p w14:paraId="5B8ACE5C" w14:textId="77777777" w:rsidR="00107491" w:rsidRPr="00107491" w:rsidRDefault="00107491" w:rsidP="00107491">
            <w:pPr>
              <w:rPr>
                <w:sz w:val="20"/>
                <w:szCs w:val="20"/>
                <w:lang w:val="en-US" w:eastAsia="en-US"/>
              </w:rPr>
            </w:pPr>
          </w:p>
        </w:tc>
        <w:tc>
          <w:tcPr>
            <w:tcW w:w="250" w:type="pct"/>
            <w:tcBorders>
              <w:top w:val="nil"/>
              <w:left w:val="nil"/>
              <w:bottom w:val="nil"/>
              <w:right w:val="nil"/>
            </w:tcBorders>
            <w:shd w:val="clear" w:color="auto" w:fill="auto"/>
            <w:noWrap/>
            <w:vAlign w:val="bottom"/>
            <w:hideMark/>
          </w:tcPr>
          <w:p w14:paraId="771B8E63" w14:textId="77777777" w:rsidR="00107491" w:rsidRPr="00107491" w:rsidRDefault="00107491" w:rsidP="00107491">
            <w:pPr>
              <w:rPr>
                <w:sz w:val="20"/>
                <w:szCs w:val="20"/>
                <w:lang w:val="en-US" w:eastAsia="en-US"/>
              </w:rPr>
            </w:pPr>
          </w:p>
        </w:tc>
        <w:tc>
          <w:tcPr>
            <w:tcW w:w="261" w:type="pct"/>
            <w:tcBorders>
              <w:top w:val="nil"/>
              <w:left w:val="nil"/>
              <w:bottom w:val="nil"/>
              <w:right w:val="nil"/>
            </w:tcBorders>
            <w:shd w:val="clear" w:color="auto" w:fill="auto"/>
            <w:noWrap/>
            <w:vAlign w:val="bottom"/>
            <w:hideMark/>
          </w:tcPr>
          <w:p w14:paraId="77326C8A" w14:textId="77777777" w:rsidR="00107491" w:rsidRPr="00107491" w:rsidRDefault="00107491" w:rsidP="00107491">
            <w:pPr>
              <w:rPr>
                <w:sz w:val="20"/>
                <w:szCs w:val="20"/>
                <w:lang w:val="en-US" w:eastAsia="en-US"/>
              </w:rPr>
            </w:pPr>
          </w:p>
        </w:tc>
        <w:tc>
          <w:tcPr>
            <w:tcW w:w="183" w:type="pct"/>
            <w:tcBorders>
              <w:top w:val="nil"/>
              <w:left w:val="nil"/>
              <w:bottom w:val="nil"/>
              <w:right w:val="nil"/>
            </w:tcBorders>
            <w:shd w:val="clear" w:color="auto" w:fill="auto"/>
            <w:noWrap/>
            <w:vAlign w:val="bottom"/>
            <w:hideMark/>
          </w:tcPr>
          <w:p w14:paraId="647ADEA5" w14:textId="77777777" w:rsidR="00107491" w:rsidRPr="00107491" w:rsidRDefault="00107491" w:rsidP="00107491">
            <w:pPr>
              <w:rPr>
                <w:sz w:val="20"/>
                <w:szCs w:val="20"/>
                <w:lang w:val="en-US" w:eastAsia="en-US"/>
              </w:rPr>
            </w:pPr>
          </w:p>
        </w:tc>
        <w:tc>
          <w:tcPr>
            <w:tcW w:w="35" w:type="pct"/>
            <w:vAlign w:val="center"/>
            <w:hideMark/>
          </w:tcPr>
          <w:p w14:paraId="58BC4B2A" w14:textId="77777777" w:rsidR="00107491" w:rsidRPr="00107491" w:rsidRDefault="00107491" w:rsidP="00107491">
            <w:pPr>
              <w:rPr>
                <w:sz w:val="20"/>
                <w:szCs w:val="20"/>
                <w:lang w:val="en-US" w:eastAsia="en-US"/>
              </w:rPr>
            </w:pPr>
          </w:p>
        </w:tc>
      </w:tr>
    </w:tbl>
    <w:p w14:paraId="6C4E8989" w14:textId="77777777" w:rsidR="00470E9A" w:rsidRPr="00C65CC7" w:rsidRDefault="00470E9A" w:rsidP="00470E9A">
      <w:pPr>
        <w:rPr>
          <w:rFonts w:asciiTheme="minorHAnsi" w:hAnsiTheme="minorHAnsi" w:cstheme="minorHAnsi"/>
          <w:sz w:val="18"/>
          <w:szCs w:val="18"/>
        </w:rPr>
      </w:pPr>
    </w:p>
    <w:p w14:paraId="1BFF4B8D" w14:textId="77777777" w:rsidR="00470E9A" w:rsidRPr="00C65CC7" w:rsidRDefault="00470E9A" w:rsidP="00470E9A">
      <w:pPr>
        <w:rPr>
          <w:rFonts w:asciiTheme="minorHAnsi" w:hAnsiTheme="minorHAnsi" w:cstheme="minorHAnsi"/>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12855"/>
      </w:tblGrid>
      <w:tr w:rsidR="00470E9A" w:rsidRPr="00C65CC7" w14:paraId="34DD509D" w14:textId="77777777" w:rsidTr="00107491">
        <w:tc>
          <w:tcPr>
            <w:tcW w:w="1535" w:type="dxa"/>
            <w:shd w:val="clear" w:color="auto" w:fill="auto"/>
          </w:tcPr>
          <w:p w14:paraId="2C022096" w14:textId="77777777" w:rsidR="00601D9B" w:rsidRPr="000E53A0" w:rsidRDefault="000E53A0">
            <w:pPr>
              <w:rPr>
                <w:rFonts w:asciiTheme="minorHAnsi" w:hAnsiTheme="minorHAnsi" w:cstheme="minorHAnsi"/>
                <w:b/>
                <w:sz w:val="18"/>
                <w:szCs w:val="18"/>
                <w:lang w:val="fr-FR"/>
              </w:rPr>
            </w:pPr>
            <w:r w:rsidRPr="000E53A0">
              <w:rPr>
                <w:rFonts w:asciiTheme="minorHAnsi" w:hAnsiTheme="minorHAnsi" w:cstheme="minorHAnsi"/>
                <w:b/>
                <w:sz w:val="18"/>
                <w:szCs w:val="18"/>
                <w:lang w:val="fr-FR"/>
              </w:rPr>
              <w:t>Numéro de la note budgétaire</w:t>
            </w:r>
          </w:p>
        </w:tc>
        <w:tc>
          <w:tcPr>
            <w:tcW w:w="12855" w:type="dxa"/>
            <w:shd w:val="clear" w:color="auto" w:fill="auto"/>
          </w:tcPr>
          <w:p w14:paraId="68A8F574" w14:textId="77777777" w:rsidR="00601D9B" w:rsidRDefault="000E53A0">
            <w:pPr>
              <w:pStyle w:val="Commentaire"/>
              <w:rPr>
                <w:rFonts w:asciiTheme="minorHAnsi" w:hAnsiTheme="minorHAnsi" w:cstheme="minorHAnsi"/>
                <w:sz w:val="18"/>
                <w:szCs w:val="18"/>
              </w:rPr>
            </w:pPr>
            <w:r w:rsidRPr="00C65CC7">
              <w:rPr>
                <w:rFonts w:asciiTheme="minorHAnsi" w:hAnsiTheme="minorHAnsi" w:cstheme="minorHAnsi"/>
                <w:b/>
                <w:sz w:val="18"/>
                <w:szCs w:val="18"/>
              </w:rPr>
              <w:t xml:space="preserve">Commentaires : </w:t>
            </w:r>
          </w:p>
        </w:tc>
      </w:tr>
      <w:tr w:rsidR="00107491" w:rsidRPr="00C65CC7" w14:paraId="1D1E99A1" w14:textId="77777777" w:rsidTr="00107491">
        <w:tc>
          <w:tcPr>
            <w:tcW w:w="1535" w:type="dxa"/>
            <w:shd w:val="clear" w:color="auto" w:fill="auto"/>
            <w:vAlign w:val="bottom"/>
          </w:tcPr>
          <w:p w14:paraId="296A58F9" w14:textId="77777777" w:rsidR="00601D9B" w:rsidRDefault="000E53A0">
            <w:pPr>
              <w:rPr>
                <w:rFonts w:asciiTheme="minorHAnsi" w:hAnsiTheme="minorHAnsi" w:cstheme="minorHAnsi"/>
                <w:b/>
                <w:sz w:val="18"/>
                <w:szCs w:val="18"/>
              </w:rPr>
            </w:pPr>
            <w:r w:rsidRPr="00107491">
              <w:rPr>
                <w:rFonts w:ascii="Calibri" w:hAnsi="Calibri" w:cs="Calibri"/>
                <w:color w:val="000000"/>
                <w:sz w:val="18"/>
                <w:szCs w:val="18"/>
                <w:lang w:val="en-US" w:eastAsia="en-US"/>
              </w:rPr>
              <w:t>1</w:t>
            </w:r>
          </w:p>
        </w:tc>
        <w:tc>
          <w:tcPr>
            <w:tcW w:w="12855" w:type="dxa"/>
            <w:shd w:val="clear" w:color="auto" w:fill="auto"/>
            <w:vAlign w:val="bottom"/>
          </w:tcPr>
          <w:p w14:paraId="6FE41C4D" w14:textId="77777777" w:rsidR="00601D9B" w:rsidRDefault="000E53A0">
            <w:pPr>
              <w:rPr>
                <w:rFonts w:asciiTheme="minorHAnsi" w:hAnsiTheme="minorHAnsi" w:cstheme="minorHAnsi"/>
                <w:b/>
                <w:sz w:val="18"/>
                <w:szCs w:val="18"/>
              </w:rPr>
            </w:pPr>
            <w:r w:rsidRPr="00107491">
              <w:rPr>
                <w:rFonts w:ascii="Calibri" w:hAnsi="Calibri" w:cs="Calibri"/>
                <w:color w:val="000000"/>
                <w:sz w:val="18"/>
                <w:szCs w:val="18"/>
                <w:lang w:val="en-US" w:eastAsia="en-US"/>
              </w:rPr>
              <w:t xml:space="preserve">Act 1.1.1 Expert international en LDN ; 20 jours@700 USD/jour Act 1.1.2 Expert international en LDN ; 15 jours@700 USD/jour Act 1.1.3 Expert international en LDN ; 8 jours@700 USD/jour </w:t>
            </w:r>
          </w:p>
        </w:tc>
      </w:tr>
      <w:tr w:rsidR="00107491" w:rsidRPr="000E53A0" w14:paraId="1D2A6902" w14:textId="77777777" w:rsidTr="00107491">
        <w:tc>
          <w:tcPr>
            <w:tcW w:w="1535" w:type="dxa"/>
            <w:shd w:val="clear" w:color="auto" w:fill="auto"/>
            <w:vAlign w:val="bottom"/>
          </w:tcPr>
          <w:p w14:paraId="39F87F71" w14:textId="77777777" w:rsidR="00601D9B" w:rsidRDefault="000E53A0">
            <w:pPr>
              <w:rPr>
                <w:rFonts w:asciiTheme="minorHAnsi" w:hAnsiTheme="minorHAnsi" w:cstheme="minorHAnsi"/>
                <w:b/>
                <w:sz w:val="18"/>
                <w:szCs w:val="18"/>
              </w:rPr>
            </w:pPr>
            <w:r w:rsidRPr="00107491">
              <w:rPr>
                <w:rFonts w:ascii="Calibri" w:hAnsi="Calibri" w:cs="Calibri"/>
                <w:color w:val="000000"/>
                <w:sz w:val="18"/>
                <w:szCs w:val="18"/>
                <w:lang w:val="en-US" w:eastAsia="en-US"/>
              </w:rPr>
              <w:t>2</w:t>
            </w:r>
          </w:p>
        </w:tc>
        <w:tc>
          <w:tcPr>
            <w:tcW w:w="12855" w:type="dxa"/>
            <w:shd w:val="clear" w:color="auto" w:fill="auto"/>
            <w:vAlign w:val="bottom"/>
          </w:tcPr>
          <w:p w14:paraId="0D3DF69C" w14:textId="77777777" w:rsidR="00601D9B" w:rsidRPr="000E53A0" w:rsidRDefault="000E53A0">
            <w:pPr>
              <w:rPr>
                <w:rFonts w:asciiTheme="minorHAnsi" w:hAnsiTheme="minorHAnsi" w:cstheme="minorHAnsi"/>
                <w:b/>
                <w:sz w:val="18"/>
                <w:szCs w:val="18"/>
                <w:lang w:val="fr-FR"/>
              </w:rPr>
            </w:pPr>
            <w:r w:rsidRPr="000E53A0">
              <w:rPr>
                <w:rFonts w:ascii="Calibri" w:hAnsi="Calibri" w:cs="Calibri"/>
                <w:color w:val="000000"/>
                <w:sz w:val="18"/>
                <w:szCs w:val="18"/>
                <w:lang w:val="fr-FR" w:eastAsia="en-US"/>
              </w:rPr>
              <w:t xml:space="preserve">Acte 1.1.1 Ateliers de consultations nationales et régionales ; 2 jours/atelierAct 1.1.2 Ateliers pour la formulation des TdRAct 1.1.3 Trois ateliers de renforcement des capacités de deux jours pour les différents acteurs nationauxAct 1.1.3 Soutien logistique et technique pour les réunions trimestrielles ; </w:t>
            </w:r>
            <w:r w:rsidRPr="000E53A0">
              <w:rPr>
                <w:rFonts w:ascii="Calibri" w:hAnsi="Calibri" w:cs="Calibri"/>
                <w:color w:val="000000"/>
                <w:sz w:val="18"/>
                <w:szCs w:val="18"/>
                <w:lang w:val="fr-FR" w:eastAsia="en-US"/>
              </w:rPr>
              <w:br/>
              <w:t>4 ateliers de 2 jours avec un soutien pour 30 participants pendant 5 ans ; Reprographie des outils ; achat de matériel ; location de salles et de véhicules de transportAct 1.1.4 Un atelier de deux jours de renforcement des capacités des différents acteurs régionauxAct 1.2.1 Ateliers de consultations nationales et régionales ; pour cinq 2 jours/atelierAct 1.2.2 Ateliers de consultations nationales et régionales ; 2 jours/atelierAct 1.2.3 Formation au niveau régional ; 4 jours/atelier</w:t>
            </w:r>
          </w:p>
        </w:tc>
      </w:tr>
      <w:tr w:rsidR="00107491" w:rsidRPr="00C65CC7" w14:paraId="5C22EDAE" w14:textId="77777777" w:rsidTr="00107491">
        <w:tc>
          <w:tcPr>
            <w:tcW w:w="1535" w:type="dxa"/>
            <w:shd w:val="clear" w:color="auto" w:fill="auto"/>
            <w:vAlign w:val="bottom"/>
          </w:tcPr>
          <w:p w14:paraId="7F0B3D40" w14:textId="77777777" w:rsidR="00601D9B" w:rsidRDefault="000E53A0">
            <w:pPr>
              <w:rPr>
                <w:rFonts w:asciiTheme="minorHAnsi" w:hAnsiTheme="minorHAnsi" w:cstheme="minorHAnsi"/>
                <w:b/>
                <w:sz w:val="18"/>
                <w:szCs w:val="18"/>
              </w:rPr>
            </w:pPr>
            <w:r w:rsidRPr="00107491">
              <w:rPr>
                <w:rFonts w:ascii="Calibri" w:hAnsi="Calibri" w:cs="Calibri"/>
                <w:color w:val="000000"/>
                <w:sz w:val="18"/>
                <w:szCs w:val="18"/>
                <w:lang w:val="en-US" w:eastAsia="en-US"/>
              </w:rPr>
              <w:t>3</w:t>
            </w:r>
          </w:p>
        </w:tc>
        <w:tc>
          <w:tcPr>
            <w:tcW w:w="12855" w:type="dxa"/>
            <w:shd w:val="clear" w:color="auto" w:fill="auto"/>
            <w:vAlign w:val="bottom"/>
          </w:tcPr>
          <w:p w14:paraId="6D39C40C" w14:textId="77777777" w:rsidR="00601D9B" w:rsidRDefault="000E53A0">
            <w:pPr>
              <w:rPr>
                <w:rFonts w:asciiTheme="minorHAnsi" w:hAnsiTheme="minorHAnsi" w:cstheme="minorHAnsi"/>
                <w:b/>
                <w:sz w:val="18"/>
                <w:szCs w:val="18"/>
              </w:rPr>
            </w:pPr>
            <w:r w:rsidRPr="00107491">
              <w:rPr>
                <w:rFonts w:ascii="Calibri" w:hAnsi="Calibri" w:cs="Calibri"/>
                <w:color w:val="000000"/>
                <w:sz w:val="18"/>
                <w:szCs w:val="18"/>
                <w:lang w:val="en-US" w:eastAsia="en-US"/>
              </w:rPr>
              <w:t>Acte 1.1.2 Services d'impression</w:t>
            </w:r>
          </w:p>
        </w:tc>
      </w:tr>
      <w:tr w:rsidR="00107491" w:rsidRPr="00C65CC7" w14:paraId="61243534" w14:textId="77777777" w:rsidTr="00107491">
        <w:tc>
          <w:tcPr>
            <w:tcW w:w="1535" w:type="dxa"/>
            <w:shd w:val="clear" w:color="auto" w:fill="auto"/>
            <w:vAlign w:val="bottom"/>
          </w:tcPr>
          <w:p w14:paraId="430506A6" w14:textId="77777777" w:rsidR="00601D9B" w:rsidRDefault="000E53A0">
            <w:pPr>
              <w:rPr>
                <w:rFonts w:asciiTheme="minorHAnsi" w:hAnsiTheme="minorHAnsi" w:cstheme="minorHAnsi"/>
                <w:b/>
                <w:sz w:val="18"/>
                <w:szCs w:val="18"/>
              </w:rPr>
            </w:pPr>
            <w:r w:rsidRPr="00107491">
              <w:rPr>
                <w:rFonts w:ascii="Calibri" w:hAnsi="Calibri" w:cs="Calibri"/>
                <w:color w:val="000000"/>
                <w:sz w:val="18"/>
                <w:szCs w:val="18"/>
                <w:lang w:val="en-US" w:eastAsia="en-US"/>
              </w:rPr>
              <w:t>4</w:t>
            </w:r>
          </w:p>
        </w:tc>
        <w:tc>
          <w:tcPr>
            <w:tcW w:w="12855" w:type="dxa"/>
            <w:shd w:val="clear" w:color="auto" w:fill="auto"/>
            <w:vAlign w:val="bottom"/>
          </w:tcPr>
          <w:p w14:paraId="32DCF15C" w14:textId="77777777" w:rsidR="00601D9B" w:rsidRDefault="000E53A0">
            <w:pPr>
              <w:rPr>
                <w:rFonts w:asciiTheme="minorHAnsi" w:hAnsiTheme="minorHAnsi" w:cstheme="minorHAnsi"/>
                <w:b/>
                <w:sz w:val="18"/>
                <w:szCs w:val="18"/>
              </w:rPr>
            </w:pPr>
            <w:r w:rsidRPr="000E53A0">
              <w:rPr>
                <w:rFonts w:ascii="Calibri" w:hAnsi="Calibri" w:cs="Calibri"/>
                <w:color w:val="000000"/>
                <w:sz w:val="18"/>
                <w:szCs w:val="18"/>
                <w:lang w:val="fr-FR" w:eastAsia="en-US"/>
              </w:rPr>
              <w:t xml:space="preserve">Acte 1.1.3 DSA et voyages : International.Cons. 3000+ DSA@336USD/jourSortie 1.1. </w:t>
            </w:r>
            <w:r w:rsidRPr="00107491">
              <w:rPr>
                <w:rFonts w:ascii="Calibri" w:hAnsi="Calibri" w:cs="Calibri"/>
                <w:color w:val="000000"/>
                <w:sz w:val="18"/>
                <w:szCs w:val="18"/>
                <w:lang w:val="en-US" w:eastAsia="en-US"/>
              </w:rPr>
              <w:t>Frais de mission sur place</w:t>
            </w:r>
          </w:p>
        </w:tc>
      </w:tr>
      <w:tr w:rsidR="00107491" w:rsidRPr="00FB4FF7" w14:paraId="467C324B" w14:textId="77777777" w:rsidTr="00107491">
        <w:tc>
          <w:tcPr>
            <w:tcW w:w="1535" w:type="dxa"/>
            <w:shd w:val="clear" w:color="auto" w:fill="auto"/>
            <w:vAlign w:val="bottom"/>
          </w:tcPr>
          <w:p w14:paraId="451A037A" w14:textId="77777777" w:rsidR="00601D9B" w:rsidRDefault="000E53A0">
            <w:pPr>
              <w:rPr>
                <w:rFonts w:asciiTheme="minorHAnsi" w:hAnsiTheme="minorHAnsi" w:cstheme="minorHAnsi"/>
                <w:b/>
                <w:sz w:val="18"/>
                <w:szCs w:val="18"/>
              </w:rPr>
            </w:pPr>
            <w:r w:rsidRPr="00107491">
              <w:rPr>
                <w:rFonts w:ascii="Calibri" w:hAnsi="Calibri" w:cs="Calibri"/>
                <w:color w:val="000000"/>
                <w:sz w:val="18"/>
                <w:szCs w:val="18"/>
                <w:lang w:val="en-US" w:eastAsia="en-US"/>
              </w:rPr>
              <w:t>5</w:t>
            </w:r>
          </w:p>
        </w:tc>
        <w:tc>
          <w:tcPr>
            <w:tcW w:w="12855" w:type="dxa"/>
            <w:shd w:val="clear" w:color="auto" w:fill="auto"/>
            <w:vAlign w:val="bottom"/>
          </w:tcPr>
          <w:p w14:paraId="12043544" w14:textId="77777777" w:rsidR="00601D9B" w:rsidRPr="000E53A0" w:rsidRDefault="000E53A0">
            <w:pPr>
              <w:rPr>
                <w:rFonts w:asciiTheme="minorHAnsi" w:hAnsiTheme="minorHAnsi" w:cstheme="minorHAnsi"/>
                <w:b/>
                <w:sz w:val="18"/>
                <w:szCs w:val="18"/>
                <w:lang w:val="fr-FR"/>
              </w:rPr>
            </w:pPr>
            <w:r w:rsidRPr="000E53A0">
              <w:rPr>
                <w:rFonts w:ascii="Calibri" w:hAnsi="Calibri" w:cs="Calibri"/>
                <w:color w:val="000000"/>
                <w:sz w:val="18"/>
                <w:szCs w:val="18"/>
                <w:lang w:val="fr-FR" w:eastAsia="en-US"/>
              </w:rPr>
              <w:t>Act 1.2.1 20 enquêteurs dans 5 cercles pendant 5 jours pour les diagnostics communautaires/baseline;@50USD/jour/enquêteurOutput 1.1. Expert CC/LDN de l'équipe technique basé au bureau DREF de Mopti.</w:t>
            </w:r>
          </w:p>
        </w:tc>
      </w:tr>
      <w:tr w:rsidR="00107491" w:rsidRPr="000E53A0" w14:paraId="41BAB8FC" w14:textId="77777777" w:rsidTr="00107491">
        <w:tc>
          <w:tcPr>
            <w:tcW w:w="1535" w:type="dxa"/>
            <w:shd w:val="clear" w:color="auto" w:fill="auto"/>
            <w:vAlign w:val="bottom"/>
          </w:tcPr>
          <w:p w14:paraId="25A230C1" w14:textId="77777777" w:rsidR="00601D9B" w:rsidRDefault="000E53A0">
            <w:pPr>
              <w:rPr>
                <w:rFonts w:asciiTheme="minorHAnsi" w:hAnsiTheme="minorHAnsi" w:cstheme="minorHAnsi"/>
                <w:b/>
                <w:sz w:val="18"/>
                <w:szCs w:val="18"/>
              </w:rPr>
            </w:pPr>
            <w:r w:rsidRPr="00107491">
              <w:rPr>
                <w:rFonts w:ascii="Calibri" w:hAnsi="Calibri" w:cs="Calibri"/>
                <w:color w:val="000000"/>
                <w:sz w:val="18"/>
                <w:szCs w:val="18"/>
                <w:lang w:val="en-US" w:eastAsia="en-US"/>
              </w:rPr>
              <w:lastRenderedPageBreak/>
              <w:t>6</w:t>
            </w:r>
          </w:p>
        </w:tc>
        <w:tc>
          <w:tcPr>
            <w:tcW w:w="12855" w:type="dxa"/>
            <w:shd w:val="clear" w:color="auto" w:fill="auto"/>
            <w:vAlign w:val="bottom"/>
          </w:tcPr>
          <w:p w14:paraId="5A3516DB" w14:textId="77777777" w:rsidR="00601D9B" w:rsidRPr="000E53A0" w:rsidRDefault="000E53A0">
            <w:pPr>
              <w:rPr>
                <w:rFonts w:asciiTheme="minorHAnsi" w:hAnsiTheme="minorHAnsi" w:cstheme="minorHAnsi"/>
                <w:b/>
                <w:sz w:val="18"/>
                <w:szCs w:val="18"/>
                <w:lang w:val="fr-FR"/>
              </w:rPr>
            </w:pPr>
            <w:r w:rsidRPr="000E53A0">
              <w:rPr>
                <w:rFonts w:ascii="Calibri" w:hAnsi="Calibri" w:cs="Calibri"/>
                <w:color w:val="000000"/>
                <w:sz w:val="18"/>
                <w:szCs w:val="18"/>
                <w:lang w:val="fr-FR" w:eastAsia="en-US"/>
              </w:rPr>
              <w:t xml:space="preserve">Consultant international ESMF ; 30 jours@700 USD/jour Act 1.3.1 Expert en vulnérabilité au changement climatique ; 20 jours@700 USD/jour </w:t>
            </w:r>
          </w:p>
        </w:tc>
      </w:tr>
      <w:tr w:rsidR="00107491" w:rsidRPr="000E53A0" w14:paraId="083D64C5" w14:textId="77777777" w:rsidTr="00107491">
        <w:tc>
          <w:tcPr>
            <w:tcW w:w="1535" w:type="dxa"/>
            <w:shd w:val="clear" w:color="auto" w:fill="auto"/>
            <w:vAlign w:val="bottom"/>
          </w:tcPr>
          <w:p w14:paraId="335764D4" w14:textId="77777777" w:rsidR="00601D9B" w:rsidRDefault="000E53A0">
            <w:pPr>
              <w:rPr>
                <w:rFonts w:asciiTheme="minorHAnsi" w:hAnsiTheme="minorHAnsi" w:cstheme="minorHAnsi"/>
                <w:b/>
                <w:sz w:val="18"/>
                <w:szCs w:val="18"/>
              </w:rPr>
            </w:pPr>
            <w:r w:rsidRPr="00107491">
              <w:rPr>
                <w:rFonts w:ascii="Calibri" w:hAnsi="Calibri" w:cs="Calibri"/>
                <w:color w:val="000000"/>
                <w:sz w:val="18"/>
                <w:szCs w:val="18"/>
                <w:lang w:val="en-US" w:eastAsia="en-US"/>
              </w:rPr>
              <w:t>7</w:t>
            </w:r>
          </w:p>
        </w:tc>
        <w:tc>
          <w:tcPr>
            <w:tcW w:w="12855" w:type="dxa"/>
            <w:shd w:val="clear" w:color="auto" w:fill="auto"/>
            <w:vAlign w:val="bottom"/>
          </w:tcPr>
          <w:p w14:paraId="3AC3E538" w14:textId="77777777" w:rsidR="00601D9B" w:rsidRPr="000E53A0" w:rsidRDefault="000E53A0">
            <w:pPr>
              <w:rPr>
                <w:rFonts w:asciiTheme="minorHAnsi" w:hAnsiTheme="minorHAnsi" w:cstheme="minorHAnsi"/>
                <w:b/>
                <w:sz w:val="18"/>
                <w:szCs w:val="18"/>
                <w:lang w:val="fr-FR"/>
              </w:rPr>
            </w:pPr>
            <w:r w:rsidRPr="000E53A0">
              <w:rPr>
                <w:rFonts w:ascii="Calibri" w:hAnsi="Calibri" w:cs="Calibri"/>
                <w:color w:val="000000"/>
                <w:sz w:val="18"/>
                <w:szCs w:val="18"/>
                <w:lang w:val="fr-FR" w:eastAsia="en-US"/>
              </w:rPr>
              <w:t>Consultant national ESMF ; 30 jours@300 USD/jour pour le plan initialAct 1.3.1 Expert en cartographie SIG/vulnérabilité ; 10 jours@300 USD/jourAct 1.3.2 Expert local en cartographie SIG/vulnérabilité pendant 6 jours @300USD/jourAct 1.3.3 Expert local en cartographie SIG/vulnérabilité pendant 40 jours @300USD/jourAct 1.3.4 Expert local en cartographie SIG/vulnérabilité pendant 60 jours @300USD/jour</w:t>
            </w:r>
          </w:p>
        </w:tc>
      </w:tr>
      <w:tr w:rsidR="00107491" w:rsidRPr="000E53A0" w14:paraId="0B8A9356" w14:textId="77777777" w:rsidTr="00107491">
        <w:tc>
          <w:tcPr>
            <w:tcW w:w="1535" w:type="dxa"/>
            <w:shd w:val="clear" w:color="auto" w:fill="auto"/>
            <w:vAlign w:val="bottom"/>
          </w:tcPr>
          <w:p w14:paraId="364FA1B9" w14:textId="77777777" w:rsidR="00601D9B" w:rsidRDefault="000E53A0">
            <w:pPr>
              <w:rPr>
                <w:rFonts w:asciiTheme="minorHAnsi" w:hAnsiTheme="minorHAnsi" w:cstheme="minorHAnsi"/>
                <w:b/>
                <w:sz w:val="18"/>
                <w:szCs w:val="18"/>
              </w:rPr>
            </w:pPr>
            <w:r w:rsidRPr="00107491">
              <w:rPr>
                <w:rFonts w:ascii="Calibri" w:hAnsi="Calibri" w:cs="Calibri"/>
                <w:color w:val="000000"/>
                <w:sz w:val="18"/>
                <w:szCs w:val="18"/>
                <w:lang w:val="en-US" w:eastAsia="en-US"/>
              </w:rPr>
              <w:t>8</w:t>
            </w:r>
          </w:p>
        </w:tc>
        <w:tc>
          <w:tcPr>
            <w:tcW w:w="12855" w:type="dxa"/>
            <w:shd w:val="clear" w:color="auto" w:fill="auto"/>
            <w:vAlign w:val="bottom"/>
          </w:tcPr>
          <w:p w14:paraId="27FC0CFA" w14:textId="77777777" w:rsidR="00601D9B" w:rsidRPr="000E53A0" w:rsidRDefault="000E53A0">
            <w:pPr>
              <w:rPr>
                <w:rFonts w:asciiTheme="minorHAnsi" w:hAnsiTheme="minorHAnsi" w:cstheme="minorHAnsi"/>
                <w:b/>
                <w:sz w:val="18"/>
                <w:szCs w:val="18"/>
                <w:lang w:val="fr-FR"/>
              </w:rPr>
            </w:pPr>
            <w:r w:rsidRPr="000E53A0">
              <w:rPr>
                <w:rFonts w:ascii="Calibri" w:hAnsi="Calibri" w:cs="Calibri"/>
                <w:color w:val="000000"/>
                <w:sz w:val="18"/>
                <w:szCs w:val="18"/>
                <w:lang w:val="fr-FR" w:eastAsia="en-US"/>
              </w:rPr>
              <w:t xml:space="preserve">Act 1.3.3 25 géomètres dans 5 cercles pour un mois @500USD/mois au début et à la fin du projet ; </w:t>
            </w:r>
          </w:p>
        </w:tc>
      </w:tr>
      <w:tr w:rsidR="00107491" w:rsidRPr="000E53A0" w14:paraId="474FBE5E" w14:textId="77777777" w:rsidTr="00107491">
        <w:tc>
          <w:tcPr>
            <w:tcW w:w="1535" w:type="dxa"/>
            <w:shd w:val="clear" w:color="auto" w:fill="auto"/>
            <w:vAlign w:val="bottom"/>
          </w:tcPr>
          <w:p w14:paraId="5E430CC7" w14:textId="77777777" w:rsidR="00601D9B" w:rsidRDefault="000E53A0">
            <w:pPr>
              <w:rPr>
                <w:rFonts w:asciiTheme="minorHAnsi" w:hAnsiTheme="minorHAnsi" w:cstheme="minorHAnsi"/>
                <w:b/>
                <w:sz w:val="18"/>
                <w:szCs w:val="18"/>
              </w:rPr>
            </w:pPr>
            <w:r w:rsidRPr="00107491">
              <w:rPr>
                <w:rFonts w:ascii="Calibri" w:hAnsi="Calibri" w:cs="Calibri"/>
                <w:color w:val="000000"/>
                <w:sz w:val="18"/>
                <w:szCs w:val="18"/>
                <w:lang w:val="en-US" w:eastAsia="en-US"/>
              </w:rPr>
              <w:t>9</w:t>
            </w:r>
          </w:p>
        </w:tc>
        <w:tc>
          <w:tcPr>
            <w:tcW w:w="12855" w:type="dxa"/>
            <w:shd w:val="clear" w:color="auto" w:fill="auto"/>
            <w:vAlign w:val="bottom"/>
          </w:tcPr>
          <w:p w14:paraId="4D4E1385" w14:textId="77777777" w:rsidR="00601D9B" w:rsidRPr="000E53A0" w:rsidRDefault="000E53A0">
            <w:pPr>
              <w:rPr>
                <w:rFonts w:asciiTheme="minorHAnsi" w:hAnsiTheme="minorHAnsi" w:cstheme="minorHAnsi"/>
                <w:b/>
                <w:sz w:val="18"/>
                <w:szCs w:val="18"/>
                <w:lang w:val="fr-FR"/>
              </w:rPr>
            </w:pPr>
            <w:r w:rsidRPr="000E53A0">
              <w:rPr>
                <w:rFonts w:ascii="Calibri" w:hAnsi="Calibri" w:cs="Calibri"/>
                <w:color w:val="000000"/>
                <w:sz w:val="18"/>
                <w:szCs w:val="18"/>
                <w:lang w:val="fr-FR" w:eastAsia="en-US"/>
              </w:rPr>
              <w:t>Act 1.3.1 Ateliers de formation sur la méthodologie pour 6 participants de l'AEDD, Mali Météo, IGM sur 3 joursAct 1.3.2 Formation de 25 enquêteurs pendant 2 jours à 50USD par enquêteur/jour + salle de réunion (75USDX2j) + repas et fournituresAct 1.3.4 Formation d'une journée par commune pour 45 participants @50USD par participant plus chambre</w:t>
            </w:r>
          </w:p>
        </w:tc>
      </w:tr>
      <w:tr w:rsidR="00107491" w:rsidRPr="00FB4FF7" w14:paraId="570E808B" w14:textId="77777777" w:rsidTr="00107491">
        <w:tc>
          <w:tcPr>
            <w:tcW w:w="1535" w:type="dxa"/>
            <w:shd w:val="clear" w:color="auto" w:fill="auto"/>
            <w:vAlign w:val="bottom"/>
          </w:tcPr>
          <w:p w14:paraId="5946E8F3" w14:textId="77777777" w:rsidR="00601D9B" w:rsidRDefault="000E53A0">
            <w:pPr>
              <w:rPr>
                <w:rFonts w:asciiTheme="minorHAnsi" w:hAnsiTheme="minorHAnsi" w:cstheme="minorHAnsi"/>
                <w:b/>
                <w:sz w:val="18"/>
                <w:szCs w:val="18"/>
              </w:rPr>
            </w:pPr>
            <w:r w:rsidRPr="00107491">
              <w:rPr>
                <w:rFonts w:ascii="Calibri" w:hAnsi="Calibri" w:cs="Calibri"/>
                <w:color w:val="000000"/>
                <w:sz w:val="18"/>
                <w:szCs w:val="18"/>
                <w:lang w:val="en-US" w:eastAsia="en-US"/>
              </w:rPr>
              <w:t>10</w:t>
            </w:r>
          </w:p>
        </w:tc>
        <w:tc>
          <w:tcPr>
            <w:tcW w:w="12855" w:type="dxa"/>
            <w:shd w:val="clear" w:color="auto" w:fill="auto"/>
            <w:vAlign w:val="bottom"/>
          </w:tcPr>
          <w:p w14:paraId="10639317" w14:textId="77777777" w:rsidR="00601D9B" w:rsidRPr="000E53A0" w:rsidRDefault="000E53A0">
            <w:pPr>
              <w:rPr>
                <w:rFonts w:asciiTheme="minorHAnsi" w:hAnsiTheme="minorHAnsi" w:cstheme="minorHAnsi"/>
                <w:b/>
                <w:sz w:val="18"/>
                <w:szCs w:val="18"/>
                <w:lang w:val="fr-FR"/>
              </w:rPr>
            </w:pPr>
            <w:r w:rsidRPr="000E53A0">
              <w:rPr>
                <w:rFonts w:ascii="Calibri" w:hAnsi="Calibri" w:cs="Calibri"/>
                <w:color w:val="000000"/>
                <w:sz w:val="18"/>
                <w:szCs w:val="18"/>
                <w:lang w:val="fr-FR" w:eastAsia="en-US"/>
              </w:rPr>
              <w:t>Acte 1.3.1 DSA et voyages : International.Cons. 3000+ DSA@336USD/jourAct 1.3.2 DSA et voyage : Nat.Cons. 2000 (communes)Act 1.3.4 DSA et voyage : Nat.Cons. 4000 (communes)Output 1.3 Frais de mission sur place</w:t>
            </w:r>
          </w:p>
        </w:tc>
      </w:tr>
      <w:tr w:rsidR="00107491" w:rsidRPr="000E53A0" w14:paraId="5A280281" w14:textId="77777777" w:rsidTr="00107491">
        <w:tc>
          <w:tcPr>
            <w:tcW w:w="1535" w:type="dxa"/>
            <w:shd w:val="clear" w:color="auto" w:fill="auto"/>
            <w:vAlign w:val="bottom"/>
          </w:tcPr>
          <w:p w14:paraId="62662E42" w14:textId="77777777" w:rsidR="00601D9B" w:rsidRDefault="000E53A0">
            <w:pPr>
              <w:rPr>
                <w:rFonts w:asciiTheme="minorHAnsi" w:hAnsiTheme="minorHAnsi" w:cstheme="minorHAnsi"/>
                <w:b/>
                <w:sz w:val="18"/>
                <w:szCs w:val="18"/>
              </w:rPr>
            </w:pPr>
            <w:r w:rsidRPr="00107491">
              <w:rPr>
                <w:rFonts w:ascii="Calibri" w:hAnsi="Calibri" w:cs="Calibri"/>
                <w:color w:val="000000"/>
                <w:sz w:val="18"/>
                <w:szCs w:val="18"/>
                <w:lang w:val="en-US" w:eastAsia="en-US"/>
              </w:rPr>
              <w:t>11</w:t>
            </w:r>
          </w:p>
        </w:tc>
        <w:tc>
          <w:tcPr>
            <w:tcW w:w="12855" w:type="dxa"/>
            <w:shd w:val="clear" w:color="auto" w:fill="auto"/>
            <w:vAlign w:val="bottom"/>
          </w:tcPr>
          <w:p w14:paraId="05098B0C" w14:textId="77777777" w:rsidR="00601D9B" w:rsidRPr="000E53A0" w:rsidRDefault="000E53A0">
            <w:pPr>
              <w:rPr>
                <w:rFonts w:asciiTheme="minorHAnsi" w:hAnsiTheme="minorHAnsi" w:cstheme="minorHAnsi"/>
                <w:b/>
                <w:sz w:val="18"/>
                <w:szCs w:val="18"/>
                <w:lang w:val="fr-FR"/>
              </w:rPr>
            </w:pPr>
            <w:r w:rsidRPr="000E53A0">
              <w:rPr>
                <w:rFonts w:ascii="Calibri" w:hAnsi="Calibri" w:cs="Calibri"/>
                <w:color w:val="000000"/>
                <w:sz w:val="18"/>
                <w:szCs w:val="18"/>
                <w:lang w:val="fr-FR" w:eastAsia="en-US"/>
              </w:rPr>
              <w:t>Act 2.1.1 Expert national en GRN et sauvegardes ; 40 jours@300 USD/jourAct 2.1.2 Expert national en GRN et sauvegardes ; 80 jours@300 USD/jourAct 2.1.4 Expert national en sociologie/communication ; 40 jours@300 USD/jourAct 2.3.1 Consultant national (ANR et SLWM) 15 jours @300USDAct 2.3.4 Consultant national (ANR et SLWM) 2 jours/an/commune @300USD</w:t>
            </w:r>
          </w:p>
        </w:tc>
      </w:tr>
      <w:tr w:rsidR="00107491" w:rsidRPr="00FB4FF7" w14:paraId="0C09BFB8" w14:textId="77777777" w:rsidTr="00107491">
        <w:tc>
          <w:tcPr>
            <w:tcW w:w="1535" w:type="dxa"/>
            <w:shd w:val="clear" w:color="auto" w:fill="auto"/>
            <w:vAlign w:val="bottom"/>
          </w:tcPr>
          <w:p w14:paraId="4BF50314" w14:textId="77777777" w:rsidR="00601D9B" w:rsidRDefault="000E53A0">
            <w:pPr>
              <w:rPr>
                <w:rFonts w:asciiTheme="minorHAnsi" w:hAnsiTheme="minorHAnsi" w:cstheme="minorHAnsi"/>
                <w:b/>
                <w:sz w:val="18"/>
                <w:szCs w:val="18"/>
              </w:rPr>
            </w:pPr>
            <w:r w:rsidRPr="00107491">
              <w:rPr>
                <w:rFonts w:ascii="Calibri" w:hAnsi="Calibri" w:cs="Calibri"/>
                <w:color w:val="000000"/>
                <w:sz w:val="18"/>
                <w:szCs w:val="18"/>
                <w:lang w:val="en-US" w:eastAsia="en-US"/>
              </w:rPr>
              <w:t>12</w:t>
            </w:r>
          </w:p>
        </w:tc>
        <w:tc>
          <w:tcPr>
            <w:tcW w:w="12855" w:type="dxa"/>
            <w:shd w:val="clear" w:color="auto" w:fill="auto"/>
            <w:vAlign w:val="bottom"/>
          </w:tcPr>
          <w:p w14:paraId="1183E58B" w14:textId="77777777" w:rsidR="00601D9B" w:rsidRPr="000E53A0" w:rsidRDefault="000E53A0">
            <w:pPr>
              <w:rPr>
                <w:rFonts w:asciiTheme="minorHAnsi" w:hAnsiTheme="minorHAnsi" w:cstheme="minorHAnsi"/>
                <w:b/>
                <w:sz w:val="18"/>
                <w:szCs w:val="18"/>
                <w:lang w:val="fr-FR"/>
              </w:rPr>
            </w:pPr>
            <w:r w:rsidRPr="000E53A0">
              <w:rPr>
                <w:rFonts w:ascii="Calibri" w:hAnsi="Calibri" w:cs="Calibri"/>
                <w:color w:val="000000"/>
                <w:sz w:val="18"/>
                <w:szCs w:val="18"/>
                <w:lang w:val="fr-FR" w:eastAsia="en-US"/>
              </w:rPr>
              <w:t xml:space="preserve">Acte 2.1.1 DSA et déplacement : Cons. nat. 4000 (communes)Acte 2.1.4 DSA et déplacements : Nat.Cons. 4000 (communes)Act 2.3.1 Déplacement du consultant national dans 5 cerclesAct 2.3.4 Déplacement du consultant national dans 5 cercles (cartographie annuelle et présentation des </w:t>
            </w:r>
            <w:proofErr w:type="gramStart"/>
            <w:r w:rsidRPr="000E53A0">
              <w:rPr>
                <w:rFonts w:ascii="Calibri" w:hAnsi="Calibri" w:cs="Calibri"/>
                <w:color w:val="000000"/>
                <w:sz w:val="18"/>
                <w:szCs w:val="18"/>
                <w:lang w:val="fr-FR" w:eastAsia="en-US"/>
              </w:rPr>
              <w:t>résultats)Output</w:t>
            </w:r>
            <w:proofErr w:type="gramEnd"/>
            <w:r w:rsidRPr="000E53A0">
              <w:rPr>
                <w:rFonts w:ascii="Calibri" w:hAnsi="Calibri" w:cs="Calibri"/>
                <w:color w:val="000000"/>
                <w:sz w:val="18"/>
                <w:szCs w:val="18"/>
                <w:lang w:val="fr-FR" w:eastAsia="en-US"/>
              </w:rPr>
              <w:t xml:space="preserve"> 2.1 Frais de déplacement des missions sur site par an et par cercle</w:t>
            </w:r>
          </w:p>
        </w:tc>
      </w:tr>
      <w:tr w:rsidR="00107491" w:rsidRPr="000E53A0" w14:paraId="74EF92C9" w14:textId="77777777" w:rsidTr="00107491">
        <w:tc>
          <w:tcPr>
            <w:tcW w:w="1535" w:type="dxa"/>
            <w:shd w:val="clear" w:color="auto" w:fill="auto"/>
            <w:vAlign w:val="bottom"/>
          </w:tcPr>
          <w:p w14:paraId="6D0CAE7D" w14:textId="77777777" w:rsidR="00601D9B" w:rsidRDefault="000E53A0">
            <w:pPr>
              <w:rPr>
                <w:rFonts w:asciiTheme="minorHAnsi" w:hAnsiTheme="minorHAnsi" w:cstheme="minorHAnsi"/>
                <w:b/>
                <w:sz w:val="18"/>
                <w:szCs w:val="18"/>
              </w:rPr>
            </w:pPr>
            <w:r w:rsidRPr="00107491">
              <w:rPr>
                <w:rFonts w:ascii="Calibri" w:hAnsi="Calibri" w:cs="Calibri"/>
                <w:color w:val="000000"/>
                <w:sz w:val="18"/>
                <w:szCs w:val="18"/>
                <w:lang w:val="en-US" w:eastAsia="en-US"/>
              </w:rPr>
              <w:t>13</w:t>
            </w:r>
          </w:p>
        </w:tc>
        <w:tc>
          <w:tcPr>
            <w:tcW w:w="12855" w:type="dxa"/>
            <w:shd w:val="clear" w:color="auto" w:fill="auto"/>
            <w:vAlign w:val="bottom"/>
          </w:tcPr>
          <w:p w14:paraId="1A8ED78A" w14:textId="77777777" w:rsidR="00601D9B" w:rsidRPr="000E53A0" w:rsidRDefault="000E53A0">
            <w:pPr>
              <w:rPr>
                <w:rFonts w:asciiTheme="minorHAnsi" w:hAnsiTheme="minorHAnsi" w:cstheme="minorHAnsi"/>
                <w:b/>
                <w:sz w:val="18"/>
                <w:szCs w:val="18"/>
                <w:lang w:val="fr-FR"/>
              </w:rPr>
            </w:pPr>
            <w:r w:rsidRPr="000E53A0">
              <w:rPr>
                <w:rFonts w:ascii="Calibri" w:hAnsi="Calibri" w:cs="Calibri"/>
                <w:color w:val="000000"/>
                <w:sz w:val="18"/>
                <w:szCs w:val="18"/>
                <w:lang w:val="fr-FR" w:eastAsia="en-US"/>
              </w:rPr>
              <w:t>Act 2.1.1 15 enquêteurs (un par commune) pour un mois @500USD/moisAct 2.1.2 15 facilitateurs (un par commune) pour douze mois @500USD/moisOutput 2.1 Expert CC/LDN du projetOutput 2.1 Responsable M&amp;EOutput 2.1 Assistant Communication/Gender</w:t>
            </w:r>
          </w:p>
        </w:tc>
      </w:tr>
      <w:tr w:rsidR="00107491" w:rsidRPr="000E53A0" w14:paraId="0D0B0669" w14:textId="77777777" w:rsidTr="00107491">
        <w:tc>
          <w:tcPr>
            <w:tcW w:w="1535" w:type="dxa"/>
            <w:shd w:val="clear" w:color="auto" w:fill="auto"/>
            <w:vAlign w:val="bottom"/>
          </w:tcPr>
          <w:p w14:paraId="25DF1811" w14:textId="77777777" w:rsidR="00601D9B" w:rsidRDefault="000E53A0">
            <w:pPr>
              <w:rPr>
                <w:rFonts w:asciiTheme="minorHAnsi" w:hAnsiTheme="minorHAnsi" w:cstheme="minorHAnsi"/>
                <w:b/>
                <w:sz w:val="18"/>
                <w:szCs w:val="18"/>
              </w:rPr>
            </w:pPr>
            <w:r w:rsidRPr="00107491">
              <w:rPr>
                <w:rFonts w:ascii="Calibri" w:hAnsi="Calibri" w:cs="Calibri"/>
                <w:color w:val="000000"/>
                <w:sz w:val="18"/>
                <w:szCs w:val="18"/>
                <w:lang w:val="en-US" w:eastAsia="en-US"/>
              </w:rPr>
              <w:t>14</w:t>
            </w:r>
          </w:p>
        </w:tc>
        <w:tc>
          <w:tcPr>
            <w:tcW w:w="12855" w:type="dxa"/>
            <w:shd w:val="clear" w:color="auto" w:fill="auto"/>
            <w:vAlign w:val="bottom"/>
          </w:tcPr>
          <w:p w14:paraId="7AAAFF24" w14:textId="77777777" w:rsidR="00601D9B" w:rsidRPr="000E53A0" w:rsidRDefault="000E53A0">
            <w:pPr>
              <w:rPr>
                <w:rFonts w:asciiTheme="minorHAnsi" w:hAnsiTheme="minorHAnsi" w:cstheme="minorHAnsi"/>
                <w:b/>
                <w:sz w:val="18"/>
                <w:szCs w:val="18"/>
                <w:lang w:val="fr-FR"/>
              </w:rPr>
            </w:pPr>
            <w:r w:rsidRPr="000E53A0">
              <w:rPr>
                <w:rFonts w:ascii="Calibri" w:hAnsi="Calibri" w:cs="Calibri"/>
                <w:color w:val="000000"/>
                <w:sz w:val="18"/>
                <w:szCs w:val="18"/>
                <w:lang w:val="fr-FR" w:eastAsia="en-US"/>
              </w:rPr>
              <w:t>Act 2.1.2 Motos pour les facilitateursAct 2.3.4 Equipement pour l'ANR et SLWM dans chaque communeOutput 2.1 Bureaux, équipement de bureau et mobilier</w:t>
            </w:r>
          </w:p>
        </w:tc>
      </w:tr>
      <w:tr w:rsidR="00107491" w:rsidRPr="000E53A0" w14:paraId="734DA3DE" w14:textId="77777777" w:rsidTr="00107491">
        <w:tc>
          <w:tcPr>
            <w:tcW w:w="1535" w:type="dxa"/>
            <w:shd w:val="clear" w:color="auto" w:fill="auto"/>
            <w:vAlign w:val="bottom"/>
          </w:tcPr>
          <w:p w14:paraId="7B01A735" w14:textId="77777777" w:rsidR="00601D9B" w:rsidRDefault="000E53A0">
            <w:pPr>
              <w:rPr>
                <w:rFonts w:asciiTheme="minorHAnsi" w:hAnsiTheme="minorHAnsi" w:cstheme="minorHAnsi"/>
                <w:b/>
                <w:sz w:val="18"/>
                <w:szCs w:val="18"/>
              </w:rPr>
            </w:pPr>
            <w:r w:rsidRPr="00107491">
              <w:rPr>
                <w:rFonts w:ascii="Calibri" w:hAnsi="Calibri" w:cs="Calibri"/>
                <w:color w:val="000000"/>
                <w:sz w:val="18"/>
                <w:szCs w:val="18"/>
                <w:lang w:val="en-US" w:eastAsia="en-US"/>
              </w:rPr>
              <w:t>15</w:t>
            </w:r>
          </w:p>
        </w:tc>
        <w:tc>
          <w:tcPr>
            <w:tcW w:w="12855" w:type="dxa"/>
            <w:shd w:val="clear" w:color="auto" w:fill="auto"/>
            <w:vAlign w:val="bottom"/>
          </w:tcPr>
          <w:p w14:paraId="09789DE2" w14:textId="77777777" w:rsidR="00601D9B" w:rsidRPr="000E53A0" w:rsidRDefault="000E53A0">
            <w:pPr>
              <w:rPr>
                <w:rFonts w:asciiTheme="minorHAnsi" w:hAnsiTheme="minorHAnsi" w:cstheme="minorHAnsi"/>
                <w:b/>
                <w:sz w:val="18"/>
                <w:szCs w:val="18"/>
                <w:lang w:val="fr-FR"/>
              </w:rPr>
            </w:pPr>
            <w:r w:rsidRPr="000E53A0">
              <w:rPr>
                <w:rFonts w:ascii="Calibri" w:hAnsi="Calibri" w:cs="Calibri"/>
                <w:color w:val="000000"/>
                <w:sz w:val="18"/>
                <w:szCs w:val="18"/>
                <w:lang w:val="fr-FR" w:eastAsia="en-US"/>
              </w:rPr>
              <w:t xml:space="preserve">Output 2.1 Ordinateurs et autres équipements informatiques nécessaires </w:t>
            </w:r>
          </w:p>
        </w:tc>
      </w:tr>
      <w:tr w:rsidR="00107491" w:rsidRPr="000E53A0" w14:paraId="286D7960" w14:textId="77777777" w:rsidTr="00107491">
        <w:tc>
          <w:tcPr>
            <w:tcW w:w="1535" w:type="dxa"/>
            <w:shd w:val="clear" w:color="auto" w:fill="auto"/>
            <w:vAlign w:val="bottom"/>
          </w:tcPr>
          <w:p w14:paraId="04946168" w14:textId="77777777" w:rsidR="00601D9B" w:rsidRDefault="000E53A0">
            <w:pPr>
              <w:rPr>
                <w:rFonts w:asciiTheme="minorHAnsi" w:hAnsiTheme="minorHAnsi" w:cstheme="minorHAnsi"/>
                <w:b/>
                <w:sz w:val="18"/>
                <w:szCs w:val="18"/>
              </w:rPr>
            </w:pPr>
            <w:r w:rsidRPr="00107491">
              <w:rPr>
                <w:rFonts w:ascii="Calibri" w:hAnsi="Calibri" w:cs="Calibri"/>
                <w:color w:val="000000"/>
                <w:sz w:val="18"/>
                <w:szCs w:val="18"/>
                <w:lang w:val="en-US" w:eastAsia="en-US"/>
              </w:rPr>
              <w:t>16</w:t>
            </w:r>
          </w:p>
        </w:tc>
        <w:tc>
          <w:tcPr>
            <w:tcW w:w="12855" w:type="dxa"/>
            <w:shd w:val="clear" w:color="auto" w:fill="auto"/>
            <w:vAlign w:val="bottom"/>
          </w:tcPr>
          <w:p w14:paraId="4B6979AB" w14:textId="77777777" w:rsidR="00601D9B" w:rsidRPr="000E53A0" w:rsidRDefault="000E53A0">
            <w:pPr>
              <w:rPr>
                <w:rFonts w:asciiTheme="minorHAnsi" w:hAnsiTheme="minorHAnsi" w:cstheme="minorHAnsi"/>
                <w:b/>
                <w:sz w:val="18"/>
                <w:szCs w:val="18"/>
                <w:lang w:val="fr-FR"/>
              </w:rPr>
            </w:pPr>
            <w:r w:rsidRPr="000E53A0">
              <w:rPr>
                <w:rFonts w:ascii="Calibri" w:hAnsi="Calibri" w:cs="Calibri"/>
                <w:color w:val="000000"/>
                <w:sz w:val="18"/>
                <w:szCs w:val="18"/>
                <w:lang w:val="fr-FR" w:eastAsia="en-US"/>
              </w:rPr>
              <w:t>Act 2.1.1 Formation de 15 enquêteurs pendant 2 jours à 60USD par enquêteur/jour + salle de réunion (75USDX2j) + repas et fournituresAct 2.1.3 Formation communautaire de dans 15 communes, comme un processus continu à travers les 15 facilitateurs ; cinq formations par commune par an à 400USD par formationAct 2.1.4 Forums communautaires (15 communes) pour 20 participants/commune à 20USD parparticipant+75USD pour la salleAct 2.3.1 Formation des agents de vulgarisation (une formation par cercle)Act 2.3.4 Frais d'atelier pour la restitution des résultats du rapport (un par sommune au début et à la fin du projet)</w:t>
            </w:r>
          </w:p>
        </w:tc>
      </w:tr>
      <w:tr w:rsidR="00107491" w:rsidRPr="000E53A0" w14:paraId="66322296" w14:textId="77777777" w:rsidTr="00107491">
        <w:tc>
          <w:tcPr>
            <w:tcW w:w="1535" w:type="dxa"/>
            <w:shd w:val="clear" w:color="auto" w:fill="auto"/>
            <w:vAlign w:val="bottom"/>
          </w:tcPr>
          <w:p w14:paraId="0AD63311" w14:textId="77777777" w:rsidR="00601D9B" w:rsidRDefault="000E53A0">
            <w:pPr>
              <w:rPr>
                <w:rFonts w:asciiTheme="minorHAnsi" w:hAnsiTheme="minorHAnsi" w:cstheme="minorHAnsi"/>
                <w:b/>
                <w:sz w:val="18"/>
                <w:szCs w:val="18"/>
              </w:rPr>
            </w:pPr>
            <w:r w:rsidRPr="00107491">
              <w:rPr>
                <w:rFonts w:ascii="Calibri" w:hAnsi="Calibri" w:cs="Calibri"/>
                <w:color w:val="000000"/>
                <w:sz w:val="18"/>
                <w:szCs w:val="18"/>
                <w:lang w:val="en-US" w:eastAsia="en-US"/>
              </w:rPr>
              <w:t>17</w:t>
            </w:r>
          </w:p>
        </w:tc>
        <w:tc>
          <w:tcPr>
            <w:tcW w:w="12855" w:type="dxa"/>
            <w:shd w:val="clear" w:color="auto" w:fill="auto"/>
            <w:vAlign w:val="bottom"/>
          </w:tcPr>
          <w:p w14:paraId="5671C8D3" w14:textId="77777777" w:rsidR="00601D9B" w:rsidRPr="000E53A0" w:rsidRDefault="000E53A0">
            <w:pPr>
              <w:rPr>
                <w:rFonts w:asciiTheme="minorHAnsi" w:hAnsiTheme="minorHAnsi" w:cstheme="minorHAnsi"/>
                <w:b/>
                <w:sz w:val="18"/>
                <w:szCs w:val="18"/>
                <w:lang w:val="fr-FR"/>
              </w:rPr>
            </w:pPr>
            <w:r w:rsidRPr="000E53A0">
              <w:rPr>
                <w:rFonts w:ascii="Calibri" w:hAnsi="Calibri" w:cs="Calibri"/>
                <w:color w:val="000000"/>
                <w:sz w:val="18"/>
                <w:szCs w:val="18"/>
                <w:lang w:val="fr-FR" w:eastAsia="en-US"/>
              </w:rPr>
              <w:t>Acte 2.3.2 MoU/LoA services de vulgarisation pour l'établissement de FFS</w:t>
            </w:r>
          </w:p>
        </w:tc>
      </w:tr>
      <w:tr w:rsidR="00107491" w:rsidRPr="00C65CC7" w14:paraId="0ABD13BE" w14:textId="77777777" w:rsidTr="00107491">
        <w:tc>
          <w:tcPr>
            <w:tcW w:w="1535" w:type="dxa"/>
            <w:shd w:val="clear" w:color="auto" w:fill="auto"/>
            <w:vAlign w:val="bottom"/>
          </w:tcPr>
          <w:p w14:paraId="2C65CFD3" w14:textId="77777777" w:rsidR="00601D9B" w:rsidRDefault="000E53A0">
            <w:pPr>
              <w:rPr>
                <w:rFonts w:asciiTheme="minorHAnsi" w:hAnsiTheme="minorHAnsi" w:cstheme="minorHAnsi"/>
                <w:b/>
                <w:sz w:val="18"/>
                <w:szCs w:val="18"/>
              </w:rPr>
            </w:pPr>
            <w:r w:rsidRPr="00107491">
              <w:rPr>
                <w:rFonts w:ascii="Calibri" w:hAnsi="Calibri" w:cs="Calibri"/>
                <w:color w:val="000000"/>
                <w:sz w:val="18"/>
                <w:szCs w:val="18"/>
                <w:lang w:val="en-US" w:eastAsia="en-US"/>
              </w:rPr>
              <w:t>18</w:t>
            </w:r>
          </w:p>
        </w:tc>
        <w:tc>
          <w:tcPr>
            <w:tcW w:w="12855" w:type="dxa"/>
            <w:shd w:val="clear" w:color="auto" w:fill="auto"/>
            <w:vAlign w:val="bottom"/>
          </w:tcPr>
          <w:p w14:paraId="58E2AABE" w14:textId="77777777" w:rsidR="00601D9B" w:rsidRDefault="000E53A0">
            <w:pPr>
              <w:rPr>
                <w:rFonts w:asciiTheme="minorHAnsi" w:hAnsiTheme="minorHAnsi" w:cstheme="minorHAnsi"/>
                <w:b/>
                <w:sz w:val="18"/>
                <w:szCs w:val="18"/>
              </w:rPr>
            </w:pPr>
            <w:r w:rsidRPr="00107491">
              <w:rPr>
                <w:rFonts w:ascii="Calibri" w:hAnsi="Calibri" w:cs="Calibri"/>
                <w:color w:val="000000"/>
                <w:sz w:val="18"/>
                <w:szCs w:val="18"/>
                <w:lang w:val="en-US" w:eastAsia="en-US"/>
              </w:rPr>
              <w:t>Output 2.1 Loyer des bureaux</w:t>
            </w:r>
          </w:p>
        </w:tc>
      </w:tr>
      <w:tr w:rsidR="00107491" w:rsidRPr="00C65CC7" w14:paraId="20D998E1" w14:textId="77777777" w:rsidTr="00107491">
        <w:tc>
          <w:tcPr>
            <w:tcW w:w="1535" w:type="dxa"/>
            <w:shd w:val="clear" w:color="auto" w:fill="auto"/>
            <w:vAlign w:val="bottom"/>
          </w:tcPr>
          <w:p w14:paraId="12AB15E6" w14:textId="77777777" w:rsidR="00601D9B" w:rsidRDefault="000E53A0">
            <w:pPr>
              <w:rPr>
                <w:rFonts w:asciiTheme="minorHAnsi" w:hAnsiTheme="minorHAnsi" w:cstheme="minorHAnsi"/>
                <w:b/>
                <w:sz w:val="18"/>
                <w:szCs w:val="18"/>
              </w:rPr>
            </w:pPr>
            <w:r w:rsidRPr="00107491">
              <w:rPr>
                <w:rFonts w:ascii="Calibri" w:hAnsi="Calibri" w:cs="Calibri"/>
                <w:color w:val="000000"/>
                <w:sz w:val="18"/>
                <w:szCs w:val="18"/>
                <w:lang w:val="en-US" w:eastAsia="en-US"/>
              </w:rPr>
              <w:t>19</w:t>
            </w:r>
          </w:p>
        </w:tc>
        <w:tc>
          <w:tcPr>
            <w:tcW w:w="12855" w:type="dxa"/>
            <w:shd w:val="clear" w:color="auto" w:fill="auto"/>
            <w:vAlign w:val="bottom"/>
          </w:tcPr>
          <w:p w14:paraId="4873E309" w14:textId="77777777" w:rsidR="00601D9B" w:rsidRDefault="000E53A0">
            <w:pPr>
              <w:rPr>
                <w:rFonts w:asciiTheme="minorHAnsi" w:hAnsiTheme="minorHAnsi" w:cstheme="minorHAnsi"/>
                <w:b/>
                <w:sz w:val="18"/>
                <w:szCs w:val="18"/>
              </w:rPr>
            </w:pPr>
            <w:r w:rsidRPr="00107491">
              <w:rPr>
                <w:rFonts w:ascii="Calibri" w:hAnsi="Calibri" w:cs="Calibri"/>
                <w:color w:val="000000"/>
                <w:sz w:val="18"/>
                <w:szCs w:val="18"/>
                <w:lang w:val="en-US" w:eastAsia="en-US"/>
              </w:rPr>
              <w:t>Output 2.1 Fournitures de bureau</w:t>
            </w:r>
          </w:p>
        </w:tc>
      </w:tr>
      <w:tr w:rsidR="00107491" w:rsidRPr="000E53A0" w14:paraId="15D75F83" w14:textId="77777777" w:rsidTr="00107491">
        <w:tc>
          <w:tcPr>
            <w:tcW w:w="1535" w:type="dxa"/>
            <w:shd w:val="clear" w:color="auto" w:fill="auto"/>
            <w:vAlign w:val="bottom"/>
          </w:tcPr>
          <w:p w14:paraId="56CAA396" w14:textId="77777777" w:rsidR="00601D9B" w:rsidRDefault="000E53A0">
            <w:pPr>
              <w:rPr>
                <w:rFonts w:asciiTheme="minorHAnsi" w:hAnsiTheme="minorHAnsi" w:cstheme="minorHAnsi"/>
                <w:b/>
                <w:sz w:val="18"/>
                <w:szCs w:val="18"/>
              </w:rPr>
            </w:pPr>
            <w:r w:rsidRPr="00107491">
              <w:rPr>
                <w:rFonts w:ascii="Calibri" w:hAnsi="Calibri" w:cs="Calibri"/>
                <w:color w:val="000000"/>
                <w:sz w:val="18"/>
                <w:szCs w:val="18"/>
                <w:lang w:val="en-US" w:eastAsia="en-US"/>
              </w:rPr>
              <w:t>20</w:t>
            </w:r>
          </w:p>
        </w:tc>
        <w:tc>
          <w:tcPr>
            <w:tcW w:w="12855" w:type="dxa"/>
            <w:shd w:val="clear" w:color="auto" w:fill="auto"/>
            <w:vAlign w:val="bottom"/>
          </w:tcPr>
          <w:p w14:paraId="36F2A602" w14:textId="77777777" w:rsidR="00601D9B" w:rsidRPr="000E53A0" w:rsidRDefault="000E53A0">
            <w:pPr>
              <w:rPr>
                <w:rFonts w:asciiTheme="minorHAnsi" w:hAnsiTheme="minorHAnsi" w:cstheme="minorHAnsi"/>
                <w:b/>
                <w:sz w:val="18"/>
                <w:szCs w:val="18"/>
                <w:lang w:val="fr-FR"/>
              </w:rPr>
            </w:pPr>
            <w:r w:rsidRPr="000E53A0">
              <w:rPr>
                <w:rFonts w:ascii="Calibri" w:hAnsi="Calibri" w:cs="Calibri"/>
                <w:color w:val="000000"/>
                <w:sz w:val="18"/>
                <w:szCs w:val="18"/>
                <w:lang w:val="fr-FR" w:eastAsia="en-US"/>
              </w:rPr>
              <w:t>Act 2.2.1 Consultant national sur la vulnérabilité climatique pour organiser et faciliter les ateliers communautaires ; 36 jours à 300USD/jourAct 2.2.2 Consultant national sur la vulnérabilité climatique pour préparer un rapport pour chaque commune (18) ; 5 jours par communeAct 2.4.4 Consultant national (ANR et SLWM) @300USD pour aider au développement de matériel de formation adapté localementAct 2.5.1 Consultant national sur la dégradation des terres/expert en restauration ; 10 jours@300 USD/jour</w:t>
            </w:r>
          </w:p>
        </w:tc>
      </w:tr>
      <w:tr w:rsidR="00107491" w:rsidRPr="000E53A0" w14:paraId="5732C175" w14:textId="77777777" w:rsidTr="00107491">
        <w:tc>
          <w:tcPr>
            <w:tcW w:w="1535" w:type="dxa"/>
            <w:shd w:val="clear" w:color="auto" w:fill="auto"/>
            <w:vAlign w:val="bottom"/>
          </w:tcPr>
          <w:p w14:paraId="0277F4B1" w14:textId="77777777" w:rsidR="00601D9B" w:rsidRDefault="000E53A0">
            <w:pPr>
              <w:rPr>
                <w:rFonts w:asciiTheme="minorHAnsi" w:hAnsiTheme="minorHAnsi" w:cstheme="minorHAnsi"/>
                <w:b/>
                <w:sz w:val="18"/>
                <w:szCs w:val="18"/>
              </w:rPr>
            </w:pPr>
            <w:r w:rsidRPr="00107491">
              <w:rPr>
                <w:rFonts w:ascii="Calibri" w:hAnsi="Calibri" w:cs="Calibri"/>
                <w:color w:val="000000"/>
                <w:sz w:val="18"/>
                <w:szCs w:val="18"/>
                <w:lang w:val="en-US" w:eastAsia="en-US"/>
              </w:rPr>
              <w:t>21</w:t>
            </w:r>
          </w:p>
        </w:tc>
        <w:tc>
          <w:tcPr>
            <w:tcW w:w="12855" w:type="dxa"/>
            <w:shd w:val="clear" w:color="auto" w:fill="auto"/>
            <w:vAlign w:val="bottom"/>
          </w:tcPr>
          <w:p w14:paraId="4EF2E472" w14:textId="77777777" w:rsidR="00601D9B" w:rsidRPr="000E53A0" w:rsidRDefault="000E53A0">
            <w:pPr>
              <w:rPr>
                <w:rFonts w:asciiTheme="minorHAnsi" w:hAnsiTheme="minorHAnsi" w:cstheme="minorHAnsi"/>
                <w:b/>
                <w:sz w:val="18"/>
                <w:szCs w:val="18"/>
                <w:lang w:val="fr-FR"/>
              </w:rPr>
            </w:pPr>
            <w:r w:rsidRPr="000E53A0">
              <w:rPr>
                <w:rFonts w:ascii="Calibri" w:hAnsi="Calibri" w:cs="Calibri"/>
                <w:color w:val="000000"/>
                <w:sz w:val="18"/>
                <w:szCs w:val="18"/>
                <w:lang w:val="fr-FR" w:eastAsia="en-US"/>
              </w:rPr>
              <w:t xml:space="preserve">Act 2.5.1 25 géomètres dans 5 cercles pour un mois @500USD/mois au début et à la fin du projet ; </w:t>
            </w:r>
          </w:p>
        </w:tc>
      </w:tr>
      <w:tr w:rsidR="00107491" w:rsidRPr="000E53A0" w14:paraId="1C924B70" w14:textId="77777777" w:rsidTr="00107491">
        <w:tc>
          <w:tcPr>
            <w:tcW w:w="1535" w:type="dxa"/>
            <w:shd w:val="clear" w:color="auto" w:fill="auto"/>
            <w:vAlign w:val="bottom"/>
          </w:tcPr>
          <w:p w14:paraId="51348064" w14:textId="77777777" w:rsidR="00601D9B" w:rsidRDefault="000E53A0">
            <w:pPr>
              <w:rPr>
                <w:rFonts w:asciiTheme="minorHAnsi" w:hAnsiTheme="minorHAnsi" w:cstheme="minorHAnsi"/>
                <w:b/>
                <w:sz w:val="18"/>
                <w:szCs w:val="18"/>
              </w:rPr>
            </w:pPr>
            <w:r w:rsidRPr="00107491">
              <w:rPr>
                <w:rFonts w:ascii="Calibri" w:hAnsi="Calibri" w:cs="Calibri"/>
                <w:color w:val="000000"/>
                <w:sz w:val="18"/>
                <w:szCs w:val="18"/>
                <w:lang w:val="en-US" w:eastAsia="en-US"/>
              </w:rPr>
              <w:t>22</w:t>
            </w:r>
          </w:p>
        </w:tc>
        <w:tc>
          <w:tcPr>
            <w:tcW w:w="12855" w:type="dxa"/>
            <w:shd w:val="clear" w:color="auto" w:fill="auto"/>
            <w:vAlign w:val="bottom"/>
          </w:tcPr>
          <w:p w14:paraId="662E62D4" w14:textId="77777777" w:rsidR="00601D9B" w:rsidRPr="000E53A0" w:rsidRDefault="000E53A0">
            <w:pPr>
              <w:rPr>
                <w:rFonts w:asciiTheme="minorHAnsi" w:hAnsiTheme="minorHAnsi" w:cstheme="minorHAnsi"/>
                <w:b/>
                <w:sz w:val="18"/>
                <w:szCs w:val="18"/>
                <w:lang w:val="fr-FR"/>
              </w:rPr>
            </w:pPr>
            <w:r w:rsidRPr="000E53A0">
              <w:rPr>
                <w:rFonts w:ascii="Calibri" w:hAnsi="Calibri" w:cs="Calibri"/>
                <w:color w:val="000000"/>
                <w:sz w:val="18"/>
                <w:szCs w:val="18"/>
                <w:lang w:val="fr-FR" w:eastAsia="en-US"/>
              </w:rPr>
              <w:t>Act 2.2.1 Déplacement du consutlant national pour les ateliersAct 2.2.2 Déplacement du consutlant national pour les ateliers de restitution</w:t>
            </w:r>
          </w:p>
        </w:tc>
      </w:tr>
      <w:tr w:rsidR="00107491" w:rsidRPr="000E53A0" w14:paraId="73E22229" w14:textId="77777777" w:rsidTr="00107491">
        <w:tc>
          <w:tcPr>
            <w:tcW w:w="1535" w:type="dxa"/>
            <w:shd w:val="clear" w:color="auto" w:fill="auto"/>
            <w:vAlign w:val="bottom"/>
          </w:tcPr>
          <w:p w14:paraId="3364DB29" w14:textId="77777777" w:rsidR="00601D9B" w:rsidRDefault="000E53A0">
            <w:pPr>
              <w:rPr>
                <w:rFonts w:asciiTheme="minorHAnsi" w:hAnsiTheme="minorHAnsi" w:cstheme="minorHAnsi"/>
                <w:b/>
                <w:sz w:val="18"/>
                <w:szCs w:val="18"/>
              </w:rPr>
            </w:pPr>
            <w:r w:rsidRPr="00107491">
              <w:rPr>
                <w:rFonts w:ascii="Calibri" w:hAnsi="Calibri" w:cs="Calibri"/>
                <w:color w:val="000000"/>
                <w:sz w:val="18"/>
                <w:szCs w:val="18"/>
                <w:lang w:val="en-US" w:eastAsia="en-US"/>
              </w:rPr>
              <w:t>23</w:t>
            </w:r>
          </w:p>
        </w:tc>
        <w:tc>
          <w:tcPr>
            <w:tcW w:w="12855" w:type="dxa"/>
            <w:shd w:val="clear" w:color="auto" w:fill="auto"/>
            <w:vAlign w:val="bottom"/>
          </w:tcPr>
          <w:p w14:paraId="3F3874B5" w14:textId="77777777" w:rsidR="00601D9B" w:rsidRPr="000E53A0" w:rsidRDefault="000E53A0">
            <w:pPr>
              <w:rPr>
                <w:rFonts w:asciiTheme="minorHAnsi" w:hAnsiTheme="minorHAnsi" w:cstheme="minorHAnsi"/>
                <w:b/>
                <w:sz w:val="18"/>
                <w:szCs w:val="18"/>
                <w:lang w:val="fr-FR"/>
              </w:rPr>
            </w:pPr>
            <w:r w:rsidRPr="000E53A0">
              <w:rPr>
                <w:rFonts w:ascii="Calibri" w:hAnsi="Calibri" w:cs="Calibri"/>
                <w:color w:val="000000"/>
                <w:sz w:val="18"/>
                <w:szCs w:val="18"/>
                <w:lang w:val="fr-FR" w:eastAsia="en-US"/>
              </w:rPr>
              <w:t>Acte 2.2.1 Coûts des ateliersAct 2.2.2 Coûts des ateliersAct 2.4.4 Communication de l'agriculture climato-intelligenteAct 2.5.1 Ateliers de formation à la méthodologie pour les enquêteursAct 2.5.1 Ateliers de consultation dans les communes</w:t>
            </w:r>
          </w:p>
        </w:tc>
      </w:tr>
      <w:tr w:rsidR="00107491" w:rsidRPr="000E53A0" w14:paraId="0E308BD0" w14:textId="77777777" w:rsidTr="00107491">
        <w:tc>
          <w:tcPr>
            <w:tcW w:w="1535" w:type="dxa"/>
            <w:shd w:val="clear" w:color="auto" w:fill="auto"/>
            <w:vAlign w:val="bottom"/>
          </w:tcPr>
          <w:p w14:paraId="45457A00" w14:textId="77777777" w:rsidR="00601D9B" w:rsidRDefault="000E53A0">
            <w:pPr>
              <w:rPr>
                <w:rFonts w:asciiTheme="minorHAnsi" w:hAnsiTheme="minorHAnsi" w:cstheme="minorHAnsi"/>
                <w:b/>
                <w:sz w:val="18"/>
                <w:szCs w:val="18"/>
              </w:rPr>
            </w:pPr>
            <w:r w:rsidRPr="00107491">
              <w:rPr>
                <w:rFonts w:ascii="Calibri" w:hAnsi="Calibri" w:cs="Calibri"/>
                <w:color w:val="000000"/>
                <w:sz w:val="18"/>
                <w:szCs w:val="18"/>
                <w:lang w:val="en-US" w:eastAsia="en-US"/>
              </w:rPr>
              <w:t>24</w:t>
            </w:r>
          </w:p>
        </w:tc>
        <w:tc>
          <w:tcPr>
            <w:tcW w:w="12855" w:type="dxa"/>
            <w:shd w:val="clear" w:color="auto" w:fill="auto"/>
            <w:vAlign w:val="bottom"/>
          </w:tcPr>
          <w:p w14:paraId="15663CA0" w14:textId="77777777" w:rsidR="00601D9B" w:rsidRPr="000E53A0" w:rsidRDefault="000E53A0">
            <w:pPr>
              <w:rPr>
                <w:rFonts w:asciiTheme="minorHAnsi" w:hAnsiTheme="minorHAnsi" w:cstheme="minorHAnsi"/>
                <w:b/>
                <w:sz w:val="18"/>
                <w:szCs w:val="18"/>
                <w:lang w:val="fr-FR"/>
              </w:rPr>
            </w:pPr>
            <w:r w:rsidRPr="000E53A0">
              <w:rPr>
                <w:rFonts w:ascii="Calibri" w:hAnsi="Calibri" w:cs="Calibri"/>
                <w:color w:val="000000"/>
                <w:sz w:val="18"/>
                <w:szCs w:val="18"/>
                <w:lang w:val="fr-FR" w:eastAsia="en-US"/>
              </w:rPr>
              <w:t>Acte 2.4.1 MoU/LoA DREF pour la formation sur les pratiques climato-intelligentesActe 2.4.2 MoU avec les institutions de recherche agronomique pour la création et le suivi du réseau de production de semencesActe 2.4.3 MoU/LoA DREF pour la formation du personnel des pépinières au niveau des villagesActe 2.4.4 Services de traductionActe 2.5.2 MoU avec DREF pour la formation des structures communautaires sur les efforts de réhabilitation pour l'adaptationActe 2.5.3 Protocole d'accord avec le DREF pour la formation des structures communautaires aux efforts de réhabilitation en vue de l'adaptationAct 2.5.4 Protocole d'accord avec le DREF pour la formation des structures communautaires aux efforts de réhabilitation en vue de l'adaptationAct 2.5.5 Protocole d'accord avec le DREF pour la formation des structures communautaires aux efforts de réhabilitation en vue de l'adaptation</w:t>
            </w:r>
          </w:p>
        </w:tc>
      </w:tr>
      <w:tr w:rsidR="00107491" w:rsidRPr="00FB4FF7" w14:paraId="0F7E0CE2" w14:textId="77777777" w:rsidTr="00107491">
        <w:tc>
          <w:tcPr>
            <w:tcW w:w="1535" w:type="dxa"/>
            <w:shd w:val="clear" w:color="auto" w:fill="auto"/>
            <w:vAlign w:val="bottom"/>
          </w:tcPr>
          <w:p w14:paraId="77705B30" w14:textId="77777777" w:rsidR="00601D9B" w:rsidRDefault="000E53A0">
            <w:pPr>
              <w:rPr>
                <w:rFonts w:asciiTheme="minorHAnsi" w:hAnsiTheme="minorHAnsi" w:cstheme="minorHAnsi"/>
                <w:b/>
                <w:sz w:val="18"/>
                <w:szCs w:val="18"/>
              </w:rPr>
            </w:pPr>
            <w:r w:rsidRPr="00107491">
              <w:rPr>
                <w:rFonts w:ascii="Calibri" w:hAnsi="Calibri" w:cs="Calibri"/>
                <w:color w:val="000000"/>
                <w:sz w:val="18"/>
                <w:szCs w:val="18"/>
                <w:lang w:val="en-US" w:eastAsia="en-US"/>
              </w:rPr>
              <w:t>25</w:t>
            </w:r>
          </w:p>
        </w:tc>
        <w:tc>
          <w:tcPr>
            <w:tcW w:w="12855" w:type="dxa"/>
            <w:shd w:val="clear" w:color="auto" w:fill="auto"/>
            <w:vAlign w:val="bottom"/>
          </w:tcPr>
          <w:p w14:paraId="2C673C38" w14:textId="77777777" w:rsidR="00601D9B" w:rsidRPr="000E53A0" w:rsidRDefault="000E53A0">
            <w:pPr>
              <w:rPr>
                <w:rFonts w:asciiTheme="minorHAnsi" w:hAnsiTheme="minorHAnsi" w:cstheme="minorHAnsi"/>
                <w:b/>
                <w:sz w:val="18"/>
                <w:szCs w:val="18"/>
                <w:lang w:val="fr-FR"/>
              </w:rPr>
            </w:pPr>
            <w:r w:rsidRPr="000E53A0">
              <w:rPr>
                <w:rFonts w:ascii="Calibri" w:hAnsi="Calibri" w:cs="Calibri"/>
                <w:color w:val="000000"/>
                <w:sz w:val="18"/>
                <w:szCs w:val="18"/>
                <w:lang w:val="fr-FR" w:eastAsia="en-US"/>
              </w:rPr>
              <w:t xml:space="preserve">Acte 2.4.2 Equipement pour la formation et réseaux de semences (deux)Acte 2.4.3 Equipement pour la formation et pépinières (1 par </w:t>
            </w:r>
            <w:proofErr w:type="gramStart"/>
            <w:r w:rsidRPr="000E53A0">
              <w:rPr>
                <w:rFonts w:ascii="Calibri" w:hAnsi="Calibri" w:cs="Calibri"/>
                <w:color w:val="000000"/>
                <w:sz w:val="18"/>
                <w:szCs w:val="18"/>
                <w:lang w:val="fr-FR" w:eastAsia="en-US"/>
              </w:rPr>
              <w:t>commune)Acte</w:t>
            </w:r>
            <w:proofErr w:type="gramEnd"/>
            <w:r w:rsidRPr="000E53A0">
              <w:rPr>
                <w:rFonts w:ascii="Calibri" w:hAnsi="Calibri" w:cs="Calibri"/>
                <w:color w:val="000000"/>
                <w:sz w:val="18"/>
                <w:szCs w:val="18"/>
                <w:lang w:val="fr-FR" w:eastAsia="en-US"/>
              </w:rPr>
              <w:t xml:space="preserve"> 2.5.3 Equipement pour la formation et réhabilitation de pâturages (5 villages par commune, 5 communes)Acte 2.5.4 Equipement pour la formation et restauration de cours d'eau (5 villages par commune, 5 communes)Acte 2.5.5 Equipement pour la formation et infrastructures hydrauliques (5 villages par commune, 5 communes)</w:t>
            </w:r>
          </w:p>
        </w:tc>
      </w:tr>
      <w:tr w:rsidR="00107491" w:rsidRPr="000E53A0" w14:paraId="2B106DE5" w14:textId="77777777" w:rsidTr="00107491">
        <w:tc>
          <w:tcPr>
            <w:tcW w:w="1535" w:type="dxa"/>
            <w:shd w:val="clear" w:color="auto" w:fill="auto"/>
            <w:vAlign w:val="bottom"/>
          </w:tcPr>
          <w:p w14:paraId="71C0FA16" w14:textId="77777777" w:rsidR="00601D9B" w:rsidRDefault="000E53A0">
            <w:pPr>
              <w:rPr>
                <w:rFonts w:asciiTheme="minorHAnsi" w:hAnsiTheme="minorHAnsi" w:cstheme="minorHAnsi"/>
                <w:b/>
                <w:sz w:val="18"/>
                <w:szCs w:val="18"/>
              </w:rPr>
            </w:pPr>
            <w:r w:rsidRPr="00107491">
              <w:rPr>
                <w:rFonts w:ascii="Calibri" w:hAnsi="Calibri" w:cs="Calibri"/>
                <w:color w:val="000000"/>
                <w:sz w:val="18"/>
                <w:szCs w:val="18"/>
                <w:lang w:val="en-US" w:eastAsia="en-US"/>
              </w:rPr>
              <w:t>26</w:t>
            </w:r>
          </w:p>
        </w:tc>
        <w:tc>
          <w:tcPr>
            <w:tcW w:w="12855" w:type="dxa"/>
            <w:shd w:val="clear" w:color="auto" w:fill="auto"/>
            <w:vAlign w:val="bottom"/>
          </w:tcPr>
          <w:p w14:paraId="134722D8" w14:textId="77777777" w:rsidR="00601D9B" w:rsidRPr="000E53A0" w:rsidRDefault="000E53A0">
            <w:pPr>
              <w:rPr>
                <w:rFonts w:asciiTheme="minorHAnsi" w:hAnsiTheme="minorHAnsi" w:cstheme="minorHAnsi"/>
                <w:b/>
                <w:sz w:val="18"/>
                <w:szCs w:val="18"/>
                <w:lang w:val="fr-FR"/>
              </w:rPr>
            </w:pPr>
            <w:r w:rsidRPr="000E53A0">
              <w:rPr>
                <w:rFonts w:ascii="Calibri" w:hAnsi="Calibri" w:cs="Calibri"/>
                <w:color w:val="000000"/>
                <w:sz w:val="18"/>
                <w:szCs w:val="18"/>
                <w:lang w:val="fr-FR" w:eastAsia="en-US"/>
              </w:rPr>
              <w:t>Acte 2.2.2 Impression des rapports pour chaque communeActe 2.4.4 Services d'impression pour le matériel scolaire</w:t>
            </w:r>
          </w:p>
        </w:tc>
      </w:tr>
      <w:tr w:rsidR="00107491" w:rsidRPr="000E53A0" w14:paraId="280A8C9A" w14:textId="77777777" w:rsidTr="00107491">
        <w:tc>
          <w:tcPr>
            <w:tcW w:w="1535" w:type="dxa"/>
            <w:shd w:val="clear" w:color="auto" w:fill="auto"/>
            <w:vAlign w:val="bottom"/>
          </w:tcPr>
          <w:p w14:paraId="3054B13A" w14:textId="77777777" w:rsidR="00107491" w:rsidRPr="000E53A0" w:rsidRDefault="00107491" w:rsidP="00107491">
            <w:pPr>
              <w:rPr>
                <w:rFonts w:asciiTheme="minorHAnsi" w:hAnsiTheme="minorHAnsi" w:cstheme="minorHAnsi"/>
                <w:b/>
                <w:sz w:val="18"/>
                <w:szCs w:val="18"/>
                <w:lang w:val="fr-FR"/>
              </w:rPr>
            </w:pPr>
          </w:p>
        </w:tc>
        <w:tc>
          <w:tcPr>
            <w:tcW w:w="12855" w:type="dxa"/>
            <w:shd w:val="clear" w:color="auto" w:fill="auto"/>
            <w:vAlign w:val="bottom"/>
          </w:tcPr>
          <w:p w14:paraId="3C1FB90A" w14:textId="77777777" w:rsidR="00107491" w:rsidRPr="000E53A0" w:rsidRDefault="00107491" w:rsidP="00107491">
            <w:pPr>
              <w:rPr>
                <w:rFonts w:asciiTheme="minorHAnsi" w:hAnsiTheme="minorHAnsi" w:cstheme="minorHAnsi"/>
                <w:b/>
                <w:sz w:val="18"/>
                <w:szCs w:val="18"/>
                <w:lang w:val="fr-FR"/>
              </w:rPr>
            </w:pPr>
          </w:p>
        </w:tc>
      </w:tr>
      <w:tr w:rsidR="00107491" w:rsidRPr="000E53A0" w14:paraId="24F7B6E5" w14:textId="77777777" w:rsidTr="00107491">
        <w:tc>
          <w:tcPr>
            <w:tcW w:w="1535" w:type="dxa"/>
            <w:shd w:val="clear" w:color="auto" w:fill="auto"/>
            <w:vAlign w:val="bottom"/>
          </w:tcPr>
          <w:p w14:paraId="37C0ACDD" w14:textId="77777777" w:rsidR="00601D9B" w:rsidRDefault="000E53A0">
            <w:pPr>
              <w:rPr>
                <w:rFonts w:asciiTheme="minorHAnsi" w:hAnsiTheme="minorHAnsi" w:cstheme="minorHAnsi"/>
                <w:b/>
                <w:sz w:val="18"/>
                <w:szCs w:val="18"/>
              </w:rPr>
            </w:pPr>
            <w:r w:rsidRPr="00107491">
              <w:rPr>
                <w:rFonts w:ascii="Calibri" w:hAnsi="Calibri" w:cs="Calibri"/>
                <w:color w:val="000000"/>
                <w:sz w:val="18"/>
                <w:szCs w:val="18"/>
                <w:lang w:val="en-US" w:eastAsia="en-US"/>
              </w:rPr>
              <w:t>28</w:t>
            </w:r>
          </w:p>
        </w:tc>
        <w:tc>
          <w:tcPr>
            <w:tcW w:w="12855" w:type="dxa"/>
            <w:shd w:val="clear" w:color="auto" w:fill="auto"/>
            <w:vAlign w:val="bottom"/>
          </w:tcPr>
          <w:p w14:paraId="75B4679C" w14:textId="77777777" w:rsidR="00601D9B" w:rsidRPr="000E53A0" w:rsidRDefault="000E53A0">
            <w:pPr>
              <w:rPr>
                <w:rFonts w:asciiTheme="minorHAnsi" w:hAnsiTheme="minorHAnsi" w:cstheme="minorHAnsi"/>
                <w:b/>
                <w:sz w:val="18"/>
                <w:szCs w:val="18"/>
                <w:lang w:val="fr-FR"/>
              </w:rPr>
            </w:pPr>
            <w:r w:rsidRPr="000E53A0">
              <w:rPr>
                <w:rFonts w:ascii="Calibri" w:hAnsi="Calibri" w:cs="Calibri"/>
                <w:color w:val="000000"/>
                <w:sz w:val="18"/>
                <w:szCs w:val="18"/>
                <w:lang w:val="fr-FR" w:eastAsia="en-US"/>
              </w:rPr>
              <w:t>Acte 3.1.1 8 enquêteurs (un par deux communes) pour 15 jours @100USD/jour</w:t>
            </w:r>
          </w:p>
        </w:tc>
      </w:tr>
      <w:tr w:rsidR="00107491" w:rsidRPr="000E53A0" w14:paraId="02B9E818" w14:textId="77777777" w:rsidTr="00107491">
        <w:tc>
          <w:tcPr>
            <w:tcW w:w="1535" w:type="dxa"/>
            <w:shd w:val="clear" w:color="auto" w:fill="auto"/>
            <w:vAlign w:val="bottom"/>
          </w:tcPr>
          <w:p w14:paraId="4E304655" w14:textId="77777777" w:rsidR="00601D9B" w:rsidRDefault="000E53A0">
            <w:pPr>
              <w:rPr>
                <w:rFonts w:asciiTheme="minorHAnsi" w:hAnsiTheme="minorHAnsi" w:cstheme="minorHAnsi"/>
                <w:b/>
                <w:sz w:val="18"/>
                <w:szCs w:val="18"/>
              </w:rPr>
            </w:pPr>
            <w:r w:rsidRPr="00107491">
              <w:rPr>
                <w:rFonts w:ascii="Calibri" w:hAnsi="Calibri" w:cs="Calibri"/>
                <w:color w:val="000000"/>
                <w:sz w:val="18"/>
                <w:szCs w:val="18"/>
                <w:lang w:val="en-US" w:eastAsia="en-US"/>
              </w:rPr>
              <w:t>29</w:t>
            </w:r>
          </w:p>
        </w:tc>
        <w:tc>
          <w:tcPr>
            <w:tcW w:w="12855" w:type="dxa"/>
            <w:shd w:val="clear" w:color="auto" w:fill="auto"/>
            <w:vAlign w:val="bottom"/>
          </w:tcPr>
          <w:p w14:paraId="2D070E3C" w14:textId="77777777" w:rsidR="00601D9B" w:rsidRPr="000E53A0" w:rsidRDefault="000E53A0">
            <w:pPr>
              <w:rPr>
                <w:rFonts w:asciiTheme="minorHAnsi" w:hAnsiTheme="minorHAnsi" w:cstheme="minorHAnsi"/>
                <w:b/>
                <w:sz w:val="18"/>
                <w:szCs w:val="18"/>
                <w:lang w:val="fr-FR"/>
              </w:rPr>
            </w:pPr>
            <w:r w:rsidRPr="000E53A0">
              <w:rPr>
                <w:rFonts w:ascii="Calibri" w:hAnsi="Calibri" w:cs="Calibri"/>
                <w:color w:val="000000"/>
                <w:sz w:val="18"/>
                <w:szCs w:val="18"/>
                <w:lang w:val="fr-FR" w:eastAsia="en-US"/>
              </w:rPr>
              <w:t>Act 3.1.1 Consultant national du secteur privé pendant 80 jours @300USD par jourAct 3.1.2 Expert national sociologue/communicateur ; 40 jours@300 USD/jour</w:t>
            </w:r>
          </w:p>
        </w:tc>
      </w:tr>
      <w:tr w:rsidR="00107491" w:rsidRPr="000E53A0" w14:paraId="32C01FC8" w14:textId="77777777" w:rsidTr="00107491">
        <w:tc>
          <w:tcPr>
            <w:tcW w:w="1535" w:type="dxa"/>
            <w:shd w:val="clear" w:color="auto" w:fill="auto"/>
            <w:vAlign w:val="bottom"/>
          </w:tcPr>
          <w:p w14:paraId="3109A175" w14:textId="77777777" w:rsidR="00601D9B" w:rsidRDefault="000E53A0">
            <w:pPr>
              <w:rPr>
                <w:rFonts w:asciiTheme="minorHAnsi" w:hAnsiTheme="minorHAnsi" w:cstheme="minorHAnsi"/>
                <w:b/>
                <w:sz w:val="18"/>
                <w:szCs w:val="18"/>
              </w:rPr>
            </w:pPr>
            <w:r w:rsidRPr="00107491">
              <w:rPr>
                <w:rFonts w:ascii="Calibri" w:hAnsi="Calibri" w:cs="Calibri"/>
                <w:color w:val="000000"/>
                <w:sz w:val="18"/>
                <w:szCs w:val="18"/>
                <w:lang w:val="en-US" w:eastAsia="en-US"/>
              </w:rPr>
              <w:t>30</w:t>
            </w:r>
          </w:p>
        </w:tc>
        <w:tc>
          <w:tcPr>
            <w:tcW w:w="12855" w:type="dxa"/>
            <w:shd w:val="clear" w:color="auto" w:fill="auto"/>
            <w:vAlign w:val="bottom"/>
          </w:tcPr>
          <w:p w14:paraId="5983DCF2" w14:textId="77777777" w:rsidR="00601D9B" w:rsidRPr="000E53A0" w:rsidRDefault="000E53A0">
            <w:pPr>
              <w:rPr>
                <w:rFonts w:asciiTheme="minorHAnsi" w:hAnsiTheme="minorHAnsi" w:cstheme="minorHAnsi"/>
                <w:b/>
                <w:sz w:val="18"/>
                <w:szCs w:val="18"/>
                <w:lang w:val="fr-FR"/>
              </w:rPr>
            </w:pPr>
            <w:r w:rsidRPr="000E53A0">
              <w:rPr>
                <w:rFonts w:ascii="Calibri" w:hAnsi="Calibri" w:cs="Calibri"/>
                <w:color w:val="000000"/>
                <w:sz w:val="18"/>
                <w:szCs w:val="18"/>
                <w:lang w:val="fr-FR" w:eastAsia="en-US"/>
              </w:rPr>
              <w:t>Act 3.1.3 Protocole d'accord/loA avec une ONG ou des services d'incubation existantsAct 3.2.1 Protocole d'accord/loA avec une ONG ou des services d'incubation existants (coût par entreprise soutenue/20 par commune)Act 3.2.2 Protocole d'accord/loA avec une ONG ou des services d'incubation existantsAct 3.2.3 Protocole d'accord/loA avec une ONG ou des services d'incubation existantsAct 3.2.4 Protocole d'accord/loA avec une ONG ou des services d'incubation existantsAct 3.3.2 MoU/LoA avec des ONG ou des acteurs du secteur privé ayant les compétences requises pour les formations ou des acteurs gouvernementaux régionaux pertinents (au niveau des villages, 5 villages par commune) Act 3.3.3 MoU/LoA avec des ONG ou des acteurs du secteur privé ayant les compétences requises pour les formations ou des acteurs gouvernementaux régionaux pertinents (au niveau régional/ Mopti et Ségou)</w:t>
            </w:r>
          </w:p>
        </w:tc>
      </w:tr>
      <w:tr w:rsidR="00107491" w:rsidRPr="000E53A0" w14:paraId="3B434FFC" w14:textId="77777777" w:rsidTr="00107491">
        <w:tc>
          <w:tcPr>
            <w:tcW w:w="1535" w:type="dxa"/>
            <w:shd w:val="clear" w:color="auto" w:fill="auto"/>
            <w:vAlign w:val="bottom"/>
          </w:tcPr>
          <w:p w14:paraId="0F901CC4" w14:textId="77777777" w:rsidR="00601D9B" w:rsidRDefault="000E53A0">
            <w:pPr>
              <w:rPr>
                <w:rFonts w:asciiTheme="minorHAnsi" w:hAnsiTheme="minorHAnsi" w:cstheme="minorHAnsi"/>
                <w:b/>
                <w:sz w:val="18"/>
                <w:szCs w:val="18"/>
              </w:rPr>
            </w:pPr>
            <w:r w:rsidRPr="00107491">
              <w:rPr>
                <w:rFonts w:ascii="Calibri" w:hAnsi="Calibri" w:cs="Calibri"/>
                <w:color w:val="000000"/>
                <w:sz w:val="18"/>
                <w:szCs w:val="18"/>
                <w:lang w:val="en-US" w:eastAsia="en-US"/>
              </w:rPr>
              <w:t>31</w:t>
            </w:r>
          </w:p>
        </w:tc>
        <w:tc>
          <w:tcPr>
            <w:tcW w:w="12855" w:type="dxa"/>
            <w:shd w:val="clear" w:color="auto" w:fill="auto"/>
            <w:vAlign w:val="bottom"/>
          </w:tcPr>
          <w:p w14:paraId="26AC4E44" w14:textId="77777777" w:rsidR="00601D9B" w:rsidRPr="000E53A0" w:rsidRDefault="000E53A0">
            <w:pPr>
              <w:rPr>
                <w:rFonts w:asciiTheme="minorHAnsi" w:hAnsiTheme="minorHAnsi" w:cstheme="minorHAnsi"/>
                <w:b/>
                <w:sz w:val="18"/>
                <w:szCs w:val="18"/>
                <w:lang w:val="fr-FR"/>
              </w:rPr>
            </w:pPr>
            <w:r w:rsidRPr="000E53A0">
              <w:rPr>
                <w:rFonts w:ascii="Calibri" w:hAnsi="Calibri" w:cs="Calibri"/>
                <w:color w:val="000000"/>
                <w:sz w:val="18"/>
                <w:szCs w:val="18"/>
                <w:lang w:val="fr-FR" w:eastAsia="en-US"/>
              </w:rPr>
              <w:t>Acte 3.1.4 Subventions par entreprise pour les coûts de fonctionnement des deux premières annéesActe 3.3.3 Subventions par jeune (20 jeunes par commune)</w:t>
            </w:r>
          </w:p>
        </w:tc>
      </w:tr>
      <w:tr w:rsidR="00107491" w:rsidRPr="000E53A0" w14:paraId="5F9A7981" w14:textId="77777777" w:rsidTr="00107491">
        <w:tc>
          <w:tcPr>
            <w:tcW w:w="1535" w:type="dxa"/>
            <w:shd w:val="clear" w:color="auto" w:fill="auto"/>
            <w:vAlign w:val="bottom"/>
          </w:tcPr>
          <w:p w14:paraId="206042C0" w14:textId="77777777" w:rsidR="00601D9B" w:rsidRDefault="000E53A0">
            <w:pPr>
              <w:rPr>
                <w:rFonts w:asciiTheme="minorHAnsi" w:hAnsiTheme="minorHAnsi" w:cstheme="minorHAnsi"/>
                <w:b/>
                <w:sz w:val="18"/>
                <w:szCs w:val="18"/>
              </w:rPr>
            </w:pPr>
            <w:r w:rsidRPr="00107491">
              <w:rPr>
                <w:rFonts w:ascii="Calibri" w:hAnsi="Calibri" w:cs="Calibri"/>
                <w:color w:val="000000"/>
                <w:sz w:val="18"/>
                <w:szCs w:val="18"/>
                <w:lang w:val="en-US" w:eastAsia="en-US"/>
              </w:rPr>
              <w:t>32</w:t>
            </w:r>
          </w:p>
        </w:tc>
        <w:tc>
          <w:tcPr>
            <w:tcW w:w="12855" w:type="dxa"/>
            <w:shd w:val="clear" w:color="auto" w:fill="auto"/>
            <w:vAlign w:val="bottom"/>
          </w:tcPr>
          <w:p w14:paraId="27ED8F2D" w14:textId="77777777" w:rsidR="00601D9B" w:rsidRPr="000E53A0" w:rsidRDefault="000E53A0">
            <w:pPr>
              <w:rPr>
                <w:rFonts w:asciiTheme="minorHAnsi" w:hAnsiTheme="minorHAnsi" w:cstheme="minorHAnsi"/>
                <w:b/>
                <w:sz w:val="18"/>
                <w:szCs w:val="18"/>
                <w:lang w:val="fr-FR"/>
              </w:rPr>
            </w:pPr>
            <w:r w:rsidRPr="000E53A0">
              <w:rPr>
                <w:rFonts w:ascii="Calibri" w:hAnsi="Calibri" w:cs="Calibri"/>
                <w:color w:val="000000"/>
                <w:sz w:val="18"/>
                <w:szCs w:val="18"/>
                <w:lang w:val="fr-FR" w:eastAsia="en-US"/>
              </w:rPr>
              <w:t>Acte 3.3.1 Equipement des entreprises climato-intelligentes dans chaque commune</w:t>
            </w:r>
          </w:p>
        </w:tc>
      </w:tr>
      <w:tr w:rsidR="00107491" w:rsidRPr="000E53A0" w14:paraId="5F2583AF" w14:textId="77777777" w:rsidTr="00107491">
        <w:tc>
          <w:tcPr>
            <w:tcW w:w="1535" w:type="dxa"/>
            <w:shd w:val="clear" w:color="auto" w:fill="auto"/>
            <w:vAlign w:val="bottom"/>
          </w:tcPr>
          <w:p w14:paraId="443420A1" w14:textId="77777777" w:rsidR="00601D9B" w:rsidRDefault="000E53A0">
            <w:pPr>
              <w:rPr>
                <w:rFonts w:asciiTheme="minorHAnsi" w:hAnsiTheme="minorHAnsi" w:cstheme="minorHAnsi"/>
                <w:b/>
                <w:sz w:val="18"/>
                <w:szCs w:val="18"/>
              </w:rPr>
            </w:pPr>
            <w:r w:rsidRPr="00107491">
              <w:rPr>
                <w:rFonts w:ascii="Calibri" w:hAnsi="Calibri" w:cs="Calibri"/>
                <w:color w:val="000000"/>
                <w:sz w:val="18"/>
                <w:szCs w:val="18"/>
                <w:lang w:val="en-US" w:eastAsia="en-US"/>
              </w:rPr>
              <w:t>33</w:t>
            </w:r>
          </w:p>
        </w:tc>
        <w:tc>
          <w:tcPr>
            <w:tcW w:w="12855" w:type="dxa"/>
            <w:shd w:val="clear" w:color="auto" w:fill="auto"/>
            <w:vAlign w:val="bottom"/>
          </w:tcPr>
          <w:p w14:paraId="1ED4A75E" w14:textId="77777777" w:rsidR="00601D9B" w:rsidRPr="000E53A0" w:rsidRDefault="000E53A0">
            <w:pPr>
              <w:rPr>
                <w:rFonts w:asciiTheme="minorHAnsi" w:hAnsiTheme="minorHAnsi" w:cstheme="minorHAnsi"/>
                <w:b/>
                <w:sz w:val="18"/>
                <w:szCs w:val="18"/>
                <w:lang w:val="fr-FR"/>
              </w:rPr>
            </w:pPr>
            <w:r w:rsidRPr="000E53A0">
              <w:rPr>
                <w:rFonts w:ascii="Calibri" w:hAnsi="Calibri" w:cs="Calibri"/>
                <w:color w:val="000000"/>
                <w:sz w:val="18"/>
                <w:szCs w:val="18"/>
                <w:lang w:val="fr-FR" w:eastAsia="en-US"/>
              </w:rPr>
              <w:t>Acte 3.1.2 DSA et déplacements : Nat.Cons. 4000 (communes)</w:t>
            </w:r>
          </w:p>
        </w:tc>
      </w:tr>
      <w:tr w:rsidR="00107491" w:rsidRPr="000E53A0" w14:paraId="2BD07B7C" w14:textId="77777777" w:rsidTr="00107491">
        <w:tc>
          <w:tcPr>
            <w:tcW w:w="1535" w:type="dxa"/>
            <w:shd w:val="clear" w:color="auto" w:fill="auto"/>
            <w:vAlign w:val="bottom"/>
          </w:tcPr>
          <w:p w14:paraId="3D39B5CE" w14:textId="77777777" w:rsidR="00601D9B" w:rsidRDefault="000E53A0">
            <w:pPr>
              <w:rPr>
                <w:rFonts w:asciiTheme="minorHAnsi" w:hAnsiTheme="minorHAnsi" w:cstheme="minorHAnsi"/>
                <w:b/>
                <w:sz w:val="18"/>
                <w:szCs w:val="18"/>
              </w:rPr>
            </w:pPr>
            <w:r w:rsidRPr="00107491">
              <w:rPr>
                <w:rFonts w:ascii="Calibri" w:hAnsi="Calibri" w:cs="Calibri"/>
                <w:color w:val="000000"/>
                <w:sz w:val="18"/>
                <w:szCs w:val="18"/>
                <w:lang w:val="en-US" w:eastAsia="en-US"/>
              </w:rPr>
              <w:t>34</w:t>
            </w:r>
          </w:p>
        </w:tc>
        <w:tc>
          <w:tcPr>
            <w:tcW w:w="12855" w:type="dxa"/>
            <w:shd w:val="clear" w:color="auto" w:fill="auto"/>
            <w:vAlign w:val="bottom"/>
          </w:tcPr>
          <w:p w14:paraId="6A006285" w14:textId="77777777" w:rsidR="00601D9B" w:rsidRPr="000E53A0" w:rsidRDefault="000E53A0">
            <w:pPr>
              <w:rPr>
                <w:rFonts w:asciiTheme="minorHAnsi" w:hAnsiTheme="minorHAnsi" w:cstheme="minorHAnsi"/>
                <w:b/>
                <w:sz w:val="18"/>
                <w:szCs w:val="18"/>
                <w:lang w:val="fr-FR"/>
              </w:rPr>
            </w:pPr>
            <w:r w:rsidRPr="000E53A0">
              <w:rPr>
                <w:rFonts w:ascii="Calibri" w:hAnsi="Calibri" w:cs="Calibri"/>
                <w:color w:val="000000"/>
                <w:sz w:val="18"/>
                <w:szCs w:val="18"/>
                <w:lang w:val="fr-FR" w:eastAsia="en-US"/>
              </w:rPr>
              <w:t>Acte 3.1.2 Forums communautaires (15 communes) pour 20 participants/commune à 20USD par participant + 75USD pour la salle.</w:t>
            </w:r>
          </w:p>
        </w:tc>
      </w:tr>
      <w:tr w:rsidR="00107491" w:rsidRPr="000E53A0" w14:paraId="1FA84AFE" w14:textId="77777777" w:rsidTr="00107491">
        <w:tc>
          <w:tcPr>
            <w:tcW w:w="1535" w:type="dxa"/>
            <w:shd w:val="clear" w:color="auto" w:fill="auto"/>
            <w:vAlign w:val="bottom"/>
          </w:tcPr>
          <w:p w14:paraId="781DFE7D" w14:textId="77777777" w:rsidR="00601D9B" w:rsidRDefault="000E53A0">
            <w:pPr>
              <w:rPr>
                <w:rFonts w:asciiTheme="minorHAnsi" w:hAnsiTheme="minorHAnsi" w:cstheme="minorHAnsi"/>
                <w:b/>
                <w:sz w:val="18"/>
                <w:szCs w:val="18"/>
              </w:rPr>
            </w:pPr>
            <w:r w:rsidRPr="00107491">
              <w:rPr>
                <w:rFonts w:ascii="Calibri" w:hAnsi="Calibri" w:cs="Calibri"/>
                <w:color w:val="000000"/>
                <w:sz w:val="18"/>
                <w:szCs w:val="18"/>
                <w:lang w:val="en-US" w:eastAsia="en-US"/>
              </w:rPr>
              <w:t>35</w:t>
            </w:r>
          </w:p>
        </w:tc>
        <w:tc>
          <w:tcPr>
            <w:tcW w:w="12855" w:type="dxa"/>
            <w:shd w:val="clear" w:color="auto" w:fill="auto"/>
            <w:vAlign w:val="bottom"/>
          </w:tcPr>
          <w:p w14:paraId="31B8F553" w14:textId="77777777" w:rsidR="00601D9B" w:rsidRPr="000E53A0" w:rsidRDefault="000E53A0">
            <w:pPr>
              <w:rPr>
                <w:rFonts w:asciiTheme="minorHAnsi" w:hAnsiTheme="minorHAnsi" w:cstheme="minorHAnsi"/>
                <w:b/>
                <w:sz w:val="18"/>
                <w:szCs w:val="18"/>
                <w:lang w:val="fr-FR"/>
              </w:rPr>
            </w:pPr>
            <w:r w:rsidRPr="000E53A0">
              <w:rPr>
                <w:rFonts w:ascii="Calibri" w:hAnsi="Calibri" w:cs="Calibri"/>
                <w:color w:val="000000"/>
                <w:sz w:val="18"/>
                <w:szCs w:val="18"/>
                <w:lang w:val="fr-FR" w:eastAsia="en-US"/>
              </w:rPr>
              <w:t xml:space="preserve">Acte 4.2.3 Expert en S&amp;E et changement climatique ; 50 jours@700 USD/jour Evaluation à mi-parcours : Expert en S&amp;E et changement climatique ; 63 jours@700 USD/jour Évaluation finale : Expert en S&amp;E et changement climatique ; 73 jours@700 USD/jour </w:t>
            </w:r>
          </w:p>
        </w:tc>
      </w:tr>
      <w:tr w:rsidR="00107491" w:rsidRPr="000E53A0" w14:paraId="26672290" w14:textId="77777777" w:rsidTr="00107491">
        <w:tc>
          <w:tcPr>
            <w:tcW w:w="1535" w:type="dxa"/>
            <w:shd w:val="clear" w:color="auto" w:fill="auto"/>
            <w:vAlign w:val="bottom"/>
          </w:tcPr>
          <w:p w14:paraId="1651C3F3" w14:textId="77777777" w:rsidR="00601D9B" w:rsidRDefault="000E53A0">
            <w:pPr>
              <w:rPr>
                <w:rFonts w:asciiTheme="minorHAnsi" w:hAnsiTheme="minorHAnsi" w:cstheme="minorHAnsi"/>
                <w:b/>
                <w:sz w:val="18"/>
                <w:szCs w:val="18"/>
              </w:rPr>
            </w:pPr>
            <w:r w:rsidRPr="00107491">
              <w:rPr>
                <w:rFonts w:ascii="Calibri" w:hAnsi="Calibri" w:cs="Calibri"/>
                <w:color w:val="000000"/>
                <w:sz w:val="18"/>
                <w:szCs w:val="18"/>
                <w:lang w:val="en-US" w:eastAsia="en-US"/>
              </w:rPr>
              <w:t>36</w:t>
            </w:r>
          </w:p>
        </w:tc>
        <w:tc>
          <w:tcPr>
            <w:tcW w:w="12855" w:type="dxa"/>
            <w:shd w:val="clear" w:color="auto" w:fill="auto"/>
            <w:vAlign w:val="bottom"/>
          </w:tcPr>
          <w:p w14:paraId="59D6F44D" w14:textId="77777777" w:rsidR="00601D9B" w:rsidRPr="000E53A0" w:rsidRDefault="000E53A0">
            <w:pPr>
              <w:rPr>
                <w:rFonts w:asciiTheme="minorHAnsi" w:hAnsiTheme="minorHAnsi" w:cstheme="minorHAnsi"/>
                <w:b/>
                <w:sz w:val="18"/>
                <w:szCs w:val="18"/>
                <w:lang w:val="fr-FR"/>
              </w:rPr>
            </w:pPr>
            <w:r w:rsidRPr="000E53A0">
              <w:rPr>
                <w:rFonts w:ascii="Calibri" w:hAnsi="Calibri" w:cs="Calibri"/>
                <w:color w:val="000000"/>
                <w:sz w:val="18"/>
                <w:szCs w:val="18"/>
                <w:lang w:val="fr-FR" w:eastAsia="en-US"/>
              </w:rPr>
              <w:t>Acte 4.2.1 Expert en S&amp;E ; 50 jours@300 USD/jour ; expert en genre 50 jours@300 USD/jour ; 50% pour le développement ; 40% pour la mise en œuvre ; 10% pour le S&amp;E : consultant national ESMF ; 50 jours@300 USD/jour pour le suivi continu des activitésActe 4.2.3 Expert en S&amp;E et changement climatique ; 50 jours@300 USD/jourEvaluation à mi-parcours : Évaluation à mi-parcours : expert en S&amp;E et changement climatique ; 63 jours@300 USD/jourÉvaluation finale : Évaluation finale : expert en S&amp;E et changement climatique ; 73 jours@300 USD/jour.</w:t>
            </w:r>
          </w:p>
        </w:tc>
      </w:tr>
      <w:tr w:rsidR="00107491" w:rsidRPr="000E53A0" w14:paraId="5E26BB0C" w14:textId="77777777" w:rsidTr="00107491">
        <w:tc>
          <w:tcPr>
            <w:tcW w:w="1535" w:type="dxa"/>
            <w:shd w:val="clear" w:color="auto" w:fill="auto"/>
            <w:vAlign w:val="bottom"/>
          </w:tcPr>
          <w:p w14:paraId="5DA5BA10" w14:textId="77777777" w:rsidR="00601D9B" w:rsidRDefault="000E53A0">
            <w:pPr>
              <w:rPr>
                <w:rFonts w:asciiTheme="minorHAnsi" w:hAnsiTheme="minorHAnsi" w:cstheme="minorHAnsi"/>
                <w:b/>
                <w:sz w:val="18"/>
                <w:szCs w:val="18"/>
              </w:rPr>
            </w:pPr>
            <w:r w:rsidRPr="00107491">
              <w:rPr>
                <w:rFonts w:ascii="Calibri" w:hAnsi="Calibri" w:cs="Calibri"/>
                <w:color w:val="000000"/>
                <w:sz w:val="18"/>
                <w:szCs w:val="18"/>
                <w:lang w:val="en-US" w:eastAsia="en-US"/>
              </w:rPr>
              <w:t>37</w:t>
            </w:r>
          </w:p>
        </w:tc>
        <w:tc>
          <w:tcPr>
            <w:tcW w:w="12855" w:type="dxa"/>
            <w:shd w:val="clear" w:color="auto" w:fill="auto"/>
            <w:vAlign w:val="bottom"/>
          </w:tcPr>
          <w:p w14:paraId="39DFEA27" w14:textId="77777777" w:rsidR="00601D9B" w:rsidRPr="000E53A0" w:rsidRDefault="000E53A0">
            <w:pPr>
              <w:rPr>
                <w:rFonts w:asciiTheme="minorHAnsi" w:hAnsiTheme="minorHAnsi" w:cstheme="minorHAnsi"/>
                <w:b/>
                <w:sz w:val="18"/>
                <w:szCs w:val="18"/>
                <w:lang w:val="fr-FR"/>
              </w:rPr>
            </w:pPr>
            <w:r w:rsidRPr="000E53A0">
              <w:rPr>
                <w:rFonts w:ascii="Calibri" w:hAnsi="Calibri" w:cs="Calibri"/>
                <w:color w:val="000000"/>
                <w:sz w:val="18"/>
                <w:szCs w:val="18"/>
                <w:lang w:val="fr-FR" w:eastAsia="en-US"/>
              </w:rPr>
              <w:t>Acte 4.2.3 MoU/LoA avec l'IER pour le suivi de LDN</w:t>
            </w:r>
          </w:p>
        </w:tc>
      </w:tr>
      <w:tr w:rsidR="00107491" w:rsidRPr="000E53A0" w14:paraId="153BC2B4" w14:textId="77777777" w:rsidTr="00107491">
        <w:tc>
          <w:tcPr>
            <w:tcW w:w="1535" w:type="dxa"/>
            <w:shd w:val="clear" w:color="auto" w:fill="auto"/>
            <w:vAlign w:val="bottom"/>
          </w:tcPr>
          <w:p w14:paraId="0EE2B63F" w14:textId="77777777" w:rsidR="00601D9B" w:rsidRDefault="000E53A0">
            <w:pPr>
              <w:rPr>
                <w:rFonts w:asciiTheme="minorHAnsi" w:hAnsiTheme="minorHAnsi" w:cstheme="minorHAnsi"/>
                <w:b/>
                <w:sz w:val="18"/>
                <w:szCs w:val="18"/>
              </w:rPr>
            </w:pPr>
            <w:r w:rsidRPr="00107491">
              <w:rPr>
                <w:rFonts w:ascii="Calibri" w:hAnsi="Calibri" w:cs="Calibri"/>
                <w:color w:val="000000"/>
                <w:sz w:val="18"/>
                <w:szCs w:val="18"/>
                <w:lang w:val="en-US" w:eastAsia="en-US"/>
              </w:rPr>
              <w:t>38</w:t>
            </w:r>
          </w:p>
        </w:tc>
        <w:tc>
          <w:tcPr>
            <w:tcW w:w="12855" w:type="dxa"/>
            <w:shd w:val="clear" w:color="auto" w:fill="auto"/>
            <w:vAlign w:val="bottom"/>
          </w:tcPr>
          <w:p w14:paraId="2A763E2B" w14:textId="77777777" w:rsidR="00601D9B" w:rsidRPr="000E53A0" w:rsidRDefault="000E53A0">
            <w:pPr>
              <w:rPr>
                <w:rFonts w:asciiTheme="minorHAnsi" w:hAnsiTheme="minorHAnsi" w:cstheme="minorHAnsi"/>
                <w:b/>
                <w:sz w:val="18"/>
                <w:szCs w:val="18"/>
                <w:lang w:val="fr-FR"/>
              </w:rPr>
            </w:pPr>
            <w:r w:rsidRPr="000E53A0">
              <w:rPr>
                <w:rFonts w:ascii="Calibri" w:hAnsi="Calibri" w:cs="Calibri"/>
                <w:color w:val="000000"/>
                <w:sz w:val="18"/>
                <w:szCs w:val="18"/>
                <w:lang w:val="fr-FR" w:eastAsia="en-US"/>
              </w:rPr>
              <w:t>Acte 4.2.1 Suivi des plans d'action pour le genre et la jeunesse @3000 par anSuivi : Suivi des indicateurs du cadre de résultats du projet @5000 par anSuivi : DSA et voyages : National.Cons. 5000 pour 6 ansAct 4.2.3 DSA et voyage : Int.Cons. 5000 ; Cons.nat. 2000Evaluation à mi-parcours : DSA et déplacements : Int.Cons. 5000 ; Nat.Cons.2000Evaluation finale : DSA et voyages : Int.Cons. 5000 (kinshasa &amp; provinces) ; Nat.Cons.2000 (provinces)</w:t>
            </w:r>
          </w:p>
        </w:tc>
      </w:tr>
      <w:tr w:rsidR="00107491" w:rsidRPr="000E53A0" w14:paraId="1E84CAF6" w14:textId="77777777" w:rsidTr="00107491">
        <w:tc>
          <w:tcPr>
            <w:tcW w:w="1535" w:type="dxa"/>
            <w:shd w:val="clear" w:color="auto" w:fill="auto"/>
            <w:vAlign w:val="bottom"/>
          </w:tcPr>
          <w:p w14:paraId="30A92704" w14:textId="77777777" w:rsidR="00601D9B" w:rsidRDefault="000E53A0">
            <w:pPr>
              <w:rPr>
                <w:rFonts w:asciiTheme="minorHAnsi" w:hAnsiTheme="minorHAnsi" w:cstheme="minorHAnsi"/>
                <w:b/>
                <w:sz w:val="18"/>
                <w:szCs w:val="18"/>
              </w:rPr>
            </w:pPr>
            <w:r w:rsidRPr="00107491">
              <w:rPr>
                <w:rFonts w:ascii="Calibri" w:hAnsi="Calibri" w:cs="Calibri"/>
                <w:color w:val="000000"/>
                <w:sz w:val="18"/>
                <w:szCs w:val="18"/>
                <w:lang w:val="en-US" w:eastAsia="en-US"/>
              </w:rPr>
              <w:t>39</w:t>
            </w:r>
          </w:p>
        </w:tc>
        <w:tc>
          <w:tcPr>
            <w:tcW w:w="12855" w:type="dxa"/>
            <w:shd w:val="clear" w:color="auto" w:fill="auto"/>
            <w:vAlign w:val="bottom"/>
          </w:tcPr>
          <w:p w14:paraId="644AA40F" w14:textId="77777777" w:rsidR="00601D9B" w:rsidRPr="000E53A0" w:rsidRDefault="000E53A0">
            <w:pPr>
              <w:rPr>
                <w:rFonts w:asciiTheme="minorHAnsi" w:hAnsiTheme="minorHAnsi" w:cstheme="minorHAnsi"/>
                <w:b/>
                <w:sz w:val="18"/>
                <w:szCs w:val="18"/>
                <w:lang w:val="fr-FR"/>
              </w:rPr>
            </w:pPr>
            <w:r w:rsidRPr="000E53A0">
              <w:rPr>
                <w:rFonts w:ascii="Calibri" w:hAnsi="Calibri" w:cs="Calibri"/>
                <w:color w:val="000000"/>
                <w:sz w:val="18"/>
                <w:szCs w:val="18"/>
                <w:lang w:val="fr-FR" w:eastAsia="en-US"/>
              </w:rPr>
              <w:t>Acte 4.2.1 Atelier de lancement du projetActe 4.2.2 Visites d'échange d'apprentissage</w:t>
            </w:r>
          </w:p>
        </w:tc>
      </w:tr>
      <w:tr w:rsidR="00107491" w:rsidRPr="000E53A0" w14:paraId="7C307E56" w14:textId="77777777" w:rsidTr="00107491">
        <w:tc>
          <w:tcPr>
            <w:tcW w:w="1535" w:type="dxa"/>
            <w:shd w:val="clear" w:color="auto" w:fill="auto"/>
            <w:vAlign w:val="bottom"/>
          </w:tcPr>
          <w:p w14:paraId="676B0E57" w14:textId="77777777" w:rsidR="00601D9B" w:rsidRDefault="000E53A0">
            <w:pPr>
              <w:rPr>
                <w:rFonts w:asciiTheme="minorHAnsi" w:hAnsiTheme="minorHAnsi" w:cstheme="minorHAnsi"/>
                <w:b/>
                <w:sz w:val="18"/>
                <w:szCs w:val="18"/>
              </w:rPr>
            </w:pPr>
            <w:r w:rsidRPr="00107491">
              <w:rPr>
                <w:rFonts w:ascii="Calibri" w:hAnsi="Calibri" w:cs="Calibri"/>
                <w:color w:val="000000"/>
                <w:sz w:val="18"/>
                <w:szCs w:val="18"/>
                <w:lang w:val="en-US" w:eastAsia="en-US"/>
              </w:rPr>
              <w:t>40</w:t>
            </w:r>
          </w:p>
        </w:tc>
        <w:tc>
          <w:tcPr>
            <w:tcW w:w="12855" w:type="dxa"/>
            <w:shd w:val="clear" w:color="auto" w:fill="auto"/>
            <w:vAlign w:val="bottom"/>
          </w:tcPr>
          <w:p w14:paraId="11120AAE" w14:textId="77777777" w:rsidR="00601D9B" w:rsidRPr="000E53A0" w:rsidRDefault="000E53A0">
            <w:pPr>
              <w:rPr>
                <w:rFonts w:asciiTheme="minorHAnsi" w:hAnsiTheme="minorHAnsi" w:cstheme="minorHAnsi"/>
                <w:b/>
                <w:sz w:val="18"/>
                <w:szCs w:val="18"/>
                <w:lang w:val="fr-FR"/>
              </w:rPr>
            </w:pPr>
            <w:r w:rsidRPr="000E53A0">
              <w:rPr>
                <w:rFonts w:ascii="Calibri" w:hAnsi="Calibri" w:cs="Calibri"/>
                <w:color w:val="000000"/>
                <w:sz w:val="18"/>
                <w:szCs w:val="18"/>
                <w:lang w:val="fr-FR" w:eastAsia="en-US"/>
              </w:rPr>
              <w:t>Act 4.1.5 Expert en communication ; 40 jours@700 USD/jour</w:t>
            </w:r>
          </w:p>
        </w:tc>
      </w:tr>
      <w:tr w:rsidR="00107491" w:rsidRPr="000E53A0" w14:paraId="57223195" w14:textId="77777777" w:rsidTr="00107491">
        <w:tc>
          <w:tcPr>
            <w:tcW w:w="1535" w:type="dxa"/>
            <w:shd w:val="clear" w:color="auto" w:fill="auto"/>
            <w:vAlign w:val="bottom"/>
          </w:tcPr>
          <w:p w14:paraId="6B6BB43B" w14:textId="77777777" w:rsidR="00601D9B" w:rsidRDefault="000E53A0">
            <w:pPr>
              <w:rPr>
                <w:rFonts w:asciiTheme="minorHAnsi" w:hAnsiTheme="minorHAnsi" w:cstheme="minorHAnsi"/>
                <w:b/>
                <w:sz w:val="18"/>
                <w:szCs w:val="18"/>
              </w:rPr>
            </w:pPr>
            <w:r w:rsidRPr="00107491">
              <w:rPr>
                <w:rFonts w:ascii="Calibri" w:hAnsi="Calibri" w:cs="Calibri"/>
                <w:color w:val="000000"/>
                <w:sz w:val="18"/>
                <w:szCs w:val="18"/>
                <w:lang w:val="en-US" w:eastAsia="en-US"/>
              </w:rPr>
              <w:t>41</w:t>
            </w:r>
          </w:p>
        </w:tc>
        <w:tc>
          <w:tcPr>
            <w:tcW w:w="12855" w:type="dxa"/>
            <w:shd w:val="clear" w:color="auto" w:fill="auto"/>
            <w:vAlign w:val="bottom"/>
          </w:tcPr>
          <w:p w14:paraId="1DEE398A" w14:textId="77777777" w:rsidR="00601D9B" w:rsidRPr="000E53A0" w:rsidRDefault="000E53A0">
            <w:pPr>
              <w:rPr>
                <w:rFonts w:asciiTheme="minorHAnsi" w:hAnsiTheme="minorHAnsi" w:cstheme="minorHAnsi"/>
                <w:b/>
                <w:sz w:val="18"/>
                <w:szCs w:val="18"/>
                <w:lang w:val="fr-FR"/>
              </w:rPr>
            </w:pPr>
            <w:r w:rsidRPr="000E53A0">
              <w:rPr>
                <w:rFonts w:ascii="Calibri" w:hAnsi="Calibri" w:cs="Calibri"/>
                <w:color w:val="000000"/>
                <w:sz w:val="18"/>
                <w:szCs w:val="18"/>
                <w:lang w:val="fr-FR" w:eastAsia="en-US"/>
              </w:rPr>
              <w:t>Act 4.1.1 Expert en communication ; 40 jours@300 USD/jour Act 4.1.5 Expert en communication ; 40 jours@300 USD/jour</w:t>
            </w:r>
          </w:p>
        </w:tc>
      </w:tr>
      <w:tr w:rsidR="00107491" w:rsidRPr="000E53A0" w14:paraId="416655A5" w14:textId="77777777" w:rsidTr="00107491">
        <w:tc>
          <w:tcPr>
            <w:tcW w:w="1535" w:type="dxa"/>
            <w:shd w:val="clear" w:color="auto" w:fill="auto"/>
            <w:vAlign w:val="bottom"/>
          </w:tcPr>
          <w:p w14:paraId="55D501C9" w14:textId="77777777" w:rsidR="00601D9B" w:rsidRDefault="000E53A0">
            <w:pPr>
              <w:rPr>
                <w:rFonts w:asciiTheme="minorHAnsi" w:hAnsiTheme="minorHAnsi" w:cstheme="minorHAnsi"/>
                <w:b/>
                <w:sz w:val="18"/>
                <w:szCs w:val="18"/>
              </w:rPr>
            </w:pPr>
            <w:r w:rsidRPr="00107491">
              <w:rPr>
                <w:rFonts w:ascii="Calibri" w:hAnsi="Calibri" w:cs="Calibri"/>
                <w:color w:val="000000"/>
                <w:sz w:val="18"/>
                <w:szCs w:val="18"/>
                <w:lang w:val="en-US" w:eastAsia="en-US"/>
              </w:rPr>
              <w:t>42</w:t>
            </w:r>
          </w:p>
        </w:tc>
        <w:tc>
          <w:tcPr>
            <w:tcW w:w="12855" w:type="dxa"/>
            <w:shd w:val="clear" w:color="auto" w:fill="auto"/>
            <w:vAlign w:val="bottom"/>
          </w:tcPr>
          <w:p w14:paraId="67B261FF" w14:textId="77777777" w:rsidR="00601D9B" w:rsidRPr="000E53A0" w:rsidRDefault="000E53A0">
            <w:pPr>
              <w:rPr>
                <w:rFonts w:asciiTheme="minorHAnsi" w:hAnsiTheme="minorHAnsi" w:cstheme="minorHAnsi"/>
                <w:b/>
                <w:sz w:val="18"/>
                <w:szCs w:val="18"/>
                <w:lang w:val="fr-FR"/>
              </w:rPr>
            </w:pPr>
            <w:r w:rsidRPr="000E53A0">
              <w:rPr>
                <w:rFonts w:ascii="Calibri" w:hAnsi="Calibri" w:cs="Calibri"/>
                <w:color w:val="000000"/>
                <w:sz w:val="18"/>
                <w:szCs w:val="18"/>
                <w:lang w:val="fr-FR" w:eastAsia="en-US"/>
              </w:rPr>
              <w:t>Acte 4.1.2 Développement d'une plateforme de connaissances en ligne</w:t>
            </w:r>
          </w:p>
        </w:tc>
      </w:tr>
      <w:tr w:rsidR="00107491" w:rsidRPr="000E53A0" w14:paraId="04C03517" w14:textId="77777777" w:rsidTr="00107491">
        <w:tc>
          <w:tcPr>
            <w:tcW w:w="1535" w:type="dxa"/>
            <w:shd w:val="clear" w:color="auto" w:fill="auto"/>
            <w:vAlign w:val="bottom"/>
          </w:tcPr>
          <w:p w14:paraId="0DF064E6" w14:textId="77777777" w:rsidR="00601D9B" w:rsidRDefault="000E53A0">
            <w:pPr>
              <w:rPr>
                <w:rFonts w:asciiTheme="minorHAnsi" w:hAnsiTheme="minorHAnsi" w:cstheme="minorHAnsi"/>
                <w:b/>
                <w:sz w:val="18"/>
                <w:szCs w:val="18"/>
              </w:rPr>
            </w:pPr>
            <w:r w:rsidRPr="00107491">
              <w:rPr>
                <w:rFonts w:ascii="Calibri" w:hAnsi="Calibri" w:cs="Calibri"/>
                <w:color w:val="000000"/>
                <w:sz w:val="18"/>
                <w:szCs w:val="18"/>
                <w:lang w:val="en-US" w:eastAsia="en-US"/>
              </w:rPr>
              <w:t>43</w:t>
            </w:r>
          </w:p>
        </w:tc>
        <w:tc>
          <w:tcPr>
            <w:tcW w:w="12855" w:type="dxa"/>
            <w:shd w:val="clear" w:color="auto" w:fill="auto"/>
            <w:vAlign w:val="bottom"/>
          </w:tcPr>
          <w:p w14:paraId="5A5B89BE" w14:textId="77777777" w:rsidR="00601D9B" w:rsidRPr="000E53A0" w:rsidRDefault="000E53A0">
            <w:pPr>
              <w:rPr>
                <w:rFonts w:asciiTheme="minorHAnsi" w:hAnsiTheme="minorHAnsi" w:cstheme="minorHAnsi"/>
                <w:b/>
                <w:sz w:val="18"/>
                <w:szCs w:val="18"/>
                <w:lang w:val="fr-FR"/>
              </w:rPr>
            </w:pPr>
            <w:r w:rsidRPr="000E53A0">
              <w:rPr>
                <w:rFonts w:ascii="Calibri" w:hAnsi="Calibri" w:cs="Calibri"/>
                <w:color w:val="000000"/>
                <w:sz w:val="18"/>
                <w:szCs w:val="18"/>
                <w:lang w:val="fr-FR" w:eastAsia="en-US"/>
              </w:rPr>
              <w:t>Acte 4.1.2 Ateliers de diffusion des connaissances sur le projetAct 4.1.3 Dialogue annuel entre les parties prenantesAct 4.1.4 Événement national d'apprentissageAct 4.1.6 Événements annuels d'échange de connaissances</w:t>
            </w:r>
          </w:p>
        </w:tc>
      </w:tr>
      <w:tr w:rsidR="00107491" w:rsidRPr="00C65CC7" w14:paraId="0DFB8A00" w14:textId="77777777" w:rsidTr="00107491">
        <w:tc>
          <w:tcPr>
            <w:tcW w:w="1535" w:type="dxa"/>
            <w:shd w:val="clear" w:color="auto" w:fill="auto"/>
            <w:vAlign w:val="bottom"/>
          </w:tcPr>
          <w:p w14:paraId="5CC15885" w14:textId="77777777" w:rsidR="00601D9B" w:rsidRDefault="000E53A0">
            <w:pPr>
              <w:rPr>
                <w:rFonts w:asciiTheme="minorHAnsi" w:hAnsiTheme="minorHAnsi" w:cstheme="minorHAnsi"/>
                <w:b/>
                <w:sz w:val="18"/>
                <w:szCs w:val="18"/>
              </w:rPr>
            </w:pPr>
            <w:r w:rsidRPr="00107491">
              <w:rPr>
                <w:rFonts w:ascii="Calibri" w:hAnsi="Calibri" w:cs="Calibri"/>
                <w:color w:val="000000"/>
                <w:sz w:val="18"/>
                <w:szCs w:val="18"/>
                <w:lang w:val="en-US" w:eastAsia="en-US"/>
              </w:rPr>
              <w:t>44</w:t>
            </w:r>
          </w:p>
        </w:tc>
        <w:tc>
          <w:tcPr>
            <w:tcW w:w="12855" w:type="dxa"/>
            <w:shd w:val="clear" w:color="auto" w:fill="auto"/>
            <w:vAlign w:val="bottom"/>
          </w:tcPr>
          <w:p w14:paraId="006DC3C2" w14:textId="77777777" w:rsidR="00601D9B" w:rsidRDefault="000E53A0">
            <w:pPr>
              <w:rPr>
                <w:rFonts w:asciiTheme="minorHAnsi" w:hAnsiTheme="minorHAnsi" w:cstheme="minorHAnsi"/>
                <w:b/>
                <w:sz w:val="18"/>
                <w:szCs w:val="18"/>
              </w:rPr>
            </w:pPr>
            <w:r w:rsidRPr="00107491">
              <w:rPr>
                <w:rFonts w:ascii="Calibri" w:hAnsi="Calibri" w:cs="Calibri"/>
                <w:color w:val="000000"/>
                <w:sz w:val="18"/>
                <w:szCs w:val="18"/>
                <w:lang w:val="en-US" w:eastAsia="en-US"/>
              </w:rPr>
              <w:t>Acte 4.1.5 Services d'impression</w:t>
            </w:r>
          </w:p>
        </w:tc>
      </w:tr>
      <w:tr w:rsidR="00107491" w:rsidRPr="00FB4FF7" w14:paraId="3B1FE537" w14:textId="77777777" w:rsidTr="00107491">
        <w:tc>
          <w:tcPr>
            <w:tcW w:w="1535" w:type="dxa"/>
            <w:shd w:val="clear" w:color="auto" w:fill="auto"/>
            <w:vAlign w:val="bottom"/>
          </w:tcPr>
          <w:p w14:paraId="05E9CF09" w14:textId="77777777" w:rsidR="00601D9B" w:rsidRDefault="000E53A0">
            <w:pPr>
              <w:rPr>
                <w:rFonts w:asciiTheme="minorHAnsi" w:hAnsiTheme="minorHAnsi" w:cstheme="minorHAnsi"/>
                <w:b/>
                <w:sz w:val="18"/>
                <w:szCs w:val="18"/>
              </w:rPr>
            </w:pPr>
            <w:r w:rsidRPr="00107491">
              <w:rPr>
                <w:rFonts w:ascii="Calibri" w:hAnsi="Calibri" w:cs="Calibri"/>
                <w:color w:val="000000"/>
                <w:sz w:val="18"/>
                <w:szCs w:val="18"/>
                <w:lang w:val="en-US" w:eastAsia="en-US"/>
              </w:rPr>
              <w:t>45</w:t>
            </w:r>
          </w:p>
        </w:tc>
        <w:tc>
          <w:tcPr>
            <w:tcW w:w="12855" w:type="dxa"/>
            <w:shd w:val="clear" w:color="auto" w:fill="auto"/>
            <w:vAlign w:val="bottom"/>
          </w:tcPr>
          <w:p w14:paraId="75B8519D" w14:textId="77777777" w:rsidR="00601D9B" w:rsidRPr="000E53A0" w:rsidRDefault="000E53A0">
            <w:pPr>
              <w:rPr>
                <w:rFonts w:asciiTheme="minorHAnsi" w:hAnsiTheme="minorHAnsi" w:cstheme="minorHAnsi"/>
                <w:b/>
                <w:sz w:val="18"/>
                <w:szCs w:val="18"/>
                <w:lang w:val="fr-FR"/>
              </w:rPr>
            </w:pPr>
            <w:r w:rsidRPr="000E53A0">
              <w:rPr>
                <w:rFonts w:ascii="Calibri" w:hAnsi="Calibri" w:cs="Calibri"/>
                <w:color w:val="000000"/>
                <w:sz w:val="18"/>
                <w:szCs w:val="18"/>
                <w:lang w:val="fr-FR" w:eastAsia="en-US"/>
              </w:rPr>
              <w:t xml:space="preserve">Act 4.1.4 Voyage international des participants (10 </w:t>
            </w:r>
            <w:proofErr w:type="gramStart"/>
            <w:r w:rsidRPr="000E53A0">
              <w:rPr>
                <w:rFonts w:ascii="Calibri" w:hAnsi="Calibri" w:cs="Calibri"/>
                <w:color w:val="000000"/>
                <w:sz w:val="18"/>
                <w:szCs w:val="18"/>
                <w:lang w:val="fr-FR" w:eastAsia="en-US"/>
              </w:rPr>
              <w:t>participants)Act</w:t>
            </w:r>
            <w:proofErr w:type="gramEnd"/>
            <w:r w:rsidRPr="000E53A0">
              <w:rPr>
                <w:rFonts w:ascii="Calibri" w:hAnsi="Calibri" w:cs="Calibri"/>
                <w:color w:val="000000"/>
                <w:sz w:val="18"/>
                <w:szCs w:val="18"/>
                <w:lang w:val="fr-FR" w:eastAsia="en-US"/>
              </w:rPr>
              <w:t xml:space="preserve"> 4.1.6 Voyage international des participants (12 participants)</w:t>
            </w:r>
          </w:p>
        </w:tc>
      </w:tr>
      <w:tr w:rsidR="00107491" w:rsidRPr="000E53A0" w14:paraId="6F0876F8" w14:textId="77777777" w:rsidTr="00107491">
        <w:tc>
          <w:tcPr>
            <w:tcW w:w="1535" w:type="dxa"/>
            <w:shd w:val="clear" w:color="auto" w:fill="auto"/>
            <w:vAlign w:val="bottom"/>
          </w:tcPr>
          <w:p w14:paraId="51A943E0" w14:textId="77777777" w:rsidR="00601D9B" w:rsidRDefault="000E53A0">
            <w:pPr>
              <w:rPr>
                <w:rFonts w:asciiTheme="minorHAnsi" w:hAnsiTheme="minorHAnsi" w:cstheme="minorHAnsi"/>
                <w:b/>
                <w:sz w:val="18"/>
                <w:szCs w:val="18"/>
              </w:rPr>
            </w:pPr>
            <w:r w:rsidRPr="00107491">
              <w:rPr>
                <w:rFonts w:ascii="Calibri" w:hAnsi="Calibri" w:cs="Calibri"/>
                <w:color w:val="000000"/>
                <w:sz w:val="18"/>
                <w:szCs w:val="18"/>
                <w:lang w:val="en-US" w:eastAsia="en-US"/>
              </w:rPr>
              <w:t>46</w:t>
            </w:r>
          </w:p>
        </w:tc>
        <w:tc>
          <w:tcPr>
            <w:tcW w:w="12855" w:type="dxa"/>
            <w:shd w:val="clear" w:color="auto" w:fill="auto"/>
            <w:vAlign w:val="bottom"/>
          </w:tcPr>
          <w:p w14:paraId="659DBA7F" w14:textId="77777777" w:rsidR="00601D9B" w:rsidRPr="000E53A0" w:rsidRDefault="000E53A0">
            <w:pPr>
              <w:rPr>
                <w:rFonts w:asciiTheme="minorHAnsi" w:hAnsiTheme="minorHAnsi" w:cstheme="minorHAnsi"/>
                <w:b/>
                <w:sz w:val="18"/>
                <w:szCs w:val="18"/>
                <w:lang w:val="fr-FR"/>
              </w:rPr>
            </w:pPr>
            <w:r w:rsidRPr="000E53A0">
              <w:rPr>
                <w:rFonts w:ascii="Calibri" w:hAnsi="Calibri" w:cs="Calibri"/>
                <w:color w:val="000000"/>
                <w:sz w:val="18"/>
                <w:szCs w:val="18"/>
                <w:lang w:val="fr-FR" w:eastAsia="en-US"/>
              </w:rPr>
              <w:t>Assistant administratif/financier de projet à temps plein</w:t>
            </w:r>
          </w:p>
        </w:tc>
      </w:tr>
      <w:tr w:rsidR="00107491" w:rsidRPr="000E53A0" w14:paraId="6EF31755" w14:textId="77777777" w:rsidTr="00107491">
        <w:tc>
          <w:tcPr>
            <w:tcW w:w="1535" w:type="dxa"/>
            <w:shd w:val="clear" w:color="auto" w:fill="auto"/>
            <w:vAlign w:val="bottom"/>
          </w:tcPr>
          <w:p w14:paraId="32C90A52" w14:textId="77777777" w:rsidR="00601D9B" w:rsidRDefault="000E53A0">
            <w:pPr>
              <w:rPr>
                <w:rFonts w:asciiTheme="minorHAnsi" w:hAnsiTheme="minorHAnsi" w:cstheme="minorHAnsi"/>
                <w:b/>
                <w:sz w:val="18"/>
                <w:szCs w:val="18"/>
              </w:rPr>
            </w:pPr>
            <w:r w:rsidRPr="00107491">
              <w:rPr>
                <w:rFonts w:ascii="Calibri" w:hAnsi="Calibri" w:cs="Calibri"/>
                <w:color w:val="000000"/>
                <w:sz w:val="18"/>
                <w:szCs w:val="18"/>
                <w:lang w:val="en-US" w:eastAsia="en-US"/>
              </w:rPr>
              <w:t>47</w:t>
            </w:r>
          </w:p>
        </w:tc>
        <w:tc>
          <w:tcPr>
            <w:tcW w:w="12855" w:type="dxa"/>
            <w:shd w:val="clear" w:color="auto" w:fill="auto"/>
            <w:vAlign w:val="bottom"/>
          </w:tcPr>
          <w:p w14:paraId="659DB9F0" w14:textId="77777777" w:rsidR="00601D9B" w:rsidRPr="000E53A0" w:rsidRDefault="000E53A0">
            <w:pPr>
              <w:rPr>
                <w:rFonts w:asciiTheme="minorHAnsi" w:hAnsiTheme="minorHAnsi" w:cstheme="minorHAnsi"/>
                <w:b/>
                <w:sz w:val="18"/>
                <w:szCs w:val="18"/>
                <w:lang w:val="fr-FR"/>
              </w:rPr>
            </w:pPr>
            <w:r w:rsidRPr="000E53A0">
              <w:rPr>
                <w:rFonts w:ascii="Calibri" w:hAnsi="Calibri" w:cs="Calibri"/>
                <w:color w:val="000000"/>
                <w:sz w:val="22"/>
                <w:szCs w:val="22"/>
                <w:lang w:val="fr-FR" w:eastAsia="en-US"/>
              </w:rPr>
              <w:t>Audit du NIM selon les politiques d'audit du PNUD</w:t>
            </w:r>
          </w:p>
        </w:tc>
      </w:tr>
      <w:tr w:rsidR="00107491" w:rsidRPr="000E53A0" w14:paraId="23461086" w14:textId="77777777" w:rsidTr="00107491">
        <w:tc>
          <w:tcPr>
            <w:tcW w:w="1535" w:type="dxa"/>
            <w:shd w:val="clear" w:color="auto" w:fill="auto"/>
            <w:vAlign w:val="bottom"/>
          </w:tcPr>
          <w:p w14:paraId="7ED30E56" w14:textId="77777777" w:rsidR="00601D9B" w:rsidRDefault="000E53A0">
            <w:pPr>
              <w:rPr>
                <w:rFonts w:asciiTheme="minorHAnsi" w:hAnsiTheme="minorHAnsi" w:cstheme="minorHAnsi"/>
                <w:b/>
                <w:sz w:val="18"/>
                <w:szCs w:val="18"/>
              </w:rPr>
            </w:pPr>
            <w:r w:rsidRPr="00107491">
              <w:rPr>
                <w:rFonts w:ascii="Calibri" w:hAnsi="Calibri" w:cs="Calibri"/>
                <w:color w:val="000000"/>
                <w:sz w:val="18"/>
                <w:szCs w:val="18"/>
                <w:lang w:val="en-US" w:eastAsia="en-US"/>
              </w:rPr>
              <w:t>48</w:t>
            </w:r>
          </w:p>
        </w:tc>
        <w:tc>
          <w:tcPr>
            <w:tcW w:w="12855" w:type="dxa"/>
            <w:shd w:val="clear" w:color="auto" w:fill="auto"/>
            <w:vAlign w:val="bottom"/>
          </w:tcPr>
          <w:p w14:paraId="01DA0031" w14:textId="77777777" w:rsidR="00601D9B" w:rsidRPr="000E53A0" w:rsidRDefault="000E53A0">
            <w:pPr>
              <w:rPr>
                <w:rFonts w:asciiTheme="minorHAnsi" w:hAnsiTheme="minorHAnsi" w:cstheme="minorHAnsi"/>
                <w:b/>
                <w:sz w:val="18"/>
                <w:szCs w:val="18"/>
                <w:lang w:val="fr-FR"/>
              </w:rPr>
            </w:pPr>
            <w:r w:rsidRPr="000E53A0">
              <w:rPr>
                <w:rFonts w:ascii="Calibri" w:hAnsi="Calibri" w:cs="Calibri"/>
                <w:color w:val="000000"/>
                <w:sz w:val="18"/>
                <w:szCs w:val="18"/>
                <w:lang w:val="fr-FR" w:eastAsia="en-US"/>
              </w:rPr>
              <w:t>Chef de projet à temps plein</w:t>
            </w:r>
          </w:p>
        </w:tc>
      </w:tr>
      <w:tr w:rsidR="00107491" w:rsidRPr="000E53A0" w14:paraId="4930527A" w14:textId="77777777" w:rsidTr="00107491">
        <w:tc>
          <w:tcPr>
            <w:tcW w:w="1535" w:type="dxa"/>
            <w:shd w:val="clear" w:color="auto" w:fill="auto"/>
            <w:vAlign w:val="bottom"/>
          </w:tcPr>
          <w:p w14:paraId="51F4AB6A" w14:textId="77777777" w:rsidR="00601D9B" w:rsidRDefault="000E53A0">
            <w:pPr>
              <w:rPr>
                <w:rFonts w:asciiTheme="minorHAnsi" w:hAnsiTheme="minorHAnsi" w:cstheme="minorHAnsi"/>
                <w:b/>
                <w:sz w:val="18"/>
                <w:szCs w:val="18"/>
              </w:rPr>
            </w:pPr>
            <w:r w:rsidRPr="00107491">
              <w:rPr>
                <w:rFonts w:ascii="Calibri" w:hAnsi="Calibri" w:cs="Calibri"/>
                <w:color w:val="000000"/>
                <w:sz w:val="18"/>
                <w:szCs w:val="18"/>
                <w:lang w:val="en-US" w:eastAsia="en-US"/>
              </w:rPr>
              <w:t>49</w:t>
            </w:r>
          </w:p>
        </w:tc>
        <w:tc>
          <w:tcPr>
            <w:tcW w:w="12855" w:type="dxa"/>
            <w:shd w:val="clear" w:color="auto" w:fill="auto"/>
            <w:vAlign w:val="bottom"/>
          </w:tcPr>
          <w:p w14:paraId="3260DDF8" w14:textId="77777777" w:rsidR="00601D9B" w:rsidRPr="000E53A0" w:rsidRDefault="000E53A0">
            <w:pPr>
              <w:rPr>
                <w:rFonts w:asciiTheme="minorHAnsi" w:hAnsiTheme="minorHAnsi" w:cstheme="minorHAnsi"/>
                <w:b/>
                <w:sz w:val="18"/>
                <w:szCs w:val="18"/>
                <w:lang w:val="fr-FR"/>
              </w:rPr>
            </w:pPr>
            <w:r w:rsidRPr="000E53A0">
              <w:rPr>
                <w:rFonts w:ascii="Calibri" w:hAnsi="Calibri" w:cs="Calibri"/>
                <w:color w:val="000000"/>
                <w:sz w:val="18"/>
                <w:szCs w:val="18"/>
                <w:lang w:val="fr-FR" w:eastAsia="en-US"/>
              </w:rPr>
              <w:t xml:space="preserve"> Frais de voyage du personnel de projet de PMU InterLife</w:t>
            </w:r>
          </w:p>
        </w:tc>
      </w:tr>
      <w:tr w:rsidR="00107491" w:rsidRPr="00C65CC7" w14:paraId="1145A347" w14:textId="77777777" w:rsidTr="00107491">
        <w:tc>
          <w:tcPr>
            <w:tcW w:w="1535" w:type="dxa"/>
            <w:shd w:val="clear" w:color="auto" w:fill="auto"/>
            <w:vAlign w:val="bottom"/>
          </w:tcPr>
          <w:p w14:paraId="5DD8F4ED" w14:textId="77777777" w:rsidR="00601D9B" w:rsidRDefault="000E53A0">
            <w:pPr>
              <w:rPr>
                <w:rFonts w:asciiTheme="minorHAnsi" w:hAnsiTheme="minorHAnsi" w:cstheme="minorHAnsi"/>
                <w:b/>
                <w:sz w:val="18"/>
                <w:szCs w:val="18"/>
              </w:rPr>
            </w:pPr>
            <w:r w:rsidRPr="00107491">
              <w:rPr>
                <w:rFonts w:ascii="Calibri" w:hAnsi="Calibri" w:cs="Calibri"/>
                <w:color w:val="000000"/>
                <w:sz w:val="18"/>
                <w:szCs w:val="18"/>
                <w:lang w:val="en-US" w:eastAsia="en-US"/>
              </w:rPr>
              <w:t>50</w:t>
            </w:r>
          </w:p>
        </w:tc>
        <w:tc>
          <w:tcPr>
            <w:tcW w:w="12855" w:type="dxa"/>
            <w:shd w:val="clear" w:color="auto" w:fill="auto"/>
            <w:vAlign w:val="bottom"/>
          </w:tcPr>
          <w:p w14:paraId="6739036F" w14:textId="77777777" w:rsidR="00601D9B" w:rsidRDefault="000E53A0">
            <w:pPr>
              <w:rPr>
                <w:rFonts w:asciiTheme="minorHAnsi" w:hAnsiTheme="minorHAnsi" w:cstheme="minorHAnsi"/>
                <w:b/>
                <w:sz w:val="18"/>
                <w:szCs w:val="18"/>
              </w:rPr>
            </w:pPr>
            <w:r w:rsidRPr="00107491">
              <w:rPr>
                <w:rFonts w:ascii="Calibri" w:hAnsi="Calibri" w:cs="Calibri"/>
                <w:color w:val="000000"/>
                <w:sz w:val="18"/>
                <w:szCs w:val="18"/>
                <w:lang w:val="en-US" w:eastAsia="en-US"/>
              </w:rPr>
              <w:t>Location de bureaux</w:t>
            </w:r>
          </w:p>
        </w:tc>
      </w:tr>
      <w:tr w:rsidR="00107491" w:rsidRPr="000E53A0" w14:paraId="10374705" w14:textId="77777777" w:rsidTr="00107491">
        <w:tc>
          <w:tcPr>
            <w:tcW w:w="1535" w:type="dxa"/>
            <w:shd w:val="clear" w:color="auto" w:fill="auto"/>
            <w:vAlign w:val="bottom"/>
          </w:tcPr>
          <w:p w14:paraId="37958820" w14:textId="77777777" w:rsidR="00601D9B" w:rsidRDefault="000E53A0">
            <w:pPr>
              <w:rPr>
                <w:rFonts w:asciiTheme="minorHAnsi" w:hAnsiTheme="minorHAnsi" w:cstheme="minorHAnsi"/>
                <w:b/>
                <w:sz w:val="18"/>
                <w:szCs w:val="18"/>
              </w:rPr>
            </w:pPr>
            <w:r w:rsidRPr="00107491">
              <w:rPr>
                <w:rFonts w:ascii="Calibri" w:hAnsi="Calibri" w:cs="Calibri"/>
                <w:color w:val="000000"/>
                <w:sz w:val="18"/>
                <w:szCs w:val="18"/>
                <w:lang w:val="en-US" w:eastAsia="en-US"/>
              </w:rPr>
              <w:t>51</w:t>
            </w:r>
          </w:p>
        </w:tc>
        <w:tc>
          <w:tcPr>
            <w:tcW w:w="12855" w:type="dxa"/>
            <w:shd w:val="clear" w:color="auto" w:fill="auto"/>
            <w:vAlign w:val="bottom"/>
          </w:tcPr>
          <w:p w14:paraId="7E940957" w14:textId="77777777" w:rsidR="00601D9B" w:rsidRPr="000E53A0" w:rsidRDefault="000E53A0">
            <w:pPr>
              <w:rPr>
                <w:rFonts w:asciiTheme="minorHAnsi" w:hAnsiTheme="minorHAnsi" w:cstheme="minorHAnsi"/>
                <w:b/>
                <w:sz w:val="18"/>
                <w:szCs w:val="18"/>
                <w:lang w:val="fr-FR"/>
              </w:rPr>
            </w:pPr>
            <w:r w:rsidRPr="000E53A0">
              <w:rPr>
                <w:rFonts w:ascii="Calibri" w:hAnsi="Calibri" w:cs="Calibri"/>
                <w:color w:val="000000"/>
                <w:sz w:val="18"/>
                <w:szCs w:val="18"/>
                <w:lang w:val="fr-FR" w:eastAsia="en-US"/>
              </w:rPr>
              <w:t>Ordinateurs et matériel de bureau</w:t>
            </w:r>
          </w:p>
        </w:tc>
      </w:tr>
      <w:tr w:rsidR="00107491" w:rsidRPr="00C65CC7" w14:paraId="1CB65273" w14:textId="77777777" w:rsidTr="00107491">
        <w:tc>
          <w:tcPr>
            <w:tcW w:w="1535" w:type="dxa"/>
            <w:shd w:val="clear" w:color="auto" w:fill="auto"/>
            <w:vAlign w:val="bottom"/>
          </w:tcPr>
          <w:p w14:paraId="33AC3A66" w14:textId="77777777" w:rsidR="00601D9B" w:rsidRDefault="000E53A0">
            <w:pPr>
              <w:rPr>
                <w:rFonts w:asciiTheme="minorHAnsi" w:hAnsiTheme="minorHAnsi" w:cstheme="minorHAnsi"/>
                <w:b/>
                <w:sz w:val="18"/>
                <w:szCs w:val="18"/>
              </w:rPr>
            </w:pPr>
            <w:r w:rsidRPr="00107491">
              <w:rPr>
                <w:rFonts w:ascii="Calibri" w:hAnsi="Calibri" w:cs="Calibri"/>
                <w:color w:val="000000"/>
                <w:sz w:val="18"/>
                <w:szCs w:val="18"/>
                <w:lang w:val="en-US" w:eastAsia="en-US"/>
              </w:rPr>
              <w:t>52</w:t>
            </w:r>
          </w:p>
        </w:tc>
        <w:tc>
          <w:tcPr>
            <w:tcW w:w="12855" w:type="dxa"/>
            <w:shd w:val="clear" w:color="auto" w:fill="auto"/>
            <w:vAlign w:val="bottom"/>
          </w:tcPr>
          <w:p w14:paraId="71491BA4" w14:textId="77777777" w:rsidR="00601D9B" w:rsidRDefault="000E53A0">
            <w:pPr>
              <w:rPr>
                <w:rFonts w:asciiTheme="minorHAnsi" w:hAnsiTheme="minorHAnsi" w:cstheme="minorHAnsi"/>
                <w:b/>
                <w:sz w:val="18"/>
                <w:szCs w:val="18"/>
              </w:rPr>
            </w:pPr>
            <w:r w:rsidRPr="00107491">
              <w:rPr>
                <w:rFonts w:ascii="Calibri" w:hAnsi="Calibri" w:cs="Calibri"/>
                <w:color w:val="000000"/>
                <w:sz w:val="18"/>
                <w:szCs w:val="18"/>
                <w:lang w:val="en-US" w:eastAsia="en-US"/>
              </w:rPr>
              <w:t>Fournitures de bureau</w:t>
            </w:r>
          </w:p>
        </w:tc>
      </w:tr>
    </w:tbl>
    <w:p w14:paraId="1985C099" w14:textId="77777777" w:rsidR="00470E9A" w:rsidRPr="00C65CC7" w:rsidRDefault="00470E9A" w:rsidP="00470E9A">
      <w:pPr>
        <w:rPr>
          <w:rFonts w:asciiTheme="minorHAnsi" w:hAnsiTheme="minorHAnsi" w:cstheme="minorHAnsi"/>
          <w:b/>
          <w:sz w:val="18"/>
          <w:szCs w:val="18"/>
        </w:rPr>
      </w:pPr>
    </w:p>
    <w:p w14:paraId="3B3A779D" w14:textId="77777777" w:rsidR="00734E23" w:rsidRDefault="00734E23" w:rsidP="00470E9A">
      <w:pPr>
        <w:rPr>
          <w:szCs w:val="28"/>
        </w:rPr>
        <w:sectPr w:rsidR="00734E23" w:rsidSect="00740F26">
          <w:pgSz w:w="15840" w:h="12240" w:orient="landscape" w:code="1"/>
          <w:pgMar w:top="720" w:right="720" w:bottom="720" w:left="720" w:header="720" w:footer="432" w:gutter="0"/>
          <w:cols w:space="708"/>
          <w:titlePg/>
          <w:docGrid w:linePitch="360"/>
        </w:sectPr>
      </w:pPr>
    </w:p>
    <w:p w14:paraId="4D0B8732" w14:textId="77777777" w:rsidR="00601D9B" w:rsidRDefault="000E53A0">
      <w:pPr>
        <w:pStyle w:val="Titre1"/>
        <w:spacing w:before="0" w:after="60"/>
        <w:rPr>
          <w:rFonts w:ascii="Calibri" w:hAnsi="Calibri"/>
          <w:szCs w:val="28"/>
        </w:rPr>
      </w:pPr>
      <w:bookmarkStart w:id="60" w:name="_Toc46749085"/>
      <w:commentRangeStart w:id="61"/>
      <w:r w:rsidRPr="0003763F">
        <w:rPr>
          <w:rFonts w:ascii="Calibri" w:hAnsi="Calibri"/>
          <w:szCs w:val="28"/>
        </w:rPr>
        <w:lastRenderedPageBreak/>
        <w:t xml:space="preserve">Contexte juridique </w:t>
      </w:r>
      <w:bookmarkEnd w:id="60"/>
      <w:commentRangeEnd w:id="61"/>
      <w:r w:rsidR="00107491">
        <w:rPr>
          <w:rStyle w:val="Marquedecommentaire"/>
          <w:rFonts w:ascii="Times New Roman" w:hAnsi="Times New Roman"/>
          <w:b w:val="0"/>
          <w:smallCaps w:val="0"/>
          <w:spacing w:val="0"/>
        </w:rPr>
        <w:commentReference w:id="61"/>
      </w:r>
    </w:p>
    <w:p w14:paraId="4E4E55BD" w14:textId="77777777" w:rsidR="00601D9B" w:rsidRPr="000E53A0" w:rsidRDefault="000E53A0">
      <w:pPr>
        <w:spacing w:after="240"/>
        <w:rPr>
          <w:rFonts w:asciiTheme="minorHAnsi" w:hAnsiTheme="minorHAnsi" w:cstheme="minorHAnsi"/>
          <w:b/>
          <w:i/>
          <w:sz w:val="20"/>
          <w:szCs w:val="20"/>
          <w:u w:val="single"/>
          <w:lang w:val="fr-FR"/>
        </w:rPr>
      </w:pPr>
      <w:r w:rsidRPr="000E53A0">
        <w:rPr>
          <w:rFonts w:asciiTheme="minorHAnsi" w:hAnsiTheme="minorHAnsi" w:cstheme="minorHAnsi"/>
          <w:b/>
          <w:i/>
          <w:noProof/>
          <w:sz w:val="20"/>
          <w:szCs w:val="20"/>
          <w:highlight w:val="yellow"/>
          <w:lang w:val="fr-FR" w:eastAsia="zh-CN"/>
        </w:rPr>
        <w:t xml:space="preserve">Conseils </w:t>
      </w:r>
      <w:r w:rsidR="003E3ABA" w:rsidRPr="000E53A0">
        <w:rPr>
          <w:rFonts w:asciiTheme="minorHAnsi" w:hAnsiTheme="minorHAnsi" w:cstheme="minorHAnsi"/>
          <w:b/>
          <w:i/>
          <w:noProof/>
          <w:sz w:val="20"/>
          <w:szCs w:val="20"/>
          <w:highlight w:val="yellow"/>
          <w:lang w:val="fr-FR" w:eastAsia="zh-CN"/>
        </w:rPr>
        <w:t xml:space="preserve">au développeur de projet </w:t>
      </w:r>
      <w:r w:rsidR="003E3ABA" w:rsidRPr="000E53A0">
        <w:rPr>
          <w:rFonts w:asciiTheme="minorHAnsi" w:hAnsiTheme="minorHAnsi" w:cstheme="minorHAnsi"/>
          <w:i/>
          <w:noProof/>
          <w:sz w:val="20"/>
          <w:szCs w:val="20"/>
          <w:highlight w:val="yellow"/>
          <w:lang w:val="fr-FR" w:eastAsia="zh-CN"/>
        </w:rPr>
        <w:t xml:space="preserve">: </w:t>
      </w:r>
      <w:r w:rsidR="00F62A77" w:rsidRPr="000E53A0">
        <w:rPr>
          <w:rFonts w:asciiTheme="minorHAnsi" w:hAnsiTheme="minorHAnsi" w:cstheme="minorHAnsi"/>
          <w:i/>
          <w:noProof/>
          <w:sz w:val="20"/>
          <w:szCs w:val="20"/>
          <w:highlight w:val="yellow"/>
          <w:lang w:val="fr-FR" w:eastAsia="zh-CN"/>
        </w:rPr>
        <w:t>choisissez l'une des options suivantes</w:t>
      </w:r>
      <w:r w:rsidR="00A94FFC" w:rsidRPr="000E53A0">
        <w:rPr>
          <w:rFonts w:asciiTheme="minorHAnsi" w:hAnsiTheme="minorHAnsi" w:cstheme="minorHAnsi"/>
          <w:i/>
          <w:noProof/>
          <w:sz w:val="20"/>
          <w:szCs w:val="20"/>
          <w:highlight w:val="yellow"/>
          <w:lang w:val="fr-FR" w:eastAsia="zh-CN"/>
        </w:rPr>
        <w:t>. Effacez les options non sélectionnées</w:t>
      </w:r>
      <w:r w:rsidR="00A94FFC" w:rsidRPr="000E53A0">
        <w:rPr>
          <w:rFonts w:asciiTheme="minorHAnsi" w:hAnsiTheme="minorHAnsi" w:cstheme="minorHAnsi"/>
          <w:b/>
          <w:i/>
          <w:noProof/>
          <w:sz w:val="20"/>
          <w:szCs w:val="20"/>
          <w:highlight w:val="yellow"/>
          <w:lang w:val="fr-FR" w:eastAsia="zh-CN"/>
        </w:rPr>
        <w:t xml:space="preserve">. </w:t>
      </w:r>
      <w:r w:rsidR="006C181C" w:rsidRPr="000E53A0">
        <w:rPr>
          <w:rFonts w:asciiTheme="minorHAnsi" w:hAnsiTheme="minorHAnsi" w:cstheme="minorHAnsi"/>
          <w:b/>
          <w:i/>
          <w:noProof/>
          <w:sz w:val="20"/>
          <w:szCs w:val="20"/>
          <w:highlight w:val="yellow"/>
          <w:lang w:val="fr-FR" w:eastAsia="zh-CN"/>
        </w:rPr>
        <w:t xml:space="preserve">Ne pas </w:t>
      </w:r>
      <w:r w:rsidR="008155AC" w:rsidRPr="000E53A0">
        <w:rPr>
          <w:rFonts w:asciiTheme="minorHAnsi" w:hAnsiTheme="minorHAnsi" w:cstheme="minorHAnsi"/>
          <w:b/>
          <w:i/>
          <w:noProof/>
          <w:sz w:val="20"/>
          <w:szCs w:val="20"/>
          <w:highlight w:val="yellow"/>
          <w:lang w:val="fr-FR" w:eastAsia="zh-CN"/>
        </w:rPr>
        <w:t xml:space="preserve">modifier/éditer ou changer de quelque manière que ce soit le </w:t>
      </w:r>
      <w:r w:rsidR="006C181C" w:rsidRPr="000E53A0">
        <w:rPr>
          <w:rFonts w:asciiTheme="minorHAnsi" w:hAnsiTheme="minorHAnsi" w:cstheme="minorHAnsi"/>
          <w:b/>
          <w:i/>
          <w:noProof/>
          <w:sz w:val="20"/>
          <w:szCs w:val="20"/>
          <w:highlight w:val="yellow"/>
          <w:lang w:val="fr-FR" w:eastAsia="zh-CN"/>
        </w:rPr>
        <w:t xml:space="preserve">texte </w:t>
      </w:r>
      <w:r w:rsidR="008155AC" w:rsidRPr="000E53A0">
        <w:rPr>
          <w:rFonts w:asciiTheme="minorHAnsi" w:hAnsiTheme="minorHAnsi" w:cstheme="minorHAnsi"/>
          <w:b/>
          <w:i/>
          <w:noProof/>
          <w:sz w:val="20"/>
          <w:szCs w:val="20"/>
          <w:highlight w:val="yellow"/>
          <w:lang w:val="fr-FR" w:eastAsia="zh-CN"/>
        </w:rPr>
        <w:t>standard ci-dessous</w:t>
      </w:r>
      <w:r w:rsidR="008155AC" w:rsidRPr="000E53A0">
        <w:rPr>
          <w:rFonts w:asciiTheme="minorHAnsi" w:hAnsiTheme="minorHAnsi" w:cstheme="minorHAnsi"/>
          <w:i/>
          <w:noProof/>
          <w:sz w:val="20"/>
          <w:szCs w:val="20"/>
          <w:highlight w:val="yellow"/>
          <w:lang w:val="fr-FR" w:eastAsia="zh-CN"/>
        </w:rPr>
        <w:t xml:space="preserve">. </w:t>
      </w:r>
      <w:r w:rsidR="00B40BA6" w:rsidRPr="000E53A0">
        <w:rPr>
          <w:rFonts w:asciiTheme="minorHAnsi" w:hAnsiTheme="minorHAnsi" w:cstheme="minorHAnsi"/>
          <w:i/>
          <w:sz w:val="20"/>
          <w:szCs w:val="20"/>
          <w:highlight w:val="yellow"/>
          <w:lang w:val="fr-FR"/>
        </w:rPr>
        <w:t>Tout changement/amendement/note devra être approuvé par le Bureau juridique du PNUD avant d'être soumis au FEM, ce qui pourrait entraîner des retards importants et par conséquent l'annulation automatique du projet par le FEM. Ces sections sont obligatoires, ne peuvent pas être modifiées et sont essentielles à la conformité du PNUD avec les politiques du PNUD et du FEM.</w:t>
      </w:r>
    </w:p>
    <w:p w14:paraId="2E3C25ED" w14:textId="77777777" w:rsidR="00601D9B" w:rsidRPr="000E53A0" w:rsidRDefault="000E53A0">
      <w:pPr>
        <w:rPr>
          <w:rFonts w:asciiTheme="minorHAnsi" w:hAnsiTheme="minorHAnsi" w:cstheme="minorHAnsi"/>
          <w:b/>
          <w:sz w:val="20"/>
          <w:szCs w:val="20"/>
          <w:lang w:val="fr-FR"/>
        </w:rPr>
      </w:pPr>
      <w:bookmarkStart w:id="62" w:name="_Toc10449642"/>
      <w:r w:rsidRPr="000E53A0">
        <w:rPr>
          <w:rFonts w:asciiTheme="minorHAnsi" w:hAnsiTheme="minorHAnsi" w:cstheme="minorHAnsi"/>
          <w:b/>
          <w:sz w:val="20"/>
          <w:szCs w:val="20"/>
          <w:lang w:val="fr-FR"/>
        </w:rPr>
        <w:t>Option a. Lorsque le pays a signé l'</w:t>
      </w:r>
      <w:hyperlink r:id="rId37" w:tooltip="outbind://44/reference_centre/chapter5/sbaa.pdf" w:history="1">
        <w:r w:rsidRPr="000E53A0">
          <w:rPr>
            <w:rStyle w:val="Lienhypertexte"/>
            <w:rFonts w:asciiTheme="minorHAnsi" w:hAnsiTheme="minorHAnsi" w:cstheme="minorHAnsi"/>
            <w:b/>
            <w:spacing w:val="-3"/>
            <w:sz w:val="20"/>
            <w:szCs w:val="20"/>
            <w:lang w:val="fr-FR"/>
          </w:rPr>
          <w:t>accord de base standard d'assistance (SBAA</w:t>
        </w:r>
        <w:bookmarkEnd w:id="62"/>
        <w:r w:rsidRPr="000E53A0">
          <w:rPr>
            <w:rStyle w:val="Lienhypertexte"/>
            <w:rFonts w:asciiTheme="minorHAnsi" w:hAnsiTheme="minorHAnsi" w:cstheme="minorHAnsi"/>
            <w:b/>
            <w:spacing w:val="-3"/>
            <w:sz w:val="20"/>
            <w:szCs w:val="20"/>
            <w:lang w:val="fr-FR"/>
          </w:rPr>
          <w:t xml:space="preserve">). </w:t>
        </w:r>
      </w:hyperlink>
    </w:p>
    <w:p w14:paraId="5487CF03" w14:textId="77777777" w:rsidR="00601D9B" w:rsidRPr="000E53A0" w:rsidRDefault="000E53A0">
      <w:pPr>
        <w:rPr>
          <w:rFonts w:asciiTheme="minorHAnsi" w:hAnsiTheme="minorHAnsi" w:cstheme="minorHAnsi"/>
          <w:sz w:val="20"/>
          <w:szCs w:val="20"/>
          <w:lang w:val="fr-FR"/>
        </w:rPr>
      </w:pPr>
      <w:r w:rsidRPr="000E53A0">
        <w:rPr>
          <w:rFonts w:asciiTheme="minorHAnsi" w:hAnsiTheme="minorHAnsi" w:cstheme="minorHAnsi"/>
          <w:sz w:val="20"/>
          <w:szCs w:val="20"/>
          <w:lang w:val="fr-FR"/>
        </w:rPr>
        <w:t>Le présent document de projet est l'instrument désigné comme tel à l'article 1 de l'Accord de base type d'assistance entre le gouvernement de (pays) et le PNUD, signé le (date).   Toutes les références à l'"Agence d'exécution" dans l'ACS sont réputées faire référence au "Partenaire de mise en œuvre".</w:t>
      </w:r>
    </w:p>
    <w:p w14:paraId="791D7EBA" w14:textId="77777777" w:rsidR="006C181C" w:rsidRPr="000E53A0" w:rsidRDefault="006C181C" w:rsidP="00450470">
      <w:pPr>
        <w:rPr>
          <w:rFonts w:asciiTheme="minorHAnsi" w:hAnsiTheme="minorHAnsi" w:cstheme="minorHAnsi"/>
          <w:sz w:val="20"/>
          <w:szCs w:val="20"/>
          <w:lang w:val="fr-FR"/>
        </w:rPr>
      </w:pPr>
    </w:p>
    <w:p w14:paraId="7B93A133" w14:textId="77777777" w:rsidR="00601D9B" w:rsidRPr="000E53A0" w:rsidRDefault="000E53A0">
      <w:pPr>
        <w:rPr>
          <w:rFonts w:asciiTheme="minorHAnsi" w:hAnsiTheme="minorHAnsi" w:cstheme="minorHAnsi"/>
          <w:sz w:val="20"/>
          <w:szCs w:val="20"/>
          <w:lang w:val="fr-FR"/>
        </w:rPr>
      </w:pPr>
      <w:r w:rsidRPr="000E53A0">
        <w:rPr>
          <w:rFonts w:asciiTheme="minorHAnsi" w:hAnsiTheme="minorHAnsi" w:cstheme="minorHAnsi"/>
          <w:sz w:val="20"/>
          <w:szCs w:val="20"/>
          <w:lang w:val="fr-FR"/>
        </w:rPr>
        <w:t>Ce projet sera mis en œuvre par [nom de l'entité] (" Partenaire d'exécution ") conformément à son règlement financier, ses règles, ses pratiques et ses procédures uniquement dans la mesure où ils ne contreviennent pas aux principes du Règlement financier et des Règles de gestion financière du PNUD. Lorsque la gouvernance financière d'un Partenaire d'exécution ne fournit pas les orientations nécessaires pour garantir le meilleur rapport qualité-prix, l'équité, l'intégrité, la transparence et une concurrence internationale effective, la gouvernance financière du PNUD s'applique.</w:t>
      </w:r>
    </w:p>
    <w:p w14:paraId="699C16A3" w14:textId="77777777" w:rsidR="00450470" w:rsidRPr="000E53A0" w:rsidRDefault="00450470" w:rsidP="00450470">
      <w:pPr>
        <w:rPr>
          <w:rFonts w:asciiTheme="minorHAnsi" w:hAnsiTheme="minorHAnsi" w:cstheme="minorHAnsi"/>
          <w:sz w:val="20"/>
          <w:szCs w:val="20"/>
          <w:lang w:val="fr-FR"/>
        </w:rPr>
      </w:pPr>
    </w:p>
    <w:p w14:paraId="241D67D3" w14:textId="77777777" w:rsidR="00601D9B" w:rsidRPr="000E53A0" w:rsidRDefault="000E53A0">
      <w:pPr>
        <w:rPr>
          <w:rFonts w:asciiTheme="minorHAnsi" w:hAnsiTheme="minorHAnsi" w:cstheme="minorHAnsi"/>
          <w:sz w:val="20"/>
          <w:szCs w:val="20"/>
          <w:lang w:val="fr-FR"/>
        </w:rPr>
      </w:pPr>
      <w:r w:rsidRPr="000E53A0">
        <w:rPr>
          <w:rFonts w:asciiTheme="minorHAnsi" w:hAnsiTheme="minorHAnsi" w:cstheme="minorHAnsi"/>
          <w:iCs/>
          <w:color w:val="000000"/>
          <w:sz w:val="20"/>
          <w:szCs w:val="20"/>
          <w:lang w:val="fr-FR"/>
        </w:rPr>
        <w:t>Les désignations employées et la présentation du matériel sur cette carte n'impliquent pas l'expression d'une opinion quelconque de la part du Secrétariat des Nations Unies ou du PNUD concernant le statut juridique de tout pays, territoire, ville ou zone ou de ses autorités, ou concernant la délimitation de ses frontières ou limites.</w:t>
      </w:r>
    </w:p>
    <w:p w14:paraId="1724BFC1" w14:textId="77777777" w:rsidR="006C181C" w:rsidRPr="000E53A0" w:rsidRDefault="006C181C" w:rsidP="006C181C">
      <w:pPr>
        <w:rPr>
          <w:rFonts w:asciiTheme="minorHAnsi" w:hAnsiTheme="minorHAnsi" w:cstheme="minorHAnsi"/>
          <w:sz w:val="20"/>
          <w:szCs w:val="20"/>
          <w:lang w:val="fr-FR"/>
        </w:rPr>
      </w:pPr>
    </w:p>
    <w:p w14:paraId="77DD0821" w14:textId="77777777" w:rsidR="00601D9B" w:rsidRPr="000E53A0" w:rsidRDefault="000E53A0">
      <w:pPr>
        <w:rPr>
          <w:rFonts w:asciiTheme="minorHAnsi" w:hAnsiTheme="minorHAnsi" w:cstheme="minorHAnsi"/>
          <w:sz w:val="20"/>
          <w:szCs w:val="20"/>
          <w:lang w:val="fr-FR"/>
        </w:rPr>
      </w:pPr>
      <w:r w:rsidRPr="000E53A0">
        <w:rPr>
          <w:rFonts w:asciiTheme="minorHAnsi" w:hAnsiTheme="minorHAnsi" w:cstheme="minorHAnsi"/>
          <w:b/>
          <w:sz w:val="20"/>
          <w:szCs w:val="20"/>
          <w:lang w:val="fr-FR"/>
        </w:rPr>
        <w:t>Option b. Lorsque le pays n'a PAS signé l'</w:t>
      </w:r>
      <w:hyperlink r:id="rId38" w:tooltip="outbind://44/reference_centre/chapter5/sbaa.pdf" w:history="1">
        <w:r w:rsidRPr="000E53A0">
          <w:rPr>
            <w:rStyle w:val="Lienhypertexte"/>
            <w:rFonts w:asciiTheme="minorHAnsi" w:hAnsiTheme="minorHAnsi" w:cstheme="minorHAnsi"/>
            <w:b/>
            <w:spacing w:val="-3"/>
            <w:sz w:val="20"/>
            <w:szCs w:val="20"/>
            <w:lang w:val="fr-FR"/>
          </w:rPr>
          <w:t>accord de base standard d'assistance (SBAA).</w:t>
        </w:r>
      </w:hyperlink>
    </w:p>
    <w:p w14:paraId="758DE2F4" w14:textId="77777777" w:rsidR="00601D9B" w:rsidRPr="000E53A0" w:rsidRDefault="000E53A0">
      <w:pPr>
        <w:rPr>
          <w:rFonts w:asciiTheme="minorHAnsi" w:hAnsiTheme="minorHAnsi" w:cstheme="minorHAnsi"/>
          <w:sz w:val="20"/>
          <w:szCs w:val="20"/>
          <w:lang w:val="fr-FR"/>
        </w:rPr>
      </w:pPr>
      <w:r w:rsidRPr="000E53A0">
        <w:rPr>
          <w:rFonts w:asciiTheme="minorHAnsi" w:hAnsiTheme="minorHAnsi" w:cstheme="minorHAnsi"/>
          <w:sz w:val="20"/>
          <w:szCs w:val="20"/>
          <w:lang w:val="fr-FR"/>
        </w:rPr>
        <w:t xml:space="preserve">Le document de projet est l'instrument envisagé et défini dans les </w:t>
      </w:r>
      <w:hyperlink r:id="rId39" w:history="1">
        <w:r w:rsidRPr="000E53A0">
          <w:rPr>
            <w:rStyle w:val="Lienhypertexte"/>
            <w:rFonts w:asciiTheme="minorHAnsi" w:hAnsiTheme="minorHAnsi" w:cstheme="minorHAnsi"/>
            <w:sz w:val="20"/>
            <w:szCs w:val="20"/>
            <w:lang w:val="fr-FR"/>
          </w:rPr>
          <w:t xml:space="preserve">Dispositions Complémentaires </w:t>
        </w:r>
      </w:hyperlink>
      <w:r w:rsidRPr="000E53A0">
        <w:rPr>
          <w:rFonts w:asciiTheme="minorHAnsi" w:hAnsiTheme="minorHAnsi" w:cstheme="minorHAnsi"/>
          <w:sz w:val="20"/>
          <w:szCs w:val="20"/>
          <w:lang w:val="fr-FR"/>
        </w:rPr>
        <w:t>au Document de Projet, jointes au présent document et en faisant partie intégrante, comme " le Document de Projet ".</w:t>
      </w:r>
    </w:p>
    <w:p w14:paraId="5F48AC57" w14:textId="77777777" w:rsidR="006C181C" w:rsidRPr="000E53A0" w:rsidRDefault="006C181C" w:rsidP="00450470">
      <w:pPr>
        <w:rPr>
          <w:rFonts w:asciiTheme="minorHAnsi" w:hAnsiTheme="minorHAnsi" w:cstheme="minorHAnsi"/>
          <w:sz w:val="20"/>
          <w:szCs w:val="20"/>
          <w:lang w:val="fr-FR"/>
        </w:rPr>
      </w:pPr>
    </w:p>
    <w:p w14:paraId="02086FA2" w14:textId="77777777" w:rsidR="00601D9B" w:rsidRPr="000E53A0" w:rsidRDefault="000E53A0">
      <w:pPr>
        <w:rPr>
          <w:rFonts w:asciiTheme="minorHAnsi" w:hAnsiTheme="minorHAnsi" w:cstheme="minorHAnsi"/>
          <w:sz w:val="20"/>
          <w:szCs w:val="20"/>
          <w:lang w:val="fr-FR"/>
        </w:rPr>
      </w:pPr>
      <w:r w:rsidRPr="000E53A0">
        <w:rPr>
          <w:rFonts w:asciiTheme="minorHAnsi" w:hAnsiTheme="minorHAnsi" w:cstheme="minorHAnsi"/>
          <w:sz w:val="20"/>
          <w:szCs w:val="20"/>
          <w:lang w:val="fr-FR"/>
        </w:rPr>
        <w:t>Ce projet sera mis en œuvre par [nom de l'entité] (" Partenaire d'exécution ") conformément à son règlement financier, ses règles, ses pratiques et ses procédures uniquement dans la mesure où ils ne contreviennent pas aux principes du Règlement financier et des Règles de gestion financière du PNUD. Lorsque la gouvernance financière d'un Partenaire d'exécution ne fournit pas les orientations nécessaires pour garantir le meilleur rapport qualité-prix, l'équité, l'intégrité, la transparence et une concurrence internationale effective, la gouvernance financière du PNUD s'applique.</w:t>
      </w:r>
    </w:p>
    <w:p w14:paraId="18AF4E27" w14:textId="77777777" w:rsidR="00450470" w:rsidRPr="000E53A0" w:rsidRDefault="00450470" w:rsidP="00450470">
      <w:pPr>
        <w:rPr>
          <w:rFonts w:asciiTheme="minorHAnsi" w:hAnsiTheme="minorHAnsi" w:cstheme="minorHAnsi"/>
          <w:sz w:val="20"/>
          <w:szCs w:val="20"/>
          <w:lang w:val="fr-FR"/>
        </w:rPr>
      </w:pPr>
    </w:p>
    <w:p w14:paraId="1855FFC5" w14:textId="77777777" w:rsidR="00601D9B" w:rsidRPr="000E53A0" w:rsidRDefault="000E53A0">
      <w:pPr>
        <w:rPr>
          <w:rFonts w:asciiTheme="minorHAnsi" w:hAnsiTheme="minorHAnsi" w:cstheme="minorHAnsi"/>
          <w:sz w:val="20"/>
          <w:szCs w:val="20"/>
          <w:lang w:val="fr-FR"/>
        </w:rPr>
      </w:pPr>
      <w:r w:rsidRPr="000E53A0">
        <w:rPr>
          <w:rFonts w:asciiTheme="minorHAnsi" w:hAnsiTheme="minorHAnsi" w:cstheme="minorHAnsi"/>
          <w:iCs/>
          <w:color w:val="000000"/>
          <w:sz w:val="20"/>
          <w:szCs w:val="20"/>
          <w:lang w:val="fr-FR"/>
        </w:rPr>
        <w:t>Les désignations employées et la présentation du matériel sur cette carte n'impliquent pas l'expression d'une opinion quelconque de la part du Secrétariat des Nations Unies ou du PNUD concernant le statut juridique de tout pays, territoire, ville ou zone ou de ses autorités, ou concernant la délimitation de ses frontières ou limites.</w:t>
      </w:r>
    </w:p>
    <w:p w14:paraId="3641EBA1" w14:textId="77777777" w:rsidR="006C181C" w:rsidRPr="000E53A0" w:rsidRDefault="006C181C" w:rsidP="00450470">
      <w:pPr>
        <w:rPr>
          <w:rFonts w:asciiTheme="minorHAnsi" w:hAnsiTheme="minorHAnsi" w:cstheme="minorHAnsi"/>
          <w:sz w:val="20"/>
          <w:szCs w:val="20"/>
          <w:lang w:val="fr-FR"/>
        </w:rPr>
      </w:pPr>
    </w:p>
    <w:p w14:paraId="19F948C5" w14:textId="77777777" w:rsidR="00601D9B" w:rsidRPr="000E53A0" w:rsidRDefault="000E53A0">
      <w:pPr>
        <w:rPr>
          <w:rFonts w:asciiTheme="minorHAnsi" w:hAnsiTheme="minorHAnsi" w:cstheme="minorHAnsi"/>
          <w:b/>
          <w:sz w:val="20"/>
          <w:szCs w:val="20"/>
          <w:lang w:val="fr-FR"/>
        </w:rPr>
      </w:pPr>
      <w:r w:rsidRPr="000E53A0">
        <w:rPr>
          <w:rFonts w:asciiTheme="minorHAnsi" w:hAnsiTheme="minorHAnsi" w:cstheme="minorHAnsi"/>
          <w:b/>
          <w:sz w:val="20"/>
          <w:szCs w:val="20"/>
          <w:lang w:val="fr-FR"/>
        </w:rPr>
        <w:t>Option c. Pour les projets mondiaux et régionaux</w:t>
      </w:r>
    </w:p>
    <w:p w14:paraId="0B6979C6" w14:textId="77777777" w:rsidR="00601D9B" w:rsidRPr="000E53A0" w:rsidRDefault="000E53A0">
      <w:pPr>
        <w:rPr>
          <w:rFonts w:asciiTheme="minorHAnsi" w:hAnsiTheme="minorHAnsi" w:cstheme="minorHAnsi"/>
          <w:iCs/>
          <w:sz w:val="20"/>
          <w:szCs w:val="20"/>
          <w:lang w:val="fr-FR"/>
        </w:rPr>
      </w:pPr>
      <w:r w:rsidRPr="000E53A0">
        <w:rPr>
          <w:rFonts w:asciiTheme="minorHAnsi" w:hAnsiTheme="minorHAnsi" w:cstheme="minorHAnsi"/>
          <w:iCs/>
          <w:sz w:val="20"/>
          <w:szCs w:val="20"/>
          <w:lang w:val="fr-FR"/>
        </w:rPr>
        <w:t xml:space="preserve">Ce projet fait partie d'un cadre programmatique global dans lequel plusieurs activités associées distinctes au niveau national seront mises en œuvre. Lorsque des services d'assistance et de soutien sont fournis par ce projet aux activités associées au niveau des pays, ce document sera l'instrument du "Document de projet" auquel il est fait référence dans : (i) les ACSB respectives signées pour les pays spécifiques ; ou (ii) dans les </w:t>
      </w:r>
      <w:hyperlink r:id="rId40" w:history="1">
        <w:r w:rsidRPr="000E53A0">
          <w:rPr>
            <w:rStyle w:val="Lienhypertexte"/>
            <w:rFonts w:asciiTheme="minorHAnsi" w:hAnsiTheme="minorHAnsi" w:cstheme="minorHAnsi"/>
            <w:sz w:val="20"/>
            <w:szCs w:val="20"/>
            <w:lang w:val="fr-FR"/>
          </w:rPr>
          <w:t xml:space="preserve">Dispositions supplémentaires </w:t>
        </w:r>
      </w:hyperlink>
      <w:r w:rsidRPr="000E53A0">
        <w:rPr>
          <w:rStyle w:val="Lienhypertexte"/>
          <w:rFonts w:asciiTheme="minorHAnsi" w:hAnsiTheme="minorHAnsi" w:cstheme="minorHAnsi"/>
          <w:sz w:val="20"/>
          <w:szCs w:val="20"/>
          <w:lang w:val="fr-FR"/>
        </w:rPr>
        <w:t xml:space="preserve">au Document de projet </w:t>
      </w:r>
      <w:r w:rsidRPr="000E53A0">
        <w:rPr>
          <w:rFonts w:asciiTheme="minorHAnsi" w:hAnsiTheme="minorHAnsi" w:cstheme="minorHAnsi"/>
          <w:iCs/>
          <w:sz w:val="20"/>
          <w:szCs w:val="20"/>
          <w:lang w:val="fr-FR"/>
        </w:rPr>
        <w:t xml:space="preserve">jointes au Document de projet dans les cas où le pays bénéficiaire n'a pas signé d'ACSB avec le PNUD, jointes au présent document et en faisant partie intégrante. </w:t>
      </w:r>
      <w:r w:rsidRPr="000E53A0">
        <w:rPr>
          <w:rFonts w:asciiTheme="minorHAnsi" w:hAnsiTheme="minorHAnsi" w:cstheme="minorHAnsi"/>
          <w:sz w:val="20"/>
          <w:szCs w:val="20"/>
          <w:lang w:val="fr-FR"/>
        </w:rPr>
        <w:t xml:space="preserve"> Toutes les références à l'"Agence d'exécution" dans l'ACS sont réputées faire référence au "Partenaire de mise en œuvre".</w:t>
      </w:r>
    </w:p>
    <w:p w14:paraId="687149FD" w14:textId="77777777" w:rsidR="006C181C" w:rsidRPr="000E53A0" w:rsidRDefault="006C181C" w:rsidP="00450470">
      <w:pPr>
        <w:ind w:left="450" w:hanging="450"/>
        <w:rPr>
          <w:rFonts w:asciiTheme="minorHAnsi" w:hAnsiTheme="minorHAnsi" w:cstheme="minorHAnsi"/>
          <w:iCs/>
          <w:sz w:val="20"/>
          <w:szCs w:val="20"/>
          <w:lang w:val="fr-FR"/>
        </w:rPr>
      </w:pPr>
    </w:p>
    <w:p w14:paraId="5D305D6E" w14:textId="77777777" w:rsidR="00601D9B" w:rsidRPr="000E53A0" w:rsidRDefault="000E53A0">
      <w:pPr>
        <w:rPr>
          <w:rFonts w:asciiTheme="minorHAnsi" w:hAnsiTheme="minorHAnsi" w:cstheme="minorHAnsi"/>
          <w:b/>
          <w:iCs/>
          <w:sz w:val="20"/>
          <w:szCs w:val="20"/>
          <w:lang w:val="fr-FR"/>
        </w:rPr>
      </w:pPr>
      <w:r w:rsidRPr="000E53A0">
        <w:rPr>
          <w:rFonts w:asciiTheme="minorHAnsi" w:hAnsiTheme="minorHAnsi" w:cstheme="minorHAnsi"/>
          <w:iCs/>
          <w:sz w:val="20"/>
          <w:szCs w:val="20"/>
          <w:lang w:val="fr-FR"/>
        </w:rPr>
        <w:t xml:space="preserve">Ce projet sera mis en œuvre par </w:t>
      </w:r>
      <w:r w:rsidRPr="000E53A0">
        <w:rPr>
          <w:rFonts w:asciiTheme="minorHAnsi" w:hAnsiTheme="minorHAnsi" w:cstheme="minorHAnsi"/>
          <w:sz w:val="20"/>
          <w:szCs w:val="20"/>
          <w:lang w:val="fr-FR"/>
        </w:rPr>
        <w:t xml:space="preserve">[nom de l'entité] </w:t>
      </w:r>
      <w:r w:rsidRPr="000E53A0">
        <w:rPr>
          <w:rFonts w:asciiTheme="minorHAnsi" w:hAnsiTheme="minorHAnsi" w:cstheme="minorHAnsi"/>
          <w:iCs/>
          <w:sz w:val="20"/>
          <w:szCs w:val="20"/>
          <w:lang w:val="fr-FR"/>
        </w:rPr>
        <w:t xml:space="preserve">(" Partenaire d'exécution ") conformément à son règlement financier, ses règles, ses pratiques et ses procédures uniquement dans la mesure où ils ne contreviennent pas aux principes du Règlement financier et des Règles de gestion financière du PNUD. Lorsque la gouvernance financière </w:t>
      </w:r>
      <w:r w:rsidRPr="000E53A0">
        <w:rPr>
          <w:rFonts w:asciiTheme="minorHAnsi" w:hAnsiTheme="minorHAnsi" w:cstheme="minorHAnsi"/>
          <w:iCs/>
          <w:sz w:val="20"/>
          <w:szCs w:val="20"/>
          <w:lang w:val="fr-FR"/>
        </w:rPr>
        <w:lastRenderedPageBreak/>
        <w:t>d'un Partenaire d'exécution ne fournit pas les orientations nécessaires pour garantir le meilleur rapport qualité-prix, l'équité, l'intégrité, la transparence et une concurrence internationale effective, la gouvernance financière du PNUD s'applique</w:t>
      </w:r>
      <w:r w:rsidRPr="000E53A0">
        <w:rPr>
          <w:rFonts w:asciiTheme="minorHAnsi" w:hAnsiTheme="minorHAnsi" w:cstheme="minorHAnsi"/>
          <w:b/>
          <w:iCs/>
          <w:sz w:val="20"/>
          <w:szCs w:val="20"/>
          <w:lang w:val="fr-FR"/>
        </w:rPr>
        <w:t xml:space="preserve">.  </w:t>
      </w:r>
    </w:p>
    <w:p w14:paraId="237D1BBB" w14:textId="77777777" w:rsidR="006C181C" w:rsidRPr="000E53A0" w:rsidRDefault="006C181C" w:rsidP="00450470">
      <w:pPr>
        <w:rPr>
          <w:rFonts w:asciiTheme="minorHAnsi" w:hAnsiTheme="minorHAnsi" w:cstheme="minorHAnsi"/>
          <w:sz w:val="20"/>
          <w:szCs w:val="20"/>
          <w:lang w:val="fr-FR"/>
        </w:rPr>
      </w:pPr>
    </w:p>
    <w:p w14:paraId="119D9573" w14:textId="77777777" w:rsidR="00601D9B" w:rsidRPr="000E53A0" w:rsidRDefault="000E53A0">
      <w:pPr>
        <w:rPr>
          <w:rFonts w:asciiTheme="minorHAnsi" w:hAnsiTheme="minorHAnsi" w:cstheme="minorHAnsi"/>
          <w:sz w:val="20"/>
          <w:szCs w:val="20"/>
          <w:lang w:val="fr-FR"/>
        </w:rPr>
      </w:pPr>
      <w:r w:rsidRPr="000E53A0">
        <w:rPr>
          <w:rFonts w:asciiTheme="minorHAnsi" w:hAnsiTheme="minorHAnsi" w:cstheme="minorHAnsi"/>
          <w:iCs/>
          <w:color w:val="000000"/>
          <w:sz w:val="20"/>
          <w:szCs w:val="20"/>
          <w:lang w:val="fr-FR"/>
        </w:rPr>
        <w:t>Les désignations employées et la présentation du matériel sur cette carte n'impliquent pas l'expression d'une opinion quelconque de la part du Secrétariat des Nations Unies ou du PNUD concernant le statut juridique de tout pays, territoire, ville ou zone ou de ses autorités, ou concernant la délimitation de ses frontières ou limites.</w:t>
      </w:r>
    </w:p>
    <w:p w14:paraId="657B1F50" w14:textId="77777777" w:rsidR="00107491" w:rsidRPr="000E53A0" w:rsidRDefault="00107491" w:rsidP="00E223D9">
      <w:pPr>
        <w:rPr>
          <w:szCs w:val="20"/>
          <w:lang w:val="fr-FR"/>
        </w:rPr>
      </w:pPr>
      <w:r w:rsidRPr="000E53A0">
        <w:rPr>
          <w:szCs w:val="20"/>
          <w:lang w:val="fr-FR"/>
        </w:rPr>
        <w:br w:type="page"/>
      </w:r>
    </w:p>
    <w:p w14:paraId="3F6D254A" w14:textId="77777777" w:rsidR="00601D9B" w:rsidRDefault="00107491">
      <w:pPr>
        <w:pStyle w:val="Titre1"/>
        <w:spacing w:before="0" w:after="60"/>
        <w:rPr>
          <w:rFonts w:ascii="Calibri" w:hAnsi="Calibri"/>
          <w:szCs w:val="28"/>
        </w:rPr>
      </w:pPr>
      <w:bookmarkStart w:id="63" w:name="_Toc46749086"/>
      <w:commentRangeStart w:id="64"/>
      <w:commentRangeEnd w:id="64"/>
      <w:r>
        <w:rPr>
          <w:rStyle w:val="Marquedecommentaire"/>
          <w:rFonts w:ascii="Times New Roman" w:hAnsi="Times New Roman"/>
          <w:b w:val="0"/>
          <w:smallCaps w:val="0"/>
          <w:spacing w:val="0"/>
        </w:rPr>
        <w:lastRenderedPageBreak/>
        <w:commentReference w:id="64"/>
      </w:r>
      <w:r w:rsidR="000E53A0">
        <w:rPr>
          <w:rFonts w:ascii="Calibri" w:hAnsi="Calibri"/>
          <w:szCs w:val="28"/>
        </w:rPr>
        <w:t xml:space="preserve">Gestion des risques </w:t>
      </w:r>
      <w:bookmarkEnd w:id="63"/>
    </w:p>
    <w:p w14:paraId="593C70EE" w14:textId="77777777" w:rsidR="00A94FFC" w:rsidRDefault="00A94FFC" w:rsidP="00E223D9">
      <w:pPr>
        <w:rPr>
          <w:szCs w:val="20"/>
        </w:rPr>
      </w:pPr>
    </w:p>
    <w:p w14:paraId="7EC54D9F" w14:textId="77777777" w:rsidR="00601D9B" w:rsidRPr="000E53A0" w:rsidRDefault="000E53A0">
      <w:pPr>
        <w:spacing w:after="240"/>
        <w:rPr>
          <w:rFonts w:asciiTheme="minorHAnsi" w:hAnsiTheme="minorHAnsi" w:cstheme="minorHAnsi"/>
          <w:b/>
          <w:i/>
          <w:sz w:val="20"/>
          <w:szCs w:val="20"/>
          <w:u w:val="single"/>
          <w:lang w:val="fr-FR"/>
        </w:rPr>
      </w:pPr>
      <w:r w:rsidRPr="000E53A0">
        <w:rPr>
          <w:rFonts w:asciiTheme="minorHAnsi" w:hAnsiTheme="minorHAnsi" w:cstheme="minorHAnsi"/>
          <w:b/>
          <w:i/>
          <w:noProof/>
          <w:sz w:val="20"/>
          <w:szCs w:val="20"/>
          <w:highlight w:val="yellow"/>
          <w:lang w:val="fr-FR" w:eastAsia="zh-CN"/>
        </w:rPr>
        <w:t xml:space="preserve">Conseils au développeur de projet </w:t>
      </w:r>
      <w:r w:rsidRPr="000E53A0">
        <w:rPr>
          <w:rFonts w:asciiTheme="minorHAnsi" w:hAnsiTheme="minorHAnsi" w:cstheme="minorHAnsi"/>
          <w:i/>
          <w:noProof/>
          <w:sz w:val="20"/>
          <w:szCs w:val="20"/>
          <w:highlight w:val="yellow"/>
          <w:lang w:val="fr-FR" w:eastAsia="zh-CN"/>
        </w:rPr>
        <w:t>:  Sélectionnez l'une des options suivantes qui correspond à la modalité de mise en œuvre du projet. Supprimer les options non sélectionnées</w:t>
      </w:r>
      <w:r w:rsidRPr="000E53A0">
        <w:rPr>
          <w:rFonts w:asciiTheme="minorHAnsi" w:hAnsiTheme="minorHAnsi" w:cstheme="minorHAnsi"/>
          <w:b/>
          <w:i/>
          <w:noProof/>
          <w:sz w:val="20"/>
          <w:szCs w:val="20"/>
          <w:highlight w:val="yellow"/>
          <w:lang w:val="fr-FR" w:eastAsia="zh-CN"/>
        </w:rPr>
        <w:t>. Ne pas éditer ou modifier de quelque manière que ce soit le texte standard ci-dessous, sauf si le texte l'exige</w:t>
      </w:r>
      <w:r w:rsidRPr="000E53A0">
        <w:rPr>
          <w:rFonts w:asciiTheme="minorHAnsi" w:hAnsiTheme="minorHAnsi" w:cstheme="minorHAnsi"/>
          <w:i/>
          <w:noProof/>
          <w:sz w:val="20"/>
          <w:szCs w:val="20"/>
          <w:highlight w:val="yellow"/>
          <w:lang w:val="fr-FR" w:eastAsia="zh-CN"/>
        </w:rPr>
        <w:t xml:space="preserve">. </w:t>
      </w:r>
      <w:r w:rsidR="00B40BA6" w:rsidRPr="000E53A0">
        <w:rPr>
          <w:rFonts w:asciiTheme="minorHAnsi" w:hAnsiTheme="minorHAnsi" w:cstheme="minorHAnsi"/>
          <w:i/>
          <w:sz w:val="20"/>
          <w:szCs w:val="20"/>
          <w:highlight w:val="yellow"/>
          <w:lang w:val="fr-FR"/>
        </w:rPr>
        <w:t>Tout changement/amendement/note devra être approuvé par le Bureau juridique du PNUD avant d'être soumis au FEM, ce qui pourrait entraîner des retards importants et par conséquent l'annulation automatique du projet par le FEM. Ces sections sont obligatoires, ne peuvent pas être éditées et sont essentielles à la conformité du PNUD avec les politiques du PNUD et du FEM.</w:t>
      </w:r>
    </w:p>
    <w:p w14:paraId="723FD3EE" w14:textId="77777777" w:rsidR="00601D9B" w:rsidRPr="000E53A0" w:rsidRDefault="000E53A0">
      <w:pPr>
        <w:rPr>
          <w:rFonts w:asciiTheme="minorHAnsi" w:hAnsiTheme="minorHAnsi" w:cstheme="minorHAnsi"/>
          <w:b/>
          <w:sz w:val="20"/>
          <w:szCs w:val="20"/>
          <w:lang w:val="fr-FR"/>
        </w:rPr>
      </w:pPr>
      <w:r w:rsidRPr="000E53A0">
        <w:rPr>
          <w:rFonts w:asciiTheme="minorHAnsi" w:hAnsiTheme="minorHAnsi" w:cstheme="minorHAnsi"/>
          <w:b/>
          <w:sz w:val="20"/>
          <w:szCs w:val="20"/>
          <w:lang w:val="fr-FR"/>
        </w:rPr>
        <w:t xml:space="preserve">Option a. </w:t>
      </w:r>
      <w:r w:rsidR="008155AC" w:rsidRPr="000E53A0">
        <w:rPr>
          <w:rFonts w:asciiTheme="minorHAnsi" w:hAnsiTheme="minorHAnsi" w:cstheme="minorHAnsi"/>
          <w:b/>
          <w:sz w:val="20"/>
          <w:szCs w:val="20"/>
          <w:lang w:val="fr-FR"/>
        </w:rPr>
        <w:t xml:space="preserve">Le partenaire de mise en œuvre est une </w:t>
      </w:r>
      <w:r w:rsidRPr="000E53A0">
        <w:rPr>
          <w:rFonts w:asciiTheme="minorHAnsi" w:hAnsiTheme="minorHAnsi" w:cstheme="minorHAnsi"/>
          <w:b/>
          <w:sz w:val="20"/>
          <w:szCs w:val="20"/>
          <w:lang w:val="fr-FR"/>
        </w:rPr>
        <w:t>entité gouvernementale (NIM)</w:t>
      </w:r>
    </w:p>
    <w:p w14:paraId="15B24561" w14:textId="77777777" w:rsidR="00601D9B" w:rsidRPr="000E53A0" w:rsidRDefault="000E53A0">
      <w:pPr>
        <w:pStyle w:val="Paragraphedeliste"/>
        <w:numPr>
          <w:ilvl w:val="0"/>
          <w:numId w:val="23"/>
        </w:numPr>
        <w:ind w:left="360"/>
        <w:jc w:val="both"/>
        <w:rPr>
          <w:rFonts w:asciiTheme="minorHAnsi" w:hAnsiTheme="minorHAnsi" w:cstheme="minorHAnsi"/>
          <w:sz w:val="20"/>
          <w:szCs w:val="20"/>
          <w:lang w:val="fr-FR"/>
        </w:rPr>
      </w:pPr>
      <w:r w:rsidRPr="000E53A0">
        <w:rPr>
          <w:rFonts w:asciiTheme="minorHAnsi" w:hAnsiTheme="minorHAnsi" w:cstheme="minorHAnsi"/>
          <w:sz w:val="20"/>
          <w:szCs w:val="20"/>
          <w:lang w:val="fr-FR"/>
        </w:rPr>
        <w:t xml:space="preserve">Conformément à l'article III de l'ACSB </w:t>
      </w:r>
      <w:r w:rsidRPr="000E53A0">
        <w:rPr>
          <w:rFonts w:asciiTheme="minorHAnsi" w:hAnsiTheme="minorHAnsi" w:cstheme="minorHAnsi"/>
          <w:i/>
          <w:sz w:val="20"/>
          <w:szCs w:val="20"/>
          <w:lang w:val="fr-FR"/>
        </w:rPr>
        <w:t>[ou aux dispositions supplémentaires du document de projet]</w:t>
      </w:r>
      <w:r w:rsidRPr="000E53A0">
        <w:rPr>
          <w:rFonts w:asciiTheme="minorHAnsi" w:hAnsiTheme="minorHAnsi" w:cstheme="minorHAnsi"/>
          <w:sz w:val="20"/>
          <w:szCs w:val="20"/>
          <w:lang w:val="fr-FR"/>
        </w:rPr>
        <w:t>, la responsabilité de la sûreté et de la sécurité du partenaire d'exécution, de son personnel et de ses biens, ainsi que des biens du PNUD sous la garde du partenaire d'exécution, incombe au partenaire d'exécution.  À cette fin, le partenaire chargé de la mise en œuvre doit :</w:t>
      </w:r>
    </w:p>
    <w:p w14:paraId="731C4DB6" w14:textId="77777777" w:rsidR="00601D9B" w:rsidRPr="000E53A0" w:rsidRDefault="000E53A0">
      <w:pPr>
        <w:numPr>
          <w:ilvl w:val="0"/>
          <w:numId w:val="13"/>
        </w:numPr>
        <w:rPr>
          <w:rFonts w:asciiTheme="minorHAnsi" w:hAnsiTheme="minorHAnsi" w:cstheme="minorHAnsi"/>
          <w:sz w:val="20"/>
          <w:szCs w:val="20"/>
          <w:lang w:val="fr-FR"/>
        </w:rPr>
      </w:pPr>
      <w:r w:rsidRPr="000E53A0">
        <w:rPr>
          <w:rFonts w:asciiTheme="minorHAnsi" w:hAnsiTheme="minorHAnsi" w:cstheme="minorHAnsi"/>
          <w:sz w:val="20"/>
          <w:szCs w:val="20"/>
          <w:lang w:val="fr-FR"/>
        </w:rPr>
        <w:t>mettre en place un plan de sécurité approprié et maintenir le plan de sécurité, en tenant compte de la situation de sécurité dans le pays où le projet est réalisé ;</w:t>
      </w:r>
    </w:p>
    <w:p w14:paraId="1FDE3728" w14:textId="77777777" w:rsidR="00601D9B" w:rsidRPr="000E53A0" w:rsidRDefault="000E53A0">
      <w:pPr>
        <w:numPr>
          <w:ilvl w:val="0"/>
          <w:numId w:val="13"/>
        </w:numPr>
        <w:rPr>
          <w:rFonts w:asciiTheme="minorHAnsi" w:hAnsiTheme="minorHAnsi" w:cstheme="minorHAnsi"/>
          <w:sz w:val="20"/>
          <w:szCs w:val="20"/>
          <w:lang w:val="fr-FR"/>
        </w:rPr>
      </w:pPr>
      <w:r w:rsidRPr="000E53A0">
        <w:rPr>
          <w:rFonts w:asciiTheme="minorHAnsi" w:hAnsiTheme="minorHAnsi" w:cstheme="minorHAnsi"/>
          <w:sz w:val="20"/>
          <w:szCs w:val="20"/>
          <w:lang w:val="fr-FR"/>
        </w:rPr>
        <w:t>assumer tous les risques et responsabilités liés à la sécurité du partenaire de mise en œuvre et à la mise en œuvre complète du plan de sécurité.</w:t>
      </w:r>
    </w:p>
    <w:p w14:paraId="2AF6ACB5" w14:textId="77777777" w:rsidR="006C181C" w:rsidRPr="000E53A0" w:rsidRDefault="006C181C" w:rsidP="006C181C">
      <w:pPr>
        <w:rPr>
          <w:rFonts w:asciiTheme="minorHAnsi" w:hAnsiTheme="minorHAnsi" w:cstheme="minorHAnsi"/>
          <w:sz w:val="20"/>
          <w:szCs w:val="20"/>
          <w:lang w:val="fr-FR"/>
        </w:rPr>
      </w:pPr>
    </w:p>
    <w:p w14:paraId="544C77EA" w14:textId="77777777" w:rsidR="00601D9B" w:rsidRPr="000E53A0" w:rsidRDefault="000E53A0">
      <w:pPr>
        <w:pStyle w:val="Paragraphedeliste"/>
        <w:numPr>
          <w:ilvl w:val="0"/>
          <w:numId w:val="23"/>
        </w:numPr>
        <w:ind w:left="360"/>
        <w:jc w:val="both"/>
        <w:rPr>
          <w:rFonts w:asciiTheme="minorHAnsi" w:hAnsiTheme="minorHAnsi" w:cstheme="minorHAnsi"/>
          <w:sz w:val="20"/>
          <w:szCs w:val="20"/>
          <w:lang w:val="fr-FR"/>
        </w:rPr>
      </w:pPr>
      <w:r w:rsidRPr="000E53A0">
        <w:rPr>
          <w:rFonts w:asciiTheme="minorHAnsi" w:hAnsiTheme="minorHAnsi" w:cstheme="minorHAnsi"/>
          <w:sz w:val="20"/>
          <w:szCs w:val="20"/>
          <w:lang w:val="fr-FR"/>
        </w:rPr>
        <w:t>Le PNUD se réserve le droit de vérifier si un tel plan est en place, et de suggérer des modifications du plan si nécessaire. L'absence de maintien et de mise en œuvre d'un plan de sécurité approprié tel que requis par les présentes sera considérée comme une violation des obligations du partenaire de mise en œuvre dans le cadre du présent document de projet.</w:t>
      </w:r>
    </w:p>
    <w:p w14:paraId="14A135E2" w14:textId="77777777" w:rsidR="006C181C" w:rsidRPr="000E53A0" w:rsidRDefault="006C181C" w:rsidP="006C181C">
      <w:pPr>
        <w:ind w:left="360"/>
        <w:rPr>
          <w:rFonts w:asciiTheme="minorHAnsi" w:hAnsiTheme="minorHAnsi" w:cstheme="minorHAnsi"/>
          <w:sz w:val="20"/>
          <w:szCs w:val="20"/>
          <w:lang w:val="fr-FR"/>
        </w:rPr>
      </w:pPr>
    </w:p>
    <w:p w14:paraId="079CEBD5" w14:textId="77777777" w:rsidR="00601D9B" w:rsidRPr="000E53A0" w:rsidRDefault="000E53A0">
      <w:pPr>
        <w:pStyle w:val="Paragraphedeliste"/>
        <w:numPr>
          <w:ilvl w:val="0"/>
          <w:numId w:val="23"/>
        </w:numPr>
        <w:ind w:left="360"/>
        <w:jc w:val="both"/>
        <w:rPr>
          <w:rFonts w:asciiTheme="minorHAnsi" w:hAnsiTheme="minorHAnsi" w:cstheme="minorHAnsi"/>
          <w:sz w:val="20"/>
          <w:szCs w:val="20"/>
          <w:lang w:val="fr-FR"/>
        </w:rPr>
      </w:pPr>
      <w:r w:rsidRPr="000E53A0">
        <w:rPr>
          <w:rFonts w:asciiTheme="minorHAnsi" w:hAnsiTheme="minorHAnsi" w:cstheme="minorHAnsi"/>
          <w:sz w:val="20"/>
          <w:szCs w:val="20"/>
          <w:lang w:val="fr-FR"/>
        </w:rPr>
        <w:t xml:space="preserve">Le Partenaire d'exécution s'engage à déployer tous les efforts raisonnables pour s'assurer qu'aucun des fonds du PNUD reçus au titre du Document de projet n'est utilisé pour fournir un soutien à des individus ou des entités associés au terrorisme et que les bénéficiaires de tous les montants fournis par le PNUD en vertu des présentes ne figurent pas sur la liste tenue par le Comité du Conseil de sécurité établi en vertu de la résolution 1267 (1999). Cette liste peut être consultée sur le site </w:t>
      </w:r>
      <w:r w:rsidRPr="000E53A0">
        <w:rPr>
          <w:rFonts w:asciiTheme="minorHAnsi" w:hAnsiTheme="minorHAnsi" w:cstheme="minorHAnsi"/>
          <w:color w:val="000080"/>
          <w:sz w:val="20"/>
          <w:szCs w:val="20"/>
          <w:lang w:val="fr-FR"/>
        </w:rPr>
        <w:t>http://www.un.org/sc/committees/1267/aq_sanctions_list.shtml.</w:t>
      </w:r>
      <w:r w:rsidRPr="000E53A0">
        <w:rPr>
          <w:rFonts w:asciiTheme="minorHAnsi" w:hAnsiTheme="minorHAnsi" w:cstheme="minorHAnsi"/>
          <w:sz w:val="20"/>
          <w:szCs w:val="20"/>
          <w:lang w:val="fr-FR"/>
        </w:rPr>
        <w:t xml:space="preserve">  </w:t>
      </w:r>
    </w:p>
    <w:p w14:paraId="2A0FFDDB" w14:textId="77777777" w:rsidR="006C181C" w:rsidRPr="000E53A0" w:rsidRDefault="006C181C" w:rsidP="006C181C">
      <w:pPr>
        <w:pStyle w:val="Paragraphedeliste"/>
        <w:ind w:left="360"/>
        <w:rPr>
          <w:rFonts w:asciiTheme="minorHAnsi" w:hAnsiTheme="minorHAnsi" w:cstheme="minorHAnsi"/>
          <w:sz w:val="20"/>
          <w:szCs w:val="20"/>
          <w:lang w:val="fr-FR"/>
        </w:rPr>
      </w:pPr>
    </w:p>
    <w:p w14:paraId="428A8C3B" w14:textId="77777777" w:rsidR="00601D9B" w:rsidRPr="000E53A0" w:rsidRDefault="000E53A0">
      <w:pPr>
        <w:pStyle w:val="Paragraphedeliste"/>
        <w:numPr>
          <w:ilvl w:val="0"/>
          <w:numId w:val="23"/>
        </w:numPr>
        <w:spacing w:after="240"/>
        <w:ind w:left="360"/>
        <w:jc w:val="both"/>
        <w:rPr>
          <w:rFonts w:asciiTheme="minorHAnsi" w:hAnsiTheme="minorHAnsi" w:cstheme="minorHAnsi"/>
          <w:sz w:val="20"/>
          <w:szCs w:val="20"/>
          <w:lang w:val="fr-FR"/>
        </w:rPr>
      </w:pPr>
      <w:r w:rsidRPr="000E53A0">
        <w:rPr>
          <w:rFonts w:asciiTheme="minorHAnsi" w:hAnsiTheme="minorHAnsi" w:cstheme="minorHAnsi"/>
          <w:sz w:val="20"/>
          <w:szCs w:val="20"/>
          <w:lang w:val="fr-FR"/>
        </w:rPr>
        <w:t xml:space="preserve">Le Partenaire de mise en œuvre reconnaît et convient que le PNUD ne tolérera pas le harcèlement sexuel et l'exploitation et les abus sexuels de quiconque de la part du Partenaire de mise en œuvre, et de chacune de ses parties responsables, de leurs sous-récipiendaires respectifs et d'autres entités impliquées dans la mise en œuvre du Projet, en tant que contractants ou sous-traitants et de leur personnel, et de toute personne fournissant des services pour eux dans le cadre du Document de projet. </w:t>
      </w:r>
    </w:p>
    <w:p w14:paraId="58328CD2" w14:textId="77777777" w:rsidR="00601D9B" w:rsidRPr="000E53A0" w:rsidRDefault="000E53A0">
      <w:pPr>
        <w:pStyle w:val="Paragraphedeliste"/>
        <w:spacing w:after="240"/>
        <w:ind w:left="360"/>
        <w:rPr>
          <w:rFonts w:asciiTheme="minorHAnsi" w:hAnsiTheme="minorHAnsi" w:cstheme="minorHAnsi"/>
          <w:sz w:val="20"/>
          <w:szCs w:val="20"/>
          <w:lang w:val="fr-FR"/>
        </w:rPr>
      </w:pPr>
      <w:r w:rsidRPr="000E53A0">
        <w:rPr>
          <w:rFonts w:asciiTheme="minorHAnsi" w:hAnsiTheme="minorHAnsi" w:cstheme="minorHAnsi"/>
          <w:sz w:val="20"/>
          <w:szCs w:val="20"/>
          <w:lang w:val="fr-FR"/>
        </w:rPr>
        <w:t xml:space="preserve"> (a) Dans le cadre de la mise en œuvre des activités prévues par le présent document de projet, le partenaire d'exécution, et chacune de ses sous-parties mentionnées ci-dessus, doivent se conformer aux normes de conduite énoncées dans la circulaire du Secrétaire général ST/SGB/2003/13 du 9 octobre 2003, concernant les " mesures spéciales de protection contre l'exploitation et les abus sexuels " (" SEA "). </w:t>
      </w:r>
    </w:p>
    <w:p w14:paraId="265148E1" w14:textId="77777777" w:rsidR="00601D9B" w:rsidRPr="000E53A0" w:rsidRDefault="000E53A0">
      <w:pPr>
        <w:pStyle w:val="Paragraphedeliste"/>
        <w:spacing w:after="240"/>
        <w:ind w:left="360"/>
        <w:rPr>
          <w:rFonts w:asciiTheme="minorHAnsi" w:hAnsiTheme="minorHAnsi" w:cstheme="minorHAnsi"/>
          <w:sz w:val="20"/>
          <w:szCs w:val="20"/>
          <w:lang w:val="fr-FR"/>
        </w:rPr>
      </w:pPr>
      <w:r w:rsidRPr="000E53A0">
        <w:rPr>
          <w:rFonts w:asciiTheme="minorHAnsi" w:hAnsiTheme="minorHAnsi" w:cstheme="minorHAnsi"/>
          <w:sz w:val="20"/>
          <w:szCs w:val="20"/>
          <w:lang w:val="fr-FR"/>
        </w:rPr>
        <w:t>(b) En outre, et sans préjudice de l'application d'autres règlements, règles, politiques et procédures ayant une incidence sur l'exécution des activités dans le cadre du présent document de projet, lors de la mise en œuvre des activités, le partenaire d'exécution, et chacune de ses sous-parties mentionnées ci-dessus, ne doivent se livrer à aucune forme de harcèlement sexuel ("SH"). Le SH est défini comme tout comportement importun de nature sexuelle qui pourrait raisonnablement être attendu ou perçu comme une offense ou une humiliation, lorsque ce comportement interfère avec le travail, devient une condition d'emploi ou crée un environnement de travail intimidant, hostile ou offensant.</w:t>
      </w:r>
    </w:p>
    <w:p w14:paraId="1765AB7E" w14:textId="77777777" w:rsidR="00601D9B" w:rsidRPr="000E53A0" w:rsidRDefault="000E53A0">
      <w:pPr>
        <w:pStyle w:val="Paragraphedeliste"/>
        <w:numPr>
          <w:ilvl w:val="0"/>
          <w:numId w:val="23"/>
        </w:numPr>
        <w:spacing w:after="240"/>
        <w:ind w:left="360"/>
        <w:jc w:val="both"/>
        <w:rPr>
          <w:rFonts w:asciiTheme="minorHAnsi" w:hAnsiTheme="minorHAnsi" w:cstheme="minorHAnsi"/>
          <w:sz w:val="20"/>
          <w:szCs w:val="20"/>
          <w:lang w:val="fr-FR"/>
        </w:rPr>
      </w:pPr>
      <w:r w:rsidRPr="000E53A0">
        <w:rPr>
          <w:rFonts w:asciiTheme="minorHAnsi" w:hAnsiTheme="minorHAnsi" w:cstheme="minorHAnsi"/>
          <w:sz w:val="20"/>
          <w:szCs w:val="20"/>
          <w:lang w:val="fr-FR"/>
        </w:rPr>
        <w:lastRenderedPageBreak/>
        <w:t>a) Dans l'exécution des activités prévues par le présent document de projet, le partenaire d'exécution doit (en ce qui concerne ses propres activités) et doit exiger de ses sous-traitants visés au paragraphe 4 (en ce qui concerne leurs activités) qu'ils aient des normes et procédures minimales en place, ou un plan pour développer et/ou améliorer ces normes et procédures afin d'être en mesure de prendre des mesures efficaces de prévention et d'enquête. Ces normes et procédures doivent comprendre des politiques relatives au harcèlement sexuel, à l'exploitation et aux abus sexuels, des politiques relatives à la dénonciation des abus et à la protection contre les représailles, ainsi que des mécanismes de plainte, de discipline et d'enquête. Dans cette optique, le partenaire d'exécution prendra et exigera que ces sous-parties prennent toutes les mesures appropriées pour :</w:t>
      </w:r>
    </w:p>
    <w:p w14:paraId="3270CCC0" w14:textId="77777777" w:rsidR="00601D9B" w:rsidRPr="000E53A0" w:rsidRDefault="000E53A0">
      <w:pPr>
        <w:pStyle w:val="Paragraphedeliste"/>
        <w:numPr>
          <w:ilvl w:val="1"/>
          <w:numId w:val="25"/>
        </w:numPr>
        <w:spacing w:after="240"/>
        <w:jc w:val="both"/>
        <w:rPr>
          <w:rFonts w:asciiTheme="minorHAnsi" w:hAnsiTheme="minorHAnsi" w:cstheme="minorHAnsi"/>
          <w:sz w:val="20"/>
          <w:szCs w:val="20"/>
          <w:lang w:val="fr-FR"/>
        </w:rPr>
      </w:pPr>
      <w:r w:rsidRPr="000E53A0">
        <w:rPr>
          <w:rFonts w:asciiTheme="minorHAnsi" w:hAnsiTheme="minorHAnsi" w:cstheme="minorHAnsi"/>
          <w:sz w:val="20"/>
          <w:szCs w:val="20"/>
          <w:lang w:val="fr-FR"/>
        </w:rPr>
        <w:t>Empêcher ses employés, agents ou toute autre personne engagée pour fournir des services dans le cadre de ce document de projet, de s'engager dans le SH ou le SEA ;</w:t>
      </w:r>
    </w:p>
    <w:p w14:paraId="2C6BC2A2" w14:textId="77777777" w:rsidR="00601D9B" w:rsidRPr="000E53A0" w:rsidRDefault="000E53A0">
      <w:pPr>
        <w:pStyle w:val="Paragraphedeliste"/>
        <w:numPr>
          <w:ilvl w:val="1"/>
          <w:numId w:val="25"/>
        </w:numPr>
        <w:spacing w:after="240"/>
        <w:jc w:val="both"/>
        <w:rPr>
          <w:rFonts w:asciiTheme="minorHAnsi" w:hAnsiTheme="minorHAnsi" w:cstheme="minorHAnsi"/>
          <w:sz w:val="20"/>
          <w:szCs w:val="20"/>
          <w:lang w:val="fr-FR"/>
        </w:rPr>
      </w:pPr>
      <w:r w:rsidRPr="000E53A0">
        <w:rPr>
          <w:rFonts w:asciiTheme="minorHAnsi" w:hAnsiTheme="minorHAnsi" w:cstheme="minorHAnsi"/>
          <w:sz w:val="20"/>
          <w:szCs w:val="20"/>
          <w:lang w:val="fr-FR"/>
        </w:rPr>
        <w:t>Offrir aux employés et au personnel associé une formation sur la prévention et la réponse à la SH et à l'ESE, lorsque le partenaire d'exécution et ses sous-parties visées au paragraphe 4 n'ont pas mis en place leur propre formation concernant la prévention de la SH et de l'ESE, le partenaire d'exécution et ses sous-parties peuvent utiliser le matériel de formation disponible au PNUD ;</w:t>
      </w:r>
    </w:p>
    <w:p w14:paraId="3D16955F" w14:textId="77777777" w:rsidR="00601D9B" w:rsidRPr="000E53A0" w:rsidRDefault="000E53A0">
      <w:pPr>
        <w:pStyle w:val="Paragraphedeliste"/>
        <w:numPr>
          <w:ilvl w:val="1"/>
          <w:numId w:val="25"/>
        </w:numPr>
        <w:spacing w:after="240"/>
        <w:jc w:val="both"/>
        <w:rPr>
          <w:rFonts w:asciiTheme="minorHAnsi" w:hAnsiTheme="minorHAnsi" w:cstheme="minorHAnsi"/>
          <w:sz w:val="20"/>
          <w:szCs w:val="20"/>
          <w:lang w:val="fr-FR"/>
        </w:rPr>
      </w:pPr>
      <w:r w:rsidRPr="000E53A0">
        <w:rPr>
          <w:rFonts w:asciiTheme="minorHAnsi" w:hAnsiTheme="minorHAnsi" w:cstheme="minorHAnsi"/>
          <w:sz w:val="20"/>
          <w:szCs w:val="20"/>
          <w:lang w:val="fr-FR"/>
        </w:rPr>
        <w:t xml:space="preserve">Signaler et suivre les allégations de SH et d'EES dont le partenaire de mise en œuvre et ses sous-parties visées au paragraphe 4 ont été informés ou ont eu connaissance d'une autre manière, ainsi que leur statut ; </w:t>
      </w:r>
    </w:p>
    <w:p w14:paraId="266D3328" w14:textId="77777777" w:rsidR="00601D9B" w:rsidRPr="000E53A0" w:rsidRDefault="000E53A0">
      <w:pPr>
        <w:pStyle w:val="Paragraphedeliste"/>
        <w:numPr>
          <w:ilvl w:val="1"/>
          <w:numId w:val="25"/>
        </w:numPr>
        <w:spacing w:after="240"/>
        <w:jc w:val="both"/>
        <w:rPr>
          <w:rFonts w:asciiTheme="minorHAnsi" w:hAnsiTheme="minorHAnsi" w:cstheme="minorHAnsi"/>
          <w:sz w:val="20"/>
          <w:szCs w:val="20"/>
          <w:lang w:val="fr-FR"/>
        </w:rPr>
      </w:pPr>
      <w:r w:rsidRPr="000E53A0">
        <w:rPr>
          <w:rFonts w:asciiTheme="minorHAnsi" w:hAnsiTheme="minorHAnsi" w:cstheme="minorHAnsi"/>
          <w:sz w:val="20"/>
          <w:szCs w:val="20"/>
          <w:lang w:val="fr-FR"/>
        </w:rPr>
        <w:t>orienter les victimes/survivantes de SH et SEA vers une assistance sûre et confidentielle aux victimes ; et</w:t>
      </w:r>
    </w:p>
    <w:p w14:paraId="4650509C" w14:textId="77777777" w:rsidR="00601D9B" w:rsidRPr="000E53A0" w:rsidRDefault="000E53A0">
      <w:pPr>
        <w:pStyle w:val="Paragraphedeliste"/>
        <w:numPr>
          <w:ilvl w:val="1"/>
          <w:numId w:val="25"/>
        </w:numPr>
        <w:spacing w:after="240"/>
        <w:jc w:val="both"/>
        <w:rPr>
          <w:rFonts w:asciiTheme="minorHAnsi" w:hAnsiTheme="minorHAnsi" w:cstheme="minorHAnsi"/>
          <w:sz w:val="20"/>
          <w:szCs w:val="20"/>
          <w:lang w:val="fr-FR"/>
        </w:rPr>
      </w:pPr>
      <w:r w:rsidRPr="000E53A0">
        <w:rPr>
          <w:rFonts w:asciiTheme="minorHAnsi" w:hAnsiTheme="minorHAnsi" w:cstheme="minorHAnsi"/>
          <w:sz w:val="20"/>
          <w:szCs w:val="20"/>
          <w:lang w:val="fr-FR"/>
        </w:rPr>
        <w:t xml:space="preserve">Enregistrer et enquêter rapidement et confidentiellement toute allégation suffisamment crédible pour justifier une enquête sur la SH ou l'ESE. Le Partenaire d'exécution informe le PNUD de toute allégation reçue et de toute enquête menée par lui-même ou l'une de ses sous-parties visées au paragraphe 4 en ce qui concerne leurs activités dans le cadre du Document de projet, et tient le PNUD informé au cours de l'enquête menée par lui-même ou l'une de ces sous-parties, dans la mesure où cette notification (i) ne compromet pas la conduite de l'enquête, y compris, mais sans s'y limiter, la sûreté ou la sécurité des personnes, et/ou (ii) ne contrevient pas aux lois qui lui sont applicables. À l'issue de l'enquête, le Partenaire d'exécution informe le PNUD de toute mesure prise par lui-même ou par l'une des autres entités à la suite de l'enquête. </w:t>
      </w:r>
    </w:p>
    <w:p w14:paraId="12314AAA" w14:textId="77777777" w:rsidR="00601D9B" w:rsidRPr="000E53A0" w:rsidRDefault="000E53A0">
      <w:pPr>
        <w:pStyle w:val="Paragraphedeliste"/>
        <w:numPr>
          <w:ilvl w:val="0"/>
          <w:numId w:val="35"/>
        </w:numPr>
        <w:spacing w:after="240"/>
        <w:jc w:val="both"/>
        <w:rPr>
          <w:rFonts w:asciiTheme="minorHAnsi" w:hAnsiTheme="minorHAnsi" w:cstheme="minorHAnsi"/>
          <w:sz w:val="20"/>
          <w:szCs w:val="20"/>
          <w:lang w:val="fr-FR"/>
        </w:rPr>
      </w:pPr>
      <w:r w:rsidRPr="000E53A0">
        <w:rPr>
          <w:rFonts w:asciiTheme="minorHAnsi" w:hAnsiTheme="minorHAnsi" w:cstheme="minorHAnsi"/>
          <w:sz w:val="20"/>
          <w:szCs w:val="20"/>
          <w:lang w:val="fr-FR"/>
        </w:rPr>
        <w:t>Le Partenaire d'exécution doit établir qu'il s'est conformé à ce qui précède, à la satisfaction du PNUD, lorsque le PNUD ou toute partie agissant en son nom lui demande de fournir cette confirmation. Le non-respect de ce qui précède par le Partenaire d'exécution et chacune de ses sous-parties visées au paragraphe 4, tel que déterminé par le PNUD, est considéré comme un motif de suspension ou de résiliation du Projet.</w:t>
      </w:r>
    </w:p>
    <w:p w14:paraId="080A1502" w14:textId="77777777" w:rsidR="00601D9B" w:rsidRPr="000E53A0" w:rsidRDefault="000E53A0">
      <w:pPr>
        <w:pStyle w:val="Paragraphedeliste"/>
        <w:numPr>
          <w:ilvl w:val="0"/>
          <w:numId w:val="23"/>
        </w:numPr>
        <w:spacing w:after="240"/>
        <w:ind w:left="450" w:hanging="450"/>
        <w:jc w:val="both"/>
        <w:rPr>
          <w:rFonts w:asciiTheme="minorHAnsi" w:hAnsiTheme="minorHAnsi" w:cstheme="minorHAnsi"/>
          <w:sz w:val="20"/>
          <w:szCs w:val="20"/>
          <w:u w:val="single"/>
          <w:lang w:val="fr-FR"/>
        </w:rPr>
      </w:pPr>
      <w:r w:rsidRPr="000E53A0">
        <w:rPr>
          <w:rFonts w:asciiTheme="minorHAnsi" w:hAnsiTheme="minorHAnsi" w:cstheme="minorHAnsi"/>
          <w:sz w:val="20"/>
          <w:szCs w:val="20"/>
          <w:lang w:val="fr-FR"/>
        </w:rPr>
        <w:t xml:space="preserve">La durabilité sociale et environnementale sera renforcée par l'application des normes sociales et environnementales du PNUD (http://www.undp.org/ses) et du mécanisme de responsabilisation correspondant (http://www.undp.org/secu-srm).  </w:t>
      </w:r>
      <w:r w:rsidRPr="000E53A0">
        <w:rPr>
          <w:rFonts w:asciiTheme="minorHAnsi" w:hAnsiTheme="minorHAnsi" w:cstheme="minorHAnsi"/>
          <w:color w:val="000000"/>
          <w:sz w:val="20"/>
          <w:szCs w:val="20"/>
          <w:lang w:val="fr-FR"/>
        </w:rPr>
        <w:t xml:space="preserve"> </w:t>
      </w:r>
    </w:p>
    <w:p w14:paraId="05D49884" w14:textId="77777777" w:rsidR="00601D9B" w:rsidRPr="000E53A0" w:rsidRDefault="000E53A0">
      <w:pPr>
        <w:pStyle w:val="Default"/>
        <w:numPr>
          <w:ilvl w:val="0"/>
          <w:numId w:val="23"/>
        </w:numPr>
        <w:ind w:left="360"/>
        <w:jc w:val="both"/>
        <w:rPr>
          <w:rFonts w:asciiTheme="minorHAnsi" w:hAnsiTheme="minorHAnsi" w:cstheme="minorHAnsi"/>
          <w:sz w:val="20"/>
          <w:szCs w:val="20"/>
          <w:lang w:val="fr-FR"/>
        </w:rPr>
      </w:pPr>
      <w:r w:rsidRPr="000E53A0">
        <w:rPr>
          <w:rFonts w:asciiTheme="minorHAnsi" w:hAnsiTheme="minorHAnsi" w:cstheme="minorHAnsi"/>
          <w:color w:val="101010"/>
          <w:spacing w:val="-6"/>
          <w:kern w:val="1"/>
          <w:sz w:val="20"/>
          <w:szCs w:val="20"/>
          <w:lang w:val="fr-FR"/>
        </w:rPr>
        <w:t xml:space="preserve">Le Partenaire de mise en œuvre doit : (a) mener les activités liées au projet et au programme d'une manière conforme aux normes sociales et environnementales du PNUD, (b) mettre en œuvre tout plan de gestion ou d'atténuation préparé pour le projet ou le programme afin de se conformer à ces normes, et (c) s'engager de manière constructive et opportune à répondre à toutes les préoccupations et plaintes soulevées par le biais du mécanisme de responsabilisation. Le </w:t>
      </w:r>
      <w:r w:rsidRPr="000E53A0">
        <w:rPr>
          <w:rFonts w:asciiTheme="minorHAnsi" w:hAnsiTheme="minorHAnsi" w:cstheme="minorHAnsi"/>
          <w:color w:val="141414"/>
          <w:spacing w:val="-4"/>
          <w:sz w:val="20"/>
          <w:szCs w:val="20"/>
          <w:lang w:val="fr-FR"/>
        </w:rPr>
        <w:t xml:space="preserve">PNUD </w:t>
      </w:r>
      <w:r w:rsidRPr="000E53A0">
        <w:rPr>
          <w:rFonts w:asciiTheme="minorHAnsi" w:hAnsiTheme="minorHAnsi" w:cstheme="minorHAnsi"/>
          <w:sz w:val="20"/>
          <w:szCs w:val="20"/>
          <w:lang w:val="fr-FR"/>
        </w:rPr>
        <w:t xml:space="preserve">veillera à ce que les communautés et les autres parties prenantes du projet soient informées du mécanisme de responsabilisation et y aient accès. </w:t>
      </w:r>
    </w:p>
    <w:p w14:paraId="47EBA890" w14:textId="77777777" w:rsidR="00601D9B" w:rsidRPr="000E53A0" w:rsidRDefault="000E53A0">
      <w:pPr>
        <w:pStyle w:val="Paragraphedeliste"/>
        <w:numPr>
          <w:ilvl w:val="0"/>
          <w:numId w:val="23"/>
        </w:numPr>
        <w:spacing w:before="240" w:after="240"/>
        <w:ind w:left="360"/>
        <w:jc w:val="both"/>
        <w:rPr>
          <w:rFonts w:asciiTheme="minorHAnsi" w:hAnsiTheme="minorHAnsi" w:cstheme="minorHAnsi"/>
          <w:spacing w:val="-4"/>
          <w:sz w:val="20"/>
          <w:szCs w:val="20"/>
          <w:lang w:val="fr-FR"/>
        </w:rPr>
      </w:pPr>
      <w:r w:rsidRPr="000E53A0">
        <w:rPr>
          <w:rFonts w:asciiTheme="minorHAnsi" w:hAnsiTheme="minorHAnsi" w:cstheme="minorHAnsi"/>
          <w:spacing w:val="-4"/>
          <w:sz w:val="20"/>
          <w:szCs w:val="20"/>
          <w:lang w:val="fr-FR"/>
        </w:rPr>
        <w:lastRenderedPageBreak/>
        <w:t>Tous les signataires du document de projet doivent coopérer de bonne foi à tout exercice visant à évaluer les engagements liés au programme ou au projet ou la conformité aux normes sociales et environnementales du PNUD. Cela inclut l'accès aux sites du projet, au personnel concerné, aux informations et à la documentation.</w:t>
      </w:r>
    </w:p>
    <w:p w14:paraId="36AE8763" w14:textId="77777777" w:rsidR="00601D9B" w:rsidRPr="000E53A0" w:rsidRDefault="000E53A0">
      <w:pPr>
        <w:numPr>
          <w:ilvl w:val="0"/>
          <w:numId w:val="23"/>
        </w:numPr>
        <w:autoSpaceDE w:val="0"/>
        <w:autoSpaceDN w:val="0"/>
        <w:adjustRightInd w:val="0"/>
        <w:ind w:left="360"/>
        <w:rPr>
          <w:rFonts w:asciiTheme="minorHAnsi" w:eastAsia="Calibri" w:hAnsiTheme="minorHAnsi" w:cstheme="minorHAnsi"/>
          <w:color w:val="000000"/>
          <w:sz w:val="20"/>
          <w:szCs w:val="20"/>
          <w:lang w:val="fr-FR"/>
        </w:rPr>
      </w:pPr>
      <w:r w:rsidRPr="000E53A0">
        <w:rPr>
          <w:rFonts w:asciiTheme="minorHAnsi" w:eastAsia="Calibri" w:hAnsiTheme="minorHAnsi" w:cstheme="minorHAnsi"/>
          <w:color w:val="000000"/>
          <w:sz w:val="20"/>
          <w:szCs w:val="20"/>
          <w:lang w:val="fr-FR"/>
        </w:rPr>
        <w:t>Le Partenaire d'exécution prendra les mesures appropriées pour empêcher l'utilisation abusive des fonds, la fraude ou la corruption, par ses fonctionnaires, consultants, parties responsables, sous-traitants et sous-récipiendaires dans la mise en œuvre du projet ou l'utilisation des fonds du PNUD.  Le Partenaire d'exécution s'assurera que ses politiques de gestion financière, de lutte contre la corruption et la fraude sont en place et appliquées pour tous les financements reçus du PNUD ou par son intermédiaire.</w:t>
      </w:r>
    </w:p>
    <w:p w14:paraId="608CAA18" w14:textId="77777777" w:rsidR="006C181C" w:rsidRPr="000E53A0" w:rsidRDefault="006C181C" w:rsidP="006C181C">
      <w:pPr>
        <w:autoSpaceDE w:val="0"/>
        <w:autoSpaceDN w:val="0"/>
        <w:adjustRightInd w:val="0"/>
        <w:ind w:left="360"/>
        <w:rPr>
          <w:rFonts w:asciiTheme="minorHAnsi" w:eastAsia="Calibri" w:hAnsiTheme="minorHAnsi" w:cstheme="minorHAnsi"/>
          <w:color w:val="000000"/>
          <w:sz w:val="20"/>
          <w:szCs w:val="20"/>
          <w:lang w:val="fr-FR"/>
        </w:rPr>
      </w:pPr>
    </w:p>
    <w:p w14:paraId="0F663F5A" w14:textId="77777777" w:rsidR="00601D9B" w:rsidRPr="000E53A0" w:rsidRDefault="000E53A0">
      <w:pPr>
        <w:numPr>
          <w:ilvl w:val="0"/>
          <w:numId w:val="23"/>
        </w:numPr>
        <w:autoSpaceDE w:val="0"/>
        <w:autoSpaceDN w:val="0"/>
        <w:adjustRightInd w:val="0"/>
        <w:ind w:left="360"/>
        <w:rPr>
          <w:rFonts w:asciiTheme="minorHAnsi" w:eastAsia="Calibri" w:hAnsiTheme="minorHAnsi" w:cstheme="minorHAnsi"/>
          <w:color w:val="000000"/>
          <w:sz w:val="20"/>
          <w:szCs w:val="20"/>
          <w:lang w:val="fr-FR"/>
        </w:rPr>
      </w:pPr>
      <w:r w:rsidRPr="000E53A0">
        <w:rPr>
          <w:rFonts w:asciiTheme="minorHAnsi" w:eastAsia="Calibri" w:hAnsiTheme="minorHAnsi" w:cstheme="minorHAnsi"/>
          <w:color w:val="000000"/>
          <w:sz w:val="20"/>
          <w:szCs w:val="20"/>
          <w:lang w:val="fr-FR"/>
        </w:rPr>
        <w:t xml:space="preserve">Les exigences des documents suivants, alors en vigueur au moment de la signature du document de projet, s'appliquent au partenaire de mise en œuvre : </w:t>
      </w:r>
      <w:r w:rsidRPr="000E53A0">
        <w:rPr>
          <w:rFonts w:asciiTheme="minorHAnsi" w:eastAsia="Calibri" w:hAnsiTheme="minorHAnsi" w:cstheme="minorHAnsi"/>
          <w:bCs/>
          <w:color w:val="000000"/>
          <w:sz w:val="20"/>
          <w:szCs w:val="20"/>
          <w:lang w:val="fr-FR"/>
        </w:rPr>
        <w:t xml:space="preserve">(a) la </w:t>
      </w:r>
      <w:r w:rsidRPr="000E53A0">
        <w:rPr>
          <w:rFonts w:asciiTheme="minorHAnsi" w:eastAsia="Calibri" w:hAnsiTheme="minorHAnsi" w:cstheme="minorHAnsi"/>
          <w:color w:val="000000"/>
          <w:sz w:val="20"/>
          <w:szCs w:val="20"/>
          <w:lang w:val="fr-FR"/>
        </w:rPr>
        <w:t xml:space="preserve">politique du PNUD en matière de fraude et autres pratiques de corruption et </w:t>
      </w:r>
      <w:r w:rsidRPr="000E53A0">
        <w:rPr>
          <w:rFonts w:asciiTheme="minorHAnsi" w:eastAsia="Calibri" w:hAnsiTheme="minorHAnsi" w:cstheme="minorHAnsi"/>
          <w:bCs/>
          <w:color w:val="000000"/>
          <w:sz w:val="20"/>
          <w:szCs w:val="20"/>
          <w:lang w:val="fr-FR"/>
        </w:rPr>
        <w:t xml:space="preserve">(b) les </w:t>
      </w:r>
      <w:r w:rsidRPr="000E53A0">
        <w:rPr>
          <w:rFonts w:asciiTheme="minorHAnsi" w:eastAsia="Calibri" w:hAnsiTheme="minorHAnsi" w:cstheme="minorHAnsi"/>
          <w:color w:val="000000"/>
          <w:sz w:val="20"/>
          <w:szCs w:val="20"/>
          <w:lang w:val="fr-FR"/>
        </w:rPr>
        <w:t xml:space="preserve">directives d'enquête du Bureau de l'audit et des enquêtes du PNUD. </w:t>
      </w:r>
      <w:r w:rsidRPr="000E53A0">
        <w:rPr>
          <w:rFonts w:asciiTheme="minorHAnsi" w:eastAsia="Calibri" w:hAnsiTheme="minorHAnsi" w:cstheme="minorHAnsi"/>
          <w:sz w:val="20"/>
          <w:szCs w:val="20"/>
          <w:lang w:val="fr-FR"/>
        </w:rPr>
        <w:t xml:space="preserve">Le partenaire de mise en œuvre accepte les exigences des documents susmentionnés, qui font partie intégrante du présent document de projet et sont disponibles en ligne à l'adresse www.undp.org. </w:t>
      </w:r>
    </w:p>
    <w:p w14:paraId="609910FF" w14:textId="77777777" w:rsidR="006C181C" w:rsidRPr="000E53A0" w:rsidRDefault="006C181C" w:rsidP="006C181C">
      <w:pPr>
        <w:ind w:left="360"/>
        <w:rPr>
          <w:rFonts w:asciiTheme="minorHAnsi" w:hAnsiTheme="minorHAnsi" w:cstheme="minorHAnsi"/>
          <w:color w:val="000000"/>
          <w:sz w:val="20"/>
          <w:szCs w:val="20"/>
          <w:lang w:val="fr-FR"/>
        </w:rPr>
      </w:pPr>
    </w:p>
    <w:p w14:paraId="6B2DF468" w14:textId="77777777" w:rsidR="00601D9B" w:rsidRPr="000E53A0" w:rsidRDefault="000E53A0">
      <w:pPr>
        <w:numPr>
          <w:ilvl w:val="0"/>
          <w:numId w:val="23"/>
        </w:numPr>
        <w:ind w:left="360"/>
        <w:rPr>
          <w:rFonts w:asciiTheme="minorHAnsi" w:hAnsiTheme="minorHAnsi" w:cstheme="minorHAnsi"/>
          <w:color w:val="000000"/>
          <w:sz w:val="20"/>
          <w:szCs w:val="20"/>
          <w:lang w:val="fr-FR"/>
        </w:rPr>
      </w:pPr>
      <w:r w:rsidRPr="000E53A0">
        <w:rPr>
          <w:rFonts w:asciiTheme="minorHAnsi" w:hAnsiTheme="minorHAnsi" w:cstheme="minorHAnsi"/>
          <w:color w:val="000000"/>
          <w:sz w:val="20"/>
          <w:szCs w:val="20"/>
          <w:lang w:val="fr-FR"/>
        </w:rPr>
        <w:t>Dans le cas où une enquête est nécessaire, le PNUD a l'obligation de mener des enquêtes relatives à tout aspect des projets et programmes du PNUD, conformément aux règlements, règles, politiques et procédures du PNUD. Le Partenaire d'exécution apporte son entière coopération, y compris en mettant à disposition du personnel, des documents pertinents et en accordant l'accès aux locaux du Partenaire d'exécution (et de ses consultants, parties responsables, sous-traitants et sous-récipiendaires), à des fins, à des moments et à des conditions raisonnables, qui peuvent être nécessaires aux fins d'une enquête. En cas de limitation du respect de cette obligation, le PNUD consulte le Partenaire d'exécution pour trouver une solution.</w:t>
      </w:r>
    </w:p>
    <w:p w14:paraId="5D061797" w14:textId="77777777" w:rsidR="006C181C" w:rsidRPr="000E53A0" w:rsidRDefault="006C181C" w:rsidP="006C181C">
      <w:pPr>
        <w:ind w:left="360"/>
        <w:rPr>
          <w:rFonts w:asciiTheme="minorHAnsi" w:eastAsia="Calibri" w:hAnsiTheme="minorHAnsi" w:cstheme="minorHAnsi"/>
          <w:color w:val="000000"/>
          <w:sz w:val="20"/>
          <w:szCs w:val="20"/>
          <w:lang w:val="fr-FR"/>
        </w:rPr>
      </w:pPr>
    </w:p>
    <w:p w14:paraId="4DC3E594" w14:textId="77777777" w:rsidR="00601D9B" w:rsidRPr="000E53A0" w:rsidRDefault="000E53A0">
      <w:pPr>
        <w:numPr>
          <w:ilvl w:val="0"/>
          <w:numId w:val="23"/>
        </w:numPr>
        <w:ind w:left="360"/>
        <w:rPr>
          <w:rFonts w:asciiTheme="minorHAnsi" w:hAnsiTheme="minorHAnsi" w:cstheme="minorHAnsi"/>
          <w:sz w:val="20"/>
          <w:szCs w:val="20"/>
          <w:lang w:val="fr-FR"/>
        </w:rPr>
      </w:pPr>
      <w:r w:rsidRPr="000E53A0">
        <w:rPr>
          <w:rFonts w:asciiTheme="minorHAnsi" w:hAnsiTheme="minorHAnsi" w:cstheme="minorHAnsi"/>
          <w:sz w:val="20"/>
          <w:szCs w:val="20"/>
          <w:lang w:val="fr-FR"/>
        </w:rPr>
        <w:t>Les signataires du présent document de projet s'informeront rapidement les uns les autres de toute incidence d'utilisation inappropriée des fonds, ou de toute allégation crédible de fraude ou de corruption, dans le respect de la confidentialité.</w:t>
      </w:r>
    </w:p>
    <w:p w14:paraId="6F4B43EB" w14:textId="77777777" w:rsidR="006C181C" w:rsidRPr="000E53A0" w:rsidRDefault="006C181C" w:rsidP="006C181C">
      <w:pPr>
        <w:ind w:left="360"/>
        <w:rPr>
          <w:rFonts w:asciiTheme="minorHAnsi" w:hAnsiTheme="minorHAnsi" w:cstheme="minorHAnsi"/>
          <w:sz w:val="20"/>
          <w:szCs w:val="20"/>
          <w:lang w:val="fr-FR"/>
        </w:rPr>
      </w:pPr>
    </w:p>
    <w:p w14:paraId="35797074" w14:textId="77777777" w:rsidR="00601D9B" w:rsidRPr="000E53A0" w:rsidRDefault="000E53A0">
      <w:pPr>
        <w:ind w:left="360"/>
        <w:rPr>
          <w:rFonts w:asciiTheme="minorHAnsi" w:eastAsia="Calibri" w:hAnsiTheme="minorHAnsi" w:cstheme="minorHAnsi"/>
          <w:color w:val="000000"/>
          <w:sz w:val="20"/>
          <w:szCs w:val="20"/>
          <w:lang w:val="fr-FR"/>
        </w:rPr>
      </w:pPr>
      <w:r w:rsidRPr="000E53A0">
        <w:rPr>
          <w:rFonts w:asciiTheme="minorHAnsi" w:hAnsiTheme="minorHAnsi" w:cstheme="minorHAnsi"/>
          <w:sz w:val="20"/>
          <w:szCs w:val="20"/>
          <w:lang w:val="fr-FR"/>
        </w:rPr>
        <w:t>Lorsque le Partenaire d'exécution apprend qu'un projet ou une activité du PNUD, en totalité ou en partie, fait l'objet d'une enquête pour fraude/corruption présumée, il en informe le Représentant résident/Chef de bureau du PNUD, qui informe rapidement le Bureau de l'audit et des investigations (OAI) du PNUD. Le Partenaire d'exécution doit fournir des mises à jour régulières au chef du PNUD dans le pays et au OAI sur l'état d'avancement et les actions relatives à cette enquête.</w:t>
      </w:r>
    </w:p>
    <w:p w14:paraId="0EDBE324" w14:textId="77777777" w:rsidR="003E5768" w:rsidRPr="000E53A0" w:rsidRDefault="003E5768" w:rsidP="003E5768">
      <w:pPr>
        <w:ind w:left="360"/>
        <w:rPr>
          <w:rFonts w:asciiTheme="minorHAnsi" w:hAnsiTheme="minorHAnsi" w:cstheme="minorHAnsi"/>
          <w:i/>
          <w:sz w:val="20"/>
          <w:szCs w:val="20"/>
          <w:lang w:val="fr-FR"/>
        </w:rPr>
      </w:pPr>
    </w:p>
    <w:p w14:paraId="24A59D1E" w14:textId="77777777" w:rsidR="00601D9B" w:rsidRPr="000E53A0" w:rsidRDefault="000E53A0">
      <w:pPr>
        <w:pStyle w:val="Paragraphedeliste"/>
        <w:numPr>
          <w:ilvl w:val="0"/>
          <w:numId w:val="33"/>
        </w:numPr>
        <w:rPr>
          <w:rFonts w:asciiTheme="minorHAnsi" w:eastAsia="Calibri" w:hAnsiTheme="minorHAnsi" w:cstheme="minorHAnsi"/>
          <w:color w:val="000000"/>
          <w:sz w:val="20"/>
          <w:szCs w:val="20"/>
          <w:lang w:val="fr-FR"/>
        </w:rPr>
      </w:pPr>
      <w:r w:rsidRPr="000E53A0">
        <w:rPr>
          <w:rFonts w:asciiTheme="minorHAnsi" w:hAnsiTheme="minorHAnsi" w:cstheme="minorHAnsi"/>
          <w:sz w:val="20"/>
          <w:szCs w:val="20"/>
          <w:lang w:val="fr-FR"/>
        </w:rPr>
        <w:t>Le PNUD a le droit de se faire rembourser par le Partenaire d'exécution tous les fonds fournis qui ont été utilisés de manière inappropriée, y compris par fraude ou corruption, ou qui ont été payés autrement que conformément aux termes et conditions du Document de projet.  Ce montant peut être déduit par le PNUD de tout paiement dû au Partenaire d'exécution en vertu du présent accord ou de tout autre accord.  Le recouvrement de ce montant par le PNUD ne doit pas diminuer ou réduire les obligations du Partenaire d'exécution en vertu du présent Document de projet.</w:t>
      </w:r>
    </w:p>
    <w:p w14:paraId="008954DB" w14:textId="77777777" w:rsidR="006C181C" w:rsidRPr="000E53A0" w:rsidRDefault="006C181C" w:rsidP="006C181C">
      <w:pPr>
        <w:ind w:left="360"/>
        <w:rPr>
          <w:rFonts w:asciiTheme="minorHAnsi" w:hAnsiTheme="minorHAnsi" w:cstheme="minorHAnsi"/>
          <w:sz w:val="20"/>
          <w:szCs w:val="20"/>
          <w:lang w:val="fr-FR"/>
        </w:rPr>
      </w:pPr>
    </w:p>
    <w:p w14:paraId="2F88F794" w14:textId="77777777" w:rsidR="00601D9B" w:rsidRPr="000E53A0" w:rsidRDefault="000E53A0">
      <w:pPr>
        <w:ind w:left="360"/>
        <w:rPr>
          <w:rFonts w:asciiTheme="minorHAnsi" w:hAnsiTheme="minorHAnsi" w:cstheme="minorHAnsi"/>
          <w:sz w:val="20"/>
          <w:szCs w:val="20"/>
          <w:lang w:val="fr-FR"/>
        </w:rPr>
      </w:pPr>
      <w:r w:rsidRPr="000E53A0">
        <w:rPr>
          <w:rFonts w:asciiTheme="minorHAnsi" w:hAnsiTheme="minorHAnsi" w:cstheme="minorHAnsi"/>
          <w:sz w:val="20"/>
          <w:szCs w:val="20"/>
          <w:lang w:val="fr-FR"/>
        </w:rPr>
        <w:t>Lorsque ces fonds n'ont pas été remboursés au PNUD, le Partenaire d'exécution convient que les donateurs du PNUD (y compris le gouvernement) dont le financement est la source, en tout ou en partie, des fonds destinés aux activités prévues dans le présent Document de projet, peuvent faire appel au Partenaire d'exécution pour le recouvrement de tous les fonds dont le PNUD a déterminé qu'ils ont été utilisés de manière inappropriée, y compris par fraude ou corruption, ou payés autrement que conformément aux termes et conditions du Document de projet.</w:t>
      </w:r>
    </w:p>
    <w:p w14:paraId="348EAE14" w14:textId="77777777" w:rsidR="006C181C" w:rsidRPr="000E53A0" w:rsidRDefault="006C181C" w:rsidP="006C181C">
      <w:pPr>
        <w:ind w:left="360"/>
        <w:rPr>
          <w:rFonts w:asciiTheme="minorHAnsi" w:hAnsiTheme="minorHAnsi" w:cstheme="minorHAnsi"/>
          <w:sz w:val="20"/>
          <w:szCs w:val="20"/>
          <w:lang w:val="fr-FR"/>
        </w:rPr>
      </w:pPr>
    </w:p>
    <w:p w14:paraId="60B8F4EA" w14:textId="77777777" w:rsidR="00601D9B" w:rsidRPr="000E53A0" w:rsidRDefault="000E53A0">
      <w:pPr>
        <w:ind w:left="360"/>
        <w:rPr>
          <w:rFonts w:asciiTheme="minorHAnsi" w:eastAsia="Calibri" w:hAnsiTheme="minorHAnsi" w:cstheme="minorHAnsi"/>
          <w:color w:val="000000"/>
          <w:sz w:val="20"/>
          <w:szCs w:val="20"/>
          <w:lang w:val="fr-FR"/>
        </w:rPr>
      </w:pPr>
      <w:r w:rsidRPr="000E53A0">
        <w:rPr>
          <w:rFonts w:asciiTheme="minorHAnsi" w:hAnsiTheme="minorHAnsi" w:cstheme="minorHAnsi"/>
          <w:i/>
          <w:sz w:val="20"/>
          <w:szCs w:val="20"/>
          <w:u w:val="single"/>
          <w:lang w:val="fr-FR"/>
        </w:rPr>
        <w:t xml:space="preserve">Note </w:t>
      </w:r>
      <w:r w:rsidRPr="000E53A0">
        <w:rPr>
          <w:rFonts w:asciiTheme="minorHAnsi" w:hAnsiTheme="minorHAnsi" w:cstheme="minorHAnsi"/>
          <w:i/>
          <w:sz w:val="20"/>
          <w:szCs w:val="20"/>
          <w:lang w:val="fr-FR"/>
        </w:rPr>
        <w:t xml:space="preserve">: </w:t>
      </w:r>
      <w:r w:rsidRPr="000E53A0">
        <w:rPr>
          <w:rFonts w:asciiTheme="minorHAnsi" w:hAnsiTheme="minorHAnsi" w:cstheme="minorHAnsi"/>
          <w:sz w:val="20"/>
          <w:szCs w:val="20"/>
          <w:lang w:val="fr-FR"/>
        </w:rPr>
        <w:t>Le terme "Document de projet" tel qu'il est utilisé dans cette clause est réputé inclure tout accord subsidiaire pertinent après le Document de projet, y compris ceux conclus avec les parties responsables, les sous-traitants et les sous-récipiendaires.</w:t>
      </w:r>
    </w:p>
    <w:p w14:paraId="3298ADAE" w14:textId="77777777" w:rsidR="006C181C" w:rsidRPr="000E53A0" w:rsidRDefault="006C181C" w:rsidP="006C181C">
      <w:pPr>
        <w:ind w:left="360"/>
        <w:rPr>
          <w:rFonts w:asciiTheme="minorHAnsi" w:hAnsiTheme="minorHAnsi" w:cstheme="minorHAnsi"/>
          <w:sz w:val="20"/>
          <w:szCs w:val="20"/>
          <w:lang w:val="fr-FR"/>
        </w:rPr>
      </w:pPr>
    </w:p>
    <w:p w14:paraId="264BC753" w14:textId="77777777" w:rsidR="00601D9B" w:rsidRPr="000E53A0" w:rsidRDefault="000E53A0">
      <w:pPr>
        <w:numPr>
          <w:ilvl w:val="0"/>
          <w:numId w:val="34"/>
        </w:numPr>
        <w:rPr>
          <w:rFonts w:asciiTheme="minorHAnsi" w:hAnsiTheme="minorHAnsi" w:cstheme="minorHAnsi"/>
          <w:sz w:val="20"/>
          <w:szCs w:val="20"/>
          <w:lang w:val="fr-FR"/>
        </w:rPr>
      </w:pPr>
      <w:r w:rsidRPr="000E53A0">
        <w:rPr>
          <w:rFonts w:asciiTheme="minorHAnsi" w:hAnsiTheme="minorHAnsi" w:cstheme="minorHAnsi"/>
          <w:sz w:val="20"/>
          <w:szCs w:val="20"/>
          <w:lang w:val="fr-FR"/>
        </w:rPr>
        <w:lastRenderedPageBreak/>
        <w:t>Chaque contrat émis par le partenaire de mise en œuvre en relation avec le présent document de projet doit inclure une disposition indiquant qu'aucun frais, gratification, rabais, cadeau, commission ou autre paiement, autre que ceux indiqués dans la proposition, n'a été donné, reçu ou promis en relation avec le processus de sélection ou l'exécution du contrat, et que le bénéficiaire des fonds du partenaire de mise en œuvre doit coopérer avec toutes les enquêtes et tous les audits après paiement.</w:t>
      </w:r>
    </w:p>
    <w:p w14:paraId="442A9032" w14:textId="77777777" w:rsidR="006C181C" w:rsidRPr="000E53A0" w:rsidRDefault="006C181C" w:rsidP="006C181C">
      <w:pPr>
        <w:ind w:left="360"/>
        <w:rPr>
          <w:rFonts w:asciiTheme="minorHAnsi" w:hAnsiTheme="minorHAnsi" w:cstheme="minorHAnsi"/>
          <w:sz w:val="20"/>
          <w:szCs w:val="20"/>
          <w:lang w:val="fr-FR"/>
        </w:rPr>
      </w:pPr>
    </w:p>
    <w:p w14:paraId="2FEAAE39" w14:textId="77777777" w:rsidR="00601D9B" w:rsidRPr="000E53A0" w:rsidRDefault="000E53A0">
      <w:pPr>
        <w:numPr>
          <w:ilvl w:val="0"/>
          <w:numId w:val="34"/>
        </w:numPr>
        <w:rPr>
          <w:rFonts w:asciiTheme="minorHAnsi" w:hAnsiTheme="minorHAnsi" w:cstheme="minorHAnsi"/>
          <w:sz w:val="20"/>
          <w:szCs w:val="20"/>
          <w:lang w:val="fr-FR"/>
        </w:rPr>
      </w:pPr>
      <w:r w:rsidRPr="000E53A0">
        <w:rPr>
          <w:rFonts w:asciiTheme="minorHAnsi" w:hAnsiTheme="minorHAnsi" w:cstheme="minorHAnsi"/>
          <w:sz w:val="20"/>
          <w:szCs w:val="20"/>
          <w:lang w:val="fr-FR"/>
        </w:rPr>
        <w:t>Si le PNUD soumet aux autorités nationales compétentes, en vue d'une action en justice appropriée, des allégations d'actes répréhensibles liés au projet, le gouvernement veillera à ce que les autorités nationales compétentes mènent une enquête active et prennent des mesures juridiques appropriées à l'encontre de toutes les personnes dont il est établi qu'elles ont participé à ces actes répréhensibles, recouvrent et restituent au PNUD tous les fonds récupérés.</w:t>
      </w:r>
    </w:p>
    <w:p w14:paraId="592A954D" w14:textId="77777777" w:rsidR="006C181C" w:rsidRPr="000E53A0" w:rsidRDefault="006C181C" w:rsidP="006C181C">
      <w:pPr>
        <w:ind w:left="360"/>
        <w:rPr>
          <w:rFonts w:asciiTheme="minorHAnsi" w:hAnsiTheme="minorHAnsi" w:cstheme="minorHAnsi"/>
          <w:sz w:val="20"/>
          <w:szCs w:val="20"/>
          <w:lang w:val="fr-FR"/>
        </w:rPr>
      </w:pPr>
    </w:p>
    <w:p w14:paraId="51AE8795" w14:textId="77777777" w:rsidR="00601D9B" w:rsidRPr="000E53A0" w:rsidRDefault="000E53A0">
      <w:pPr>
        <w:numPr>
          <w:ilvl w:val="0"/>
          <w:numId w:val="34"/>
        </w:numPr>
        <w:rPr>
          <w:rFonts w:asciiTheme="minorHAnsi" w:hAnsiTheme="minorHAnsi" w:cstheme="minorHAnsi"/>
          <w:sz w:val="20"/>
          <w:szCs w:val="20"/>
          <w:lang w:val="fr-FR"/>
        </w:rPr>
      </w:pPr>
      <w:r w:rsidRPr="000E53A0">
        <w:rPr>
          <w:rFonts w:asciiTheme="minorHAnsi" w:hAnsiTheme="minorHAnsi" w:cstheme="minorHAnsi"/>
          <w:sz w:val="20"/>
          <w:szCs w:val="20"/>
          <w:lang w:val="fr-FR"/>
        </w:rPr>
        <w:t xml:space="preserve">Le partenaire de mise en œuvre s'assure que toutes ses obligations énoncées dans la présente section intitulée " Gestion des risques " sont transmises à chaque partie responsable, sous-traitant et sous-récipiendaire et que toutes les clauses de la présente section intitulée " Clauses standard de gestion des risques " sont incluses, </w:t>
      </w:r>
      <w:r w:rsidRPr="000E53A0">
        <w:rPr>
          <w:rFonts w:asciiTheme="minorHAnsi" w:hAnsiTheme="minorHAnsi" w:cstheme="minorHAnsi"/>
          <w:i/>
          <w:sz w:val="20"/>
          <w:szCs w:val="20"/>
          <w:lang w:val="fr-FR"/>
        </w:rPr>
        <w:t>mutatis mutandis</w:t>
      </w:r>
      <w:r w:rsidRPr="000E53A0">
        <w:rPr>
          <w:rFonts w:asciiTheme="minorHAnsi" w:hAnsiTheme="minorHAnsi" w:cstheme="minorHAnsi"/>
          <w:sz w:val="20"/>
          <w:szCs w:val="20"/>
          <w:lang w:val="fr-FR"/>
        </w:rPr>
        <w:t>, dans tous les sous-contrats ou sous-accords conclus à la suite du présent document de projet.</w:t>
      </w:r>
    </w:p>
    <w:p w14:paraId="2F944C73" w14:textId="77777777" w:rsidR="00210381" w:rsidRPr="000E53A0" w:rsidRDefault="00210381" w:rsidP="006C181C">
      <w:pPr>
        <w:rPr>
          <w:rFonts w:asciiTheme="minorHAnsi" w:hAnsiTheme="minorHAnsi" w:cstheme="minorHAnsi"/>
          <w:b/>
          <w:sz w:val="20"/>
          <w:szCs w:val="20"/>
          <w:lang w:val="fr-FR"/>
        </w:rPr>
      </w:pPr>
    </w:p>
    <w:p w14:paraId="6745B224" w14:textId="77777777" w:rsidR="00601D9B" w:rsidRDefault="000E53A0">
      <w:pPr>
        <w:rPr>
          <w:rFonts w:asciiTheme="minorHAnsi" w:hAnsiTheme="minorHAnsi" w:cstheme="minorHAnsi"/>
          <w:b/>
          <w:sz w:val="20"/>
          <w:szCs w:val="20"/>
        </w:rPr>
      </w:pPr>
      <w:r w:rsidRPr="00107491">
        <w:rPr>
          <w:rFonts w:asciiTheme="minorHAnsi" w:hAnsiTheme="minorHAnsi" w:cstheme="minorHAnsi"/>
          <w:b/>
          <w:sz w:val="20"/>
          <w:szCs w:val="20"/>
          <w:highlight w:val="yellow"/>
        </w:rPr>
        <w:t>Option b. PNUD (DIM)</w:t>
      </w:r>
    </w:p>
    <w:p w14:paraId="77CFEB29" w14:textId="77777777" w:rsidR="00601D9B" w:rsidRPr="000E53A0" w:rsidRDefault="000E53A0">
      <w:pPr>
        <w:pStyle w:val="Textebrut"/>
        <w:numPr>
          <w:ilvl w:val="0"/>
          <w:numId w:val="15"/>
        </w:numPr>
        <w:ind w:left="360"/>
        <w:jc w:val="both"/>
        <w:rPr>
          <w:rFonts w:asciiTheme="minorHAnsi" w:hAnsiTheme="minorHAnsi" w:cstheme="minorHAnsi"/>
          <w:sz w:val="20"/>
          <w:szCs w:val="20"/>
          <w:lang w:val="fr-FR"/>
        </w:rPr>
      </w:pPr>
      <w:r w:rsidRPr="000E53A0">
        <w:rPr>
          <w:rFonts w:asciiTheme="minorHAnsi" w:hAnsiTheme="minorHAnsi" w:cstheme="minorHAnsi"/>
          <w:sz w:val="20"/>
          <w:szCs w:val="20"/>
          <w:lang w:val="fr-FR"/>
        </w:rPr>
        <w:t>Le PNUD, en tant que partenaire de mise en œuvre, se conformera aux politiques, procédures et pratiques du système de gestion de la sécurité des Nations Unies (UNSMS).</w:t>
      </w:r>
    </w:p>
    <w:p w14:paraId="7E7D8D29" w14:textId="77777777" w:rsidR="006C181C" w:rsidRPr="000E53A0" w:rsidRDefault="006C181C" w:rsidP="006C181C">
      <w:pPr>
        <w:pStyle w:val="Textebrut"/>
        <w:ind w:left="360"/>
        <w:jc w:val="both"/>
        <w:rPr>
          <w:rFonts w:asciiTheme="minorHAnsi" w:hAnsiTheme="minorHAnsi" w:cstheme="minorHAnsi"/>
          <w:sz w:val="20"/>
          <w:szCs w:val="20"/>
          <w:lang w:val="fr-FR"/>
        </w:rPr>
      </w:pPr>
    </w:p>
    <w:p w14:paraId="319D551B" w14:textId="77777777" w:rsidR="00601D9B" w:rsidRPr="000E53A0" w:rsidRDefault="000E53A0">
      <w:pPr>
        <w:pStyle w:val="Textebrut"/>
        <w:numPr>
          <w:ilvl w:val="0"/>
          <w:numId w:val="15"/>
        </w:numPr>
        <w:spacing w:after="240"/>
        <w:ind w:left="360"/>
        <w:jc w:val="both"/>
        <w:rPr>
          <w:rFonts w:asciiTheme="minorHAnsi" w:hAnsiTheme="minorHAnsi" w:cstheme="minorHAnsi"/>
          <w:sz w:val="20"/>
          <w:szCs w:val="20"/>
          <w:lang w:val="fr-FR"/>
        </w:rPr>
      </w:pPr>
      <w:r w:rsidRPr="000E53A0">
        <w:rPr>
          <w:rFonts w:asciiTheme="minorHAnsi" w:hAnsiTheme="minorHAnsi" w:cstheme="minorHAnsi"/>
          <w:sz w:val="20"/>
          <w:szCs w:val="20"/>
          <w:lang w:val="fr-FR"/>
        </w:rPr>
        <w:t>Le PNUD, en tant que partenaire de mise en œuvre, fera tous les efforts raisonnables pour s'assurer qu'aucun des [fonds du projet]</w:t>
      </w:r>
      <w:r w:rsidRPr="00107491">
        <w:rPr>
          <w:rStyle w:val="Appelnotedebasdep"/>
          <w:rFonts w:asciiTheme="minorHAnsi" w:hAnsiTheme="minorHAnsi" w:cstheme="minorHAnsi"/>
          <w:sz w:val="20"/>
          <w:szCs w:val="20"/>
        </w:rPr>
        <w:footnoteReference w:id="85"/>
      </w:r>
      <w:r w:rsidRPr="000E53A0">
        <w:rPr>
          <w:rFonts w:asciiTheme="minorHAnsi" w:hAnsiTheme="minorHAnsi" w:cstheme="minorHAnsi"/>
          <w:sz w:val="20"/>
          <w:szCs w:val="20"/>
          <w:lang w:val="fr-FR"/>
        </w:rPr>
        <w:t xml:space="preserve"> [fonds du PNUD reçus conformément au document de projet]</w:t>
      </w:r>
      <w:r w:rsidRPr="00107491">
        <w:rPr>
          <w:rStyle w:val="Appelnotedebasdep"/>
          <w:rFonts w:asciiTheme="minorHAnsi" w:hAnsiTheme="minorHAnsi" w:cstheme="minorHAnsi"/>
          <w:sz w:val="20"/>
          <w:szCs w:val="20"/>
        </w:rPr>
        <w:footnoteReference w:id="86"/>
      </w:r>
      <w:r w:rsidRPr="000E53A0">
        <w:rPr>
          <w:rFonts w:asciiTheme="minorHAnsi" w:hAnsiTheme="minorHAnsi" w:cstheme="minorHAnsi"/>
          <w:sz w:val="20"/>
          <w:szCs w:val="20"/>
          <w:lang w:val="fr-FR"/>
        </w:rPr>
        <w:t xml:space="preserve"> n'est utilisé pour fournir un soutien à des individus ou des entités associés au terrorisme et que les bénéficiaires de tous les montants fournis par le PNUD en vertu des présentes ne figurent pas sur la liste tenue par le Comité du Conseil de sécurité établi conformément à la résolution 1267 (1999). Cette liste peut être consultée sur le site </w:t>
      </w:r>
      <w:r w:rsidRPr="000E53A0">
        <w:rPr>
          <w:rFonts w:asciiTheme="minorHAnsi" w:hAnsiTheme="minorHAnsi" w:cstheme="minorHAnsi"/>
          <w:color w:val="000080"/>
          <w:sz w:val="20"/>
          <w:szCs w:val="20"/>
          <w:lang w:val="fr-FR"/>
        </w:rPr>
        <w:t xml:space="preserve">http://www.un.org/sc/committees/1267/aq_sanctions_list.shtml.  </w:t>
      </w:r>
      <w:r w:rsidRPr="000E53A0">
        <w:rPr>
          <w:rFonts w:asciiTheme="minorHAnsi" w:hAnsiTheme="minorHAnsi" w:cstheme="minorHAnsi"/>
          <w:sz w:val="20"/>
          <w:szCs w:val="20"/>
          <w:lang w:val="fr-FR"/>
        </w:rPr>
        <w:t>Cette disposition doit être incluse dans tous les sous-contrats ou sous-accords conclus dans le cadre de ce document de projet.</w:t>
      </w:r>
    </w:p>
    <w:p w14:paraId="7BD6C658" w14:textId="77777777" w:rsidR="00601D9B" w:rsidRPr="000E53A0" w:rsidRDefault="000E53A0">
      <w:pPr>
        <w:pStyle w:val="Paragraphedeliste"/>
        <w:numPr>
          <w:ilvl w:val="0"/>
          <w:numId w:val="15"/>
        </w:numPr>
        <w:spacing w:before="100" w:beforeAutospacing="1" w:after="240"/>
        <w:ind w:left="360"/>
        <w:jc w:val="both"/>
        <w:rPr>
          <w:rFonts w:asciiTheme="minorHAnsi" w:hAnsiTheme="minorHAnsi" w:cstheme="minorHAnsi"/>
          <w:sz w:val="20"/>
          <w:szCs w:val="20"/>
          <w:u w:val="single"/>
          <w:lang w:val="fr-FR"/>
        </w:rPr>
      </w:pPr>
      <w:r w:rsidRPr="000E53A0">
        <w:rPr>
          <w:rFonts w:asciiTheme="minorHAnsi" w:hAnsiTheme="minorHAnsi" w:cstheme="minorHAnsi"/>
          <w:sz w:val="20"/>
          <w:szCs w:val="20"/>
          <w:lang w:val="fr-FR"/>
        </w:rPr>
        <w:t xml:space="preserve">La durabilité sociale et environnementale sera renforcée par l'application des normes sociales et environnementales du PNUD (http://www.undp.org/ses) et du mécanisme de responsabilisation correspondant (http://www.undp.org/secu-srm).  </w:t>
      </w:r>
      <w:r w:rsidRPr="000E53A0">
        <w:rPr>
          <w:rFonts w:asciiTheme="minorHAnsi" w:hAnsiTheme="minorHAnsi" w:cstheme="minorHAnsi"/>
          <w:color w:val="000000"/>
          <w:sz w:val="20"/>
          <w:szCs w:val="20"/>
          <w:lang w:val="fr-FR"/>
        </w:rPr>
        <w:t xml:space="preserve"> </w:t>
      </w:r>
    </w:p>
    <w:p w14:paraId="7984207E" w14:textId="77777777" w:rsidR="00601D9B" w:rsidRPr="000E53A0" w:rsidRDefault="000E53A0">
      <w:pPr>
        <w:pStyle w:val="Default"/>
        <w:numPr>
          <w:ilvl w:val="0"/>
          <w:numId w:val="15"/>
        </w:numPr>
        <w:ind w:left="360"/>
        <w:jc w:val="both"/>
        <w:rPr>
          <w:rFonts w:asciiTheme="minorHAnsi" w:hAnsiTheme="minorHAnsi" w:cstheme="minorHAnsi"/>
          <w:sz w:val="20"/>
          <w:szCs w:val="20"/>
          <w:lang w:val="fr-FR"/>
        </w:rPr>
      </w:pPr>
      <w:r w:rsidRPr="000E53A0">
        <w:rPr>
          <w:rFonts w:asciiTheme="minorHAnsi" w:hAnsiTheme="minorHAnsi" w:cstheme="minorHAnsi"/>
          <w:color w:val="101010"/>
          <w:spacing w:val="-6"/>
          <w:kern w:val="1"/>
          <w:sz w:val="20"/>
          <w:szCs w:val="20"/>
          <w:lang w:val="fr-FR"/>
        </w:rPr>
        <w:t xml:space="preserve">Le PNUD, en tant que partenaire de mise en œuvre, s'engage à (a) mènera les activités liées au projet et au programme d'une manière compatible avec les normes sociales et environnementales du PNUD, (b) mettra en œuvre tout plan de gestion ou d'atténuation préparé pour le projet ou le programme afin de se conformer à ces normes, et (c) s'engagera de manière constructive et opportune à répondre à toute préoccupation et plainte soulevée par le biais du mécanisme de responsabilisation. Le </w:t>
      </w:r>
      <w:r w:rsidRPr="000E53A0">
        <w:rPr>
          <w:rFonts w:asciiTheme="minorHAnsi" w:hAnsiTheme="minorHAnsi" w:cstheme="minorHAnsi"/>
          <w:color w:val="141414"/>
          <w:spacing w:val="-4"/>
          <w:sz w:val="20"/>
          <w:szCs w:val="20"/>
          <w:lang w:val="fr-FR"/>
        </w:rPr>
        <w:t xml:space="preserve">PNUD </w:t>
      </w:r>
      <w:r w:rsidRPr="000E53A0">
        <w:rPr>
          <w:rFonts w:asciiTheme="minorHAnsi" w:hAnsiTheme="minorHAnsi" w:cstheme="minorHAnsi"/>
          <w:sz w:val="20"/>
          <w:szCs w:val="20"/>
          <w:lang w:val="fr-FR"/>
        </w:rPr>
        <w:t xml:space="preserve">veillera à ce que les communautés et les autres parties prenantes du projet soient informées du mécanisme de responsabilisation et y aient accès. </w:t>
      </w:r>
    </w:p>
    <w:p w14:paraId="5CDF6BCC" w14:textId="77777777" w:rsidR="006C181C" w:rsidRPr="000E53A0" w:rsidRDefault="006C181C" w:rsidP="006C181C">
      <w:pPr>
        <w:pStyle w:val="Default"/>
        <w:ind w:left="360"/>
        <w:jc w:val="both"/>
        <w:rPr>
          <w:rFonts w:asciiTheme="minorHAnsi" w:hAnsiTheme="minorHAnsi" w:cstheme="minorHAnsi"/>
          <w:sz w:val="20"/>
          <w:szCs w:val="20"/>
          <w:lang w:val="fr-FR"/>
        </w:rPr>
      </w:pPr>
    </w:p>
    <w:p w14:paraId="02374BDA" w14:textId="77777777" w:rsidR="00601D9B" w:rsidRPr="000E53A0" w:rsidRDefault="000E53A0">
      <w:pPr>
        <w:pStyle w:val="Default"/>
        <w:numPr>
          <w:ilvl w:val="0"/>
          <w:numId w:val="15"/>
        </w:numPr>
        <w:ind w:left="360"/>
        <w:jc w:val="both"/>
        <w:rPr>
          <w:rFonts w:asciiTheme="minorHAnsi" w:hAnsiTheme="minorHAnsi" w:cstheme="minorHAnsi"/>
          <w:sz w:val="20"/>
          <w:szCs w:val="20"/>
          <w:lang w:val="fr-FR"/>
        </w:rPr>
      </w:pPr>
      <w:r w:rsidRPr="000E53A0">
        <w:rPr>
          <w:rFonts w:asciiTheme="minorHAnsi" w:hAnsiTheme="minorHAnsi" w:cstheme="minorHAnsi"/>
          <w:sz w:val="20"/>
          <w:szCs w:val="20"/>
          <w:lang w:val="fr-FR"/>
        </w:rPr>
        <w:t>Dans le cadre de la mise en œuvre des activités prévues par le présent document de projet, le PNUD, en tant que partenaire de mise en œuvre, traitera toute allégation d'exploitation et d'abus sexuels ("EAS") et de harcèlement sexuel ("SH") conformément à ses règlements, règles, politiques et procédures.</w:t>
      </w:r>
    </w:p>
    <w:p w14:paraId="1E659C66" w14:textId="77777777" w:rsidR="00601D9B" w:rsidRPr="000E53A0" w:rsidRDefault="000E53A0">
      <w:pPr>
        <w:pStyle w:val="Paragraphedeliste"/>
        <w:numPr>
          <w:ilvl w:val="0"/>
          <w:numId w:val="15"/>
        </w:numPr>
        <w:spacing w:before="240" w:after="240"/>
        <w:ind w:left="360"/>
        <w:jc w:val="both"/>
        <w:rPr>
          <w:rFonts w:asciiTheme="minorHAnsi" w:hAnsiTheme="minorHAnsi" w:cstheme="minorHAnsi"/>
          <w:spacing w:val="-4"/>
          <w:sz w:val="20"/>
          <w:szCs w:val="20"/>
          <w:lang w:val="fr-FR"/>
        </w:rPr>
      </w:pPr>
      <w:r w:rsidRPr="000E53A0">
        <w:rPr>
          <w:rFonts w:asciiTheme="minorHAnsi" w:hAnsiTheme="minorHAnsi" w:cstheme="minorHAnsi"/>
          <w:spacing w:val="-4"/>
          <w:sz w:val="20"/>
          <w:szCs w:val="20"/>
          <w:lang w:val="fr-FR"/>
        </w:rPr>
        <w:t>Tous les signataires du document de projet doivent coopérer de bonne foi à tout exercice visant à évaluer les engagements liés au programme ou au projet ou la conformité aux normes sociales et environnementales du PNUD. Cela inclut l'accès aux sites du projet, au personnel concerné, aux informations et à la documentation.</w:t>
      </w:r>
    </w:p>
    <w:p w14:paraId="3B2DC35C" w14:textId="77777777" w:rsidR="00601D9B" w:rsidRPr="000E53A0" w:rsidRDefault="000E53A0">
      <w:pPr>
        <w:numPr>
          <w:ilvl w:val="0"/>
          <w:numId w:val="15"/>
        </w:numPr>
        <w:autoSpaceDE w:val="0"/>
        <w:autoSpaceDN w:val="0"/>
        <w:adjustRightInd w:val="0"/>
        <w:ind w:left="360"/>
        <w:rPr>
          <w:rFonts w:asciiTheme="minorHAnsi" w:eastAsia="Calibri" w:hAnsiTheme="minorHAnsi" w:cstheme="minorHAnsi"/>
          <w:color w:val="000000"/>
          <w:sz w:val="20"/>
          <w:szCs w:val="20"/>
          <w:lang w:val="fr-FR"/>
        </w:rPr>
      </w:pPr>
      <w:r w:rsidRPr="000E53A0">
        <w:rPr>
          <w:rFonts w:asciiTheme="minorHAnsi" w:hAnsiTheme="minorHAnsi" w:cstheme="minorHAnsi"/>
          <w:sz w:val="20"/>
          <w:szCs w:val="20"/>
          <w:lang w:val="fr-FR"/>
        </w:rPr>
        <w:lastRenderedPageBreak/>
        <w:t xml:space="preserve">Le </w:t>
      </w:r>
      <w:r w:rsidRPr="000E53A0">
        <w:rPr>
          <w:rFonts w:asciiTheme="minorHAnsi" w:eastAsia="Calibri" w:hAnsiTheme="minorHAnsi" w:cstheme="minorHAnsi"/>
          <w:color w:val="000000"/>
          <w:sz w:val="20"/>
          <w:szCs w:val="20"/>
          <w:lang w:val="fr-FR"/>
        </w:rPr>
        <w:t xml:space="preserve">PNUD, en tant que partenaire de mise en œuvre, veillera à ce que </w:t>
      </w:r>
      <w:r w:rsidRPr="000E53A0">
        <w:rPr>
          <w:rFonts w:asciiTheme="minorHAnsi" w:hAnsiTheme="minorHAnsi" w:cstheme="minorHAnsi"/>
          <w:sz w:val="20"/>
          <w:szCs w:val="20"/>
          <w:lang w:val="fr-FR"/>
        </w:rPr>
        <w:t>les obligations suivantes soient contraignantes pour chaque partie responsable, sous-traitant et sous-récipiendaire :</w:t>
      </w:r>
    </w:p>
    <w:p w14:paraId="65AC63C8" w14:textId="77777777" w:rsidR="006C181C" w:rsidRPr="000E53A0" w:rsidRDefault="006C181C" w:rsidP="006C181C">
      <w:pPr>
        <w:autoSpaceDE w:val="0"/>
        <w:autoSpaceDN w:val="0"/>
        <w:adjustRightInd w:val="0"/>
        <w:ind w:left="360"/>
        <w:rPr>
          <w:rFonts w:asciiTheme="minorHAnsi" w:eastAsia="Calibri" w:hAnsiTheme="minorHAnsi" w:cstheme="minorHAnsi"/>
          <w:color w:val="000000"/>
          <w:sz w:val="20"/>
          <w:szCs w:val="20"/>
          <w:lang w:val="fr-FR"/>
        </w:rPr>
      </w:pPr>
    </w:p>
    <w:p w14:paraId="217CD4D0" w14:textId="77777777" w:rsidR="00601D9B" w:rsidRPr="000E53A0" w:rsidRDefault="000E53A0">
      <w:pPr>
        <w:numPr>
          <w:ilvl w:val="1"/>
          <w:numId w:val="15"/>
        </w:numPr>
        <w:autoSpaceDE w:val="0"/>
        <w:autoSpaceDN w:val="0"/>
        <w:adjustRightInd w:val="0"/>
        <w:rPr>
          <w:rFonts w:asciiTheme="minorHAnsi" w:hAnsiTheme="minorHAnsi" w:cstheme="minorHAnsi"/>
          <w:sz w:val="20"/>
          <w:szCs w:val="20"/>
          <w:lang w:val="fr-FR"/>
        </w:rPr>
      </w:pPr>
      <w:r w:rsidRPr="000E53A0">
        <w:rPr>
          <w:rFonts w:asciiTheme="minorHAnsi" w:hAnsiTheme="minorHAnsi" w:cstheme="minorHAnsi"/>
          <w:sz w:val="20"/>
          <w:szCs w:val="20"/>
          <w:lang w:val="fr-FR"/>
        </w:rPr>
        <w:t xml:space="preserve">Conformément à l'article III de l'ASB </w:t>
      </w:r>
      <w:r w:rsidRPr="000E53A0">
        <w:rPr>
          <w:rFonts w:asciiTheme="minorHAnsi" w:hAnsiTheme="minorHAnsi" w:cstheme="minorHAnsi"/>
          <w:i/>
          <w:sz w:val="20"/>
          <w:szCs w:val="20"/>
          <w:lang w:val="fr-FR"/>
        </w:rPr>
        <w:t>[ou aux dispositions supplémentaires du document de projet]</w:t>
      </w:r>
      <w:r w:rsidRPr="000E53A0">
        <w:rPr>
          <w:rFonts w:asciiTheme="minorHAnsi" w:hAnsiTheme="minorHAnsi" w:cstheme="minorHAnsi"/>
          <w:sz w:val="20"/>
          <w:szCs w:val="20"/>
          <w:lang w:val="fr-FR"/>
        </w:rPr>
        <w:t>, la responsabilité de la sûreté et de la sécurité de chaque partie responsable, sous-traitant et sous-bénéficiaire, de son personnel et de ses biens, ainsi que des biens du PNUD dont la partie responsable, le sous-traitant et le sous-bénéficiaire ont la garde, incombe à ladite partie responsable, audit sous-traitant et audit sous-bénéficiaire.  A cette fin, chaque partie responsable, sous-traitant et sous-bénéficiaire doit :</w:t>
      </w:r>
    </w:p>
    <w:p w14:paraId="4CFCEB48" w14:textId="77777777" w:rsidR="00601D9B" w:rsidRPr="000E53A0" w:rsidRDefault="000E53A0">
      <w:pPr>
        <w:numPr>
          <w:ilvl w:val="2"/>
          <w:numId w:val="15"/>
        </w:numPr>
        <w:rPr>
          <w:rFonts w:asciiTheme="minorHAnsi" w:hAnsiTheme="minorHAnsi" w:cstheme="minorHAnsi"/>
          <w:sz w:val="20"/>
          <w:szCs w:val="20"/>
          <w:lang w:val="fr-FR"/>
        </w:rPr>
      </w:pPr>
      <w:r w:rsidRPr="000E53A0">
        <w:rPr>
          <w:rFonts w:asciiTheme="minorHAnsi" w:hAnsiTheme="minorHAnsi" w:cstheme="minorHAnsi"/>
          <w:sz w:val="20"/>
          <w:szCs w:val="20"/>
          <w:lang w:val="fr-FR"/>
        </w:rPr>
        <w:t>mettre en place un plan de sécurité approprié et maintenir le plan de sécurité, en tenant compte de la situation de sécurité dans le pays où le projet est réalisé ;</w:t>
      </w:r>
    </w:p>
    <w:p w14:paraId="1DDAFA15" w14:textId="77777777" w:rsidR="00601D9B" w:rsidRPr="000E53A0" w:rsidRDefault="000E53A0">
      <w:pPr>
        <w:numPr>
          <w:ilvl w:val="2"/>
          <w:numId w:val="15"/>
        </w:numPr>
        <w:rPr>
          <w:rFonts w:asciiTheme="minorHAnsi" w:hAnsiTheme="minorHAnsi" w:cstheme="minorHAnsi"/>
          <w:sz w:val="20"/>
          <w:szCs w:val="20"/>
          <w:lang w:val="fr-FR"/>
        </w:rPr>
      </w:pPr>
      <w:r w:rsidRPr="000E53A0">
        <w:rPr>
          <w:rFonts w:asciiTheme="minorHAnsi" w:hAnsiTheme="minorHAnsi" w:cstheme="minorHAnsi"/>
          <w:sz w:val="20"/>
          <w:szCs w:val="20"/>
          <w:lang w:val="fr-FR"/>
        </w:rPr>
        <w:t>assumer tous les risques et responsabilités liés à la sécurité de cette partie responsable, de ce sous-traitant et de ce sous-récipiendaire, et à la mise en œuvre complète du plan de sécurité.</w:t>
      </w:r>
    </w:p>
    <w:p w14:paraId="74B8B1B2" w14:textId="77777777" w:rsidR="006C181C" w:rsidRPr="000E53A0" w:rsidRDefault="006C181C" w:rsidP="006C181C">
      <w:pPr>
        <w:autoSpaceDE w:val="0"/>
        <w:autoSpaceDN w:val="0"/>
        <w:adjustRightInd w:val="0"/>
        <w:ind w:left="1440"/>
        <w:rPr>
          <w:rFonts w:asciiTheme="minorHAnsi" w:hAnsiTheme="minorHAnsi" w:cstheme="minorHAnsi"/>
          <w:sz w:val="20"/>
          <w:szCs w:val="20"/>
          <w:lang w:val="fr-FR"/>
        </w:rPr>
      </w:pPr>
    </w:p>
    <w:p w14:paraId="6C85F119" w14:textId="77777777" w:rsidR="00601D9B" w:rsidRPr="000E53A0" w:rsidRDefault="000E53A0">
      <w:pPr>
        <w:numPr>
          <w:ilvl w:val="1"/>
          <w:numId w:val="15"/>
        </w:numPr>
        <w:autoSpaceDE w:val="0"/>
        <w:autoSpaceDN w:val="0"/>
        <w:adjustRightInd w:val="0"/>
        <w:rPr>
          <w:rFonts w:asciiTheme="minorHAnsi" w:hAnsiTheme="minorHAnsi" w:cstheme="minorHAnsi"/>
          <w:sz w:val="20"/>
          <w:szCs w:val="20"/>
          <w:lang w:val="fr-FR"/>
        </w:rPr>
      </w:pPr>
      <w:r w:rsidRPr="000E53A0">
        <w:rPr>
          <w:rFonts w:asciiTheme="minorHAnsi" w:hAnsiTheme="minorHAnsi" w:cstheme="minorHAnsi"/>
          <w:sz w:val="20"/>
          <w:szCs w:val="20"/>
          <w:lang w:val="fr-FR"/>
        </w:rPr>
        <w:t>Le PNUD se réserve le droit de vérifier si un tel plan est en place, et de suggérer des modifications au plan si nécessaire. Le fait de ne pas maintenir et de ne pas mettre en œuvre un plan de sécurité approprié tel que requis par les présentes sera considéré comme une violation des obligations de la partie responsable, du sous-traitant et du sous-récipiendaire en vertu du présent document de projet.</w:t>
      </w:r>
    </w:p>
    <w:p w14:paraId="697F3A99" w14:textId="77777777" w:rsidR="00601D9B" w:rsidRPr="000E53A0" w:rsidRDefault="000E53A0">
      <w:pPr>
        <w:numPr>
          <w:ilvl w:val="1"/>
          <w:numId w:val="15"/>
        </w:numPr>
        <w:autoSpaceDE w:val="0"/>
        <w:autoSpaceDN w:val="0"/>
        <w:adjustRightInd w:val="0"/>
        <w:rPr>
          <w:rFonts w:asciiTheme="minorHAnsi" w:hAnsiTheme="minorHAnsi" w:cstheme="minorHAnsi"/>
          <w:sz w:val="20"/>
          <w:szCs w:val="20"/>
          <w:lang w:val="fr-FR"/>
        </w:rPr>
      </w:pPr>
      <w:r w:rsidRPr="000E53A0">
        <w:rPr>
          <w:rFonts w:asciiTheme="minorHAnsi" w:hAnsiTheme="minorHAnsi" w:cstheme="minorHAnsi"/>
          <w:sz w:val="20"/>
          <w:szCs w:val="20"/>
          <w:lang w:val="fr-FR"/>
        </w:rPr>
        <w:t>Dans le cadre de la réalisation des activités de ce projet, le PNUD, en tant que partenaire de mise en œuvre, doit s'assurer, en ce qui concerne les activités de ses parties responsables, sous-récipiendaires et autres entités engagées dans le cadre du projet, que ce soit en tant que contractants ou sous-traitants, leur personnel et toute personne fournissant des services pour eux, que ces entités ont mis en place des procédures, des processus et des politiques adéquats et appropriés pour prévenir et/ou traiter l'EES et le SH.</w:t>
      </w:r>
    </w:p>
    <w:p w14:paraId="50F7FCC9" w14:textId="77777777" w:rsidR="006C181C" w:rsidRPr="000E53A0" w:rsidRDefault="006C181C" w:rsidP="006C181C">
      <w:pPr>
        <w:autoSpaceDE w:val="0"/>
        <w:autoSpaceDN w:val="0"/>
        <w:adjustRightInd w:val="0"/>
        <w:ind w:left="1440"/>
        <w:rPr>
          <w:rFonts w:asciiTheme="minorHAnsi" w:hAnsiTheme="minorHAnsi" w:cstheme="minorHAnsi"/>
          <w:sz w:val="20"/>
          <w:szCs w:val="20"/>
          <w:lang w:val="fr-FR"/>
        </w:rPr>
      </w:pPr>
    </w:p>
    <w:p w14:paraId="54A998DD" w14:textId="77777777" w:rsidR="00601D9B" w:rsidRPr="000E53A0" w:rsidRDefault="000E53A0">
      <w:pPr>
        <w:numPr>
          <w:ilvl w:val="1"/>
          <w:numId w:val="15"/>
        </w:numPr>
        <w:autoSpaceDE w:val="0"/>
        <w:autoSpaceDN w:val="0"/>
        <w:adjustRightInd w:val="0"/>
        <w:rPr>
          <w:rFonts w:asciiTheme="minorHAnsi" w:eastAsia="Calibri" w:hAnsiTheme="minorHAnsi" w:cstheme="minorHAnsi"/>
          <w:color w:val="000000"/>
          <w:sz w:val="20"/>
          <w:szCs w:val="20"/>
          <w:lang w:val="fr-FR"/>
        </w:rPr>
      </w:pPr>
      <w:r w:rsidRPr="000E53A0">
        <w:rPr>
          <w:rFonts w:asciiTheme="minorHAnsi" w:hAnsiTheme="minorHAnsi" w:cstheme="minorHAnsi"/>
          <w:sz w:val="20"/>
          <w:szCs w:val="20"/>
          <w:lang w:val="fr-FR"/>
        </w:rPr>
        <w:t xml:space="preserve">Chaque partie responsable, sous-traitant et sous-récipiendaire </w:t>
      </w:r>
      <w:r w:rsidRPr="000E53A0">
        <w:rPr>
          <w:rFonts w:asciiTheme="minorHAnsi" w:eastAsia="Calibri" w:hAnsiTheme="minorHAnsi" w:cstheme="minorHAnsi"/>
          <w:color w:val="000000"/>
          <w:sz w:val="20"/>
          <w:szCs w:val="20"/>
          <w:lang w:val="fr-FR"/>
        </w:rPr>
        <w:t>prendra les mesures appropriées pour empêcher l'utilisation abusive des fonds, la fraude ou la corruption, par ses fonctionnaires, consultants, sous-traitants et sous-récipiendaires lors de la mise en œuvre du projet ou du programme ou de l'utilisation des fonds du PNUD.  Il s'assurera que ses politiques de gestion financière, de lutte contre la corruption et la fraude sont en place et appliquées pour tous les financements reçus du PNUD ou par son intermédiaire.</w:t>
      </w:r>
    </w:p>
    <w:p w14:paraId="095A3B11" w14:textId="77777777" w:rsidR="006C181C" w:rsidRPr="000E53A0" w:rsidRDefault="006C181C" w:rsidP="006C181C">
      <w:pPr>
        <w:autoSpaceDE w:val="0"/>
        <w:autoSpaceDN w:val="0"/>
        <w:adjustRightInd w:val="0"/>
        <w:ind w:left="360"/>
        <w:rPr>
          <w:rFonts w:asciiTheme="minorHAnsi" w:eastAsia="Calibri" w:hAnsiTheme="minorHAnsi" w:cstheme="minorHAnsi"/>
          <w:color w:val="000000"/>
          <w:sz w:val="20"/>
          <w:szCs w:val="20"/>
          <w:lang w:val="fr-FR"/>
        </w:rPr>
      </w:pPr>
    </w:p>
    <w:p w14:paraId="6598BA6A" w14:textId="77777777" w:rsidR="00601D9B" w:rsidRPr="000E53A0" w:rsidRDefault="000E53A0">
      <w:pPr>
        <w:numPr>
          <w:ilvl w:val="1"/>
          <w:numId w:val="15"/>
        </w:numPr>
        <w:autoSpaceDE w:val="0"/>
        <w:autoSpaceDN w:val="0"/>
        <w:adjustRightInd w:val="0"/>
        <w:rPr>
          <w:rFonts w:asciiTheme="minorHAnsi" w:eastAsia="Calibri" w:hAnsiTheme="minorHAnsi" w:cstheme="minorHAnsi"/>
          <w:color w:val="000000"/>
          <w:sz w:val="20"/>
          <w:szCs w:val="20"/>
          <w:lang w:val="fr-FR"/>
        </w:rPr>
      </w:pPr>
      <w:r w:rsidRPr="000E53A0">
        <w:rPr>
          <w:rFonts w:asciiTheme="minorHAnsi" w:eastAsia="Calibri" w:hAnsiTheme="minorHAnsi" w:cstheme="minorHAnsi"/>
          <w:color w:val="000000"/>
          <w:sz w:val="20"/>
          <w:szCs w:val="20"/>
          <w:lang w:val="fr-FR"/>
        </w:rPr>
        <w:t xml:space="preserve">Les exigences des documents suivants, alors en vigueur au moment de la signature du document de projet, s'appliquent à </w:t>
      </w:r>
      <w:r w:rsidRPr="000E53A0">
        <w:rPr>
          <w:rFonts w:asciiTheme="minorHAnsi" w:hAnsiTheme="minorHAnsi" w:cstheme="minorHAnsi"/>
          <w:sz w:val="20"/>
          <w:szCs w:val="20"/>
          <w:lang w:val="fr-FR"/>
        </w:rPr>
        <w:t xml:space="preserve">chaque partie responsable, sous-traitant et sous-récipiendaire </w:t>
      </w:r>
      <w:r w:rsidRPr="000E53A0">
        <w:rPr>
          <w:rFonts w:asciiTheme="minorHAnsi" w:eastAsia="Calibri" w:hAnsiTheme="minorHAnsi" w:cstheme="minorHAnsi"/>
          <w:color w:val="000000"/>
          <w:sz w:val="20"/>
          <w:szCs w:val="20"/>
          <w:lang w:val="fr-FR"/>
        </w:rPr>
        <w:t xml:space="preserve">: </w:t>
      </w:r>
      <w:r w:rsidRPr="000E53A0">
        <w:rPr>
          <w:rFonts w:asciiTheme="minorHAnsi" w:eastAsia="Calibri" w:hAnsiTheme="minorHAnsi" w:cstheme="minorHAnsi"/>
          <w:bCs/>
          <w:color w:val="000000"/>
          <w:sz w:val="20"/>
          <w:szCs w:val="20"/>
          <w:lang w:val="fr-FR"/>
        </w:rPr>
        <w:t xml:space="preserve">(a) la </w:t>
      </w:r>
      <w:r w:rsidRPr="000E53A0">
        <w:rPr>
          <w:rFonts w:asciiTheme="minorHAnsi" w:eastAsia="Calibri" w:hAnsiTheme="minorHAnsi" w:cstheme="minorHAnsi"/>
          <w:color w:val="000000"/>
          <w:sz w:val="20"/>
          <w:szCs w:val="20"/>
          <w:lang w:val="fr-FR"/>
        </w:rPr>
        <w:t xml:space="preserve">politique du PNUD en matière de fraude et autres pratiques de corruption et </w:t>
      </w:r>
      <w:r w:rsidRPr="000E53A0">
        <w:rPr>
          <w:rFonts w:asciiTheme="minorHAnsi" w:eastAsia="Calibri" w:hAnsiTheme="minorHAnsi" w:cstheme="minorHAnsi"/>
          <w:bCs/>
          <w:color w:val="000000"/>
          <w:sz w:val="20"/>
          <w:szCs w:val="20"/>
          <w:lang w:val="fr-FR"/>
        </w:rPr>
        <w:t xml:space="preserve">(b) les </w:t>
      </w:r>
      <w:r w:rsidRPr="000E53A0">
        <w:rPr>
          <w:rFonts w:asciiTheme="minorHAnsi" w:eastAsia="Calibri" w:hAnsiTheme="minorHAnsi" w:cstheme="minorHAnsi"/>
          <w:color w:val="000000"/>
          <w:sz w:val="20"/>
          <w:szCs w:val="20"/>
          <w:lang w:val="fr-FR"/>
        </w:rPr>
        <w:t xml:space="preserve">directives d'enquête du Bureau de l'audit et des enquêtes du PNUD. </w:t>
      </w:r>
      <w:r w:rsidRPr="000E53A0">
        <w:rPr>
          <w:rFonts w:asciiTheme="minorHAnsi" w:hAnsiTheme="minorHAnsi" w:cstheme="minorHAnsi"/>
          <w:sz w:val="20"/>
          <w:szCs w:val="20"/>
          <w:lang w:val="fr-FR"/>
        </w:rPr>
        <w:t xml:space="preserve">Chaque partie responsable, sous-traitant et sous-bénéficiaire </w:t>
      </w:r>
      <w:r w:rsidRPr="000E53A0">
        <w:rPr>
          <w:rFonts w:asciiTheme="minorHAnsi" w:eastAsia="Calibri" w:hAnsiTheme="minorHAnsi" w:cstheme="minorHAnsi"/>
          <w:sz w:val="20"/>
          <w:szCs w:val="20"/>
          <w:lang w:val="fr-FR"/>
        </w:rPr>
        <w:t xml:space="preserve">accepte les exigences des documents ci-dessus, qui font partie intégrante du présent document de projet et sont disponibles en ligne à l'adresse www.undp.org. </w:t>
      </w:r>
    </w:p>
    <w:p w14:paraId="2F345A09" w14:textId="77777777" w:rsidR="006C181C" w:rsidRPr="000E53A0" w:rsidRDefault="006C181C" w:rsidP="006C181C">
      <w:pPr>
        <w:ind w:left="360"/>
        <w:rPr>
          <w:rFonts w:asciiTheme="minorHAnsi" w:hAnsiTheme="minorHAnsi" w:cstheme="minorHAnsi"/>
          <w:color w:val="000000"/>
          <w:sz w:val="20"/>
          <w:szCs w:val="20"/>
          <w:lang w:val="fr-FR"/>
        </w:rPr>
      </w:pPr>
    </w:p>
    <w:p w14:paraId="066EE9D5" w14:textId="77777777" w:rsidR="00601D9B" w:rsidRPr="000E53A0" w:rsidRDefault="000E53A0">
      <w:pPr>
        <w:numPr>
          <w:ilvl w:val="1"/>
          <w:numId w:val="15"/>
        </w:numPr>
        <w:rPr>
          <w:rFonts w:asciiTheme="minorHAnsi" w:hAnsiTheme="minorHAnsi" w:cstheme="minorHAnsi"/>
          <w:color w:val="000000"/>
          <w:sz w:val="20"/>
          <w:szCs w:val="20"/>
          <w:lang w:val="fr-FR"/>
        </w:rPr>
      </w:pPr>
      <w:r w:rsidRPr="000E53A0">
        <w:rPr>
          <w:rFonts w:asciiTheme="minorHAnsi" w:hAnsiTheme="minorHAnsi" w:cstheme="minorHAnsi"/>
          <w:color w:val="000000"/>
          <w:sz w:val="20"/>
          <w:szCs w:val="20"/>
          <w:lang w:val="fr-FR"/>
        </w:rPr>
        <w:t xml:space="preserve">Dans le cas où une enquête est nécessaire, le PNUD mènera des enquêtes relatives à tout aspect des programmes et projets du PNUD. </w:t>
      </w:r>
      <w:r w:rsidRPr="000E53A0">
        <w:rPr>
          <w:rFonts w:asciiTheme="minorHAnsi" w:hAnsiTheme="minorHAnsi" w:cstheme="minorHAnsi"/>
          <w:sz w:val="20"/>
          <w:szCs w:val="20"/>
          <w:lang w:val="fr-FR"/>
        </w:rPr>
        <w:t xml:space="preserve">Chaque partie responsable, sous-traitant et sous-bénéficiaire </w:t>
      </w:r>
      <w:r w:rsidRPr="000E53A0">
        <w:rPr>
          <w:rFonts w:asciiTheme="minorHAnsi" w:hAnsiTheme="minorHAnsi" w:cstheme="minorHAnsi"/>
          <w:color w:val="000000"/>
          <w:sz w:val="20"/>
          <w:szCs w:val="20"/>
          <w:lang w:val="fr-FR"/>
        </w:rPr>
        <w:t>apportera son entière coopération, notamment en mettant à disposition du personnel, des documents pertinents et en accordant l'accès à ses locaux (et à ceux de ses consultants, sous-traitants et sous-bénéficiaires), à ces fins, à des moments et à des conditions raisonnables, comme cela peut être exigé aux fins d'une enquête. En cas de limitation du respect de cette obligation, le PNUD le consulte pour trouver une solution.</w:t>
      </w:r>
    </w:p>
    <w:p w14:paraId="680D4CB2" w14:textId="77777777" w:rsidR="006C181C" w:rsidRPr="000E53A0" w:rsidRDefault="006C181C" w:rsidP="006C181C">
      <w:pPr>
        <w:ind w:left="720"/>
        <w:rPr>
          <w:rFonts w:asciiTheme="minorHAnsi" w:eastAsia="Calibri" w:hAnsiTheme="minorHAnsi" w:cstheme="minorHAnsi"/>
          <w:color w:val="000000"/>
          <w:sz w:val="20"/>
          <w:szCs w:val="20"/>
          <w:lang w:val="fr-FR"/>
        </w:rPr>
      </w:pPr>
    </w:p>
    <w:p w14:paraId="61442AF8" w14:textId="77777777" w:rsidR="00601D9B" w:rsidRPr="000E53A0" w:rsidRDefault="000E53A0">
      <w:pPr>
        <w:numPr>
          <w:ilvl w:val="1"/>
          <w:numId w:val="15"/>
        </w:numPr>
        <w:rPr>
          <w:rFonts w:asciiTheme="minorHAnsi" w:hAnsiTheme="minorHAnsi" w:cstheme="minorHAnsi"/>
          <w:sz w:val="20"/>
          <w:szCs w:val="20"/>
          <w:lang w:val="fr-FR"/>
        </w:rPr>
      </w:pPr>
      <w:r w:rsidRPr="000E53A0">
        <w:rPr>
          <w:rFonts w:asciiTheme="minorHAnsi" w:hAnsiTheme="minorHAnsi" w:cstheme="minorHAnsi"/>
          <w:sz w:val="20"/>
          <w:szCs w:val="20"/>
          <w:lang w:val="fr-FR"/>
        </w:rPr>
        <w:lastRenderedPageBreak/>
        <w:t>Chaque partie responsable, sous-traitant et sous-bénéficiaire informera rapidement le PNUD, en tant que partenaire de mise en œuvre, de toute incidence d'utilisation inappropriée des fonds, ou de toute allégation crédible de fraude ou de corruption, avec toute la confidentialité requise.</w:t>
      </w:r>
    </w:p>
    <w:p w14:paraId="0F3151ED" w14:textId="77777777" w:rsidR="006C181C" w:rsidRPr="000E53A0" w:rsidRDefault="006C181C" w:rsidP="006C181C">
      <w:pPr>
        <w:ind w:left="360"/>
        <w:rPr>
          <w:rFonts w:asciiTheme="minorHAnsi" w:hAnsiTheme="minorHAnsi" w:cstheme="minorHAnsi"/>
          <w:sz w:val="20"/>
          <w:szCs w:val="20"/>
          <w:lang w:val="fr-FR"/>
        </w:rPr>
      </w:pPr>
    </w:p>
    <w:p w14:paraId="72209ECD" w14:textId="77777777" w:rsidR="00601D9B" w:rsidRPr="000E53A0" w:rsidRDefault="000E53A0">
      <w:pPr>
        <w:ind w:left="1440"/>
        <w:rPr>
          <w:rFonts w:asciiTheme="minorHAnsi" w:eastAsia="Calibri" w:hAnsiTheme="minorHAnsi" w:cstheme="minorHAnsi"/>
          <w:color w:val="000000"/>
          <w:sz w:val="20"/>
          <w:szCs w:val="20"/>
          <w:lang w:val="fr-FR"/>
        </w:rPr>
      </w:pPr>
      <w:r w:rsidRPr="000E53A0">
        <w:rPr>
          <w:rFonts w:asciiTheme="minorHAnsi" w:hAnsiTheme="minorHAnsi" w:cstheme="minorHAnsi"/>
          <w:sz w:val="20"/>
          <w:szCs w:val="20"/>
          <w:lang w:val="fr-FR"/>
        </w:rPr>
        <w:t>Lorsqu'il apprend qu'un projet ou une activité du PNUD, en totalité ou en partie, fait l'objet d'une enquête pour fraude/corruption présumée, chaque partie responsable, sous-traitant et sous-récipiendaire en informe le Représentant résident du PNUD/Chef de bureau, qui informe rapidement le Bureau de l'audit et des investigations (OAI) du PNUD. Il fournira des mises à jour régulières au chef du PNUD dans le pays et au OAI sur l'état d'avancement et les actions relatives à cette enquête.</w:t>
      </w:r>
    </w:p>
    <w:p w14:paraId="68791708" w14:textId="77777777" w:rsidR="006C181C" w:rsidRPr="000E53A0" w:rsidRDefault="006C181C" w:rsidP="006C181C">
      <w:pPr>
        <w:ind w:left="360"/>
        <w:rPr>
          <w:rFonts w:asciiTheme="minorHAnsi" w:hAnsiTheme="minorHAnsi" w:cstheme="minorHAnsi"/>
          <w:b/>
          <w:sz w:val="20"/>
          <w:szCs w:val="20"/>
          <w:lang w:val="fr-FR"/>
        </w:rPr>
      </w:pPr>
    </w:p>
    <w:p w14:paraId="087571CA" w14:textId="77777777" w:rsidR="00601D9B" w:rsidRPr="000E53A0" w:rsidRDefault="000E53A0">
      <w:pPr>
        <w:pStyle w:val="Paragraphedeliste"/>
        <w:numPr>
          <w:ilvl w:val="1"/>
          <w:numId w:val="15"/>
        </w:numPr>
        <w:rPr>
          <w:rFonts w:asciiTheme="minorHAnsi" w:eastAsia="Calibri" w:hAnsiTheme="minorHAnsi" w:cstheme="minorHAnsi"/>
          <w:color w:val="000000"/>
          <w:sz w:val="20"/>
          <w:szCs w:val="20"/>
          <w:lang w:val="fr-FR"/>
        </w:rPr>
      </w:pPr>
      <w:r w:rsidRPr="000E53A0">
        <w:rPr>
          <w:rFonts w:asciiTheme="minorHAnsi" w:hAnsiTheme="minorHAnsi" w:cstheme="minorHAnsi"/>
          <w:sz w:val="20"/>
          <w:szCs w:val="20"/>
          <w:lang w:val="fr-FR"/>
        </w:rPr>
        <w:t>Le PNUD aura droit au remboursement, par la partie responsable, le sous-traitant ou le sous-récipiendaire, de tous les fonds fournis qui ont été utilisés de manière inappropriée, y compris par fraude ou corruption, ou qui ont été payés autrement que conformément aux termes et conditions du présent document de projet.  Ce montant peut être déduit par le PNUD de tout paiement dû à la partie responsable, au sous-traitant ou au sous-récipiendaire en vertu du présent accord ou de tout autre accord.  Le recouvrement de ce montant par le PNUD ne doit pas diminuer ou réduire les obligations de la partie responsable, du sous-traitant ou du sous-récipiendaire en vertu du présent document de projet.</w:t>
      </w:r>
    </w:p>
    <w:p w14:paraId="1C9B0ABB" w14:textId="77777777" w:rsidR="006C181C" w:rsidRPr="000E53A0" w:rsidRDefault="006C181C" w:rsidP="006C181C">
      <w:pPr>
        <w:ind w:left="1440"/>
        <w:rPr>
          <w:rFonts w:asciiTheme="minorHAnsi" w:hAnsiTheme="minorHAnsi" w:cstheme="minorHAnsi"/>
          <w:b/>
          <w:sz w:val="20"/>
          <w:szCs w:val="20"/>
          <w:lang w:val="fr-FR"/>
        </w:rPr>
      </w:pPr>
    </w:p>
    <w:p w14:paraId="02F77231" w14:textId="77777777" w:rsidR="00601D9B" w:rsidRPr="000E53A0" w:rsidRDefault="000E53A0">
      <w:pPr>
        <w:ind w:left="1440"/>
        <w:rPr>
          <w:rFonts w:asciiTheme="minorHAnsi" w:hAnsiTheme="minorHAnsi" w:cstheme="minorHAnsi"/>
          <w:sz w:val="20"/>
          <w:szCs w:val="20"/>
          <w:lang w:val="fr-FR"/>
        </w:rPr>
      </w:pPr>
      <w:r w:rsidRPr="000E53A0">
        <w:rPr>
          <w:rFonts w:asciiTheme="minorHAnsi" w:hAnsiTheme="minorHAnsi" w:cstheme="minorHAnsi"/>
          <w:sz w:val="20"/>
          <w:szCs w:val="20"/>
          <w:lang w:val="fr-FR"/>
        </w:rPr>
        <w:t>Lorsque ces fonds n'ont pas été remboursés au PNUD, la partie responsable, le sous-traitant ou le sous-récipiendaire accepte que les donateurs du PNUD (y compris le gouvernement) dont le financement est la source, en tout ou en partie, des fonds pour les activités dans le cadre de ce document de projet, puissent faire appel à cette partie responsable, ce sous-traitant ou ce sous-récipiendaire pour le recouvrement de tous les fonds déterminés par le PNUD comme ayant été utilisés de manière inappropriée, y compris par fraude ou corruption, ou autrement payés autrement que conformément aux termes et conditions du document de projet.</w:t>
      </w:r>
    </w:p>
    <w:p w14:paraId="69E47580" w14:textId="77777777" w:rsidR="006C181C" w:rsidRPr="000E53A0" w:rsidRDefault="006C181C" w:rsidP="006C181C">
      <w:pPr>
        <w:ind w:left="1440"/>
        <w:rPr>
          <w:rFonts w:asciiTheme="minorHAnsi" w:hAnsiTheme="minorHAnsi" w:cstheme="minorHAnsi"/>
          <w:sz w:val="20"/>
          <w:szCs w:val="20"/>
          <w:lang w:val="fr-FR"/>
        </w:rPr>
      </w:pPr>
    </w:p>
    <w:p w14:paraId="7C7C9613" w14:textId="77777777" w:rsidR="00601D9B" w:rsidRPr="000E53A0" w:rsidRDefault="000E53A0">
      <w:pPr>
        <w:ind w:left="1440"/>
        <w:rPr>
          <w:rFonts w:asciiTheme="minorHAnsi" w:eastAsia="Calibri" w:hAnsiTheme="minorHAnsi" w:cstheme="minorHAnsi"/>
          <w:color w:val="000000"/>
          <w:sz w:val="20"/>
          <w:szCs w:val="20"/>
          <w:lang w:val="fr-FR"/>
        </w:rPr>
      </w:pPr>
      <w:r w:rsidRPr="000E53A0">
        <w:rPr>
          <w:rFonts w:asciiTheme="minorHAnsi" w:hAnsiTheme="minorHAnsi" w:cstheme="minorHAnsi"/>
          <w:i/>
          <w:sz w:val="20"/>
          <w:szCs w:val="20"/>
          <w:u w:val="single"/>
          <w:lang w:val="fr-FR"/>
        </w:rPr>
        <w:t xml:space="preserve">Note </w:t>
      </w:r>
      <w:r w:rsidRPr="000E53A0">
        <w:rPr>
          <w:rFonts w:asciiTheme="minorHAnsi" w:hAnsiTheme="minorHAnsi" w:cstheme="minorHAnsi"/>
          <w:i/>
          <w:sz w:val="20"/>
          <w:szCs w:val="20"/>
          <w:lang w:val="fr-FR"/>
        </w:rPr>
        <w:t xml:space="preserve">: </w:t>
      </w:r>
      <w:r w:rsidRPr="000E53A0">
        <w:rPr>
          <w:rFonts w:asciiTheme="minorHAnsi" w:hAnsiTheme="minorHAnsi" w:cstheme="minorHAnsi"/>
          <w:sz w:val="20"/>
          <w:szCs w:val="20"/>
          <w:lang w:val="fr-FR"/>
        </w:rPr>
        <w:t>Le terme "Document de projet" tel qu'il est utilisé dans cette clause est réputé inclure tout accord subsidiaire pertinent après le Document de projet, y compris ceux conclus avec les parties responsables, les sous-traitants et les sous-récipiendaires.</w:t>
      </w:r>
    </w:p>
    <w:p w14:paraId="5296614B" w14:textId="77777777" w:rsidR="006C181C" w:rsidRPr="000E53A0" w:rsidRDefault="006C181C" w:rsidP="006C181C">
      <w:pPr>
        <w:ind w:left="360"/>
        <w:rPr>
          <w:rFonts w:asciiTheme="minorHAnsi" w:hAnsiTheme="minorHAnsi" w:cstheme="minorHAnsi"/>
          <w:sz w:val="20"/>
          <w:szCs w:val="20"/>
          <w:lang w:val="fr-FR"/>
        </w:rPr>
      </w:pPr>
    </w:p>
    <w:p w14:paraId="6E1F66F7" w14:textId="77777777" w:rsidR="00601D9B" w:rsidRPr="000E53A0" w:rsidRDefault="000E53A0">
      <w:pPr>
        <w:numPr>
          <w:ilvl w:val="1"/>
          <w:numId w:val="15"/>
        </w:numPr>
        <w:rPr>
          <w:rFonts w:asciiTheme="minorHAnsi" w:hAnsiTheme="minorHAnsi" w:cstheme="minorHAnsi"/>
          <w:sz w:val="20"/>
          <w:szCs w:val="20"/>
          <w:lang w:val="fr-FR"/>
        </w:rPr>
      </w:pPr>
      <w:r w:rsidRPr="000E53A0">
        <w:rPr>
          <w:rFonts w:asciiTheme="minorHAnsi" w:hAnsiTheme="minorHAnsi" w:cstheme="minorHAnsi"/>
          <w:sz w:val="20"/>
          <w:szCs w:val="20"/>
          <w:lang w:val="fr-FR"/>
        </w:rPr>
        <w:t>Chaque contrat émis par la partie responsable, le sous-traitant ou le sous-récipiendaire en relation avec le présent document de projet doit inclure une disposition indiquant qu'aucun frais, gratification, rabais, cadeau, commission ou autre paiement, autre que ceux indiqués dans la proposition, n'a été donné, reçu ou promis en relation avec le processus de sélection ou l'exécution du contrat, et que le bénéficiaire des fonds de ce contrat doit coopérer avec toutes les enquêtes et tous les audits après paiement.</w:t>
      </w:r>
    </w:p>
    <w:p w14:paraId="45BE0113" w14:textId="77777777" w:rsidR="006C181C" w:rsidRPr="000E53A0" w:rsidRDefault="006C181C" w:rsidP="006C181C">
      <w:pPr>
        <w:ind w:left="360"/>
        <w:rPr>
          <w:rFonts w:asciiTheme="minorHAnsi" w:hAnsiTheme="minorHAnsi" w:cstheme="minorHAnsi"/>
          <w:sz w:val="20"/>
          <w:szCs w:val="20"/>
          <w:lang w:val="fr-FR"/>
        </w:rPr>
      </w:pPr>
    </w:p>
    <w:p w14:paraId="253C0CBF" w14:textId="77777777" w:rsidR="00601D9B" w:rsidRPr="000E53A0" w:rsidRDefault="000E53A0">
      <w:pPr>
        <w:numPr>
          <w:ilvl w:val="1"/>
          <w:numId w:val="15"/>
        </w:numPr>
        <w:rPr>
          <w:rFonts w:asciiTheme="minorHAnsi" w:hAnsiTheme="minorHAnsi" w:cstheme="minorHAnsi"/>
          <w:sz w:val="20"/>
          <w:szCs w:val="20"/>
          <w:lang w:val="fr-FR"/>
        </w:rPr>
      </w:pPr>
      <w:r w:rsidRPr="000E53A0">
        <w:rPr>
          <w:rFonts w:asciiTheme="minorHAnsi" w:hAnsiTheme="minorHAnsi" w:cstheme="minorHAnsi"/>
          <w:sz w:val="20"/>
          <w:szCs w:val="20"/>
          <w:lang w:val="fr-FR"/>
        </w:rPr>
        <w:t>Si le PNUD soumet aux autorités nationales compétentes, en vue d'une action en justice appropriée, des allégations d'actes répréhensibles liés au projet ou au programme, le gouvernement veillera à ce que les autorités nationales compétentes mènent une enquête active et prennent des mesures juridiques appropriées à l'encontre de tous les individus dont il est établi qu'ils ont participé aux actes répréhensibles, recouvrent et restituent au PNUD tous les fonds récupérés.</w:t>
      </w:r>
    </w:p>
    <w:p w14:paraId="0BC1C2DF" w14:textId="77777777" w:rsidR="006C181C" w:rsidRPr="000E53A0" w:rsidRDefault="006C181C" w:rsidP="006C181C">
      <w:pPr>
        <w:ind w:left="360"/>
        <w:rPr>
          <w:rFonts w:asciiTheme="minorHAnsi" w:hAnsiTheme="minorHAnsi" w:cstheme="minorHAnsi"/>
          <w:sz w:val="20"/>
          <w:szCs w:val="20"/>
          <w:lang w:val="fr-FR"/>
        </w:rPr>
      </w:pPr>
    </w:p>
    <w:p w14:paraId="235DA36E" w14:textId="77777777" w:rsidR="00601D9B" w:rsidRPr="000E53A0" w:rsidRDefault="000E53A0">
      <w:pPr>
        <w:numPr>
          <w:ilvl w:val="1"/>
          <w:numId w:val="15"/>
        </w:numPr>
        <w:rPr>
          <w:rFonts w:asciiTheme="minorHAnsi" w:hAnsiTheme="minorHAnsi" w:cstheme="minorHAnsi"/>
          <w:sz w:val="20"/>
          <w:szCs w:val="20"/>
          <w:lang w:val="fr-FR"/>
        </w:rPr>
      </w:pPr>
      <w:r w:rsidRPr="000E53A0">
        <w:rPr>
          <w:rFonts w:asciiTheme="minorHAnsi" w:hAnsiTheme="minorHAnsi" w:cstheme="minorHAnsi"/>
          <w:sz w:val="20"/>
          <w:szCs w:val="20"/>
          <w:lang w:val="fr-FR"/>
        </w:rPr>
        <w:t xml:space="preserve">Chaque partie responsable, sous-traitant et sous-récipiendaire doit s'assurer que toutes ses obligations énoncées dans la présente section intitulée "Gestion des risques" sont transmises à ses sous-traitants et sous-récipiendaires et que toutes les clauses de la présente section intitulée "Clauses standard de gestion des risques" sont adéquatement reflétées, </w:t>
      </w:r>
      <w:r w:rsidRPr="000E53A0">
        <w:rPr>
          <w:rFonts w:asciiTheme="minorHAnsi" w:hAnsiTheme="minorHAnsi" w:cstheme="minorHAnsi"/>
          <w:i/>
          <w:sz w:val="20"/>
          <w:szCs w:val="20"/>
          <w:lang w:val="fr-FR"/>
        </w:rPr>
        <w:t>mutatis mutandis</w:t>
      </w:r>
      <w:r w:rsidRPr="000E53A0">
        <w:rPr>
          <w:rFonts w:asciiTheme="minorHAnsi" w:hAnsiTheme="minorHAnsi" w:cstheme="minorHAnsi"/>
          <w:sz w:val="20"/>
          <w:szCs w:val="20"/>
          <w:lang w:val="fr-FR"/>
        </w:rPr>
        <w:t>, dans tous ses sous-contrats ou sous-accords conclus à la suite du présent document de projet.</w:t>
      </w:r>
    </w:p>
    <w:p w14:paraId="5A537233" w14:textId="77777777" w:rsidR="006C181C" w:rsidRPr="000E53A0" w:rsidRDefault="006C181C" w:rsidP="006C181C">
      <w:pPr>
        <w:rPr>
          <w:rFonts w:asciiTheme="minorHAnsi" w:hAnsiTheme="minorHAnsi" w:cstheme="minorHAnsi"/>
          <w:b/>
          <w:sz w:val="20"/>
          <w:szCs w:val="20"/>
          <w:lang w:val="fr-FR"/>
        </w:rPr>
      </w:pPr>
    </w:p>
    <w:p w14:paraId="4E50F40E" w14:textId="77777777" w:rsidR="00601D9B" w:rsidRPr="000E53A0" w:rsidRDefault="000E53A0">
      <w:pPr>
        <w:rPr>
          <w:rFonts w:asciiTheme="minorHAnsi" w:hAnsiTheme="minorHAnsi" w:cstheme="minorHAnsi"/>
          <w:b/>
          <w:sz w:val="20"/>
          <w:szCs w:val="20"/>
          <w:lang w:val="fr-FR"/>
        </w:rPr>
      </w:pPr>
      <w:r w:rsidRPr="000E53A0">
        <w:rPr>
          <w:rFonts w:asciiTheme="minorHAnsi" w:hAnsiTheme="minorHAnsi" w:cstheme="minorHAnsi"/>
          <w:b/>
          <w:sz w:val="20"/>
          <w:szCs w:val="20"/>
          <w:highlight w:val="yellow"/>
          <w:lang w:val="fr-FR"/>
        </w:rPr>
        <w:lastRenderedPageBreak/>
        <w:t>Option c. OSC/ONG/Non-ONU ou autre OIG n'ayant pas signé de SBEAA avec le PNUD</w:t>
      </w:r>
    </w:p>
    <w:p w14:paraId="12AF9BA6" w14:textId="77777777" w:rsidR="00601D9B" w:rsidRPr="000E53A0" w:rsidRDefault="000E53A0">
      <w:pPr>
        <w:pStyle w:val="Paragraphedeliste"/>
        <w:numPr>
          <w:ilvl w:val="0"/>
          <w:numId w:val="24"/>
        </w:numPr>
        <w:ind w:left="360"/>
        <w:jc w:val="both"/>
        <w:rPr>
          <w:rFonts w:asciiTheme="minorHAnsi" w:hAnsiTheme="minorHAnsi" w:cstheme="minorHAnsi"/>
          <w:sz w:val="20"/>
          <w:szCs w:val="20"/>
          <w:lang w:val="fr-FR"/>
        </w:rPr>
      </w:pPr>
      <w:r w:rsidRPr="000E53A0">
        <w:rPr>
          <w:rFonts w:asciiTheme="minorHAnsi" w:hAnsiTheme="minorHAnsi" w:cstheme="minorHAnsi"/>
          <w:sz w:val="20"/>
          <w:szCs w:val="20"/>
          <w:lang w:val="fr-FR"/>
        </w:rPr>
        <w:t xml:space="preserve">Conformément à l'article III de l'ACSB </w:t>
      </w:r>
      <w:r w:rsidRPr="000E53A0">
        <w:rPr>
          <w:rFonts w:asciiTheme="minorHAnsi" w:hAnsiTheme="minorHAnsi" w:cstheme="minorHAnsi"/>
          <w:i/>
          <w:sz w:val="20"/>
          <w:szCs w:val="20"/>
          <w:lang w:val="fr-FR"/>
        </w:rPr>
        <w:t>[ou aux dispositions supplémentaires du document de projet]</w:t>
      </w:r>
      <w:r w:rsidRPr="000E53A0">
        <w:rPr>
          <w:rFonts w:asciiTheme="minorHAnsi" w:hAnsiTheme="minorHAnsi" w:cstheme="minorHAnsi"/>
          <w:sz w:val="20"/>
          <w:szCs w:val="20"/>
          <w:lang w:val="fr-FR"/>
        </w:rPr>
        <w:t>, la responsabilité de la sûreté et de la sécurité du partenaire d'exécution, de son personnel et de ses biens, ainsi que des biens du PNUD sous la garde du partenaire d'exécution, incombe au partenaire d'exécution.  À cette fin, le partenaire chargé de la mise en œuvre doit :</w:t>
      </w:r>
    </w:p>
    <w:p w14:paraId="75F2EB9E" w14:textId="77777777" w:rsidR="00601D9B" w:rsidRPr="000E53A0" w:rsidRDefault="000E53A0">
      <w:pPr>
        <w:numPr>
          <w:ilvl w:val="0"/>
          <w:numId w:val="14"/>
        </w:numPr>
        <w:rPr>
          <w:rFonts w:asciiTheme="minorHAnsi" w:hAnsiTheme="minorHAnsi" w:cstheme="minorHAnsi"/>
          <w:sz w:val="20"/>
          <w:szCs w:val="20"/>
          <w:lang w:val="fr-FR"/>
        </w:rPr>
      </w:pPr>
      <w:r w:rsidRPr="000E53A0">
        <w:rPr>
          <w:rFonts w:asciiTheme="minorHAnsi" w:hAnsiTheme="minorHAnsi" w:cstheme="minorHAnsi"/>
          <w:sz w:val="20"/>
          <w:szCs w:val="20"/>
          <w:lang w:val="fr-FR"/>
        </w:rPr>
        <w:t>mettre en place un plan de sécurité approprié et maintenir le plan de sécurité, en tenant compte de la situation de sécurité dans le pays où le projet est réalisé ;</w:t>
      </w:r>
    </w:p>
    <w:p w14:paraId="03461512" w14:textId="77777777" w:rsidR="00601D9B" w:rsidRPr="000E53A0" w:rsidRDefault="000E53A0">
      <w:pPr>
        <w:numPr>
          <w:ilvl w:val="0"/>
          <w:numId w:val="14"/>
        </w:numPr>
        <w:spacing w:after="240"/>
        <w:rPr>
          <w:rFonts w:asciiTheme="minorHAnsi" w:hAnsiTheme="minorHAnsi" w:cstheme="minorHAnsi"/>
          <w:sz w:val="20"/>
          <w:szCs w:val="20"/>
          <w:lang w:val="fr-FR"/>
        </w:rPr>
      </w:pPr>
      <w:r w:rsidRPr="000E53A0">
        <w:rPr>
          <w:rFonts w:asciiTheme="minorHAnsi" w:hAnsiTheme="minorHAnsi" w:cstheme="minorHAnsi"/>
          <w:sz w:val="20"/>
          <w:szCs w:val="20"/>
          <w:lang w:val="fr-FR"/>
        </w:rPr>
        <w:t>assumer tous les risques et responsabilités liés à la sécurité du partenaire de mise en œuvre et à la mise en œuvre complète du plan de sécurité.</w:t>
      </w:r>
    </w:p>
    <w:p w14:paraId="32A31301" w14:textId="77777777" w:rsidR="00601D9B" w:rsidRPr="000E53A0" w:rsidRDefault="000E53A0">
      <w:pPr>
        <w:pStyle w:val="Paragraphedeliste"/>
        <w:numPr>
          <w:ilvl w:val="0"/>
          <w:numId w:val="24"/>
        </w:numPr>
        <w:spacing w:after="240"/>
        <w:ind w:left="360"/>
        <w:jc w:val="both"/>
        <w:rPr>
          <w:rFonts w:asciiTheme="minorHAnsi" w:hAnsiTheme="minorHAnsi" w:cstheme="minorHAnsi"/>
          <w:sz w:val="20"/>
          <w:szCs w:val="20"/>
          <w:lang w:val="fr-FR"/>
        </w:rPr>
      </w:pPr>
      <w:r w:rsidRPr="000E53A0">
        <w:rPr>
          <w:rFonts w:asciiTheme="minorHAnsi" w:hAnsiTheme="minorHAnsi" w:cstheme="minorHAnsi"/>
          <w:sz w:val="20"/>
          <w:szCs w:val="20"/>
          <w:lang w:val="fr-FR"/>
        </w:rPr>
        <w:t>Le PNUD se réserve le droit de vérifier si un tel plan est en place, et de suggérer des modifications au plan si nécessaire. L'absence de maintien et de mise en œuvre d'un plan de sécurité approprié tel que requis par les présentes sera considérée comme une violation des obligations du partenaire d'exécution en vertu du présent document de projet et de l'accord de coopération entre le PNUD et le partenaire d'exécution</w:t>
      </w:r>
      <w:r w:rsidRPr="00107491">
        <w:rPr>
          <w:rStyle w:val="Appelnotedebasdep"/>
          <w:rFonts w:asciiTheme="minorHAnsi" w:hAnsiTheme="minorHAnsi" w:cstheme="minorHAnsi"/>
          <w:sz w:val="20"/>
          <w:szCs w:val="20"/>
        </w:rPr>
        <w:footnoteReference w:id="87"/>
      </w:r>
      <w:r w:rsidRPr="000E53A0">
        <w:rPr>
          <w:rFonts w:asciiTheme="minorHAnsi" w:hAnsiTheme="minorHAnsi" w:cstheme="minorHAnsi"/>
          <w:sz w:val="20"/>
          <w:szCs w:val="20"/>
          <w:lang w:val="fr-FR"/>
        </w:rPr>
        <w:t>.</w:t>
      </w:r>
    </w:p>
    <w:p w14:paraId="351CE170" w14:textId="77777777" w:rsidR="00601D9B" w:rsidRPr="000E53A0" w:rsidRDefault="000E53A0">
      <w:pPr>
        <w:pStyle w:val="Paragraphedeliste"/>
        <w:numPr>
          <w:ilvl w:val="0"/>
          <w:numId w:val="24"/>
        </w:numPr>
        <w:spacing w:after="240"/>
        <w:ind w:left="360"/>
        <w:jc w:val="both"/>
        <w:rPr>
          <w:rFonts w:asciiTheme="minorHAnsi" w:hAnsiTheme="minorHAnsi" w:cstheme="minorHAnsi"/>
          <w:sz w:val="20"/>
          <w:szCs w:val="20"/>
          <w:lang w:val="fr-FR"/>
        </w:rPr>
      </w:pPr>
      <w:r w:rsidRPr="000E53A0">
        <w:rPr>
          <w:rFonts w:asciiTheme="minorHAnsi" w:hAnsiTheme="minorHAnsi" w:cstheme="minorHAnsi"/>
          <w:sz w:val="20"/>
          <w:szCs w:val="20"/>
          <w:lang w:val="fr-FR"/>
        </w:rPr>
        <w:t xml:space="preserve">Le Partenaire d'exécution s'engage à déployer tous les efforts raisonnables pour s'assurer qu'aucun des fonds du PNUD reçus au titre du Document de projet n'est utilisé pour fournir un soutien à des individus ou des entités associés au terrorisme et que les bénéficiaires de tous les montants fournis par le PNUD en vertu des présentes ne figurent pas sur la liste tenue par le Comité du Conseil de sécurité établi en vertu de la résolution 1267 (1999). Cette liste peut être consultée sur le site </w:t>
      </w:r>
      <w:r w:rsidRPr="000E53A0">
        <w:rPr>
          <w:rFonts w:asciiTheme="minorHAnsi" w:hAnsiTheme="minorHAnsi" w:cstheme="minorHAnsi"/>
          <w:color w:val="000080"/>
          <w:sz w:val="20"/>
          <w:szCs w:val="20"/>
          <w:lang w:val="fr-FR"/>
        </w:rPr>
        <w:t>http://www.un.org/sc/committees/1267/aq_sanctions_list.shtml.</w:t>
      </w:r>
      <w:r w:rsidRPr="000E53A0">
        <w:rPr>
          <w:rFonts w:asciiTheme="minorHAnsi" w:hAnsiTheme="minorHAnsi" w:cstheme="minorHAnsi"/>
          <w:sz w:val="20"/>
          <w:szCs w:val="20"/>
          <w:lang w:val="fr-FR"/>
        </w:rPr>
        <w:t xml:space="preserve">  </w:t>
      </w:r>
    </w:p>
    <w:p w14:paraId="30014886" w14:textId="77777777" w:rsidR="00601D9B" w:rsidRPr="000E53A0" w:rsidRDefault="000E53A0">
      <w:pPr>
        <w:pStyle w:val="Paragraphedeliste"/>
        <w:numPr>
          <w:ilvl w:val="0"/>
          <w:numId w:val="24"/>
        </w:numPr>
        <w:spacing w:before="100" w:beforeAutospacing="1" w:after="240"/>
        <w:ind w:left="360"/>
        <w:jc w:val="both"/>
        <w:rPr>
          <w:rFonts w:asciiTheme="minorHAnsi" w:hAnsiTheme="minorHAnsi" w:cstheme="minorHAnsi"/>
          <w:sz w:val="20"/>
          <w:szCs w:val="20"/>
          <w:lang w:val="fr-FR"/>
        </w:rPr>
      </w:pPr>
      <w:r w:rsidRPr="000E53A0">
        <w:rPr>
          <w:rFonts w:asciiTheme="minorHAnsi" w:hAnsiTheme="minorHAnsi" w:cstheme="minorHAnsi"/>
          <w:sz w:val="20"/>
          <w:szCs w:val="20"/>
          <w:lang w:val="fr-FR"/>
        </w:rPr>
        <w:t xml:space="preserve">Le Partenaire de mise en œuvre reconnaît et convient que le PNUD ne tolérera pas le harcèlement sexuel et l'exploitation et les abus sexuels de quiconque de la part du Partenaire de mise en œuvre, et de chacune de ses parties responsables, de leurs sous-récipiendaires respectifs et d'autres entités impliquées dans la mise en œuvre du Projet, en tant que contractants ou sous-traitants et de leur personnel, et de toute personne fournissant des services pour eux dans le cadre du Document de projet. </w:t>
      </w:r>
    </w:p>
    <w:p w14:paraId="3C48176B" w14:textId="77777777" w:rsidR="00601D9B" w:rsidRPr="000E53A0" w:rsidRDefault="000E53A0">
      <w:pPr>
        <w:pStyle w:val="Paragraphedeliste"/>
        <w:spacing w:before="100" w:beforeAutospacing="1" w:after="240"/>
        <w:ind w:left="360"/>
        <w:rPr>
          <w:rFonts w:asciiTheme="minorHAnsi" w:hAnsiTheme="minorHAnsi" w:cstheme="minorHAnsi"/>
          <w:sz w:val="20"/>
          <w:szCs w:val="20"/>
          <w:lang w:val="fr-FR"/>
        </w:rPr>
      </w:pPr>
      <w:r w:rsidRPr="000E53A0">
        <w:rPr>
          <w:rFonts w:asciiTheme="minorHAnsi" w:hAnsiTheme="minorHAnsi" w:cstheme="minorHAnsi"/>
          <w:sz w:val="20"/>
          <w:szCs w:val="20"/>
          <w:lang w:val="fr-FR"/>
        </w:rPr>
        <w:t xml:space="preserve">(a) Dans le cadre de la mise en œuvre des activités prévues par le présent document de projet, le partenaire d'exécution, et chacune de ses sous-parties mentionnées ci-dessus, doivent se conformer aux normes de conduite énoncées dans la circulaire du Secrétaire général ST/SGB/2003/13 du 9 octobre 2003, concernant les " mesures spéciales de protection contre l'exploitation et les abus sexuels " (" SEA "). </w:t>
      </w:r>
    </w:p>
    <w:p w14:paraId="34B73C70" w14:textId="77777777" w:rsidR="00601D9B" w:rsidRPr="000E53A0" w:rsidRDefault="000E53A0">
      <w:pPr>
        <w:pStyle w:val="Paragraphedeliste"/>
        <w:spacing w:before="100" w:beforeAutospacing="1" w:after="240"/>
        <w:ind w:left="360" w:hanging="90"/>
        <w:rPr>
          <w:rFonts w:asciiTheme="minorHAnsi" w:hAnsiTheme="minorHAnsi" w:cstheme="minorHAnsi"/>
          <w:sz w:val="20"/>
          <w:szCs w:val="20"/>
          <w:lang w:val="fr-FR"/>
        </w:rPr>
      </w:pPr>
      <w:r w:rsidRPr="000E53A0">
        <w:rPr>
          <w:rFonts w:asciiTheme="minorHAnsi" w:hAnsiTheme="minorHAnsi" w:cstheme="minorHAnsi"/>
          <w:sz w:val="20"/>
          <w:szCs w:val="20"/>
          <w:lang w:val="fr-FR"/>
        </w:rPr>
        <w:t xml:space="preserve">(b) En outre, et sans limitation à l'application d'autres règlements, règles, politiques et procédures ayant une incidence sur la réalisation des activités dans le cadre du présent document de projet, dans la mise en œuvre des activités, le partenaire d'exécution, et chacune de ses sous-parties mentionnées ci-dessus, ne s'engagent pas dans une forme quelconque de harcèlement sexuel ("SH"). Le SH est défini comme tout comportement importun de nature sexuelle qui pourrait raisonnablement être attendu ou perçu comme une offense ou une humiliation, lorsque ce comportement interfère avec le travail, devient une condition d'emploi ou crée un environnement de travail intimidant, hostile ou offensant.    </w:t>
      </w:r>
    </w:p>
    <w:p w14:paraId="749662FC" w14:textId="77777777" w:rsidR="00601D9B" w:rsidRPr="000E53A0" w:rsidRDefault="000E53A0">
      <w:pPr>
        <w:pStyle w:val="Paragraphedeliste"/>
        <w:numPr>
          <w:ilvl w:val="0"/>
          <w:numId w:val="24"/>
        </w:numPr>
        <w:spacing w:before="100" w:beforeAutospacing="1" w:after="240"/>
        <w:ind w:left="360"/>
        <w:jc w:val="both"/>
        <w:rPr>
          <w:rFonts w:asciiTheme="minorHAnsi" w:hAnsiTheme="minorHAnsi" w:cstheme="minorHAnsi"/>
          <w:sz w:val="20"/>
          <w:szCs w:val="20"/>
          <w:lang w:val="fr-FR"/>
        </w:rPr>
      </w:pPr>
      <w:r w:rsidRPr="000E53A0">
        <w:rPr>
          <w:rFonts w:asciiTheme="minorHAnsi" w:hAnsiTheme="minorHAnsi" w:cstheme="minorHAnsi"/>
          <w:sz w:val="20"/>
          <w:szCs w:val="20"/>
          <w:lang w:val="fr-FR"/>
        </w:rPr>
        <w:t xml:space="preserve">a) Dans l'exécution des activités prévues par le présent document de projet, le partenaire d'exécution doit (en ce qui concerne ses propres activités) et doit exiger de ses sous-traitants visés au paragraphe 4 (en ce qui concerne leurs activités) qu'ils disposent de normes et de procédures minimales, ou d'un plan pour développer et/ou améliorer ces normes et procédures afin de pouvoir prendre des mesures efficaces de prévention et d'enquête. Ces normes et procédures doivent comprendre des politiques relatives au harcèlement sexuel, à l'exploitation et aux abus sexuels, des politiques relatives à la dénonciation des abus et à la protection contre les représailles, ainsi que des mécanismes de plainte, de discipline et d'enquête. Dans </w:t>
      </w:r>
      <w:r w:rsidRPr="000E53A0">
        <w:rPr>
          <w:rFonts w:asciiTheme="minorHAnsi" w:hAnsiTheme="minorHAnsi" w:cstheme="minorHAnsi"/>
          <w:sz w:val="20"/>
          <w:szCs w:val="20"/>
          <w:lang w:val="fr-FR"/>
        </w:rPr>
        <w:lastRenderedPageBreak/>
        <w:t>cette optique, le partenaire d'exécution prendra, et exigera que ces sous-parties prennent toutes les mesures appropriées pour :</w:t>
      </w:r>
    </w:p>
    <w:p w14:paraId="486056A1" w14:textId="77777777" w:rsidR="00601D9B" w:rsidRPr="000E53A0" w:rsidRDefault="000E53A0">
      <w:pPr>
        <w:pStyle w:val="Paragraphedeliste"/>
        <w:numPr>
          <w:ilvl w:val="1"/>
          <w:numId w:val="26"/>
        </w:numPr>
        <w:spacing w:before="100" w:beforeAutospacing="1" w:after="240"/>
        <w:jc w:val="both"/>
        <w:rPr>
          <w:rFonts w:asciiTheme="minorHAnsi" w:hAnsiTheme="minorHAnsi" w:cstheme="minorHAnsi"/>
          <w:sz w:val="20"/>
          <w:szCs w:val="20"/>
          <w:lang w:val="fr-FR"/>
        </w:rPr>
      </w:pPr>
      <w:r w:rsidRPr="000E53A0">
        <w:rPr>
          <w:rFonts w:asciiTheme="minorHAnsi" w:hAnsiTheme="minorHAnsi" w:cstheme="minorHAnsi"/>
          <w:sz w:val="20"/>
          <w:szCs w:val="20"/>
          <w:lang w:val="fr-FR"/>
        </w:rPr>
        <w:t>Empêcher ses employés, agents ou toute autre personne engagée pour fournir des services dans le cadre de ce document de projet, de s'engager dans le SH ou le SEA ;</w:t>
      </w:r>
    </w:p>
    <w:p w14:paraId="32E84CB5" w14:textId="77777777" w:rsidR="00601D9B" w:rsidRPr="000E53A0" w:rsidRDefault="000E53A0">
      <w:pPr>
        <w:pStyle w:val="Paragraphedeliste"/>
        <w:numPr>
          <w:ilvl w:val="1"/>
          <w:numId w:val="26"/>
        </w:numPr>
        <w:spacing w:before="100" w:beforeAutospacing="1" w:after="240"/>
        <w:jc w:val="both"/>
        <w:rPr>
          <w:rFonts w:asciiTheme="minorHAnsi" w:hAnsiTheme="minorHAnsi" w:cstheme="minorHAnsi"/>
          <w:sz w:val="20"/>
          <w:szCs w:val="20"/>
          <w:lang w:val="fr-FR"/>
        </w:rPr>
      </w:pPr>
      <w:r w:rsidRPr="000E53A0">
        <w:rPr>
          <w:rFonts w:asciiTheme="minorHAnsi" w:hAnsiTheme="minorHAnsi" w:cstheme="minorHAnsi"/>
          <w:sz w:val="20"/>
          <w:szCs w:val="20"/>
          <w:lang w:val="fr-FR"/>
        </w:rPr>
        <w:t>Offrir aux employés et au personnel associé une formation sur la prévention et la réponse à la SH et à l'ESE, lorsque le partenaire d'exécution et ses sous-parties visées au paragraphe 4, n'ont pas mis en place leur propre formation concernant la prévention de la SH et de l'ESE, le partenaire d'exécution et ces sous-parties peuvent utiliser le matériel de formation disponible au PNUD ;</w:t>
      </w:r>
    </w:p>
    <w:p w14:paraId="14D39D04" w14:textId="77777777" w:rsidR="00601D9B" w:rsidRPr="000E53A0" w:rsidRDefault="000E53A0">
      <w:pPr>
        <w:pStyle w:val="Paragraphedeliste"/>
        <w:numPr>
          <w:ilvl w:val="1"/>
          <w:numId w:val="26"/>
        </w:numPr>
        <w:spacing w:before="100" w:beforeAutospacing="1" w:after="240"/>
        <w:jc w:val="both"/>
        <w:rPr>
          <w:rFonts w:asciiTheme="minorHAnsi" w:hAnsiTheme="minorHAnsi" w:cstheme="minorHAnsi"/>
          <w:sz w:val="20"/>
          <w:szCs w:val="20"/>
          <w:lang w:val="fr-FR"/>
        </w:rPr>
      </w:pPr>
      <w:r w:rsidRPr="000E53A0">
        <w:rPr>
          <w:rFonts w:asciiTheme="minorHAnsi" w:hAnsiTheme="minorHAnsi" w:cstheme="minorHAnsi"/>
          <w:sz w:val="20"/>
          <w:szCs w:val="20"/>
          <w:lang w:val="fr-FR"/>
        </w:rPr>
        <w:t xml:space="preserve">Signaler et suivre les allégations de SH et d'EES dont le partenaire de mise en œuvre et ses sous-parties visées au paragraphe 4 ont été informés ou ont eu connaissance d'une autre manière, ainsi que leur statut ; </w:t>
      </w:r>
    </w:p>
    <w:p w14:paraId="153B4D17" w14:textId="77777777" w:rsidR="00601D9B" w:rsidRPr="000E53A0" w:rsidRDefault="000E53A0">
      <w:pPr>
        <w:pStyle w:val="Paragraphedeliste"/>
        <w:numPr>
          <w:ilvl w:val="1"/>
          <w:numId w:val="26"/>
        </w:numPr>
        <w:spacing w:before="100" w:beforeAutospacing="1" w:after="240"/>
        <w:jc w:val="both"/>
        <w:rPr>
          <w:rFonts w:asciiTheme="minorHAnsi" w:hAnsiTheme="minorHAnsi" w:cstheme="minorHAnsi"/>
          <w:sz w:val="20"/>
          <w:szCs w:val="20"/>
          <w:lang w:val="fr-FR"/>
        </w:rPr>
      </w:pPr>
      <w:r w:rsidRPr="000E53A0">
        <w:rPr>
          <w:rFonts w:asciiTheme="minorHAnsi" w:hAnsiTheme="minorHAnsi" w:cstheme="minorHAnsi"/>
          <w:sz w:val="20"/>
          <w:szCs w:val="20"/>
          <w:lang w:val="fr-FR"/>
        </w:rPr>
        <w:t>orienter les victimes/survivantes de SH et SEA vers une assistance sûre et confidentielle aux victimes ; et</w:t>
      </w:r>
    </w:p>
    <w:p w14:paraId="1F092C65" w14:textId="77777777" w:rsidR="00601D9B" w:rsidRPr="000E53A0" w:rsidRDefault="000E53A0">
      <w:pPr>
        <w:pStyle w:val="Paragraphedeliste"/>
        <w:numPr>
          <w:ilvl w:val="1"/>
          <w:numId w:val="26"/>
        </w:numPr>
        <w:spacing w:before="100" w:beforeAutospacing="1" w:after="240"/>
        <w:jc w:val="both"/>
        <w:rPr>
          <w:rFonts w:asciiTheme="minorHAnsi" w:hAnsiTheme="minorHAnsi" w:cstheme="minorHAnsi"/>
          <w:sz w:val="20"/>
          <w:szCs w:val="20"/>
          <w:lang w:val="fr-FR"/>
        </w:rPr>
      </w:pPr>
      <w:r w:rsidRPr="000E53A0">
        <w:rPr>
          <w:rFonts w:asciiTheme="minorHAnsi" w:hAnsiTheme="minorHAnsi" w:cstheme="minorHAnsi"/>
          <w:sz w:val="20"/>
          <w:szCs w:val="20"/>
          <w:lang w:val="fr-FR"/>
        </w:rPr>
        <w:t xml:space="preserve">Enregistrer et enquêter rapidement et confidentiellement toute allégation suffisamment crédible pour justifier une enquête sur la SH ou l'ESE. Le Partenaire d'exécution informe le PNUD de toute allégation reçue et de toute enquête menée par lui-même ou l'une de ses sous-parties visées au paragraphe 4 en ce qui concerne leurs activités dans le cadre du Document de projet, et tient le PNUD informé au cours de l'enquête menée par lui-même ou l'une de ces sous-parties, dans la mesure où cette notification (i) ne compromet pas la conduite de l'enquête, y compris, mais sans s'y limiter, la sûreté ou la sécurité des personnes, et/ou (ii) ne contrevient pas aux lois qui lui sont applicables. À l'issue de l'enquête, le Partenaire d'exécution informe le PNUD de toute mesure prise par lui-même ou par l'une des autres entités à la suite de l'enquête.  </w:t>
      </w:r>
    </w:p>
    <w:p w14:paraId="3DF8EBA5" w14:textId="77777777" w:rsidR="00601D9B" w:rsidRPr="000E53A0" w:rsidRDefault="000E53A0">
      <w:pPr>
        <w:pStyle w:val="Paragraphedeliste"/>
        <w:spacing w:before="100" w:beforeAutospacing="1" w:after="240"/>
        <w:ind w:left="360"/>
        <w:rPr>
          <w:rFonts w:asciiTheme="minorHAnsi" w:hAnsiTheme="minorHAnsi" w:cstheme="minorHAnsi"/>
          <w:sz w:val="20"/>
          <w:szCs w:val="20"/>
          <w:lang w:val="fr-FR"/>
        </w:rPr>
      </w:pPr>
      <w:r w:rsidRPr="000E53A0">
        <w:rPr>
          <w:rFonts w:asciiTheme="minorHAnsi" w:hAnsiTheme="minorHAnsi" w:cstheme="minorHAnsi"/>
          <w:sz w:val="20"/>
          <w:szCs w:val="20"/>
          <w:lang w:val="fr-FR"/>
        </w:rPr>
        <w:t>b) Le Partenaire d'exécution doit établir qu'il s'est conformé à ce qui précède, à la satisfaction du PNUD, lorsque le PNUD ou toute partie agissant en son nom lui demande de fournir cette confirmation. Le non-respect de ce qui précède par le Partenaire d'exécution et chacune de ses sous-parties visées au paragraphe 4, tel que déterminé par le PNUD, est considéré comme un motif de suspension ou de résiliation du Projet.</w:t>
      </w:r>
    </w:p>
    <w:p w14:paraId="1174E153" w14:textId="77777777" w:rsidR="00601D9B" w:rsidRPr="000E53A0" w:rsidRDefault="000E53A0">
      <w:pPr>
        <w:pStyle w:val="Paragraphedeliste"/>
        <w:numPr>
          <w:ilvl w:val="0"/>
          <w:numId w:val="24"/>
        </w:numPr>
        <w:spacing w:before="100" w:beforeAutospacing="1" w:after="240"/>
        <w:ind w:left="360"/>
        <w:jc w:val="both"/>
        <w:rPr>
          <w:rFonts w:asciiTheme="minorHAnsi" w:hAnsiTheme="minorHAnsi" w:cstheme="minorHAnsi"/>
          <w:sz w:val="20"/>
          <w:szCs w:val="20"/>
          <w:u w:val="single"/>
          <w:lang w:val="fr-FR"/>
        </w:rPr>
      </w:pPr>
      <w:r w:rsidRPr="000E53A0">
        <w:rPr>
          <w:rFonts w:asciiTheme="minorHAnsi" w:hAnsiTheme="minorHAnsi" w:cstheme="minorHAnsi"/>
          <w:sz w:val="20"/>
          <w:szCs w:val="20"/>
          <w:lang w:val="fr-FR"/>
        </w:rPr>
        <w:t xml:space="preserve">La durabilité sociale et environnementale sera renforcée par l'application des normes sociales et environnementales du PNUD (http://www.undp.org/ses) et du mécanisme de responsabilisation correspondant (http://www.undp.org/secu-srm).  </w:t>
      </w:r>
      <w:r w:rsidRPr="000E53A0">
        <w:rPr>
          <w:rFonts w:asciiTheme="minorHAnsi" w:hAnsiTheme="minorHAnsi" w:cstheme="minorHAnsi"/>
          <w:color w:val="000000"/>
          <w:sz w:val="20"/>
          <w:szCs w:val="20"/>
          <w:lang w:val="fr-FR"/>
        </w:rPr>
        <w:t xml:space="preserve"> </w:t>
      </w:r>
    </w:p>
    <w:p w14:paraId="4BF4F276" w14:textId="77777777" w:rsidR="00601D9B" w:rsidRPr="000E53A0" w:rsidRDefault="000E53A0">
      <w:pPr>
        <w:pStyle w:val="Default"/>
        <w:numPr>
          <w:ilvl w:val="0"/>
          <w:numId w:val="24"/>
        </w:numPr>
        <w:ind w:left="360"/>
        <w:jc w:val="both"/>
        <w:rPr>
          <w:rFonts w:asciiTheme="minorHAnsi" w:hAnsiTheme="minorHAnsi" w:cstheme="minorHAnsi"/>
          <w:sz w:val="20"/>
          <w:szCs w:val="20"/>
          <w:lang w:val="fr-FR"/>
        </w:rPr>
      </w:pPr>
      <w:r w:rsidRPr="000E53A0">
        <w:rPr>
          <w:rFonts w:asciiTheme="minorHAnsi" w:hAnsiTheme="minorHAnsi" w:cstheme="minorHAnsi"/>
          <w:color w:val="101010"/>
          <w:spacing w:val="-6"/>
          <w:kern w:val="1"/>
          <w:sz w:val="20"/>
          <w:szCs w:val="20"/>
          <w:lang w:val="fr-FR"/>
        </w:rPr>
        <w:t xml:space="preserve">Le Partenaire de mise en œuvre doit : (a) mener les activités liées au projet et au programme d'une manière conforme aux normes sociales et environnementales du PNUD, (b) mettre en œuvre tout plan de gestion ou d'atténuation préparé pour le projet ou le programme afin de se conformer à ces normes, et (c) s'engager de manière constructive et opportune à répondre à toutes les préoccupations et plaintes soulevées par le biais du mécanisme de responsabilisation. Le </w:t>
      </w:r>
      <w:r w:rsidRPr="000E53A0">
        <w:rPr>
          <w:rFonts w:asciiTheme="minorHAnsi" w:hAnsiTheme="minorHAnsi" w:cstheme="minorHAnsi"/>
          <w:color w:val="141414"/>
          <w:spacing w:val="-4"/>
          <w:sz w:val="20"/>
          <w:szCs w:val="20"/>
          <w:lang w:val="fr-FR"/>
        </w:rPr>
        <w:t xml:space="preserve">PNUD </w:t>
      </w:r>
      <w:r w:rsidRPr="000E53A0">
        <w:rPr>
          <w:rFonts w:asciiTheme="minorHAnsi" w:hAnsiTheme="minorHAnsi" w:cstheme="minorHAnsi"/>
          <w:sz w:val="20"/>
          <w:szCs w:val="20"/>
          <w:lang w:val="fr-FR"/>
        </w:rPr>
        <w:t xml:space="preserve">veillera à ce que les communautés et les autres parties prenantes du projet soient informées du mécanisme de responsabilisation et y aient accès. </w:t>
      </w:r>
    </w:p>
    <w:p w14:paraId="0F067362" w14:textId="77777777" w:rsidR="00601D9B" w:rsidRPr="000E53A0" w:rsidRDefault="000E53A0">
      <w:pPr>
        <w:pStyle w:val="Paragraphedeliste"/>
        <w:numPr>
          <w:ilvl w:val="0"/>
          <w:numId w:val="24"/>
        </w:numPr>
        <w:spacing w:before="240" w:after="240"/>
        <w:ind w:left="360"/>
        <w:jc w:val="both"/>
        <w:rPr>
          <w:rFonts w:asciiTheme="minorHAnsi" w:hAnsiTheme="minorHAnsi" w:cstheme="minorHAnsi"/>
          <w:spacing w:val="-4"/>
          <w:sz w:val="20"/>
          <w:szCs w:val="20"/>
          <w:lang w:val="fr-FR"/>
        </w:rPr>
      </w:pPr>
      <w:r w:rsidRPr="000E53A0">
        <w:rPr>
          <w:rFonts w:asciiTheme="minorHAnsi" w:hAnsiTheme="minorHAnsi" w:cstheme="minorHAnsi"/>
          <w:spacing w:val="-4"/>
          <w:sz w:val="20"/>
          <w:szCs w:val="20"/>
          <w:lang w:val="fr-FR"/>
        </w:rPr>
        <w:t>Tous les signataires du document de projet doivent coopérer de bonne foi à tout exercice visant à évaluer les engagements liés au programme ou au projet ou la conformité aux normes sociales et environnementales du PNUD. Cela inclut l'accès aux sites du projet, au personnel concerné, aux informations et à la documentation.</w:t>
      </w:r>
    </w:p>
    <w:p w14:paraId="05853A44" w14:textId="77777777" w:rsidR="00601D9B" w:rsidRPr="000E53A0" w:rsidRDefault="000E53A0">
      <w:pPr>
        <w:numPr>
          <w:ilvl w:val="0"/>
          <w:numId w:val="24"/>
        </w:numPr>
        <w:autoSpaceDE w:val="0"/>
        <w:autoSpaceDN w:val="0"/>
        <w:adjustRightInd w:val="0"/>
        <w:ind w:left="360"/>
        <w:rPr>
          <w:rFonts w:asciiTheme="minorHAnsi" w:eastAsia="Calibri" w:hAnsiTheme="minorHAnsi" w:cstheme="minorHAnsi"/>
          <w:color w:val="000000"/>
          <w:sz w:val="20"/>
          <w:szCs w:val="20"/>
          <w:lang w:val="fr-FR"/>
        </w:rPr>
      </w:pPr>
      <w:r w:rsidRPr="000E53A0">
        <w:rPr>
          <w:rFonts w:asciiTheme="minorHAnsi" w:eastAsia="Calibri" w:hAnsiTheme="minorHAnsi" w:cstheme="minorHAnsi"/>
          <w:color w:val="000000"/>
          <w:sz w:val="20"/>
          <w:szCs w:val="20"/>
          <w:lang w:val="fr-FR"/>
        </w:rPr>
        <w:t xml:space="preserve">Le Partenaire d'exécution prendra les mesures appropriées pour empêcher l'utilisation abusive des fonds, la fraude ou la corruption, par ses fonctionnaires, consultants, parties responsables, sous-traitants et sous-récipiendaires dans la mise en œuvre du projet ou l'utilisation des fonds du PNUD.  Le Partenaire d'exécution </w:t>
      </w:r>
      <w:r w:rsidRPr="000E53A0">
        <w:rPr>
          <w:rFonts w:asciiTheme="minorHAnsi" w:eastAsia="Calibri" w:hAnsiTheme="minorHAnsi" w:cstheme="minorHAnsi"/>
          <w:color w:val="000000"/>
          <w:sz w:val="20"/>
          <w:szCs w:val="20"/>
          <w:lang w:val="fr-FR"/>
        </w:rPr>
        <w:lastRenderedPageBreak/>
        <w:t>s'assurera que ses politiques de gestion financière, de lutte contre la corruption et la fraude sont en place et appliquées pour tous les financements reçus du PNUD ou par son intermédiaire.</w:t>
      </w:r>
    </w:p>
    <w:p w14:paraId="6318F700" w14:textId="77777777" w:rsidR="006C181C" w:rsidRPr="000E53A0" w:rsidRDefault="006C181C" w:rsidP="006C181C">
      <w:pPr>
        <w:autoSpaceDE w:val="0"/>
        <w:autoSpaceDN w:val="0"/>
        <w:adjustRightInd w:val="0"/>
        <w:rPr>
          <w:rFonts w:asciiTheme="minorHAnsi" w:eastAsia="Calibri" w:hAnsiTheme="minorHAnsi" w:cstheme="minorHAnsi"/>
          <w:color w:val="000000"/>
          <w:sz w:val="20"/>
          <w:szCs w:val="20"/>
          <w:lang w:val="fr-FR"/>
        </w:rPr>
      </w:pPr>
    </w:p>
    <w:p w14:paraId="4FC8B2F6" w14:textId="77777777" w:rsidR="00601D9B" w:rsidRPr="000E53A0" w:rsidRDefault="000E53A0">
      <w:pPr>
        <w:numPr>
          <w:ilvl w:val="0"/>
          <w:numId w:val="24"/>
        </w:numPr>
        <w:autoSpaceDE w:val="0"/>
        <w:autoSpaceDN w:val="0"/>
        <w:adjustRightInd w:val="0"/>
        <w:ind w:left="360"/>
        <w:rPr>
          <w:rFonts w:asciiTheme="minorHAnsi" w:eastAsia="Calibri" w:hAnsiTheme="minorHAnsi" w:cstheme="minorHAnsi"/>
          <w:color w:val="000000"/>
          <w:sz w:val="20"/>
          <w:szCs w:val="20"/>
          <w:lang w:val="fr-FR"/>
        </w:rPr>
      </w:pPr>
      <w:r w:rsidRPr="000E53A0">
        <w:rPr>
          <w:rFonts w:asciiTheme="minorHAnsi" w:eastAsia="Calibri" w:hAnsiTheme="minorHAnsi" w:cstheme="minorHAnsi"/>
          <w:color w:val="000000"/>
          <w:sz w:val="20"/>
          <w:szCs w:val="20"/>
          <w:lang w:val="fr-FR"/>
        </w:rPr>
        <w:t xml:space="preserve">Les exigences des documents suivants, alors en vigueur au moment de la signature du document de projet, s'appliquent au partenaire de mise en œuvre : </w:t>
      </w:r>
      <w:r w:rsidRPr="000E53A0">
        <w:rPr>
          <w:rFonts w:asciiTheme="minorHAnsi" w:eastAsia="Calibri" w:hAnsiTheme="minorHAnsi" w:cstheme="minorHAnsi"/>
          <w:bCs/>
          <w:color w:val="000000"/>
          <w:sz w:val="20"/>
          <w:szCs w:val="20"/>
          <w:lang w:val="fr-FR"/>
        </w:rPr>
        <w:t xml:space="preserve">(a) la </w:t>
      </w:r>
      <w:r w:rsidRPr="000E53A0">
        <w:rPr>
          <w:rFonts w:asciiTheme="minorHAnsi" w:eastAsia="Calibri" w:hAnsiTheme="minorHAnsi" w:cstheme="minorHAnsi"/>
          <w:color w:val="000000"/>
          <w:sz w:val="20"/>
          <w:szCs w:val="20"/>
          <w:lang w:val="fr-FR"/>
        </w:rPr>
        <w:t xml:space="preserve">politique du PNUD en matière de fraude et autres pratiques de corruption et </w:t>
      </w:r>
      <w:r w:rsidRPr="000E53A0">
        <w:rPr>
          <w:rFonts w:asciiTheme="minorHAnsi" w:eastAsia="Calibri" w:hAnsiTheme="minorHAnsi" w:cstheme="minorHAnsi"/>
          <w:bCs/>
          <w:color w:val="000000"/>
          <w:sz w:val="20"/>
          <w:szCs w:val="20"/>
          <w:lang w:val="fr-FR"/>
        </w:rPr>
        <w:t xml:space="preserve">(b) les </w:t>
      </w:r>
      <w:r w:rsidRPr="000E53A0">
        <w:rPr>
          <w:rFonts w:asciiTheme="minorHAnsi" w:eastAsia="Calibri" w:hAnsiTheme="minorHAnsi" w:cstheme="minorHAnsi"/>
          <w:color w:val="000000"/>
          <w:sz w:val="20"/>
          <w:szCs w:val="20"/>
          <w:lang w:val="fr-FR"/>
        </w:rPr>
        <w:t xml:space="preserve">directives d'enquête du Bureau de l'audit et des enquêtes du PNUD. </w:t>
      </w:r>
      <w:r w:rsidRPr="000E53A0">
        <w:rPr>
          <w:rFonts w:asciiTheme="minorHAnsi" w:eastAsia="Calibri" w:hAnsiTheme="minorHAnsi" w:cstheme="minorHAnsi"/>
          <w:sz w:val="20"/>
          <w:szCs w:val="20"/>
          <w:lang w:val="fr-FR"/>
        </w:rPr>
        <w:t xml:space="preserve">Le partenaire de mise en œuvre accepte les exigences des documents susmentionnés, qui font partie intégrante du présent document de projet et sont disponibles en ligne à l'adresse www.undp.org. </w:t>
      </w:r>
    </w:p>
    <w:p w14:paraId="618659C9" w14:textId="77777777" w:rsidR="006C181C" w:rsidRPr="000E53A0" w:rsidRDefault="006C181C" w:rsidP="006C181C">
      <w:pPr>
        <w:rPr>
          <w:rFonts w:asciiTheme="minorHAnsi" w:hAnsiTheme="minorHAnsi" w:cstheme="minorHAnsi"/>
          <w:color w:val="000000"/>
          <w:sz w:val="20"/>
          <w:szCs w:val="20"/>
          <w:lang w:val="fr-FR"/>
        </w:rPr>
      </w:pPr>
    </w:p>
    <w:p w14:paraId="7A2F6CBA" w14:textId="77777777" w:rsidR="00601D9B" w:rsidRPr="000E53A0" w:rsidRDefault="000E53A0">
      <w:pPr>
        <w:numPr>
          <w:ilvl w:val="0"/>
          <w:numId w:val="24"/>
        </w:numPr>
        <w:ind w:left="360"/>
        <w:rPr>
          <w:rFonts w:asciiTheme="minorHAnsi" w:hAnsiTheme="minorHAnsi" w:cstheme="minorHAnsi"/>
          <w:color w:val="000000"/>
          <w:sz w:val="20"/>
          <w:szCs w:val="20"/>
          <w:lang w:val="fr-FR"/>
        </w:rPr>
      </w:pPr>
      <w:r w:rsidRPr="000E53A0">
        <w:rPr>
          <w:rFonts w:asciiTheme="minorHAnsi" w:hAnsiTheme="minorHAnsi" w:cstheme="minorHAnsi"/>
          <w:color w:val="000000"/>
          <w:sz w:val="20"/>
          <w:szCs w:val="20"/>
          <w:lang w:val="fr-FR"/>
        </w:rPr>
        <w:t>Dans le cas où une enquête est nécessaire, le PNUD a l'obligation de mener des enquêtes relatives à tout aspect des programmes et projets du PNUD, conformément aux règlements, règles, politiques et procédures du PNUD. Le Partenaire d'exécution doit apporter son entière coopération, notamment en mettant à disposition du personnel, des documents pertinents et en accordant l'accès à ses locaux (et à ceux de ses consultants, parties responsables, sous-traitants et sous-bénéficiaires), à des fins, à des moments et à des conditions raisonnables, comme cela peut être exigé aux fins d'une enquête. En cas de limitation du respect de cette obligation, le PNUD consulte le Partenaire d'exécution pour trouver une solution.</w:t>
      </w:r>
    </w:p>
    <w:p w14:paraId="086B0D51" w14:textId="77777777" w:rsidR="006C181C" w:rsidRPr="000E53A0" w:rsidRDefault="006C181C" w:rsidP="006C181C">
      <w:pPr>
        <w:rPr>
          <w:rFonts w:asciiTheme="minorHAnsi" w:eastAsia="Calibri" w:hAnsiTheme="minorHAnsi" w:cstheme="minorHAnsi"/>
          <w:color w:val="000000"/>
          <w:sz w:val="20"/>
          <w:szCs w:val="20"/>
          <w:lang w:val="fr-FR"/>
        </w:rPr>
      </w:pPr>
    </w:p>
    <w:p w14:paraId="0DEA85B7" w14:textId="77777777" w:rsidR="00601D9B" w:rsidRPr="000E53A0" w:rsidRDefault="000E53A0">
      <w:pPr>
        <w:numPr>
          <w:ilvl w:val="0"/>
          <w:numId w:val="24"/>
        </w:numPr>
        <w:ind w:left="360"/>
        <w:rPr>
          <w:rFonts w:asciiTheme="minorHAnsi" w:hAnsiTheme="minorHAnsi" w:cstheme="minorHAnsi"/>
          <w:sz w:val="20"/>
          <w:szCs w:val="20"/>
          <w:lang w:val="fr-FR"/>
        </w:rPr>
      </w:pPr>
      <w:r w:rsidRPr="000E53A0">
        <w:rPr>
          <w:rFonts w:asciiTheme="minorHAnsi" w:hAnsiTheme="minorHAnsi" w:cstheme="minorHAnsi"/>
          <w:sz w:val="20"/>
          <w:szCs w:val="20"/>
          <w:lang w:val="fr-FR"/>
        </w:rPr>
        <w:t>Le partenaire d'exécution informera rapidement le PNUD de toute incidence d'utilisation inappropriée des fonds ou de toute allégation crédible de fraude ou de corruption, dans le respect de la confidentialité.</w:t>
      </w:r>
    </w:p>
    <w:p w14:paraId="7918742D" w14:textId="77777777" w:rsidR="006C181C" w:rsidRPr="000E53A0" w:rsidRDefault="006C181C" w:rsidP="006C181C">
      <w:pPr>
        <w:ind w:left="360"/>
        <w:rPr>
          <w:rFonts w:asciiTheme="minorHAnsi" w:hAnsiTheme="minorHAnsi" w:cstheme="minorHAnsi"/>
          <w:sz w:val="20"/>
          <w:szCs w:val="20"/>
          <w:lang w:val="fr-FR"/>
        </w:rPr>
      </w:pPr>
    </w:p>
    <w:p w14:paraId="3A2DD31E" w14:textId="77777777" w:rsidR="00601D9B" w:rsidRPr="000E53A0" w:rsidRDefault="000E53A0">
      <w:pPr>
        <w:ind w:left="360"/>
        <w:rPr>
          <w:rFonts w:asciiTheme="minorHAnsi" w:eastAsia="Calibri" w:hAnsiTheme="minorHAnsi" w:cstheme="minorHAnsi"/>
          <w:color w:val="000000"/>
          <w:sz w:val="20"/>
          <w:szCs w:val="20"/>
          <w:lang w:val="fr-FR"/>
        </w:rPr>
      </w:pPr>
      <w:r w:rsidRPr="000E53A0">
        <w:rPr>
          <w:rFonts w:asciiTheme="minorHAnsi" w:hAnsiTheme="minorHAnsi" w:cstheme="minorHAnsi"/>
          <w:sz w:val="20"/>
          <w:szCs w:val="20"/>
          <w:lang w:val="fr-FR"/>
        </w:rPr>
        <w:t>Lorsque le Partenaire d'exécution apprend qu'un projet ou une activité du PNUD, en totalité ou en partie, fait l'objet d'une enquête pour fraude/corruption présumée, il en informe le Représentant résident/Chef de bureau du PNUD, qui informe rapidement le Bureau de l'audit et des investigations (OAI) du PNUD. Le Partenaire d'exécution doit fournir des mises à jour régulières au chef du PNUD dans le pays et au OAI sur l'état d'avancement et les actions relatives à cette enquête.</w:t>
      </w:r>
    </w:p>
    <w:p w14:paraId="0B08E79D" w14:textId="77777777" w:rsidR="00D2165B" w:rsidRPr="000E53A0" w:rsidRDefault="00D2165B" w:rsidP="00D2165B">
      <w:pPr>
        <w:ind w:left="360"/>
        <w:rPr>
          <w:rFonts w:asciiTheme="minorHAnsi" w:hAnsiTheme="minorHAnsi" w:cstheme="minorHAnsi"/>
          <w:sz w:val="20"/>
          <w:szCs w:val="20"/>
          <w:lang w:val="fr-FR"/>
        </w:rPr>
      </w:pPr>
    </w:p>
    <w:p w14:paraId="6FAA30F9" w14:textId="77777777" w:rsidR="00601D9B" w:rsidRPr="000E53A0" w:rsidRDefault="000E53A0">
      <w:pPr>
        <w:pStyle w:val="Paragraphedeliste"/>
        <w:numPr>
          <w:ilvl w:val="0"/>
          <w:numId w:val="24"/>
        </w:numPr>
        <w:rPr>
          <w:rFonts w:asciiTheme="minorHAnsi" w:eastAsia="Calibri" w:hAnsiTheme="minorHAnsi" w:cstheme="minorHAnsi"/>
          <w:color w:val="000000"/>
          <w:sz w:val="20"/>
          <w:szCs w:val="20"/>
          <w:lang w:val="fr-FR"/>
        </w:rPr>
      </w:pPr>
      <w:r w:rsidRPr="000E53A0">
        <w:rPr>
          <w:rFonts w:asciiTheme="minorHAnsi" w:hAnsiTheme="minorHAnsi" w:cstheme="minorHAnsi"/>
          <w:sz w:val="20"/>
          <w:szCs w:val="20"/>
          <w:lang w:val="fr-FR"/>
        </w:rPr>
        <w:t>Le PNUD a le droit de se faire rembourser par le Partenaire d'exécution tous les fonds fournis qui ont été utilisés de manière inappropriée, y compris par fraude ou corruption, ou qui ont été payés autrement que conformément aux termes et conditions du présent Document de projet.  Ce montant peut être déduit par le PNUD de tout paiement dû au Partenaire d'exécution en vertu du présent accord ou de tout autre accord.  Le recouvrement de ce montant par le PNUD ne diminue ni ne réduit les obligations du partenaire d'exécution au titre du présent document de projet.</w:t>
      </w:r>
    </w:p>
    <w:p w14:paraId="6F25B079" w14:textId="77777777" w:rsidR="006C181C" w:rsidRPr="000E53A0" w:rsidRDefault="006C181C" w:rsidP="006C181C">
      <w:pPr>
        <w:ind w:left="360"/>
        <w:rPr>
          <w:rFonts w:asciiTheme="minorHAnsi" w:hAnsiTheme="minorHAnsi" w:cstheme="minorHAnsi"/>
          <w:b/>
          <w:sz w:val="20"/>
          <w:szCs w:val="20"/>
          <w:lang w:val="fr-FR"/>
        </w:rPr>
      </w:pPr>
    </w:p>
    <w:p w14:paraId="13F00114" w14:textId="77777777" w:rsidR="00601D9B" w:rsidRPr="000E53A0" w:rsidRDefault="000E53A0">
      <w:pPr>
        <w:ind w:left="360"/>
        <w:rPr>
          <w:rFonts w:asciiTheme="minorHAnsi" w:hAnsiTheme="minorHAnsi" w:cstheme="minorHAnsi"/>
          <w:sz w:val="20"/>
          <w:szCs w:val="20"/>
          <w:lang w:val="fr-FR"/>
        </w:rPr>
      </w:pPr>
      <w:r w:rsidRPr="000E53A0">
        <w:rPr>
          <w:rFonts w:asciiTheme="minorHAnsi" w:hAnsiTheme="minorHAnsi" w:cstheme="minorHAnsi"/>
          <w:sz w:val="20"/>
          <w:szCs w:val="20"/>
          <w:lang w:val="fr-FR"/>
        </w:rPr>
        <w:t>Si ces fonds n'ont pas été remboursés au PNUD, le Partenaire d'exécution convient que les donateurs du PNUD (y compris le gouvernement) dont le financement est la source, en tout ou en partie, des fonds destinés aux activités prévues dans le présent Document de projet, peuvent faire appel au Partenaire d'exécution pour le recouvrement de tous les fonds dont le PNUD a déterminé qu'ils ont été utilisés de manière inappropriée, y compris par fraude ou corruption, ou payés autrement que conformément aux termes et conditions du Document de projet.</w:t>
      </w:r>
    </w:p>
    <w:p w14:paraId="79661E20" w14:textId="77777777" w:rsidR="006C181C" w:rsidRPr="000E53A0" w:rsidRDefault="006C181C" w:rsidP="006C181C">
      <w:pPr>
        <w:ind w:left="360"/>
        <w:rPr>
          <w:rFonts w:asciiTheme="minorHAnsi" w:hAnsiTheme="minorHAnsi" w:cstheme="minorHAnsi"/>
          <w:sz w:val="20"/>
          <w:szCs w:val="20"/>
          <w:lang w:val="fr-FR"/>
        </w:rPr>
      </w:pPr>
    </w:p>
    <w:p w14:paraId="5D9EA4DD" w14:textId="77777777" w:rsidR="00601D9B" w:rsidRPr="000E53A0" w:rsidRDefault="000E53A0">
      <w:pPr>
        <w:ind w:left="360"/>
        <w:rPr>
          <w:rFonts w:asciiTheme="minorHAnsi" w:eastAsia="Calibri" w:hAnsiTheme="minorHAnsi" w:cstheme="minorHAnsi"/>
          <w:color w:val="000000"/>
          <w:sz w:val="20"/>
          <w:szCs w:val="20"/>
          <w:lang w:val="fr-FR"/>
        </w:rPr>
      </w:pPr>
      <w:r w:rsidRPr="000E53A0">
        <w:rPr>
          <w:rFonts w:asciiTheme="minorHAnsi" w:hAnsiTheme="minorHAnsi" w:cstheme="minorHAnsi"/>
          <w:i/>
          <w:sz w:val="20"/>
          <w:szCs w:val="20"/>
          <w:u w:val="single"/>
          <w:lang w:val="fr-FR"/>
        </w:rPr>
        <w:t xml:space="preserve">Note </w:t>
      </w:r>
      <w:r w:rsidRPr="000E53A0">
        <w:rPr>
          <w:rFonts w:asciiTheme="minorHAnsi" w:hAnsiTheme="minorHAnsi" w:cstheme="minorHAnsi"/>
          <w:i/>
          <w:sz w:val="20"/>
          <w:szCs w:val="20"/>
          <w:lang w:val="fr-FR"/>
        </w:rPr>
        <w:t xml:space="preserve">: </w:t>
      </w:r>
      <w:r w:rsidRPr="000E53A0">
        <w:rPr>
          <w:rFonts w:asciiTheme="minorHAnsi" w:hAnsiTheme="minorHAnsi" w:cstheme="minorHAnsi"/>
          <w:sz w:val="20"/>
          <w:szCs w:val="20"/>
          <w:lang w:val="fr-FR"/>
        </w:rPr>
        <w:t>Le terme "Document de projet" tel qu'il est utilisé dans cette clause est réputé inclure tout accord subsidiaire pertinent après le Document de projet, y compris ceux conclus avec le partenaire de mise en œuvre, les parties responsables, les sous-traitants et les sous-récipiendaires.</w:t>
      </w:r>
    </w:p>
    <w:p w14:paraId="2A279A36" w14:textId="77777777" w:rsidR="006C181C" w:rsidRPr="000E53A0" w:rsidRDefault="006C181C" w:rsidP="006C181C">
      <w:pPr>
        <w:ind w:left="360"/>
        <w:rPr>
          <w:rFonts w:asciiTheme="minorHAnsi" w:hAnsiTheme="minorHAnsi" w:cstheme="minorHAnsi"/>
          <w:sz w:val="20"/>
          <w:szCs w:val="20"/>
          <w:lang w:val="fr-FR"/>
        </w:rPr>
      </w:pPr>
    </w:p>
    <w:p w14:paraId="4C53E0FC" w14:textId="77777777" w:rsidR="00601D9B" w:rsidRPr="000E53A0" w:rsidRDefault="000E53A0">
      <w:pPr>
        <w:numPr>
          <w:ilvl w:val="0"/>
          <w:numId w:val="24"/>
        </w:numPr>
        <w:ind w:left="360"/>
        <w:rPr>
          <w:rFonts w:asciiTheme="minorHAnsi" w:hAnsiTheme="minorHAnsi" w:cstheme="minorHAnsi"/>
          <w:sz w:val="20"/>
          <w:szCs w:val="20"/>
          <w:lang w:val="fr-FR"/>
        </w:rPr>
      </w:pPr>
      <w:r w:rsidRPr="000E53A0">
        <w:rPr>
          <w:rFonts w:asciiTheme="minorHAnsi" w:hAnsiTheme="minorHAnsi" w:cstheme="minorHAnsi"/>
          <w:sz w:val="20"/>
          <w:szCs w:val="20"/>
          <w:lang w:val="fr-FR"/>
        </w:rPr>
        <w:t>Chaque contrat émis par le partenaire de mise en œuvre en relation avec le présent document de projet doit inclure une disposition indiquant qu'aucun frais, gratification, rabais, cadeau, commission ou autre paiement, autre que ceux indiqués dans la proposition, n'a été donné, reçu ou promis en relation avec le processus de sélection ou l'exécution du contrat, et que le bénéficiaire des fonds du partenaire de mise en œuvre doit coopérer avec toutes les enquêtes et tous les audits après paiement.</w:t>
      </w:r>
    </w:p>
    <w:p w14:paraId="48EAF571" w14:textId="77777777" w:rsidR="006C181C" w:rsidRPr="000E53A0" w:rsidRDefault="006C181C" w:rsidP="006C181C">
      <w:pPr>
        <w:rPr>
          <w:rFonts w:asciiTheme="minorHAnsi" w:hAnsiTheme="minorHAnsi" w:cstheme="minorHAnsi"/>
          <w:sz w:val="20"/>
          <w:szCs w:val="20"/>
          <w:lang w:val="fr-FR"/>
        </w:rPr>
      </w:pPr>
    </w:p>
    <w:p w14:paraId="78D6DE58" w14:textId="77777777" w:rsidR="00601D9B" w:rsidRPr="000E53A0" w:rsidRDefault="000E53A0">
      <w:pPr>
        <w:numPr>
          <w:ilvl w:val="0"/>
          <w:numId w:val="24"/>
        </w:numPr>
        <w:ind w:left="360"/>
        <w:rPr>
          <w:rFonts w:asciiTheme="minorHAnsi" w:hAnsiTheme="minorHAnsi" w:cstheme="minorHAnsi"/>
          <w:sz w:val="20"/>
          <w:szCs w:val="20"/>
          <w:lang w:val="fr-FR"/>
        </w:rPr>
      </w:pPr>
      <w:r w:rsidRPr="000E53A0">
        <w:rPr>
          <w:rFonts w:asciiTheme="minorHAnsi" w:hAnsiTheme="minorHAnsi" w:cstheme="minorHAnsi"/>
          <w:sz w:val="20"/>
          <w:szCs w:val="20"/>
          <w:lang w:val="fr-FR"/>
        </w:rPr>
        <w:t xml:space="preserve">Si le PNUD soumet aux autorités nationales compétentes, en vue d'une action en justice appropriée, des allégations d'actes répréhensibles liés au projet, le gouvernement veillera à ce que les autorités nationales </w:t>
      </w:r>
      <w:r w:rsidRPr="000E53A0">
        <w:rPr>
          <w:rFonts w:asciiTheme="minorHAnsi" w:hAnsiTheme="minorHAnsi" w:cstheme="minorHAnsi"/>
          <w:sz w:val="20"/>
          <w:szCs w:val="20"/>
          <w:lang w:val="fr-FR"/>
        </w:rPr>
        <w:lastRenderedPageBreak/>
        <w:t>compétentes mènent une enquête active et prennent des mesures juridiques appropriées à l'encontre de toutes les personnes dont il est établi qu'elles ont participé aux actes répréhensibles, recouvrent et restituent au PNUD tous les fonds récupérés.</w:t>
      </w:r>
    </w:p>
    <w:p w14:paraId="661CBE31" w14:textId="77777777" w:rsidR="006C181C" w:rsidRPr="000E53A0" w:rsidRDefault="006C181C" w:rsidP="006C181C">
      <w:pPr>
        <w:rPr>
          <w:rFonts w:asciiTheme="minorHAnsi" w:hAnsiTheme="minorHAnsi" w:cstheme="minorHAnsi"/>
          <w:sz w:val="20"/>
          <w:szCs w:val="20"/>
          <w:lang w:val="fr-FR"/>
        </w:rPr>
      </w:pPr>
    </w:p>
    <w:p w14:paraId="77B9511D" w14:textId="77777777" w:rsidR="00601D9B" w:rsidRPr="000E53A0" w:rsidRDefault="000E53A0">
      <w:pPr>
        <w:numPr>
          <w:ilvl w:val="0"/>
          <w:numId w:val="24"/>
        </w:numPr>
        <w:ind w:left="360"/>
        <w:rPr>
          <w:rFonts w:asciiTheme="minorHAnsi" w:hAnsiTheme="minorHAnsi" w:cstheme="minorHAnsi"/>
          <w:sz w:val="20"/>
          <w:szCs w:val="20"/>
          <w:lang w:val="fr-FR"/>
        </w:rPr>
      </w:pPr>
      <w:r w:rsidRPr="000E53A0">
        <w:rPr>
          <w:rFonts w:asciiTheme="minorHAnsi" w:hAnsiTheme="minorHAnsi" w:cstheme="minorHAnsi"/>
          <w:sz w:val="20"/>
          <w:szCs w:val="20"/>
          <w:lang w:val="fr-FR"/>
        </w:rPr>
        <w:t xml:space="preserve">Le partenaire de mise en œuvre doit s'assurer que toutes ses obligations énoncées dans la présente section intitulée " Clauses standard de gestion des risques " sont transmises à chaque partie responsable, sous-traitant et sous-récipiendaire et que toutes les clauses de la présente section intitulée " Gestion des risques " sont incluses, </w:t>
      </w:r>
      <w:r w:rsidRPr="000E53A0">
        <w:rPr>
          <w:rFonts w:asciiTheme="minorHAnsi" w:hAnsiTheme="minorHAnsi" w:cstheme="minorHAnsi"/>
          <w:i/>
          <w:sz w:val="20"/>
          <w:szCs w:val="20"/>
          <w:lang w:val="fr-FR"/>
        </w:rPr>
        <w:t>mutatis mutandis</w:t>
      </w:r>
      <w:r w:rsidRPr="000E53A0">
        <w:rPr>
          <w:rFonts w:asciiTheme="minorHAnsi" w:hAnsiTheme="minorHAnsi" w:cstheme="minorHAnsi"/>
          <w:sz w:val="20"/>
          <w:szCs w:val="20"/>
          <w:lang w:val="fr-FR"/>
        </w:rPr>
        <w:t>, dans tous les sous-contrats ou sous-accords conclus à la suite du présent document de projet.</w:t>
      </w:r>
    </w:p>
    <w:p w14:paraId="1B69B448" w14:textId="77777777" w:rsidR="006C181C" w:rsidRPr="000E53A0" w:rsidRDefault="006C181C" w:rsidP="006C181C">
      <w:pPr>
        <w:rPr>
          <w:rFonts w:asciiTheme="minorHAnsi" w:hAnsiTheme="minorHAnsi" w:cstheme="minorHAnsi"/>
          <w:b/>
          <w:sz w:val="20"/>
          <w:szCs w:val="20"/>
          <w:lang w:val="fr-FR"/>
        </w:rPr>
      </w:pPr>
    </w:p>
    <w:p w14:paraId="4135F39D" w14:textId="77777777" w:rsidR="006C181C" w:rsidRPr="000E53A0" w:rsidRDefault="006C181C" w:rsidP="006C181C">
      <w:pPr>
        <w:rPr>
          <w:rFonts w:asciiTheme="minorHAnsi" w:hAnsiTheme="minorHAnsi" w:cstheme="minorHAnsi"/>
          <w:b/>
          <w:sz w:val="20"/>
          <w:szCs w:val="20"/>
          <w:lang w:val="fr-FR"/>
        </w:rPr>
      </w:pPr>
    </w:p>
    <w:p w14:paraId="4DCFB67C" w14:textId="77777777" w:rsidR="00601D9B" w:rsidRPr="000E53A0" w:rsidRDefault="000E53A0">
      <w:pPr>
        <w:rPr>
          <w:rFonts w:asciiTheme="minorHAnsi" w:hAnsiTheme="minorHAnsi" w:cstheme="minorHAnsi"/>
          <w:b/>
          <w:sz w:val="20"/>
          <w:szCs w:val="20"/>
          <w:lang w:val="fr-FR"/>
        </w:rPr>
      </w:pPr>
      <w:r w:rsidRPr="000E53A0">
        <w:rPr>
          <w:rFonts w:asciiTheme="minorHAnsi" w:hAnsiTheme="minorHAnsi" w:cstheme="minorHAnsi"/>
          <w:b/>
          <w:sz w:val="20"/>
          <w:szCs w:val="20"/>
          <w:highlight w:val="yellow"/>
          <w:lang w:val="fr-FR"/>
        </w:rPr>
        <w:t>Option d. Agence des Nations Unies autre que le PNUD, et OIG ayant signé un SBEAA avec le PNUD.</w:t>
      </w:r>
    </w:p>
    <w:p w14:paraId="349894D4" w14:textId="77777777" w:rsidR="006C181C" w:rsidRPr="000E53A0" w:rsidRDefault="006C181C" w:rsidP="006C181C">
      <w:pPr>
        <w:rPr>
          <w:rFonts w:asciiTheme="minorHAnsi" w:hAnsiTheme="minorHAnsi" w:cstheme="minorHAnsi"/>
          <w:b/>
          <w:sz w:val="20"/>
          <w:szCs w:val="20"/>
          <w:lang w:val="fr-FR"/>
        </w:rPr>
      </w:pPr>
    </w:p>
    <w:p w14:paraId="5C92646D" w14:textId="77777777" w:rsidR="00601D9B" w:rsidRPr="000E53A0" w:rsidRDefault="000E53A0">
      <w:pPr>
        <w:pStyle w:val="Textebrut"/>
        <w:numPr>
          <w:ilvl w:val="0"/>
          <w:numId w:val="16"/>
        </w:numPr>
        <w:spacing w:after="240"/>
        <w:ind w:left="360"/>
        <w:jc w:val="both"/>
        <w:rPr>
          <w:rFonts w:asciiTheme="minorHAnsi" w:hAnsiTheme="minorHAnsi" w:cstheme="minorHAnsi"/>
          <w:sz w:val="20"/>
          <w:szCs w:val="20"/>
          <w:lang w:val="fr-FR"/>
        </w:rPr>
      </w:pPr>
      <w:r w:rsidRPr="000E53A0">
        <w:rPr>
          <w:rFonts w:asciiTheme="minorHAnsi" w:hAnsiTheme="minorHAnsi" w:cstheme="minorHAnsi"/>
          <w:sz w:val="20"/>
          <w:szCs w:val="20"/>
          <w:highlight w:val="yellow"/>
          <w:lang w:val="fr-FR"/>
        </w:rPr>
        <w:t>[Nom de l'agence des Nations Unies/IGO]</w:t>
      </w:r>
      <w:r w:rsidRPr="000E53A0">
        <w:rPr>
          <w:rFonts w:asciiTheme="minorHAnsi" w:hAnsiTheme="minorHAnsi" w:cstheme="minorHAnsi"/>
          <w:sz w:val="20"/>
          <w:szCs w:val="20"/>
          <w:lang w:val="fr-FR"/>
        </w:rPr>
        <w:t>, en tant que partenaire de mise en œuvre, se conformera aux politiques, procédures et pratiques du système de gestion de la sécurité des Nations Unies (UNSMS).</w:t>
      </w:r>
    </w:p>
    <w:p w14:paraId="77239A83" w14:textId="77777777" w:rsidR="00601D9B" w:rsidRPr="000E53A0" w:rsidRDefault="000E53A0">
      <w:pPr>
        <w:pStyle w:val="Textebrut"/>
        <w:numPr>
          <w:ilvl w:val="0"/>
          <w:numId w:val="16"/>
        </w:numPr>
        <w:spacing w:after="240"/>
        <w:ind w:left="360"/>
        <w:jc w:val="both"/>
        <w:rPr>
          <w:rFonts w:asciiTheme="minorHAnsi" w:hAnsiTheme="minorHAnsi" w:cstheme="minorHAnsi"/>
          <w:sz w:val="20"/>
          <w:szCs w:val="20"/>
          <w:lang w:val="fr-FR"/>
        </w:rPr>
      </w:pPr>
      <w:r w:rsidRPr="000E53A0">
        <w:rPr>
          <w:rFonts w:asciiTheme="minorHAnsi" w:hAnsiTheme="minorHAnsi" w:cstheme="minorHAnsi"/>
          <w:sz w:val="20"/>
          <w:szCs w:val="20"/>
          <w:lang w:val="fr-FR"/>
        </w:rPr>
        <w:t xml:space="preserve">Dans le cadre de la mise en œuvre des activités prévues par le présent document de projet, </w:t>
      </w:r>
      <w:r w:rsidRPr="000E53A0">
        <w:rPr>
          <w:rFonts w:asciiTheme="minorHAnsi" w:hAnsiTheme="minorHAnsi" w:cstheme="minorHAnsi"/>
          <w:sz w:val="20"/>
          <w:szCs w:val="20"/>
          <w:highlight w:val="yellow"/>
          <w:lang w:val="fr-FR"/>
        </w:rPr>
        <w:t xml:space="preserve">[Nom de l'Agence des Nations Unies/OIG], </w:t>
      </w:r>
      <w:r w:rsidRPr="000E53A0">
        <w:rPr>
          <w:rFonts w:asciiTheme="minorHAnsi" w:hAnsiTheme="minorHAnsi" w:cstheme="minorHAnsi"/>
          <w:sz w:val="20"/>
          <w:szCs w:val="20"/>
          <w:lang w:val="fr-FR"/>
        </w:rPr>
        <w:t>en tant que partenaire de mise en œuvre, traitera toute allégation d'exploitation et d'abus sexuels (" EAS ") et de harcèlement sexuel (" SH ") conformément à ses règlements, règles, politiques et procédures. Nonobstant ce qui précède, le [</w:t>
      </w:r>
      <w:r w:rsidRPr="000E53A0">
        <w:rPr>
          <w:rFonts w:asciiTheme="minorHAnsi" w:hAnsiTheme="minorHAnsi" w:cstheme="minorHAnsi"/>
          <w:sz w:val="20"/>
          <w:szCs w:val="20"/>
          <w:highlight w:val="yellow"/>
          <w:lang w:val="fr-FR"/>
        </w:rPr>
        <w:t xml:space="preserve">Nom de l'Agence des Nations Unies/OIG], </w:t>
      </w:r>
      <w:r w:rsidRPr="000E53A0">
        <w:rPr>
          <w:rFonts w:asciiTheme="minorHAnsi" w:hAnsiTheme="minorHAnsi" w:cstheme="minorHAnsi"/>
          <w:sz w:val="20"/>
          <w:szCs w:val="20"/>
          <w:lang w:val="fr-FR"/>
        </w:rPr>
        <w:t>en tant que Partenaire d'exécution, informera le PNUD de toute allégation de ce type et des enquêtes qu'il pourrait mener à la suite de ces allégations.</w:t>
      </w:r>
    </w:p>
    <w:p w14:paraId="2BEB8987" w14:textId="77777777" w:rsidR="00601D9B" w:rsidRPr="000E53A0" w:rsidRDefault="000E53A0">
      <w:pPr>
        <w:numPr>
          <w:ilvl w:val="0"/>
          <w:numId w:val="16"/>
        </w:numPr>
        <w:autoSpaceDE w:val="0"/>
        <w:autoSpaceDN w:val="0"/>
        <w:adjustRightInd w:val="0"/>
        <w:ind w:left="360"/>
        <w:rPr>
          <w:rFonts w:asciiTheme="minorHAnsi" w:eastAsia="Calibri" w:hAnsiTheme="minorHAnsi" w:cstheme="minorHAnsi"/>
          <w:color w:val="000000"/>
          <w:sz w:val="20"/>
          <w:szCs w:val="20"/>
          <w:lang w:val="fr-FR"/>
        </w:rPr>
      </w:pPr>
      <w:r w:rsidRPr="000E53A0">
        <w:rPr>
          <w:rFonts w:asciiTheme="minorHAnsi" w:hAnsiTheme="minorHAnsi" w:cstheme="minorHAnsi"/>
          <w:sz w:val="20"/>
          <w:szCs w:val="20"/>
          <w:highlight w:val="yellow"/>
          <w:lang w:val="fr-FR"/>
        </w:rPr>
        <w:t>[Nom de l'Agence des Nations Unies/OIG]</w:t>
      </w:r>
      <w:r w:rsidRPr="000E53A0">
        <w:rPr>
          <w:rFonts w:asciiTheme="minorHAnsi" w:eastAsia="Calibri" w:hAnsiTheme="minorHAnsi" w:cstheme="minorHAnsi"/>
          <w:color w:val="000000"/>
          <w:sz w:val="20"/>
          <w:szCs w:val="20"/>
          <w:lang w:val="fr-FR"/>
        </w:rPr>
        <w:t xml:space="preserve">, en tant que partenaire de mise en œuvre, s'assurera que </w:t>
      </w:r>
      <w:r w:rsidRPr="000E53A0">
        <w:rPr>
          <w:rFonts w:asciiTheme="minorHAnsi" w:hAnsiTheme="minorHAnsi" w:cstheme="minorHAnsi"/>
          <w:sz w:val="20"/>
          <w:szCs w:val="20"/>
          <w:lang w:val="fr-FR"/>
        </w:rPr>
        <w:t>les obligations suivantes sont contraignantes pour chaque partie responsable, sous-traitant et sous-récipiendaire qui n'est pas une entité des Nations Unies :</w:t>
      </w:r>
    </w:p>
    <w:p w14:paraId="0607D64A" w14:textId="77777777" w:rsidR="006C181C" w:rsidRPr="000E53A0" w:rsidRDefault="006C181C" w:rsidP="006C181C">
      <w:pPr>
        <w:autoSpaceDE w:val="0"/>
        <w:autoSpaceDN w:val="0"/>
        <w:adjustRightInd w:val="0"/>
        <w:ind w:left="360"/>
        <w:rPr>
          <w:rFonts w:asciiTheme="minorHAnsi" w:hAnsiTheme="minorHAnsi" w:cstheme="minorHAnsi"/>
          <w:sz w:val="20"/>
          <w:szCs w:val="20"/>
          <w:lang w:val="fr-FR"/>
        </w:rPr>
      </w:pPr>
    </w:p>
    <w:p w14:paraId="75B48AFA" w14:textId="77777777" w:rsidR="00601D9B" w:rsidRPr="000E53A0" w:rsidRDefault="000E53A0">
      <w:pPr>
        <w:numPr>
          <w:ilvl w:val="1"/>
          <w:numId w:val="16"/>
        </w:numPr>
        <w:autoSpaceDE w:val="0"/>
        <w:autoSpaceDN w:val="0"/>
        <w:adjustRightInd w:val="0"/>
        <w:rPr>
          <w:rFonts w:asciiTheme="minorHAnsi" w:hAnsiTheme="minorHAnsi" w:cstheme="minorHAnsi"/>
          <w:sz w:val="20"/>
          <w:szCs w:val="20"/>
          <w:lang w:val="fr-FR"/>
        </w:rPr>
      </w:pPr>
      <w:r w:rsidRPr="000E53A0">
        <w:rPr>
          <w:rFonts w:asciiTheme="minorHAnsi" w:hAnsiTheme="minorHAnsi" w:cstheme="minorHAnsi"/>
          <w:sz w:val="20"/>
          <w:szCs w:val="20"/>
          <w:lang w:val="fr-FR"/>
        </w:rPr>
        <w:t xml:space="preserve">Conformément à l'article III de l'ACSB </w:t>
      </w:r>
      <w:r w:rsidRPr="000E53A0">
        <w:rPr>
          <w:rFonts w:asciiTheme="minorHAnsi" w:hAnsiTheme="minorHAnsi" w:cstheme="minorHAnsi"/>
          <w:i/>
          <w:sz w:val="20"/>
          <w:szCs w:val="20"/>
          <w:highlight w:val="yellow"/>
          <w:lang w:val="fr-FR"/>
        </w:rPr>
        <w:t>[ou aux dispositions supplémentaires du document de projet]</w:t>
      </w:r>
      <w:r w:rsidRPr="000E53A0">
        <w:rPr>
          <w:rFonts w:asciiTheme="minorHAnsi" w:hAnsiTheme="minorHAnsi" w:cstheme="minorHAnsi"/>
          <w:sz w:val="20"/>
          <w:szCs w:val="20"/>
          <w:highlight w:val="yellow"/>
          <w:lang w:val="fr-FR"/>
        </w:rPr>
        <w:t xml:space="preserve">, </w:t>
      </w:r>
      <w:r w:rsidRPr="000E53A0">
        <w:rPr>
          <w:rFonts w:asciiTheme="minorHAnsi" w:hAnsiTheme="minorHAnsi" w:cstheme="minorHAnsi"/>
          <w:sz w:val="20"/>
          <w:szCs w:val="20"/>
          <w:lang w:val="fr-FR"/>
        </w:rPr>
        <w:t xml:space="preserve">la responsabilité de la sûreté et de la sécurité de chaque partie responsable, sous-traitant et sous-récipiendaire, de son personnel et de ses biens, ainsi que des biens </w:t>
      </w:r>
      <w:r w:rsidRPr="000E53A0">
        <w:rPr>
          <w:rFonts w:asciiTheme="minorHAnsi" w:hAnsiTheme="minorHAnsi" w:cstheme="minorHAnsi"/>
          <w:sz w:val="20"/>
          <w:szCs w:val="20"/>
          <w:highlight w:val="yellow"/>
          <w:lang w:val="fr-FR"/>
        </w:rPr>
        <w:t xml:space="preserve">de [nom de l'agence des Nations Unies/de l'OIG] </w:t>
      </w:r>
      <w:r w:rsidRPr="000E53A0">
        <w:rPr>
          <w:rFonts w:asciiTheme="minorHAnsi" w:hAnsiTheme="minorHAnsi" w:cstheme="minorHAnsi"/>
          <w:sz w:val="20"/>
          <w:szCs w:val="20"/>
          <w:lang w:val="fr-FR"/>
        </w:rPr>
        <w:t>sous la garde de cette partie responsable, de ce sous-traitant et de ce sous-récipiendaire, incombe à cette partie responsable, ce sous-traitant et ce sous-récipiendaire.  À cette fin, chaque partie responsable, sous-traitant et sous-récipiendaire doit :</w:t>
      </w:r>
    </w:p>
    <w:p w14:paraId="2A449E92" w14:textId="77777777" w:rsidR="006C181C" w:rsidRPr="000E53A0" w:rsidRDefault="006C181C" w:rsidP="006C181C">
      <w:pPr>
        <w:autoSpaceDE w:val="0"/>
        <w:autoSpaceDN w:val="0"/>
        <w:adjustRightInd w:val="0"/>
        <w:ind w:left="360"/>
        <w:rPr>
          <w:rFonts w:asciiTheme="minorHAnsi" w:hAnsiTheme="minorHAnsi" w:cstheme="minorHAnsi"/>
          <w:sz w:val="20"/>
          <w:szCs w:val="20"/>
          <w:lang w:val="fr-FR"/>
        </w:rPr>
      </w:pPr>
    </w:p>
    <w:p w14:paraId="2584035C" w14:textId="77777777" w:rsidR="00601D9B" w:rsidRPr="000E53A0" w:rsidRDefault="000E53A0">
      <w:pPr>
        <w:numPr>
          <w:ilvl w:val="2"/>
          <w:numId w:val="16"/>
        </w:numPr>
        <w:rPr>
          <w:rFonts w:asciiTheme="minorHAnsi" w:hAnsiTheme="minorHAnsi" w:cstheme="minorHAnsi"/>
          <w:sz w:val="20"/>
          <w:szCs w:val="20"/>
          <w:lang w:val="fr-FR"/>
        </w:rPr>
      </w:pPr>
      <w:r w:rsidRPr="000E53A0">
        <w:rPr>
          <w:rFonts w:asciiTheme="minorHAnsi" w:hAnsiTheme="minorHAnsi" w:cstheme="minorHAnsi"/>
          <w:sz w:val="20"/>
          <w:szCs w:val="20"/>
          <w:lang w:val="fr-FR"/>
        </w:rPr>
        <w:t>mettre en place un plan de sécurité approprié et maintenir le plan de sécurité, en tenant compte de la situation de sécurité dans le pays où le projet est réalisé ;</w:t>
      </w:r>
    </w:p>
    <w:p w14:paraId="54819C5D" w14:textId="77777777" w:rsidR="00601D9B" w:rsidRPr="000E53A0" w:rsidRDefault="000E53A0">
      <w:pPr>
        <w:numPr>
          <w:ilvl w:val="2"/>
          <w:numId w:val="16"/>
        </w:numPr>
        <w:rPr>
          <w:rFonts w:asciiTheme="minorHAnsi" w:hAnsiTheme="minorHAnsi" w:cstheme="minorHAnsi"/>
          <w:sz w:val="20"/>
          <w:szCs w:val="20"/>
          <w:lang w:val="fr-FR"/>
        </w:rPr>
      </w:pPr>
      <w:r w:rsidRPr="000E53A0">
        <w:rPr>
          <w:rFonts w:asciiTheme="minorHAnsi" w:hAnsiTheme="minorHAnsi" w:cstheme="minorHAnsi"/>
          <w:sz w:val="20"/>
          <w:szCs w:val="20"/>
          <w:lang w:val="fr-FR"/>
        </w:rPr>
        <w:t>assumer tous les risques et responsabilités liés à la sécurité de cette partie responsable, de ce sous-traitant et de ce sous-récipiendaire, et à la mise en œuvre complète du plan de sécurité.</w:t>
      </w:r>
    </w:p>
    <w:p w14:paraId="0B58819E" w14:textId="77777777" w:rsidR="006C181C" w:rsidRPr="000E53A0" w:rsidRDefault="006C181C" w:rsidP="006C181C">
      <w:pPr>
        <w:autoSpaceDE w:val="0"/>
        <w:autoSpaceDN w:val="0"/>
        <w:adjustRightInd w:val="0"/>
        <w:rPr>
          <w:rFonts w:asciiTheme="minorHAnsi" w:hAnsiTheme="minorHAnsi" w:cstheme="minorHAnsi"/>
          <w:sz w:val="20"/>
          <w:szCs w:val="20"/>
          <w:lang w:val="fr-FR"/>
        </w:rPr>
      </w:pPr>
    </w:p>
    <w:p w14:paraId="5D71381A" w14:textId="77777777" w:rsidR="00601D9B" w:rsidRPr="000E53A0" w:rsidRDefault="000E53A0">
      <w:pPr>
        <w:pStyle w:val="Textebrut"/>
        <w:numPr>
          <w:ilvl w:val="1"/>
          <w:numId w:val="16"/>
        </w:numPr>
        <w:spacing w:after="240"/>
        <w:jc w:val="both"/>
        <w:rPr>
          <w:rFonts w:asciiTheme="minorHAnsi" w:hAnsiTheme="minorHAnsi" w:cstheme="minorHAnsi"/>
          <w:sz w:val="20"/>
          <w:szCs w:val="20"/>
          <w:lang w:val="fr-FR"/>
        </w:rPr>
      </w:pPr>
      <w:r w:rsidRPr="000E53A0">
        <w:rPr>
          <w:rFonts w:asciiTheme="minorHAnsi" w:hAnsiTheme="minorHAnsi" w:cstheme="minorHAnsi"/>
          <w:sz w:val="20"/>
          <w:szCs w:val="20"/>
          <w:lang w:val="fr-FR"/>
        </w:rPr>
        <w:t>[</w:t>
      </w:r>
      <w:r w:rsidRPr="000E53A0">
        <w:rPr>
          <w:rFonts w:asciiTheme="minorHAnsi" w:hAnsiTheme="minorHAnsi" w:cstheme="minorHAnsi"/>
          <w:sz w:val="20"/>
          <w:szCs w:val="20"/>
          <w:highlight w:val="yellow"/>
          <w:lang w:val="fr-FR"/>
        </w:rPr>
        <w:t xml:space="preserve">Nom de l'Agence des Nations Unies/OIG] </w:t>
      </w:r>
      <w:r w:rsidRPr="000E53A0">
        <w:rPr>
          <w:rFonts w:asciiTheme="minorHAnsi" w:hAnsiTheme="minorHAnsi" w:cstheme="minorHAnsi"/>
          <w:sz w:val="20"/>
          <w:szCs w:val="20"/>
          <w:lang w:val="fr-FR"/>
        </w:rPr>
        <w:t>se réserve le droit de vérifier si un tel plan est en place, et de suggérer des modifications au plan si nécessaire. Le fait de ne pas maintenir et de ne pas mettre en œuvre un plan de sécurité approprié tel que requis par les présentes sera considéré comme une violation des obligations de la partie responsable, du sous-traitant et du sous-récipiendaire en vertu du présent document de projet.</w:t>
      </w:r>
    </w:p>
    <w:p w14:paraId="5B823601" w14:textId="77777777" w:rsidR="00601D9B" w:rsidRPr="000E53A0" w:rsidRDefault="000E53A0">
      <w:pPr>
        <w:pStyle w:val="Textebrut"/>
        <w:numPr>
          <w:ilvl w:val="1"/>
          <w:numId w:val="16"/>
        </w:numPr>
        <w:spacing w:after="240"/>
        <w:jc w:val="both"/>
        <w:rPr>
          <w:rFonts w:asciiTheme="minorHAnsi" w:hAnsiTheme="minorHAnsi" w:cstheme="minorHAnsi"/>
          <w:sz w:val="20"/>
          <w:szCs w:val="20"/>
          <w:lang w:val="fr-FR"/>
        </w:rPr>
      </w:pPr>
      <w:r w:rsidRPr="000E53A0">
        <w:rPr>
          <w:rFonts w:asciiTheme="minorHAnsi" w:hAnsiTheme="minorHAnsi" w:cstheme="minorHAnsi"/>
          <w:sz w:val="20"/>
          <w:szCs w:val="20"/>
          <w:lang w:val="fr-FR"/>
        </w:rPr>
        <w:t xml:space="preserve">Dans le cadre de l'exécution des activités de ce projet, </w:t>
      </w:r>
      <w:r w:rsidRPr="000E53A0">
        <w:rPr>
          <w:rFonts w:asciiTheme="minorHAnsi" w:hAnsiTheme="minorHAnsi" w:cstheme="minorHAnsi"/>
          <w:sz w:val="20"/>
          <w:szCs w:val="20"/>
          <w:highlight w:val="yellow"/>
          <w:lang w:val="fr-FR"/>
        </w:rPr>
        <w:t>[Nom de l'Agence des Nations Unies/OIG]</w:t>
      </w:r>
      <w:r w:rsidRPr="000E53A0">
        <w:rPr>
          <w:rFonts w:asciiTheme="minorHAnsi" w:hAnsiTheme="minorHAnsi" w:cstheme="minorHAnsi"/>
          <w:sz w:val="20"/>
          <w:szCs w:val="20"/>
          <w:lang w:val="fr-FR"/>
        </w:rPr>
        <w:t>, en tant que partenaire de mise en œuvre, doit s'assurer, en ce qui concerne les activités de ses parties responsables, sous-récipiendaires et autres entités engagées dans le cadre du projet, que ce soit en tant que contractants ou sous-traitants, leur personnel et toute personne fournissant des services pour eux, que ces entités ont mis en place des procédures, des processus et des politiques adéquats et appropriés pour prévenir et/ou traiter les EES et les SH.</w:t>
      </w:r>
    </w:p>
    <w:p w14:paraId="2D5EA82B" w14:textId="77777777" w:rsidR="00601D9B" w:rsidRPr="000E53A0" w:rsidRDefault="000E53A0">
      <w:pPr>
        <w:pStyle w:val="Textebrut"/>
        <w:numPr>
          <w:ilvl w:val="0"/>
          <w:numId w:val="16"/>
        </w:numPr>
        <w:spacing w:after="240"/>
        <w:ind w:left="360"/>
        <w:jc w:val="both"/>
        <w:rPr>
          <w:rFonts w:asciiTheme="minorHAnsi" w:hAnsiTheme="minorHAnsi" w:cstheme="minorHAnsi"/>
          <w:sz w:val="20"/>
          <w:szCs w:val="20"/>
          <w:lang w:val="fr-FR"/>
        </w:rPr>
      </w:pPr>
      <w:r w:rsidRPr="000E53A0">
        <w:rPr>
          <w:rFonts w:asciiTheme="minorHAnsi" w:hAnsiTheme="minorHAnsi" w:cstheme="minorHAnsi"/>
          <w:sz w:val="20"/>
          <w:szCs w:val="20"/>
          <w:highlight w:val="yellow"/>
          <w:lang w:val="fr-FR"/>
        </w:rPr>
        <w:lastRenderedPageBreak/>
        <w:t>[Nom de l'Agence des Nations Unies/OIG</w:t>
      </w:r>
      <w:r w:rsidRPr="000E53A0">
        <w:rPr>
          <w:rFonts w:asciiTheme="minorHAnsi" w:hAnsiTheme="minorHAnsi" w:cstheme="minorHAnsi"/>
          <w:sz w:val="20"/>
          <w:szCs w:val="20"/>
          <w:lang w:val="fr-FR"/>
        </w:rPr>
        <w:t>] accepte de déployer tous les efforts raisonnables pour s'assurer qu'aucun des [fonds du projet]</w:t>
      </w:r>
      <w:r w:rsidRPr="00107491">
        <w:rPr>
          <w:rStyle w:val="Appelnotedebasdep"/>
          <w:rFonts w:asciiTheme="minorHAnsi" w:hAnsiTheme="minorHAnsi" w:cstheme="minorHAnsi"/>
          <w:sz w:val="20"/>
          <w:szCs w:val="20"/>
        </w:rPr>
        <w:footnoteReference w:id="88"/>
      </w:r>
      <w:r w:rsidRPr="000E53A0">
        <w:rPr>
          <w:rFonts w:asciiTheme="minorHAnsi" w:hAnsiTheme="minorHAnsi" w:cstheme="minorHAnsi"/>
          <w:sz w:val="20"/>
          <w:szCs w:val="20"/>
          <w:lang w:val="fr-FR"/>
        </w:rPr>
        <w:t xml:space="preserve"> [fonds du PNUD reçus en vertu du document de projet]</w:t>
      </w:r>
      <w:r w:rsidRPr="00107491">
        <w:rPr>
          <w:rStyle w:val="Appelnotedebasdep"/>
          <w:rFonts w:asciiTheme="minorHAnsi" w:hAnsiTheme="minorHAnsi" w:cstheme="minorHAnsi"/>
          <w:sz w:val="20"/>
          <w:szCs w:val="20"/>
        </w:rPr>
        <w:footnoteReference w:id="89"/>
      </w:r>
      <w:r w:rsidRPr="000E53A0">
        <w:rPr>
          <w:rFonts w:asciiTheme="minorHAnsi" w:hAnsiTheme="minorHAnsi" w:cstheme="minorHAnsi"/>
          <w:sz w:val="20"/>
          <w:szCs w:val="20"/>
          <w:lang w:val="fr-FR"/>
        </w:rPr>
        <w:t xml:space="preserve"> n'est utilisé pour fournir un soutien à des individus ou des entités associés au terrorisme et que les bénéficiaires des montants fournis par le PNUD en vertu des présentes ne figurent pas sur la liste tenue par le Comité du Conseil de sécurité établi en vertu de la résolution 1267 (1999). Cette liste peut être consultée sur le site </w:t>
      </w:r>
      <w:r w:rsidRPr="000E53A0">
        <w:rPr>
          <w:rFonts w:asciiTheme="minorHAnsi" w:hAnsiTheme="minorHAnsi" w:cstheme="minorHAnsi"/>
          <w:color w:val="000080"/>
          <w:sz w:val="20"/>
          <w:szCs w:val="20"/>
          <w:lang w:val="fr-FR"/>
        </w:rPr>
        <w:t xml:space="preserve">http://www.un.org/sc/committees/1267/aq_sanctions_list.shtml. </w:t>
      </w:r>
      <w:r w:rsidRPr="000E53A0">
        <w:rPr>
          <w:rFonts w:asciiTheme="minorHAnsi" w:hAnsiTheme="minorHAnsi" w:cstheme="minorHAnsi"/>
          <w:sz w:val="20"/>
          <w:szCs w:val="20"/>
          <w:lang w:val="fr-FR"/>
        </w:rPr>
        <w:t xml:space="preserve"> </w:t>
      </w:r>
    </w:p>
    <w:p w14:paraId="2366515D" w14:textId="77777777" w:rsidR="00601D9B" w:rsidRPr="000E53A0" w:rsidRDefault="000E53A0">
      <w:pPr>
        <w:pStyle w:val="Paragraphedeliste"/>
        <w:numPr>
          <w:ilvl w:val="0"/>
          <w:numId w:val="16"/>
        </w:numPr>
        <w:spacing w:before="100" w:beforeAutospacing="1" w:after="240"/>
        <w:ind w:left="360"/>
        <w:jc w:val="both"/>
        <w:rPr>
          <w:rFonts w:asciiTheme="minorHAnsi" w:hAnsiTheme="minorHAnsi" w:cstheme="minorHAnsi"/>
          <w:sz w:val="20"/>
          <w:szCs w:val="20"/>
          <w:u w:val="single"/>
          <w:lang w:val="fr-FR"/>
        </w:rPr>
      </w:pPr>
      <w:r w:rsidRPr="000E53A0">
        <w:rPr>
          <w:rFonts w:asciiTheme="minorHAnsi" w:hAnsiTheme="minorHAnsi" w:cstheme="minorHAnsi"/>
          <w:sz w:val="20"/>
          <w:szCs w:val="20"/>
          <w:lang w:val="fr-FR"/>
        </w:rPr>
        <w:t xml:space="preserve">La durabilité sociale et environnementale sera renforcée par l'application des normes sociales et environnementales du PNUD (http://www.undp.org/ses) et du mécanisme de responsabilisation correspondant (http://www.undp.org/secu-srm).  </w:t>
      </w:r>
      <w:r w:rsidRPr="000E53A0">
        <w:rPr>
          <w:rFonts w:asciiTheme="minorHAnsi" w:hAnsiTheme="minorHAnsi" w:cstheme="minorHAnsi"/>
          <w:color w:val="000000"/>
          <w:sz w:val="20"/>
          <w:szCs w:val="20"/>
          <w:lang w:val="fr-FR"/>
        </w:rPr>
        <w:t xml:space="preserve"> </w:t>
      </w:r>
    </w:p>
    <w:p w14:paraId="274C2B29" w14:textId="77777777" w:rsidR="00601D9B" w:rsidRPr="000E53A0" w:rsidRDefault="000E53A0">
      <w:pPr>
        <w:pStyle w:val="Default"/>
        <w:numPr>
          <w:ilvl w:val="0"/>
          <w:numId w:val="16"/>
        </w:numPr>
        <w:ind w:left="360"/>
        <w:jc w:val="both"/>
        <w:rPr>
          <w:rFonts w:asciiTheme="minorHAnsi" w:hAnsiTheme="minorHAnsi" w:cstheme="minorHAnsi"/>
          <w:sz w:val="20"/>
          <w:szCs w:val="20"/>
          <w:lang w:val="fr-FR"/>
        </w:rPr>
      </w:pPr>
      <w:r w:rsidRPr="000E53A0">
        <w:rPr>
          <w:rFonts w:asciiTheme="minorHAnsi" w:hAnsiTheme="minorHAnsi" w:cstheme="minorHAnsi"/>
          <w:color w:val="101010"/>
          <w:spacing w:val="-6"/>
          <w:kern w:val="1"/>
          <w:sz w:val="20"/>
          <w:szCs w:val="20"/>
          <w:lang w:val="fr-FR"/>
        </w:rPr>
        <w:t xml:space="preserve">Le Partenaire de mise en œuvre doit : (a) mener les activités liées au projet et au programme d'une manière conforme aux normes sociales et environnementales du PNUD, (b) mettre en œuvre tout plan de gestion ou d'atténuation préparé pour le projet ou le programme afin de se conformer à ces normes, et (c) s'engager de manière constructive et opportune à répondre à toutes les préoccupations et plaintes soulevées par le biais du mécanisme de responsabilisation. Le </w:t>
      </w:r>
      <w:r w:rsidRPr="000E53A0">
        <w:rPr>
          <w:rFonts w:asciiTheme="minorHAnsi" w:hAnsiTheme="minorHAnsi" w:cstheme="minorHAnsi"/>
          <w:color w:val="141414"/>
          <w:spacing w:val="-4"/>
          <w:sz w:val="20"/>
          <w:szCs w:val="20"/>
          <w:lang w:val="fr-FR"/>
        </w:rPr>
        <w:t xml:space="preserve">PNUD </w:t>
      </w:r>
      <w:r w:rsidRPr="000E53A0">
        <w:rPr>
          <w:rFonts w:asciiTheme="minorHAnsi" w:hAnsiTheme="minorHAnsi" w:cstheme="minorHAnsi"/>
          <w:sz w:val="20"/>
          <w:szCs w:val="20"/>
          <w:lang w:val="fr-FR"/>
        </w:rPr>
        <w:t xml:space="preserve">veillera à ce que les communautés et les autres parties prenantes du projet soient informées du mécanisme de responsabilisation et y aient accès. </w:t>
      </w:r>
    </w:p>
    <w:p w14:paraId="30209D96" w14:textId="77777777" w:rsidR="00601D9B" w:rsidRPr="000E53A0" w:rsidRDefault="000E53A0">
      <w:pPr>
        <w:pStyle w:val="Paragraphedeliste"/>
        <w:numPr>
          <w:ilvl w:val="0"/>
          <w:numId w:val="16"/>
        </w:numPr>
        <w:spacing w:before="240" w:after="240"/>
        <w:ind w:left="360"/>
        <w:jc w:val="both"/>
        <w:rPr>
          <w:rFonts w:asciiTheme="minorHAnsi" w:hAnsiTheme="minorHAnsi" w:cstheme="minorHAnsi"/>
          <w:spacing w:val="-4"/>
          <w:sz w:val="20"/>
          <w:szCs w:val="20"/>
          <w:lang w:val="fr-FR"/>
        </w:rPr>
      </w:pPr>
      <w:r w:rsidRPr="000E53A0">
        <w:rPr>
          <w:rFonts w:asciiTheme="minorHAnsi" w:hAnsiTheme="minorHAnsi" w:cstheme="minorHAnsi"/>
          <w:spacing w:val="-4"/>
          <w:sz w:val="20"/>
          <w:szCs w:val="20"/>
          <w:lang w:val="fr-FR"/>
        </w:rPr>
        <w:t>Tous les signataires du document de projet doivent coopérer de bonne foi à tout exercice visant à évaluer les engagements liés au programme ou au projet ou la conformité aux normes sociales et environnementales du PNUD. Cela inclut l'accès aux sites du projet, au personnel concerné, aux informations et à la documentation.</w:t>
      </w:r>
    </w:p>
    <w:p w14:paraId="6E4A473A" w14:textId="77777777" w:rsidR="00601D9B" w:rsidRPr="000E53A0" w:rsidRDefault="000E53A0">
      <w:pPr>
        <w:numPr>
          <w:ilvl w:val="0"/>
          <w:numId w:val="16"/>
        </w:numPr>
        <w:autoSpaceDE w:val="0"/>
        <w:autoSpaceDN w:val="0"/>
        <w:adjustRightInd w:val="0"/>
        <w:ind w:left="360"/>
        <w:rPr>
          <w:rFonts w:asciiTheme="minorHAnsi" w:eastAsia="Calibri" w:hAnsiTheme="minorHAnsi" w:cstheme="minorHAnsi"/>
          <w:color w:val="000000"/>
          <w:sz w:val="20"/>
          <w:szCs w:val="20"/>
          <w:lang w:val="fr-FR"/>
        </w:rPr>
      </w:pPr>
      <w:r w:rsidRPr="000E53A0">
        <w:rPr>
          <w:rFonts w:asciiTheme="minorHAnsi" w:eastAsia="Calibri" w:hAnsiTheme="minorHAnsi" w:cstheme="minorHAnsi"/>
          <w:color w:val="000000"/>
          <w:sz w:val="20"/>
          <w:szCs w:val="20"/>
          <w:lang w:val="fr-FR"/>
        </w:rPr>
        <w:t>Le Partenaire d'exécution prendra les mesures appropriées pour empêcher l'utilisation abusive des fonds, la fraude ou la corruption, par ses fonctionnaires, consultants, parties responsables, sous-traitants et sous-récipiendaires dans la mise en œuvre du projet ou du programme ou l'utilisation des fonds du PNUD.  Le Partenaire d'exécution s'assurera que ses politiques de gestion financière, de lutte contre la corruption et la fraude sont en place et appliquées pour tous les financements reçus du PNUD ou par son intermédiaire.</w:t>
      </w:r>
    </w:p>
    <w:p w14:paraId="329B5DB4" w14:textId="77777777" w:rsidR="006C181C" w:rsidRPr="000E53A0" w:rsidRDefault="006C181C" w:rsidP="006C181C">
      <w:pPr>
        <w:autoSpaceDE w:val="0"/>
        <w:autoSpaceDN w:val="0"/>
        <w:adjustRightInd w:val="0"/>
        <w:ind w:left="360"/>
        <w:rPr>
          <w:rFonts w:asciiTheme="minorHAnsi" w:eastAsia="Calibri" w:hAnsiTheme="minorHAnsi" w:cstheme="minorHAnsi"/>
          <w:color w:val="000000"/>
          <w:sz w:val="20"/>
          <w:szCs w:val="20"/>
          <w:lang w:val="fr-FR"/>
        </w:rPr>
      </w:pPr>
    </w:p>
    <w:p w14:paraId="0D668FF2" w14:textId="77777777" w:rsidR="00601D9B" w:rsidRPr="000E53A0" w:rsidRDefault="000E53A0">
      <w:pPr>
        <w:numPr>
          <w:ilvl w:val="0"/>
          <w:numId w:val="16"/>
        </w:numPr>
        <w:autoSpaceDE w:val="0"/>
        <w:autoSpaceDN w:val="0"/>
        <w:adjustRightInd w:val="0"/>
        <w:ind w:left="360"/>
        <w:rPr>
          <w:rFonts w:asciiTheme="minorHAnsi" w:eastAsia="Calibri" w:hAnsiTheme="minorHAnsi" w:cstheme="minorHAnsi"/>
          <w:color w:val="000000"/>
          <w:sz w:val="20"/>
          <w:szCs w:val="20"/>
          <w:lang w:val="fr-FR"/>
        </w:rPr>
      </w:pPr>
      <w:r w:rsidRPr="000E53A0">
        <w:rPr>
          <w:rFonts w:asciiTheme="minorHAnsi" w:eastAsia="Calibri" w:hAnsiTheme="minorHAnsi" w:cstheme="minorHAnsi"/>
          <w:sz w:val="20"/>
          <w:szCs w:val="20"/>
          <w:lang w:val="fr-FR"/>
        </w:rPr>
        <w:t>[</w:t>
      </w:r>
      <w:r w:rsidRPr="000E53A0">
        <w:rPr>
          <w:rFonts w:asciiTheme="minorHAnsi" w:eastAsia="Calibri" w:hAnsiTheme="minorHAnsi" w:cstheme="minorHAnsi"/>
          <w:i/>
          <w:color w:val="000000"/>
          <w:sz w:val="20"/>
          <w:szCs w:val="20"/>
          <w:highlight w:val="yellow"/>
          <w:lang w:val="fr-FR"/>
        </w:rPr>
        <w:t xml:space="preserve">Ce texte doit être inclus lorsque le partenaire d'exécution n'est pas une OIG des Nations Unies </w:t>
      </w:r>
      <w:r w:rsidRPr="000E53A0">
        <w:rPr>
          <w:rFonts w:asciiTheme="minorHAnsi" w:eastAsia="Calibri" w:hAnsiTheme="minorHAnsi" w:cstheme="minorHAnsi"/>
          <w:color w:val="000000"/>
          <w:sz w:val="20"/>
          <w:szCs w:val="20"/>
          <w:highlight w:val="yellow"/>
          <w:lang w:val="fr-FR"/>
        </w:rPr>
        <w:t xml:space="preserve">: Les </w:t>
      </w:r>
      <w:r w:rsidRPr="000E53A0">
        <w:rPr>
          <w:rFonts w:asciiTheme="minorHAnsi" w:eastAsia="Calibri" w:hAnsiTheme="minorHAnsi" w:cstheme="minorHAnsi"/>
          <w:color w:val="000000"/>
          <w:sz w:val="20"/>
          <w:szCs w:val="20"/>
          <w:lang w:val="fr-FR"/>
        </w:rPr>
        <w:t xml:space="preserve">exigences des documents suivants, alors en vigueur au moment de la signature du document de projet, s'appliquent au partenaire d'exécution : </w:t>
      </w:r>
      <w:r w:rsidRPr="000E53A0">
        <w:rPr>
          <w:rFonts w:asciiTheme="minorHAnsi" w:eastAsia="Calibri" w:hAnsiTheme="minorHAnsi" w:cstheme="minorHAnsi"/>
          <w:bCs/>
          <w:color w:val="000000"/>
          <w:sz w:val="20"/>
          <w:szCs w:val="20"/>
          <w:lang w:val="fr-FR"/>
        </w:rPr>
        <w:t xml:space="preserve">(a) la </w:t>
      </w:r>
      <w:r w:rsidRPr="000E53A0">
        <w:rPr>
          <w:rFonts w:asciiTheme="minorHAnsi" w:eastAsia="Calibri" w:hAnsiTheme="minorHAnsi" w:cstheme="minorHAnsi"/>
          <w:color w:val="000000"/>
          <w:sz w:val="20"/>
          <w:szCs w:val="20"/>
          <w:lang w:val="fr-FR"/>
        </w:rPr>
        <w:t xml:space="preserve">politique du PNUD en matière de fraude et autres pratiques de corruption et </w:t>
      </w:r>
      <w:r w:rsidRPr="000E53A0">
        <w:rPr>
          <w:rFonts w:asciiTheme="minorHAnsi" w:eastAsia="Calibri" w:hAnsiTheme="minorHAnsi" w:cstheme="minorHAnsi"/>
          <w:bCs/>
          <w:color w:val="000000"/>
          <w:sz w:val="20"/>
          <w:szCs w:val="20"/>
          <w:lang w:val="fr-FR"/>
        </w:rPr>
        <w:t xml:space="preserve">(b) les </w:t>
      </w:r>
      <w:r w:rsidRPr="000E53A0">
        <w:rPr>
          <w:rFonts w:asciiTheme="minorHAnsi" w:eastAsia="Calibri" w:hAnsiTheme="minorHAnsi" w:cstheme="minorHAnsi"/>
          <w:color w:val="000000"/>
          <w:sz w:val="20"/>
          <w:szCs w:val="20"/>
          <w:lang w:val="fr-FR"/>
        </w:rPr>
        <w:t xml:space="preserve">directives d'enquête du Bureau de l'audit et des enquêtes du PNUD. </w:t>
      </w:r>
      <w:r w:rsidRPr="000E53A0">
        <w:rPr>
          <w:rFonts w:asciiTheme="minorHAnsi" w:eastAsia="Calibri" w:hAnsiTheme="minorHAnsi" w:cstheme="minorHAnsi"/>
          <w:sz w:val="20"/>
          <w:szCs w:val="20"/>
          <w:lang w:val="fr-FR"/>
        </w:rPr>
        <w:t xml:space="preserve">Le partenaire de mise en œuvre accepte les exigences des documents susmentionnés, qui font partie intégrante du présent document de projet et sont disponibles en ligne à l'adresse suivante : </w:t>
      </w:r>
      <w:hyperlink r:id="rId41" w:history="1">
        <w:r w:rsidRPr="000E53A0">
          <w:rPr>
            <w:rStyle w:val="Lienhypertexte"/>
            <w:rFonts w:asciiTheme="minorHAnsi" w:eastAsia="Calibri" w:hAnsiTheme="minorHAnsi" w:cstheme="minorHAnsi"/>
            <w:sz w:val="20"/>
            <w:szCs w:val="20"/>
            <w:lang w:val="fr-FR"/>
          </w:rPr>
          <w:t>www.</w:t>
        </w:r>
      </w:hyperlink>
      <w:r w:rsidRPr="000E53A0">
        <w:rPr>
          <w:rFonts w:asciiTheme="minorHAnsi" w:eastAsia="Calibri" w:hAnsiTheme="minorHAnsi" w:cstheme="minorHAnsi"/>
          <w:sz w:val="20"/>
          <w:szCs w:val="20"/>
          <w:lang w:val="fr-FR"/>
        </w:rPr>
        <w:t>undp.org.]</w:t>
      </w:r>
    </w:p>
    <w:p w14:paraId="32ACEA51" w14:textId="77777777" w:rsidR="006C181C" w:rsidRPr="000E53A0" w:rsidRDefault="006C181C" w:rsidP="006C181C">
      <w:pPr>
        <w:autoSpaceDE w:val="0"/>
        <w:autoSpaceDN w:val="0"/>
        <w:adjustRightInd w:val="0"/>
        <w:ind w:left="360"/>
        <w:rPr>
          <w:rFonts w:asciiTheme="minorHAnsi" w:eastAsia="Calibri" w:hAnsiTheme="minorHAnsi" w:cstheme="minorHAnsi"/>
          <w:color w:val="000000"/>
          <w:sz w:val="20"/>
          <w:szCs w:val="20"/>
          <w:lang w:val="fr-FR"/>
        </w:rPr>
      </w:pPr>
    </w:p>
    <w:p w14:paraId="2EA5F021" w14:textId="77777777" w:rsidR="00601D9B" w:rsidRPr="000E53A0" w:rsidRDefault="000E53A0">
      <w:pPr>
        <w:numPr>
          <w:ilvl w:val="0"/>
          <w:numId w:val="16"/>
        </w:numPr>
        <w:autoSpaceDE w:val="0"/>
        <w:autoSpaceDN w:val="0"/>
        <w:adjustRightInd w:val="0"/>
        <w:ind w:left="360"/>
        <w:rPr>
          <w:rFonts w:asciiTheme="minorHAnsi" w:eastAsia="Calibri" w:hAnsiTheme="minorHAnsi" w:cstheme="minorHAnsi"/>
          <w:color w:val="000000"/>
          <w:sz w:val="20"/>
          <w:szCs w:val="20"/>
          <w:lang w:val="fr-FR"/>
        </w:rPr>
      </w:pPr>
      <w:r w:rsidRPr="000E53A0">
        <w:rPr>
          <w:rFonts w:asciiTheme="minorHAnsi" w:hAnsiTheme="minorHAnsi" w:cstheme="minorHAnsi"/>
          <w:color w:val="000000"/>
          <w:sz w:val="20"/>
          <w:szCs w:val="20"/>
          <w:lang w:val="fr-FR"/>
        </w:rPr>
        <w:t>[</w:t>
      </w:r>
      <w:r w:rsidRPr="000E53A0">
        <w:rPr>
          <w:rFonts w:asciiTheme="minorHAnsi" w:eastAsia="Calibri" w:hAnsiTheme="minorHAnsi" w:cstheme="minorHAnsi"/>
          <w:color w:val="000000"/>
          <w:sz w:val="20"/>
          <w:szCs w:val="20"/>
          <w:lang w:val="fr-FR"/>
        </w:rPr>
        <w:t xml:space="preserve">Dans le cas </w:t>
      </w:r>
      <w:r w:rsidRPr="000E53A0">
        <w:rPr>
          <w:rFonts w:asciiTheme="minorHAnsi" w:hAnsiTheme="minorHAnsi" w:cstheme="minorHAnsi"/>
          <w:color w:val="000000"/>
          <w:sz w:val="20"/>
          <w:szCs w:val="20"/>
          <w:lang w:val="fr-FR"/>
        </w:rPr>
        <w:t>où une enquête est nécessaire, le PNUD a l'obligation de mener des enquêtes relatives à tout aspect des projets ou programmes du PNUD. Le Partenaire d'exécution doit apporter sa pleine coopération, y compris en mettant à disposition du personnel, des documents pertinents et en accordant l'accès à ses locaux (ainsi qu'à ceux de ses consultants, parties responsables, sous-traitants et sous-récipiendaires), à des fins, à des moments et à des conditions raisonnables, qui peuvent être nécessaires aux fins d'une enquête. En cas de limitation du respect de cette obligation, le PNUD consulte le Partenaire d'exécution pour trouver une solution].</w:t>
      </w:r>
    </w:p>
    <w:p w14:paraId="2EF9FF80" w14:textId="77777777" w:rsidR="006C181C" w:rsidRPr="000E53A0" w:rsidRDefault="006C181C" w:rsidP="006C181C">
      <w:pPr>
        <w:rPr>
          <w:rFonts w:asciiTheme="minorHAnsi" w:eastAsia="Calibri" w:hAnsiTheme="minorHAnsi" w:cstheme="minorHAnsi"/>
          <w:color w:val="000000"/>
          <w:sz w:val="20"/>
          <w:szCs w:val="20"/>
          <w:lang w:val="fr-FR"/>
        </w:rPr>
      </w:pPr>
    </w:p>
    <w:p w14:paraId="47CB9F5A" w14:textId="77777777" w:rsidR="00601D9B" w:rsidRPr="000E53A0" w:rsidRDefault="000E53A0">
      <w:pPr>
        <w:numPr>
          <w:ilvl w:val="0"/>
          <w:numId w:val="16"/>
        </w:numPr>
        <w:ind w:left="360"/>
        <w:rPr>
          <w:rFonts w:asciiTheme="minorHAnsi" w:hAnsiTheme="minorHAnsi" w:cstheme="minorHAnsi"/>
          <w:sz w:val="20"/>
          <w:szCs w:val="20"/>
          <w:lang w:val="fr-FR"/>
        </w:rPr>
      </w:pPr>
      <w:r w:rsidRPr="000E53A0">
        <w:rPr>
          <w:rFonts w:asciiTheme="minorHAnsi" w:hAnsiTheme="minorHAnsi" w:cstheme="minorHAnsi"/>
          <w:sz w:val="20"/>
          <w:szCs w:val="20"/>
          <w:lang w:val="fr-FR"/>
        </w:rPr>
        <w:t>Le Partenaire d'exécution et le PNUD s'informeront rapidement l'un l'autre de toute incidence d'utilisation inappropriée des fonds, ou de toute allégation crédible de fraude ou de corruption, dans le respect de la confidentialité.</w:t>
      </w:r>
    </w:p>
    <w:p w14:paraId="69AD0EF8" w14:textId="77777777" w:rsidR="006C181C" w:rsidRPr="000E53A0" w:rsidRDefault="006C181C" w:rsidP="006C181C">
      <w:pPr>
        <w:ind w:left="360"/>
        <w:rPr>
          <w:rFonts w:asciiTheme="minorHAnsi" w:hAnsiTheme="minorHAnsi" w:cstheme="minorHAnsi"/>
          <w:sz w:val="20"/>
          <w:szCs w:val="20"/>
          <w:lang w:val="fr-FR"/>
        </w:rPr>
      </w:pPr>
    </w:p>
    <w:p w14:paraId="2F2420AD" w14:textId="77777777" w:rsidR="00601D9B" w:rsidRPr="000E53A0" w:rsidRDefault="000E53A0">
      <w:pPr>
        <w:ind w:left="360"/>
        <w:rPr>
          <w:rFonts w:asciiTheme="minorHAnsi" w:eastAsia="Calibri" w:hAnsiTheme="minorHAnsi" w:cstheme="minorHAnsi"/>
          <w:color w:val="000000"/>
          <w:sz w:val="20"/>
          <w:szCs w:val="20"/>
          <w:lang w:val="fr-FR"/>
        </w:rPr>
      </w:pPr>
      <w:r w:rsidRPr="000E53A0">
        <w:rPr>
          <w:rFonts w:asciiTheme="minorHAnsi" w:hAnsiTheme="minorHAnsi" w:cstheme="minorHAnsi"/>
          <w:sz w:val="20"/>
          <w:szCs w:val="20"/>
          <w:lang w:val="fr-FR"/>
        </w:rPr>
        <w:lastRenderedPageBreak/>
        <w:t>Lorsque le Partenaire d'exécution apprend qu'un projet ou une activité du PNUD, en totalité ou en partie, fait l'objet d'une enquête pour fraude/corruption présumée, il en informe le Représentant résident/Chef de bureau du PNUD, qui informe rapidement le Bureau de l'audit et des investigations (OAI) du PNUD. Le Partenaire d'exécution doit fournir des mises à jour régulières au chef du PNUD dans le pays et au OAI sur l'état d'avancement et les actions relatives à cette enquête.</w:t>
      </w:r>
    </w:p>
    <w:p w14:paraId="18066BDC" w14:textId="77777777" w:rsidR="006C181C" w:rsidRPr="000E53A0" w:rsidRDefault="006C181C" w:rsidP="006C181C">
      <w:pPr>
        <w:ind w:left="360"/>
        <w:rPr>
          <w:rFonts w:asciiTheme="minorHAnsi" w:hAnsiTheme="minorHAnsi" w:cstheme="minorHAnsi"/>
          <w:b/>
          <w:sz w:val="20"/>
          <w:szCs w:val="20"/>
          <w:lang w:val="fr-FR"/>
        </w:rPr>
      </w:pPr>
    </w:p>
    <w:p w14:paraId="496496B0" w14:textId="77777777" w:rsidR="00601D9B" w:rsidRPr="000E53A0" w:rsidRDefault="000E53A0">
      <w:pPr>
        <w:pStyle w:val="Paragraphedeliste"/>
        <w:numPr>
          <w:ilvl w:val="0"/>
          <w:numId w:val="16"/>
        </w:numPr>
        <w:ind w:left="360"/>
        <w:rPr>
          <w:rFonts w:asciiTheme="minorHAnsi" w:eastAsia="Calibri" w:hAnsiTheme="minorHAnsi" w:cstheme="minorHAnsi"/>
          <w:color w:val="000000"/>
          <w:sz w:val="20"/>
          <w:szCs w:val="20"/>
          <w:lang w:val="fr-FR"/>
        </w:rPr>
      </w:pPr>
      <w:r w:rsidRPr="000E53A0">
        <w:rPr>
          <w:rFonts w:asciiTheme="minorHAnsi" w:hAnsiTheme="minorHAnsi" w:cstheme="minorHAnsi"/>
          <w:sz w:val="20"/>
          <w:szCs w:val="20"/>
          <w:lang w:val="fr-FR"/>
        </w:rPr>
        <w:t>Le PNUD a le droit de se faire rembourser par le Partenaire d'exécution tous les fonds fournis qui ont été utilisés de manière inappropriée, y compris par fraude ou corruption, ou qui ont été payés autrement que conformément aux termes et conditions du présent Document de projet.  Ce montant peut être déduit par le PNUD de tout paiement dû au Partenaire d'exécution en vertu du présent accord ou de tout autre accord.  Le recouvrement de ce montant par le PNUD ne diminue ni ne réduit les obligations du partenaire d'exécution au titre du présent document de projet.</w:t>
      </w:r>
    </w:p>
    <w:p w14:paraId="32F5A785" w14:textId="77777777" w:rsidR="006C181C" w:rsidRPr="000E53A0" w:rsidRDefault="006C181C" w:rsidP="005B6E15">
      <w:pPr>
        <w:rPr>
          <w:rFonts w:asciiTheme="minorHAnsi" w:hAnsiTheme="minorHAnsi" w:cstheme="minorHAnsi"/>
          <w:b/>
          <w:sz w:val="20"/>
          <w:szCs w:val="20"/>
          <w:lang w:val="fr-FR"/>
        </w:rPr>
      </w:pPr>
    </w:p>
    <w:p w14:paraId="15285B08" w14:textId="77777777" w:rsidR="00601D9B" w:rsidRPr="000E53A0" w:rsidRDefault="000E53A0">
      <w:pPr>
        <w:ind w:left="360"/>
        <w:rPr>
          <w:rFonts w:asciiTheme="minorHAnsi" w:hAnsiTheme="minorHAnsi" w:cstheme="minorHAnsi"/>
          <w:sz w:val="20"/>
          <w:szCs w:val="20"/>
          <w:lang w:val="fr-FR"/>
        </w:rPr>
      </w:pPr>
      <w:r w:rsidRPr="000E53A0">
        <w:rPr>
          <w:rFonts w:asciiTheme="minorHAnsi" w:hAnsiTheme="minorHAnsi" w:cstheme="minorHAnsi"/>
          <w:sz w:val="20"/>
          <w:szCs w:val="20"/>
          <w:lang w:val="fr-FR"/>
        </w:rPr>
        <w:t>Si ces fonds n'ont pas été remboursés au PNUD, le Partenaire d'exécution convient que les donateurs du PNUD (y compris le gouvernement) dont le financement est la source, en tout ou en partie, des fonds destinés aux activités prévues dans le présent Document de projet, peuvent faire appel au Partenaire d'exécution pour le recouvrement de tous les fonds dont le PNUD a déterminé qu'ils ont été utilisés de manière inappropriée, y compris par fraude ou corruption, ou payés autrement que conformément aux termes et conditions du Document de projet.</w:t>
      </w:r>
    </w:p>
    <w:p w14:paraId="483900D9" w14:textId="77777777" w:rsidR="006C181C" w:rsidRPr="000E53A0" w:rsidRDefault="006C181C" w:rsidP="006C181C">
      <w:pPr>
        <w:ind w:left="360"/>
        <w:rPr>
          <w:rFonts w:asciiTheme="minorHAnsi" w:hAnsiTheme="minorHAnsi" w:cstheme="minorHAnsi"/>
          <w:sz w:val="20"/>
          <w:szCs w:val="20"/>
          <w:lang w:val="fr-FR"/>
        </w:rPr>
      </w:pPr>
    </w:p>
    <w:p w14:paraId="4DE24E7C" w14:textId="77777777" w:rsidR="00601D9B" w:rsidRPr="000E53A0" w:rsidRDefault="000E53A0">
      <w:pPr>
        <w:ind w:left="360"/>
        <w:rPr>
          <w:rFonts w:asciiTheme="minorHAnsi" w:eastAsia="Calibri" w:hAnsiTheme="minorHAnsi" w:cstheme="minorHAnsi"/>
          <w:color w:val="000000"/>
          <w:sz w:val="20"/>
          <w:szCs w:val="20"/>
          <w:lang w:val="fr-FR"/>
        </w:rPr>
      </w:pPr>
      <w:r w:rsidRPr="000E53A0">
        <w:rPr>
          <w:rFonts w:asciiTheme="minorHAnsi" w:hAnsiTheme="minorHAnsi" w:cstheme="minorHAnsi"/>
          <w:i/>
          <w:sz w:val="20"/>
          <w:szCs w:val="20"/>
          <w:u w:val="single"/>
          <w:lang w:val="fr-FR"/>
        </w:rPr>
        <w:t xml:space="preserve">Note </w:t>
      </w:r>
      <w:r w:rsidRPr="000E53A0">
        <w:rPr>
          <w:rFonts w:asciiTheme="minorHAnsi" w:hAnsiTheme="minorHAnsi" w:cstheme="minorHAnsi"/>
          <w:i/>
          <w:sz w:val="20"/>
          <w:szCs w:val="20"/>
          <w:lang w:val="fr-FR"/>
        </w:rPr>
        <w:t xml:space="preserve">: </w:t>
      </w:r>
      <w:r w:rsidRPr="000E53A0">
        <w:rPr>
          <w:rFonts w:asciiTheme="minorHAnsi" w:hAnsiTheme="minorHAnsi" w:cstheme="minorHAnsi"/>
          <w:sz w:val="20"/>
          <w:szCs w:val="20"/>
          <w:lang w:val="fr-FR"/>
        </w:rPr>
        <w:t>Le terme "Document de projet" tel qu'il est utilisé dans cette clause est réputé inclure tout accord subsidiaire pertinent après le Document de projet, y compris ceux conclus avec les parties responsables, les sous-traitants et les sous-récipiendaires.</w:t>
      </w:r>
    </w:p>
    <w:p w14:paraId="7DE9DA16" w14:textId="77777777" w:rsidR="006C181C" w:rsidRPr="000E53A0" w:rsidRDefault="006C181C" w:rsidP="006C181C">
      <w:pPr>
        <w:ind w:left="360"/>
        <w:rPr>
          <w:rFonts w:asciiTheme="minorHAnsi" w:hAnsiTheme="minorHAnsi" w:cstheme="minorHAnsi"/>
          <w:sz w:val="20"/>
          <w:szCs w:val="20"/>
          <w:lang w:val="fr-FR"/>
        </w:rPr>
      </w:pPr>
    </w:p>
    <w:p w14:paraId="0F60858A" w14:textId="77777777" w:rsidR="00601D9B" w:rsidRPr="000E53A0" w:rsidRDefault="000E53A0">
      <w:pPr>
        <w:numPr>
          <w:ilvl w:val="0"/>
          <w:numId w:val="16"/>
        </w:numPr>
        <w:ind w:left="360"/>
        <w:rPr>
          <w:rFonts w:asciiTheme="minorHAnsi" w:hAnsiTheme="minorHAnsi" w:cstheme="minorHAnsi"/>
          <w:sz w:val="20"/>
          <w:szCs w:val="20"/>
          <w:lang w:val="fr-FR"/>
        </w:rPr>
      </w:pPr>
      <w:r w:rsidRPr="000E53A0">
        <w:rPr>
          <w:rFonts w:asciiTheme="minorHAnsi" w:hAnsiTheme="minorHAnsi" w:cstheme="minorHAnsi"/>
          <w:sz w:val="20"/>
          <w:szCs w:val="20"/>
          <w:lang w:val="fr-FR"/>
        </w:rPr>
        <w:t>Chaque contrat émis par le partenaire de mise en œuvre en relation avec le présent document de projet doit inclure une disposition indiquant qu'aucun frais, gratification, rabais, cadeau, commission ou autre paiement, autre que ceux indiqués dans la proposition, n'a été donné, reçu ou promis en relation avec le processus de sélection ou l'exécution du contrat, et que le bénéficiaire des fonds du partenaire de mise en œuvre doit coopérer avec toutes les enquêtes et tous les audits après paiement.</w:t>
      </w:r>
    </w:p>
    <w:p w14:paraId="04EFC93E" w14:textId="77777777" w:rsidR="006C181C" w:rsidRPr="000E53A0" w:rsidRDefault="006C181C" w:rsidP="006C181C">
      <w:pPr>
        <w:rPr>
          <w:rFonts w:asciiTheme="minorHAnsi" w:hAnsiTheme="minorHAnsi" w:cstheme="minorHAnsi"/>
          <w:sz w:val="20"/>
          <w:szCs w:val="20"/>
          <w:lang w:val="fr-FR"/>
        </w:rPr>
      </w:pPr>
    </w:p>
    <w:p w14:paraId="7E07F549" w14:textId="77777777" w:rsidR="00601D9B" w:rsidRPr="000E53A0" w:rsidRDefault="000E53A0">
      <w:pPr>
        <w:numPr>
          <w:ilvl w:val="0"/>
          <w:numId w:val="16"/>
        </w:numPr>
        <w:ind w:left="360"/>
        <w:rPr>
          <w:rFonts w:asciiTheme="minorHAnsi" w:hAnsiTheme="minorHAnsi" w:cstheme="minorHAnsi"/>
          <w:sz w:val="20"/>
          <w:szCs w:val="20"/>
          <w:lang w:val="fr-FR"/>
        </w:rPr>
      </w:pPr>
      <w:r w:rsidRPr="000E53A0">
        <w:rPr>
          <w:rFonts w:asciiTheme="minorHAnsi" w:hAnsiTheme="minorHAnsi" w:cstheme="minorHAnsi"/>
          <w:sz w:val="20"/>
          <w:szCs w:val="20"/>
          <w:lang w:val="fr-FR"/>
        </w:rPr>
        <w:t>Si le PNUD soumet aux autorités nationales compétentes, en vue d'une action en justice appropriée, des allégations d'actes répréhensibles liés au projet, le gouvernement veillera à ce que les autorités nationales compétentes mènent une enquête active et prennent des mesures juridiques appropriées à l'encontre de toutes les personnes dont il est établi qu'elles ont participé aux actes répréhensibles, recouvrent et restituent au PNUD tous les fonds récupérés.</w:t>
      </w:r>
    </w:p>
    <w:p w14:paraId="1259E057" w14:textId="77777777" w:rsidR="006C181C" w:rsidRPr="000E53A0" w:rsidRDefault="006C181C" w:rsidP="006C181C">
      <w:pPr>
        <w:rPr>
          <w:rFonts w:asciiTheme="minorHAnsi" w:hAnsiTheme="minorHAnsi" w:cstheme="minorHAnsi"/>
          <w:sz w:val="20"/>
          <w:szCs w:val="20"/>
          <w:lang w:val="fr-FR"/>
        </w:rPr>
      </w:pPr>
    </w:p>
    <w:p w14:paraId="1D0035F6" w14:textId="77777777" w:rsidR="00601D9B" w:rsidRPr="000E53A0" w:rsidRDefault="000E53A0">
      <w:pPr>
        <w:numPr>
          <w:ilvl w:val="0"/>
          <w:numId w:val="16"/>
        </w:numPr>
        <w:ind w:left="360"/>
        <w:rPr>
          <w:rFonts w:asciiTheme="minorHAnsi" w:hAnsiTheme="minorHAnsi" w:cstheme="minorHAnsi"/>
          <w:sz w:val="20"/>
          <w:szCs w:val="20"/>
          <w:lang w:val="fr-FR"/>
        </w:rPr>
      </w:pPr>
      <w:r w:rsidRPr="000E53A0">
        <w:rPr>
          <w:rFonts w:asciiTheme="minorHAnsi" w:hAnsiTheme="minorHAnsi" w:cstheme="minorHAnsi"/>
          <w:sz w:val="20"/>
          <w:szCs w:val="20"/>
          <w:lang w:val="fr-FR"/>
        </w:rPr>
        <w:t xml:space="preserve">Le partenaire de mise en œuvre doit s'assurer que toutes ses obligations énoncées dans la présente section intitulée " Clauses standard de gestion des risques " sont transmises à chaque partie responsable, sous-traitant et sous-récipiendaire et que toutes les clauses de la présente section intitulée " Gestion des risques " sont incluses, </w:t>
      </w:r>
      <w:r w:rsidRPr="000E53A0">
        <w:rPr>
          <w:rFonts w:asciiTheme="minorHAnsi" w:hAnsiTheme="minorHAnsi" w:cstheme="minorHAnsi"/>
          <w:i/>
          <w:sz w:val="20"/>
          <w:szCs w:val="20"/>
          <w:lang w:val="fr-FR"/>
        </w:rPr>
        <w:t>mutatis mutandis</w:t>
      </w:r>
      <w:r w:rsidRPr="000E53A0">
        <w:rPr>
          <w:rFonts w:asciiTheme="minorHAnsi" w:hAnsiTheme="minorHAnsi" w:cstheme="minorHAnsi"/>
          <w:sz w:val="20"/>
          <w:szCs w:val="20"/>
          <w:lang w:val="fr-FR"/>
        </w:rPr>
        <w:t>, dans tous les sous-contrats ou sous-accords conclus à la suite du présent document de projet.</w:t>
      </w:r>
    </w:p>
    <w:p w14:paraId="2C22D55E" w14:textId="77777777" w:rsidR="006C181C" w:rsidRPr="000E53A0" w:rsidRDefault="006C181C" w:rsidP="006C181C">
      <w:pPr>
        <w:rPr>
          <w:rFonts w:asciiTheme="minorHAnsi" w:hAnsiTheme="minorHAnsi" w:cstheme="minorHAnsi"/>
          <w:b/>
          <w:sz w:val="20"/>
          <w:szCs w:val="20"/>
          <w:lang w:val="fr-FR"/>
        </w:rPr>
      </w:pPr>
    </w:p>
    <w:p w14:paraId="4F603710" w14:textId="77777777" w:rsidR="00601D9B" w:rsidRPr="000E53A0" w:rsidRDefault="000E53A0">
      <w:pPr>
        <w:rPr>
          <w:rFonts w:asciiTheme="minorHAnsi" w:hAnsiTheme="minorHAnsi" w:cstheme="minorHAnsi"/>
          <w:b/>
          <w:sz w:val="20"/>
          <w:szCs w:val="20"/>
          <w:lang w:val="fr-FR"/>
        </w:rPr>
      </w:pPr>
      <w:r w:rsidRPr="000E53A0">
        <w:rPr>
          <w:rFonts w:asciiTheme="minorHAnsi" w:hAnsiTheme="minorHAnsi" w:cstheme="minorHAnsi"/>
          <w:b/>
          <w:sz w:val="20"/>
          <w:szCs w:val="20"/>
          <w:highlight w:val="yellow"/>
          <w:lang w:val="fr-FR"/>
        </w:rPr>
        <w:t>Clauses spéciales</w:t>
      </w:r>
      <w:r w:rsidRPr="000E53A0">
        <w:rPr>
          <w:rFonts w:asciiTheme="minorHAnsi" w:hAnsiTheme="minorHAnsi" w:cstheme="minorHAnsi"/>
          <w:i/>
          <w:sz w:val="20"/>
          <w:szCs w:val="20"/>
          <w:highlight w:val="yellow"/>
          <w:lang w:val="fr-FR"/>
        </w:rPr>
        <w:t xml:space="preserve">. </w:t>
      </w:r>
      <w:r w:rsidRPr="000E53A0">
        <w:rPr>
          <w:rFonts w:asciiTheme="minorHAnsi" w:hAnsiTheme="minorHAnsi" w:cstheme="minorHAnsi"/>
          <w:sz w:val="20"/>
          <w:szCs w:val="20"/>
          <w:highlight w:val="yellow"/>
          <w:lang w:val="fr-FR"/>
        </w:rPr>
        <w:t>En cas de partage des coûts par le gouvernement dans le cadre du projet, les clauses suivantes doivent être incluses :</w:t>
      </w:r>
    </w:p>
    <w:p w14:paraId="392D3854" w14:textId="77777777" w:rsidR="006C181C" w:rsidRPr="000E53A0" w:rsidRDefault="006C181C" w:rsidP="006C181C">
      <w:pPr>
        <w:rPr>
          <w:rFonts w:asciiTheme="minorHAnsi" w:hAnsiTheme="minorHAnsi" w:cstheme="minorHAnsi"/>
          <w:b/>
          <w:sz w:val="20"/>
          <w:szCs w:val="20"/>
          <w:lang w:val="fr-FR"/>
        </w:rPr>
      </w:pPr>
    </w:p>
    <w:p w14:paraId="16D6CE5A" w14:textId="77777777" w:rsidR="00601D9B" w:rsidRPr="000E53A0" w:rsidRDefault="000E53A0">
      <w:pPr>
        <w:numPr>
          <w:ilvl w:val="0"/>
          <w:numId w:val="21"/>
        </w:numPr>
        <w:autoSpaceDE w:val="0"/>
        <w:autoSpaceDN w:val="0"/>
        <w:adjustRightInd w:val="0"/>
        <w:spacing w:after="120"/>
        <w:rPr>
          <w:rFonts w:asciiTheme="minorHAnsi" w:hAnsiTheme="minorHAnsi" w:cstheme="minorHAnsi"/>
          <w:sz w:val="20"/>
          <w:szCs w:val="20"/>
          <w:lang w:val="fr-FR"/>
        </w:rPr>
      </w:pPr>
      <w:r w:rsidRPr="000E53A0">
        <w:rPr>
          <w:rFonts w:asciiTheme="minorHAnsi" w:hAnsiTheme="minorHAnsi" w:cstheme="minorHAnsi"/>
          <w:sz w:val="20"/>
          <w:szCs w:val="20"/>
          <w:lang w:val="fr-FR"/>
        </w:rPr>
        <w:t>L'échéancier des paiements et les coordonnées du compte bancaire du PNUD.</w:t>
      </w:r>
    </w:p>
    <w:p w14:paraId="49B71262" w14:textId="77777777" w:rsidR="00601D9B" w:rsidRPr="000E53A0" w:rsidRDefault="000E53A0">
      <w:pPr>
        <w:pStyle w:val="Pieddepage"/>
        <w:numPr>
          <w:ilvl w:val="0"/>
          <w:numId w:val="21"/>
        </w:numPr>
        <w:tabs>
          <w:tab w:val="clear" w:pos="4153"/>
          <w:tab w:val="clear" w:pos="8306"/>
          <w:tab w:val="left" w:pos="-720"/>
        </w:tabs>
        <w:suppressAutoHyphens/>
        <w:spacing w:after="120"/>
        <w:ind w:left="0" w:firstLine="0"/>
        <w:rPr>
          <w:rFonts w:asciiTheme="minorHAnsi" w:hAnsiTheme="minorHAnsi" w:cstheme="minorHAnsi"/>
          <w:spacing w:val="-2"/>
          <w:sz w:val="20"/>
          <w:szCs w:val="20"/>
          <w:lang w:val="fr-FR"/>
        </w:rPr>
      </w:pPr>
      <w:r w:rsidRPr="000E53A0">
        <w:rPr>
          <w:rFonts w:asciiTheme="minorHAnsi" w:hAnsiTheme="minorHAnsi" w:cstheme="minorHAnsi"/>
          <w:sz w:val="20"/>
          <w:szCs w:val="20"/>
          <w:lang w:val="fr-FR"/>
        </w:rPr>
        <w:t xml:space="preserve">La valeur du paiement, s'il est effectué dans une monnaie autre que le dollar des États-Unis, est déterminée par application du taux de change opérationnel des Nations Unies en vigueur à la date du paiement.  En cas de modification du taux de change opérationnel des Nations Unies avant l'utilisation intégrale du paiement par le PNUD, la valeur du solde des fonds encore détenus à ce moment-là sera ajustée en conséquence.  Si, dans ce cas, une perte de la valeur du solde des fonds est enregistrée, le PNUD en informe le Gouvernement afin de déterminer si un financement supplémentaire peut être fourni par le Gouvernement.  Si un tel financement </w:t>
      </w:r>
      <w:r w:rsidRPr="000E53A0">
        <w:rPr>
          <w:rFonts w:asciiTheme="minorHAnsi" w:hAnsiTheme="minorHAnsi" w:cstheme="minorHAnsi"/>
          <w:sz w:val="20"/>
          <w:szCs w:val="20"/>
          <w:lang w:val="fr-FR"/>
        </w:rPr>
        <w:lastRenderedPageBreak/>
        <w:t>supplémentaire n'est pas disponible, l'assistance à fournir au projet peut être réduite, suspendue ou terminée par le PNUD.</w:t>
      </w:r>
    </w:p>
    <w:p w14:paraId="0F492294" w14:textId="77777777" w:rsidR="00601D9B" w:rsidRPr="000E53A0" w:rsidRDefault="000E53A0">
      <w:pPr>
        <w:pStyle w:val="Pieddepage"/>
        <w:numPr>
          <w:ilvl w:val="0"/>
          <w:numId w:val="21"/>
        </w:numPr>
        <w:tabs>
          <w:tab w:val="clear" w:pos="4153"/>
          <w:tab w:val="clear" w:pos="8306"/>
          <w:tab w:val="left" w:pos="-720"/>
        </w:tabs>
        <w:suppressAutoHyphens/>
        <w:spacing w:after="120"/>
        <w:ind w:left="0" w:firstLine="0"/>
        <w:rPr>
          <w:rFonts w:asciiTheme="minorHAnsi" w:hAnsiTheme="minorHAnsi" w:cstheme="minorHAnsi"/>
          <w:spacing w:val="-2"/>
          <w:sz w:val="20"/>
          <w:szCs w:val="20"/>
          <w:lang w:val="fr-FR"/>
        </w:rPr>
      </w:pPr>
      <w:r w:rsidRPr="000E53A0">
        <w:rPr>
          <w:rFonts w:asciiTheme="minorHAnsi" w:hAnsiTheme="minorHAnsi" w:cstheme="minorHAnsi"/>
          <w:sz w:val="20"/>
          <w:szCs w:val="20"/>
          <w:lang w:val="fr-FR"/>
        </w:rPr>
        <w:t xml:space="preserve">Le calendrier des paiements ci-dessus tient compte de l'exigence selon laquelle les paiements doivent être effectués avant la mise en œuvre des activités prévues.  Il pourra être modifié en fonction de l'avancement de l'exécution du projet. </w:t>
      </w:r>
    </w:p>
    <w:p w14:paraId="03C04D9A" w14:textId="77777777" w:rsidR="00601D9B" w:rsidRPr="000E53A0" w:rsidRDefault="000E53A0">
      <w:pPr>
        <w:pStyle w:val="Pieddepage"/>
        <w:numPr>
          <w:ilvl w:val="0"/>
          <w:numId w:val="21"/>
        </w:numPr>
        <w:tabs>
          <w:tab w:val="clear" w:pos="4153"/>
          <w:tab w:val="clear" w:pos="8306"/>
          <w:tab w:val="left" w:pos="-720"/>
        </w:tabs>
        <w:suppressAutoHyphens/>
        <w:spacing w:after="120"/>
        <w:ind w:left="0" w:firstLine="0"/>
        <w:rPr>
          <w:rFonts w:asciiTheme="minorHAnsi" w:hAnsiTheme="minorHAnsi" w:cstheme="minorHAnsi"/>
          <w:spacing w:val="-2"/>
          <w:sz w:val="20"/>
          <w:szCs w:val="20"/>
          <w:lang w:val="fr-FR"/>
        </w:rPr>
      </w:pPr>
      <w:r w:rsidRPr="000E53A0">
        <w:rPr>
          <w:rFonts w:asciiTheme="minorHAnsi" w:hAnsiTheme="minorHAnsi" w:cstheme="minorHAnsi"/>
          <w:sz w:val="20"/>
          <w:szCs w:val="20"/>
          <w:lang w:val="fr-FR"/>
        </w:rPr>
        <w:t>Le PNUD reçoit et administre le paiement conformément aux règlements, règles et directives du PNUD.</w:t>
      </w:r>
    </w:p>
    <w:p w14:paraId="036DCB84" w14:textId="77777777" w:rsidR="00601D9B" w:rsidRPr="000E53A0" w:rsidRDefault="000E53A0">
      <w:pPr>
        <w:pStyle w:val="Pieddepage"/>
        <w:numPr>
          <w:ilvl w:val="0"/>
          <w:numId w:val="21"/>
        </w:numPr>
        <w:tabs>
          <w:tab w:val="clear" w:pos="4153"/>
          <w:tab w:val="clear" w:pos="8306"/>
          <w:tab w:val="left" w:pos="-720"/>
        </w:tabs>
        <w:suppressAutoHyphens/>
        <w:spacing w:after="120"/>
        <w:ind w:left="0" w:firstLine="0"/>
        <w:rPr>
          <w:rFonts w:asciiTheme="minorHAnsi" w:hAnsiTheme="minorHAnsi" w:cstheme="minorHAnsi"/>
          <w:spacing w:val="-2"/>
          <w:sz w:val="20"/>
          <w:szCs w:val="20"/>
          <w:lang w:val="fr-FR"/>
        </w:rPr>
      </w:pPr>
      <w:r w:rsidRPr="000E53A0">
        <w:rPr>
          <w:rFonts w:asciiTheme="minorHAnsi" w:hAnsiTheme="minorHAnsi" w:cstheme="minorHAnsi"/>
          <w:sz w:val="20"/>
          <w:szCs w:val="20"/>
          <w:lang w:val="fr-FR"/>
        </w:rPr>
        <w:t>Tous les comptes et états financiers sont exprimés en dollars des États-Unis.</w:t>
      </w:r>
    </w:p>
    <w:p w14:paraId="26252DC5" w14:textId="77777777" w:rsidR="00601D9B" w:rsidRDefault="000E53A0">
      <w:pPr>
        <w:pStyle w:val="Pieddepage"/>
        <w:numPr>
          <w:ilvl w:val="0"/>
          <w:numId w:val="21"/>
        </w:numPr>
        <w:tabs>
          <w:tab w:val="clear" w:pos="4153"/>
          <w:tab w:val="clear" w:pos="8306"/>
          <w:tab w:val="left" w:pos="-720"/>
        </w:tabs>
        <w:suppressAutoHyphens/>
        <w:spacing w:after="120"/>
        <w:ind w:left="0" w:firstLine="0"/>
        <w:rPr>
          <w:rFonts w:asciiTheme="minorHAnsi" w:hAnsiTheme="minorHAnsi" w:cstheme="minorHAnsi"/>
          <w:spacing w:val="-2"/>
          <w:sz w:val="20"/>
          <w:szCs w:val="20"/>
        </w:rPr>
      </w:pPr>
      <w:r w:rsidRPr="000E53A0">
        <w:rPr>
          <w:rFonts w:asciiTheme="minorHAnsi" w:hAnsiTheme="minorHAnsi" w:cstheme="minorHAnsi"/>
          <w:sz w:val="20"/>
          <w:szCs w:val="20"/>
          <w:lang w:val="fr-FR"/>
        </w:rPr>
        <w:t xml:space="preserve">Si des augmentations imprévues des dépenses ou des engagements sont prévues ou réalisées (que ce soit en raison de facteurs inflationnistes, de la fluctuation des taux de change ou de contingences imprévues), le PNUD soumet au gouvernement, en temps opportun, une estimation supplémentaire indiquant le financement supplémentaire qui sera nécessaire. </w:t>
      </w:r>
      <w:r w:rsidRPr="00107491">
        <w:rPr>
          <w:rFonts w:asciiTheme="minorHAnsi" w:hAnsiTheme="minorHAnsi" w:cstheme="minorHAnsi"/>
          <w:sz w:val="20"/>
          <w:szCs w:val="20"/>
        </w:rPr>
        <w:t>Le gouvernement s'efforcera d'obtenir les fonds supplémentaires requis.</w:t>
      </w:r>
    </w:p>
    <w:p w14:paraId="7B59957C" w14:textId="77777777" w:rsidR="00601D9B" w:rsidRPr="000E53A0" w:rsidRDefault="000E53A0">
      <w:pPr>
        <w:pStyle w:val="Pieddepage"/>
        <w:numPr>
          <w:ilvl w:val="0"/>
          <w:numId w:val="21"/>
        </w:numPr>
        <w:tabs>
          <w:tab w:val="clear" w:pos="4153"/>
          <w:tab w:val="clear" w:pos="8306"/>
          <w:tab w:val="left" w:pos="-720"/>
        </w:tabs>
        <w:suppressAutoHyphens/>
        <w:spacing w:after="120"/>
        <w:ind w:left="0" w:firstLine="0"/>
        <w:rPr>
          <w:rFonts w:asciiTheme="minorHAnsi" w:hAnsiTheme="minorHAnsi" w:cstheme="minorHAnsi"/>
          <w:spacing w:val="-2"/>
          <w:sz w:val="20"/>
          <w:szCs w:val="20"/>
          <w:lang w:val="fr-FR"/>
        </w:rPr>
      </w:pPr>
      <w:r w:rsidRPr="000E53A0">
        <w:rPr>
          <w:rFonts w:asciiTheme="minorHAnsi" w:hAnsiTheme="minorHAnsi" w:cstheme="minorHAnsi"/>
          <w:sz w:val="20"/>
          <w:szCs w:val="20"/>
          <w:lang w:val="fr-FR"/>
        </w:rPr>
        <w:t>Si les paiements susmentionnés ne sont pas reçus conformément au calendrier de paiement, ou si le financement supplémentaire requis conformément au paragraphe [] ci-dessus n'est pas obtenu du gouvernement ou d'autres sources, l'assistance à fournir au projet en vertu du présent accord peut être réduite, suspendue ou résiliée par le PNUD.</w:t>
      </w:r>
    </w:p>
    <w:p w14:paraId="36C8BBB8" w14:textId="77777777" w:rsidR="00601D9B" w:rsidRPr="000E53A0" w:rsidRDefault="000E53A0">
      <w:pPr>
        <w:pStyle w:val="Pieddepage"/>
        <w:numPr>
          <w:ilvl w:val="0"/>
          <w:numId w:val="21"/>
        </w:numPr>
        <w:tabs>
          <w:tab w:val="clear" w:pos="4153"/>
          <w:tab w:val="clear" w:pos="8306"/>
          <w:tab w:val="left" w:pos="-720"/>
        </w:tabs>
        <w:suppressAutoHyphens/>
        <w:spacing w:after="120"/>
        <w:ind w:left="0" w:firstLine="0"/>
        <w:rPr>
          <w:rFonts w:asciiTheme="minorHAnsi" w:hAnsiTheme="minorHAnsi" w:cstheme="minorHAnsi"/>
          <w:spacing w:val="-2"/>
          <w:sz w:val="20"/>
          <w:szCs w:val="20"/>
          <w:lang w:val="fr-FR"/>
        </w:rPr>
      </w:pPr>
      <w:r w:rsidRPr="000E53A0">
        <w:rPr>
          <w:rFonts w:asciiTheme="minorHAnsi" w:hAnsiTheme="minorHAnsi" w:cstheme="minorHAnsi"/>
          <w:sz w:val="20"/>
          <w:szCs w:val="20"/>
          <w:lang w:val="fr-FR"/>
        </w:rPr>
        <w:t>Les intérêts créditeurs attribuables à la contribution sont crédités au compte du PNUD et sont utilisés conformément aux procédures établies par le PNUD.</w:t>
      </w:r>
    </w:p>
    <w:p w14:paraId="4DD65D7B" w14:textId="77777777" w:rsidR="00601D9B" w:rsidRPr="000E53A0" w:rsidRDefault="000E53A0">
      <w:pPr>
        <w:tabs>
          <w:tab w:val="left" w:pos="-720"/>
        </w:tabs>
        <w:suppressAutoHyphens/>
        <w:spacing w:after="120"/>
        <w:rPr>
          <w:rFonts w:asciiTheme="minorHAnsi" w:hAnsiTheme="minorHAnsi" w:cstheme="minorHAnsi"/>
          <w:spacing w:val="-2"/>
          <w:sz w:val="20"/>
          <w:szCs w:val="20"/>
          <w:lang w:val="fr-FR"/>
        </w:rPr>
      </w:pPr>
      <w:r w:rsidRPr="000E53A0">
        <w:rPr>
          <w:rFonts w:asciiTheme="minorHAnsi" w:hAnsiTheme="minorHAnsi" w:cstheme="minorHAnsi"/>
          <w:spacing w:val="-2"/>
          <w:sz w:val="20"/>
          <w:szCs w:val="20"/>
          <w:lang w:val="fr-FR"/>
        </w:rPr>
        <w:t>Conformément aux décisions et directives du Conseil d'administration du PNUD :</w:t>
      </w:r>
    </w:p>
    <w:p w14:paraId="33CD1725" w14:textId="77777777" w:rsidR="00601D9B" w:rsidRDefault="000E53A0">
      <w:pPr>
        <w:tabs>
          <w:tab w:val="left" w:pos="-720"/>
        </w:tabs>
        <w:suppressAutoHyphens/>
        <w:spacing w:after="120"/>
        <w:ind w:left="360"/>
        <w:rPr>
          <w:rFonts w:asciiTheme="minorHAnsi" w:hAnsiTheme="minorHAnsi" w:cstheme="minorHAnsi"/>
          <w:spacing w:val="-2"/>
          <w:sz w:val="20"/>
          <w:szCs w:val="20"/>
        </w:rPr>
      </w:pPr>
      <w:r w:rsidRPr="000E53A0">
        <w:rPr>
          <w:rFonts w:asciiTheme="minorHAnsi" w:hAnsiTheme="minorHAnsi" w:cstheme="minorHAnsi"/>
          <w:spacing w:val="-2"/>
          <w:sz w:val="20"/>
          <w:szCs w:val="20"/>
          <w:lang w:val="fr-FR"/>
        </w:rPr>
        <w:tab/>
      </w:r>
      <w:r w:rsidRPr="00107491">
        <w:rPr>
          <w:rFonts w:asciiTheme="minorHAnsi" w:hAnsiTheme="minorHAnsi" w:cstheme="minorHAnsi"/>
          <w:spacing w:val="-2"/>
          <w:sz w:val="20"/>
          <w:szCs w:val="20"/>
        </w:rPr>
        <w:t xml:space="preserve">La contribution est </w:t>
      </w:r>
      <w:proofErr w:type="gramStart"/>
      <w:r w:rsidRPr="00107491">
        <w:rPr>
          <w:rFonts w:asciiTheme="minorHAnsi" w:hAnsiTheme="minorHAnsi" w:cstheme="minorHAnsi"/>
          <w:spacing w:val="-2"/>
          <w:sz w:val="20"/>
          <w:szCs w:val="20"/>
        </w:rPr>
        <w:t>facturée :</w:t>
      </w:r>
      <w:proofErr w:type="gramEnd"/>
    </w:p>
    <w:p w14:paraId="5DFDA9A7" w14:textId="77777777" w:rsidR="00601D9B" w:rsidRPr="000E53A0" w:rsidRDefault="000E53A0">
      <w:pPr>
        <w:numPr>
          <w:ilvl w:val="0"/>
          <w:numId w:val="22"/>
        </w:numPr>
        <w:tabs>
          <w:tab w:val="left" w:pos="-720"/>
        </w:tabs>
        <w:suppressAutoHyphens/>
        <w:spacing w:after="120"/>
        <w:rPr>
          <w:rFonts w:asciiTheme="minorHAnsi" w:hAnsiTheme="minorHAnsi" w:cstheme="minorHAnsi"/>
          <w:spacing w:val="-2"/>
          <w:sz w:val="20"/>
          <w:szCs w:val="20"/>
          <w:lang w:val="fr-FR"/>
        </w:rPr>
      </w:pPr>
      <w:r w:rsidRPr="000E53A0">
        <w:rPr>
          <w:rFonts w:asciiTheme="minorHAnsi" w:hAnsiTheme="minorHAnsi" w:cstheme="minorHAnsi"/>
          <w:spacing w:val="-2"/>
          <w:sz w:val="20"/>
          <w:szCs w:val="20"/>
          <w:highlight w:val="yellow"/>
          <w:lang w:val="fr-FR"/>
        </w:rPr>
        <w:t xml:space="preserve">[...%] </w:t>
      </w:r>
      <w:r w:rsidRPr="000E53A0">
        <w:rPr>
          <w:rFonts w:asciiTheme="minorHAnsi" w:hAnsiTheme="minorHAnsi" w:cstheme="minorHAnsi"/>
          <w:spacing w:val="-2"/>
          <w:sz w:val="20"/>
          <w:szCs w:val="20"/>
          <w:lang w:val="fr-FR"/>
        </w:rPr>
        <w:t>recouvrement des coûts pour la fourniture d'un appui général à la gestion (GMS) par le siège du PNUD et les bureaux de pays.</w:t>
      </w:r>
    </w:p>
    <w:p w14:paraId="676242E2" w14:textId="77777777" w:rsidR="00601D9B" w:rsidRPr="000E53A0" w:rsidRDefault="000E53A0">
      <w:pPr>
        <w:numPr>
          <w:ilvl w:val="0"/>
          <w:numId w:val="22"/>
        </w:numPr>
        <w:tabs>
          <w:tab w:val="left" w:pos="-720"/>
        </w:tabs>
        <w:suppressAutoHyphens/>
        <w:spacing w:after="120"/>
        <w:rPr>
          <w:rFonts w:asciiTheme="minorHAnsi" w:hAnsiTheme="minorHAnsi" w:cstheme="minorHAnsi"/>
          <w:spacing w:val="-2"/>
          <w:sz w:val="20"/>
          <w:szCs w:val="20"/>
          <w:lang w:val="fr-FR"/>
        </w:rPr>
      </w:pPr>
      <w:r w:rsidRPr="000E53A0">
        <w:rPr>
          <w:rFonts w:asciiTheme="minorHAnsi" w:hAnsiTheme="minorHAnsi" w:cstheme="minorHAnsi"/>
          <w:spacing w:val="-2"/>
          <w:sz w:val="20"/>
          <w:szCs w:val="20"/>
          <w:lang w:val="fr-FR"/>
        </w:rPr>
        <w:t>Coût direct des services d'appui à la mise en œuvre (ISS) fournis par le PNUD et/ou une entité d'exécution/un partenaire de mise en œuvre.</w:t>
      </w:r>
    </w:p>
    <w:p w14:paraId="3FACC26D" w14:textId="77777777" w:rsidR="00601D9B" w:rsidRPr="000E53A0" w:rsidRDefault="000E53A0">
      <w:pPr>
        <w:numPr>
          <w:ilvl w:val="0"/>
          <w:numId w:val="21"/>
        </w:numPr>
        <w:tabs>
          <w:tab w:val="left" w:pos="-720"/>
        </w:tabs>
        <w:suppressAutoHyphens/>
        <w:spacing w:after="120"/>
        <w:ind w:left="0" w:firstLine="0"/>
        <w:rPr>
          <w:rFonts w:asciiTheme="minorHAnsi" w:hAnsiTheme="minorHAnsi" w:cstheme="minorHAnsi"/>
          <w:spacing w:val="-2"/>
          <w:sz w:val="20"/>
          <w:szCs w:val="20"/>
          <w:lang w:val="fr-FR"/>
        </w:rPr>
      </w:pPr>
      <w:r w:rsidRPr="000E53A0">
        <w:rPr>
          <w:rFonts w:asciiTheme="minorHAnsi" w:hAnsiTheme="minorHAnsi" w:cstheme="minorHAnsi"/>
          <w:spacing w:val="-2"/>
          <w:sz w:val="20"/>
          <w:szCs w:val="20"/>
          <w:lang w:val="fr-FR"/>
        </w:rPr>
        <w:t>La propriété des équipements, fournitures et autres biens financés par la contribution est dévolue au PNUD.  Les questions relatives au transfert de propriété par le PNUD sont déterminées conformément aux politiques et procédures pertinentes du PNUD.</w:t>
      </w:r>
    </w:p>
    <w:p w14:paraId="61AB9FC5" w14:textId="77777777" w:rsidR="00601D9B" w:rsidRPr="000E53A0" w:rsidRDefault="000E53A0">
      <w:pPr>
        <w:numPr>
          <w:ilvl w:val="0"/>
          <w:numId w:val="21"/>
        </w:numPr>
        <w:tabs>
          <w:tab w:val="left" w:pos="-720"/>
        </w:tabs>
        <w:suppressAutoHyphens/>
        <w:spacing w:after="120"/>
        <w:ind w:left="0" w:firstLine="0"/>
        <w:rPr>
          <w:rFonts w:asciiTheme="minorHAnsi" w:hAnsiTheme="minorHAnsi" w:cstheme="minorHAnsi"/>
          <w:spacing w:val="-2"/>
          <w:sz w:val="20"/>
          <w:szCs w:val="20"/>
          <w:lang w:val="fr-FR"/>
        </w:rPr>
      </w:pPr>
      <w:r w:rsidRPr="000E53A0">
        <w:rPr>
          <w:rFonts w:asciiTheme="minorHAnsi" w:hAnsiTheme="minorHAnsi" w:cstheme="minorHAnsi"/>
          <w:spacing w:val="-2"/>
          <w:sz w:val="20"/>
          <w:szCs w:val="20"/>
          <w:lang w:val="fr-FR"/>
        </w:rPr>
        <w:t xml:space="preserve">La contribution est soumise exclusivement aux procédures d'audit interne et externe prévues par le règlement financier, les règles et les directives du PNUD."  </w:t>
      </w:r>
    </w:p>
    <w:p w14:paraId="101D300C" w14:textId="77777777" w:rsidR="006C181C" w:rsidRPr="000E53A0" w:rsidRDefault="006C181C" w:rsidP="006C181C">
      <w:pPr>
        <w:rPr>
          <w:szCs w:val="20"/>
          <w:lang w:val="fr-FR"/>
        </w:rPr>
      </w:pPr>
    </w:p>
    <w:p w14:paraId="4AC8E9EA" w14:textId="77777777" w:rsidR="00872F38" w:rsidRPr="000E53A0" w:rsidRDefault="006C181C" w:rsidP="006C181C">
      <w:pPr>
        <w:rPr>
          <w:rFonts w:cs="Arial"/>
          <w:szCs w:val="20"/>
          <w:lang w:val="fr-FR"/>
        </w:rPr>
      </w:pPr>
      <w:r w:rsidRPr="000E53A0">
        <w:rPr>
          <w:lang w:val="fr-FR"/>
        </w:rPr>
        <w:br w:type="page"/>
      </w:r>
    </w:p>
    <w:p w14:paraId="18C2A0A2" w14:textId="77777777" w:rsidR="00601D9B" w:rsidRDefault="000E53A0">
      <w:pPr>
        <w:pStyle w:val="Titre1"/>
        <w:spacing w:before="0" w:after="60"/>
        <w:rPr>
          <w:rFonts w:ascii="Calibri" w:hAnsi="Calibri"/>
        </w:rPr>
      </w:pPr>
      <w:bookmarkStart w:id="65" w:name="_Toc46749087"/>
      <w:r w:rsidRPr="0003763F">
        <w:rPr>
          <w:rFonts w:ascii="Calibri" w:hAnsi="Calibri"/>
        </w:rPr>
        <w:lastRenderedPageBreak/>
        <w:t xml:space="preserve">Annexes obligatoires </w:t>
      </w:r>
      <w:bookmarkEnd w:id="65"/>
    </w:p>
    <w:p w14:paraId="7D992C88" w14:textId="77777777" w:rsidR="00FD462B" w:rsidRDefault="00FD462B" w:rsidP="00FD462B"/>
    <w:p w14:paraId="784E5AC2" w14:textId="77777777" w:rsidR="00601D9B" w:rsidRPr="000E53A0" w:rsidRDefault="000E53A0">
      <w:pPr>
        <w:pStyle w:val="Paragraphedeliste"/>
        <w:numPr>
          <w:ilvl w:val="0"/>
          <w:numId w:val="30"/>
        </w:numPr>
        <w:spacing w:after="120"/>
        <w:rPr>
          <w:rFonts w:ascii="Calibri" w:hAnsi="Calibri"/>
          <w:sz w:val="20"/>
          <w:szCs w:val="20"/>
          <w:lang w:val="fr-FR"/>
        </w:rPr>
      </w:pPr>
      <w:r w:rsidRPr="000E53A0">
        <w:rPr>
          <w:rFonts w:ascii="Calibri" w:hAnsi="Calibri"/>
          <w:sz w:val="20"/>
          <w:szCs w:val="20"/>
          <w:lang w:val="fr-FR"/>
        </w:rPr>
        <w:t xml:space="preserve">Modèle de budget du FEM </w:t>
      </w:r>
      <w:r w:rsidR="0082656E" w:rsidRPr="000E53A0">
        <w:rPr>
          <w:rFonts w:ascii="Calibri" w:hAnsi="Calibri"/>
          <w:sz w:val="20"/>
          <w:szCs w:val="20"/>
          <w:lang w:val="fr-FR"/>
        </w:rPr>
        <w:t>(disponible auprès du BPPS NCE-VF)</w:t>
      </w:r>
    </w:p>
    <w:p w14:paraId="70FCC055" w14:textId="77777777" w:rsidR="00601D9B" w:rsidRPr="000E53A0" w:rsidRDefault="000E53A0">
      <w:pPr>
        <w:pStyle w:val="Paragraphedeliste"/>
        <w:numPr>
          <w:ilvl w:val="0"/>
          <w:numId w:val="30"/>
        </w:numPr>
        <w:spacing w:after="120"/>
        <w:rPr>
          <w:rFonts w:ascii="Calibri" w:hAnsi="Calibri"/>
          <w:sz w:val="20"/>
          <w:szCs w:val="20"/>
          <w:lang w:val="fr-FR"/>
        </w:rPr>
      </w:pPr>
      <w:r w:rsidRPr="000E53A0">
        <w:rPr>
          <w:rFonts w:ascii="Calibri" w:hAnsi="Calibri"/>
          <w:sz w:val="20"/>
          <w:szCs w:val="20"/>
          <w:lang w:val="fr-FR"/>
        </w:rPr>
        <w:t>Lettre d'appui à l'</w:t>
      </w:r>
      <w:r w:rsidR="005A238E" w:rsidRPr="000E53A0">
        <w:rPr>
          <w:rFonts w:ascii="Calibri" w:hAnsi="Calibri"/>
          <w:sz w:val="20"/>
          <w:szCs w:val="20"/>
          <w:lang w:val="fr-FR"/>
        </w:rPr>
        <w:t xml:space="preserve">exécution du </w:t>
      </w:r>
      <w:r w:rsidRPr="000E53A0">
        <w:rPr>
          <w:rFonts w:ascii="Calibri" w:hAnsi="Calibri"/>
          <w:sz w:val="20"/>
          <w:szCs w:val="20"/>
          <w:lang w:val="fr-FR"/>
        </w:rPr>
        <w:t xml:space="preserve">FEM </w:t>
      </w:r>
      <w:r w:rsidR="0082656E" w:rsidRPr="000E53A0">
        <w:rPr>
          <w:rFonts w:ascii="Calibri" w:hAnsi="Calibri"/>
          <w:sz w:val="20"/>
          <w:szCs w:val="20"/>
          <w:lang w:val="fr-FR"/>
        </w:rPr>
        <w:t xml:space="preserve">(disponible sur </w:t>
      </w:r>
      <w:hyperlink r:id="rId42" w:history="1">
        <w:r w:rsidR="0082656E" w:rsidRPr="000E53A0">
          <w:rPr>
            <w:rStyle w:val="Lienhypertexte"/>
            <w:rFonts w:ascii="Calibri" w:hAnsi="Calibri"/>
            <w:sz w:val="20"/>
            <w:szCs w:val="20"/>
            <w:lang w:val="fr-FR"/>
          </w:rPr>
          <w:t xml:space="preserve">www.thegef.org </w:t>
        </w:r>
      </w:hyperlink>
      <w:r w:rsidR="0082656E" w:rsidRPr="000E53A0">
        <w:rPr>
          <w:rFonts w:ascii="Calibri" w:hAnsi="Calibri"/>
          <w:sz w:val="20"/>
          <w:szCs w:val="20"/>
          <w:lang w:val="fr-FR"/>
        </w:rPr>
        <w:t>ou auprès de BBPS NCE-VF)</w:t>
      </w:r>
    </w:p>
    <w:p w14:paraId="2B6B6076" w14:textId="77777777" w:rsidR="00601D9B" w:rsidRPr="000E53A0" w:rsidRDefault="000E53A0">
      <w:pPr>
        <w:pStyle w:val="Paragraphedeliste"/>
        <w:numPr>
          <w:ilvl w:val="0"/>
          <w:numId w:val="30"/>
        </w:numPr>
        <w:spacing w:after="120"/>
        <w:rPr>
          <w:rFonts w:ascii="Calibri" w:hAnsi="Calibri"/>
          <w:sz w:val="20"/>
          <w:szCs w:val="20"/>
          <w:lang w:val="fr-FR"/>
        </w:rPr>
      </w:pPr>
      <w:r w:rsidRPr="000E53A0">
        <w:rPr>
          <w:rFonts w:ascii="Calibri" w:hAnsi="Calibri"/>
          <w:sz w:val="20"/>
          <w:szCs w:val="20"/>
          <w:lang w:val="fr-FR"/>
        </w:rPr>
        <w:t>Carte du projet et coordonnées géospatiales de la zone du projet</w:t>
      </w:r>
    </w:p>
    <w:p w14:paraId="516051C7" w14:textId="77777777" w:rsidR="00601D9B" w:rsidRDefault="003E3ABA">
      <w:pPr>
        <w:pStyle w:val="Paragraphedeliste"/>
        <w:numPr>
          <w:ilvl w:val="0"/>
          <w:numId w:val="30"/>
        </w:numPr>
        <w:spacing w:after="120"/>
        <w:rPr>
          <w:rFonts w:ascii="Calibri" w:hAnsi="Calibri"/>
          <w:sz w:val="20"/>
          <w:szCs w:val="20"/>
        </w:rPr>
      </w:pPr>
      <w:r w:rsidRPr="00E4248A">
        <w:rPr>
          <w:rFonts w:ascii="Calibri" w:hAnsi="Calibri"/>
          <w:sz w:val="20"/>
          <w:szCs w:val="20"/>
        </w:rPr>
        <w:t xml:space="preserve">Plan de travail </w:t>
      </w:r>
      <w:r w:rsidR="000E53A0" w:rsidRPr="00E4248A">
        <w:rPr>
          <w:rFonts w:ascii="Calibri" w:hAnsi="Calibri"/>
          <w:sz w:val="20"/>
          <w:szCs w:val="20"/>
        </w:rPr>
        <w:t xml:space="preserve">pluriannuel </w:t>
      </w:r>
    </w:p>
    <w:p w14:paraId="772E20FF" w14:textId="77777777" w:rsidR="00601D9B" w:rsidRDefault="000E53A0">
      <w:pPr>
        <w:pStyle w:val="Paragraphedeliste"/>
        <w:numPr>
          <w:ilvl w:val="0"/>
          <w:numId w:val="30"/>
        </w:numPr>
        <w:spacing w:after="120"/>
        <w:rPr>
          <w:rFonts w:ascii="Calibri" w:hAnsi="Calibri"/>
          <w:sz w:val="20"/>
          <w:szCs w:val="20"/>
        </w:rPr>
      </w:pPr>
      <w:r w:rsidRPr="00E4248A">
        <w:rPr>
          <w:rFonts w:ascii="Calibri" w:hAnsi="Calibri"/>
          <w:sz w:val="20"/>
          <w:szCs w:val="20"/>
        </w:rPr>
        <w:t xml:space="preserve">Plan de suivi </w:t>
      </w:r>
    </w:p>
    <w:p w14:paraId="3FB4D172" w14:textId="77777777" w:rsidR="00601D9B" w:rsidRPr="000E53A0" w:rsidRDefault="000E53A0">
      <w:pPr>
        <w:pStyle w:val="Paragraphedeliste"/>
        <w:numPr>
          <w:ilvl w:val="0"/>
          <w:numId w:val="30"/>
        </w:numPr>
        <w:spacing w:after="120"/>
        <w:rPr>
          <w:rFonts w:asciiTheme="minorHAnsi" w:hAnsiTheme="minorHAnsi" w:cstheme="minorHAnsi"/>
          <w:sz w:val="20"/>
          <w:szCs w:val="20"/>
          <w:lang w:val="fr-FR"/>
        </w:rPr>
      </w:pPr>
      <w:r w:rsidRPr="000E53A0">
        <w:rPr>
          <w:rFonts w:asciiTheme="minorHAnsi" w:hAnsiTheme="minorHAnsi" w:cstheme="minorHAnsi"/>
          <w:sz w:val="20"/>
          <w:szCs w:val="20"/>
          <w:lang w:val="fr-FR"/>
        </w:rPr>
        <w:t xml:space="preserve">Procédure d'examen social et environnemental (SESP) </w:t>
      </w:r>
    </w:p>
    <w:p w14:paraId="16D3D12B" w14:textId="77777777" w:rsidR="00601D9B" w:rsidRPr="000E53A0" w:rsidRDefault="000E53A0">
      <w:pPr>
        <w:pStyle w:val="Paragraphedeliste"/>
        <w:numPr>
          <w:ilvl w:val="0"/>
          <w:numId w:val="30"/>
        </w:numPr>
        <w:spacing w:after="120"/>
        <w:rPr>
          <w:rFonts w:ascii="Calibri" w:hAnsi="Calibri"/>
          <w:sz w:val="20"/>
          <w:szCs w:val="20"/>
          <w:lang w:val="fr-FR"/>
        </w:rPr>
      </w:pPr>
      <w:r w:rsidRPr="000E53A0">
        <w:rPr>
          <w:rFonts w:ascii="Calibri" w:hAnsi="Calibri"/>
          <w:sz w:val="20"/>
          <w:szCs w:val="20"/>
          <w:lang w:val="fr-FR"/>
        </w:rPr>
        <w:t xml:space="preserve">Registre des risques d'Atlas du PNUD </w:t>
      </w:r>
    </w:p>
    <w:p w14:paraId="570C0E6D" w14:textId="77777777" w:rsidR="00601D9B" w:rsidRPr="000E53A0" w:rsidRDefault="000E53A0">
      <w:pPr>
        <w:pStyle w:val="Paragraphedeliste"/>
        <w:numPr>
          <w:ilvl w:val="0"/>
          <w:numId w:val="30"/>
        </w:numPr>
        <w:spacing w:after="120"/>
        <w:rPr>
          <w:rFonts w:ascii="Calibri" w:hAnsi="Calibri"/>
          <w:sz w:val="20"/>
          <w:szCs w:val="20"/>
          <w:lang w:val="fr-FR"/>
        </w:rPr>
      </w:pPr>
      <w:r w:rsidRPr="000E53A0">
        <w:rPr>
          <w:rFonts w:ascii="Calibri" w:hAnsi="Calibri"/>
          <w:sz w:val="20"/>
          <w:szCs w:val="20"/>
          <w:lang w:val="fr-FR"/>
        </w:rPr>
        <w:t xml:space="preserve">Vue d'ensemble des consultations techniques/sous-contrats </w:t>
      </w:r>
    </w:p>
    <w:p w14:paraId="04924118" w14:textId="77777777" w:rsidR="00601D9B" w:rsidRPr="000E53A0" w:rsidRDefault="000E53A0">
      <w:pPr>
        <w:rPr>
          <w:rFonts w:asciiTheme="minorHAnsi" w:hAnsiTheme="minorHAnsi" w:cstheme="minorHAnsi"/>
          <w:i/>
          <w:szCs w:val="20"/>
          <w:highlight w:val="yellow"/>
          <w:lang w:val="fr-FR"/>
        </w:rPr>
      </w:pPr>
      <w:r w:rsidRPr="000E53A0">
        <w:rPr>
          <w:rFonts w:asciiTheme="minorHAnsi" w:hAnsiTheme="minorHAnsi" w:cstheme="minorHAnsi"/>
          <w:i/>
          <w:szCs w:val="20"/>
          <w:highlight w:val="yellow"/>
          <w:lang w:val="fr-FR"/>
        </w:rPr>
        <w:t xml:space="preserve">Les annexes suivantes doivent être complétées dans le cadre du dossier de soumission au FEM, mais il n'est pas nécessaire de les inclure dans le document de projet </w:t>
      </w:r>
      <w:r w:rsidR="00F40DF5" w:rsidRPr="000E53A0">
        <w:rPr>
          <w:rFonts w:asciiTheme="minorHAnsi" w:hAnsiTheme="minorHAnsi" w:cstheme="minorHAnsi"/>
          <w:i/>
          <w:szCs w:val="20"/>
          <w:highlight w:val="yellow"/>
          <w:lang w:val="fr-FR"/>
        </w:rPr>
        <w:t xml:space="preserve">si cela est plus pratique </w:t>
      </w:r>
      <w:r w:rsidRPr="000E53A0">
        <w:rPr>
          <w:rFonts w:asciiTheme="minorHAnsi" w:hAnsiTheme="minorHAnsi" w:cstheme="minorHAnsi"/>
          <w:i/>
          <w:szCs w:val="20"/>
          <w:highlight w:val="yellow"/>
          <w:lang w:val="fr-FR"/>
        </w:rPr>
        <w:t>(elles peuvent être annexées séparément)</w:t>
      </w:r>
      <w:r w:rsidR="00C84063" w:rsidRPr="000E53A0">
        <w:rPr>
          <w:rFonts w:asciiTheme="minorHAnsi" w:hAnsiTheme="minorHAnsi" w:cstheme="minorHAnsi"/>
          <w:i/>
          <w:szCs w:val="20"/>
          <w:highlight w:val="yellow"/>
          <w:lang w:val="fr-FR"/>
        </w:rPr>
        <w:t xml:space="preserve">. Ces annexes séparées doivent être incluses dans le document de projet qui est signé par les parties concernées </w:t>
      </w:r>
      <w:r w:rsidRPr="000E53A0">
        <w:rPr>
          <w:rFonts w:asciiTheme="minorHAnsi" w:hAnsiTheme="minorHAnsi" w:cstheme="minorHAnsi"/>
          <w:i/>
          <w:szCs w:val="20"/>
          <w:highlight w:val="yellow"/>
          <w:lang w:val="fr-FR"/>
        </w:rPr>
        <w:t>:</w:t>
      </w:r>
    </w:p>
    <w:p w14:paraId="79D7F2DB" w14:textId="77777777" w:rsidR="00601D9B" w:rsidRDefault="000E53A0">
      <w:pPr>
        <w:pStyle w:val="Paragraphedeliste"/>
        <w:numPr>
          <w:ilvl w:val="0"/>
          <w:numId w:val="30"/>
        </w:numPr>
        <w:spacing w:after="120"/>
        <w:rPr>
          <w:rFonts w:ascii="Calibri" w:hAnsi="Calibri"/>
          <w:sz w:val="20"/>
          <w:szCs w:val="20"/>
        </w:rPr>
      </w:pPr>
      <w:r w:rsidRPr="00E4248A">
        <w:rPr>
          <w:rFonts w:ascii="Calibri" w:hAnsi="Calibri"/>
          <w:sz w:val="20"/>
          <w:szCs w:val="20"/>
        </w:rPr>
        <w:t xml:space="preserve">Plan d'engagement des parties prenantes </w:t>
      </w:r>
    </w:p>
    <w:p w14:paraId="6C8CC427" w14:textId="77777777" w:rsidR="00601D9B" w:rsidRPr="000E53A0" w:rsidRDefault="000E53A0">
      <w:pPr>
        <w:pStyle w:val="Paragraphedeliste"/>
        <w:numPr>
          <w:ilvl w:val="0"/>
          <w:numId w:val="30"/>
        </w:numPr>
        <w:spacing w:after="120"/>
        <w:rPr>
          <w:rFonts w:asciiTheme="minorHAnsi" w:hAnsiTheme="minorHAnsi" w:cstheme="minorHAnsi"/>
          <w:sz w:val="20"/>
          <w:szCs w:val="20"/>
          <w:lang w:val="fr-FR"/>
        </w:rPr>
      </w:pPr>
      <w:r w:rsidRPr="000E53A0">
        <w:rPr>
          <w:rFonts w:asciiTheme="minorHAnsi" w:hAnsiTheme="minorHAnsi" w:cstheme="minorHAnsi"/>
          <w:sz w:val="20"/>
          <w:szCs w:val="20"/>
          <w:lang w:val="fr-FR"/>
        </w:rPr>
        <w:t xml:space="preserve">Cadre de gestion environnementale et sociale (ESMF) </w:t>
      </w:r>
      <w:r w:rsidR="00C13BA9" w:rsidRPr="000E53A0">
        <w:rPr>
          <w:rFonts w:asciiTheme="minorHAnsi" w:hAnsiTheme="minorHAnsi" w:cstheme="minorHAnsi"/>
          <w:sz w:val="20"/>
          <w:szCs w:val="20"/>
          <w:lang w:val="fr-FR"/>
        </w:rPr>
        <w:t xml:space="preserve">ou autres cadres/plans de SES </w:t>
      </w:r>
      <w:r w:rsidRPr="000E53A0">
        <w:rPr>
          <w:rFonts w:asciiTheme="minorHAnsi" w:hAnsiTheme="minorHAnsi" w:cstheme="minorHAnsi"/>
          <w:sz w:val="20"/>
          <w:szCs w:val="20"/>
          <w:lang w:val="fr-FR"/>
        </w:rPr>
        <w:t xml:space="preserve">si nécessaire </w:t>
      </w:r>
    </w:p>
    <w:p w14:paraId="6F4DEB19" w14:textId="77777777" w:rsidR="00601D9B" w:rsidRPr="000E53A0" w:rsidRDefault="000E53A0">
      <w:pPr>
        <w:pStyle w:val="Paragraphedeliste"/>
        <w:numPr>
          <w:ilvl w:val="0"/>
          <w:numId w:val="30"/>
        </w:numPr>
        <w:spacing w:after="120"/>
        <w:rPr>
          <w:rFonts w:asciiTheme="minorHAnsi" w:hAnsiTheme="minorHAnsi" w:cstheme="minorHAnsi"/>
          <w:sz w:val="20"/>
          <w:szCs w:val="20"/>
          <w:lang w:val="fr-FR"/>
        </w:rPr>
      </w:pPr>
      <w:r w:rsidRPr="000E53A0">
        <w:rPr>
          <w:rFonts w:asciiTheme="minorHAnsi" w:hAnsiTheme="minorHAnsi" w:cstheme="minorHAnsi"/>
          <w:sz w:val="20"/>
          <w:szCs w:val="20"/>
          <w:lang w:val="fr-FR"/>
        </w:rPr>
        <w:t xml:space="preserve">Analyse de genre </w:t>
      </w:r>
      <w:r w:rsidR="00AA678A" w:rsidRPr="000E53A0">
        <w:rPr>
          <w:rFonts w:asciiTheme="minorHAnsi" w:hAnsiTheme="minorHAnsi" w:cstheme="minorHAnsi"/>
          <w:sz w:val="20"/>
          <w:szCs w:val="20"/>
          <w:lang w:val="fr-FR"/>
        </w:rPr>
        <w:t xml:space="preserve">et </w:t>
      </w:r>
      <w:r w:rsidRPr="000E53A0">
        <w:rPr>
          <w:rFonts w:asciiTheme="minorHAnsi" w:hAnsiTheme="minorHAnsi" w:cstheme="minorHAnsi"/>
          <w:sz w:val="20"/>
          <w:szCs w:val="20"/>
          <w:lang w:val="fr-FR"/>
        </w:rPr>
        <w:t xml:space="preserve">plan d'action de </w:t>
      </w:r>
      <w:r w:rsidR="001A0CB6" w:rsidRPr="000E53A0">
        <w:rPr>
          <w:rFonts w:asciiTheme="minorHAnsi" w:hAnsiTheme="minorHAnsi" w:cstheme="minorHAnsi"/>
          <w:sz w:val="20"/>
          <w:szCs w:val="20"/>
          <w:lang w:val="fr-FR"/>
        </w:rPr>
        <w:t xml:space="preserve">genre </w:t>
      </w:r>
    </w:p>
    <w:p w14:paraId="1B4123AF" w14:textId="77777777" w:rsidR="00601D9B" w:rsidRPr="000E53A0" w:rsidRDefault="000E53A0">
      <w:pPr>
        <w:pStyle w:val="Paragraphedeliste"/>
        <w:numPr>
          <w:ilvl w:val="0"/>
          <w:numId w:val="30"/>
        </w:numPr>
        <w:spacing w:after="120"/>
        <w:rPr>
          <w:rFonts w:asciiTheme="minorHAnsi" w:hAnsiTheme="minorHAnsi" w:cstheme="minorHAnsi"/>
          <w:sz w:val="20"/>
          <w:szCs w:val="20"/>
          <w:lang w:val="fr-FR"/>
        </w:rPr>
      </w:pPr>
      <w:r w:rsidRPr="000E53A0">
        <w:rPr>
          <w:rFonts w:asciiTheme="minorHAnsi" w:hAnsiTheme="minorHAnsi" w:cstheme="minorHAnsi"/>
          <w:sz w:val="20"/>
          <w:szCs w:val="20"/>
          <w:lang w:val="fr-FR"/>
        </w:rPr>
        <w:t>Plan de passation de marchés - pour la première année de mise en œuvre notamment</w:t>
      </w:r>
    </w:p>
    <w:p w14:paraId="2D029EF5" w14:textId="77777777" w:rsidR="00601D9B" w:rsidRPr="000E53A0" w:rsidRDefault="000E53A0">
      <w:pPr>
        <w:pStyle w:val="Paragraphedeliste"/>
        <w:numPr>
          <w:ilvl w:val="0"/>
          <w:numId w:val="30"/>
        </w:numPr>
        <w:spacing w:after="120"/>
        <w:rPr>
          <w:rFonts w:ascii="Calibri" w:hAnsi="Calibri"/>
          <w:sz w:val="20"/>
          <w:szCs w:val="20"/>
          <w:lang w:val="fr-FR"/>
        </w:rPr>
      </w:pPr>
      <w:r w:rsidRPr="000E53A0">
        <w:rPr>
          <w:rFonts w:ascii="Calibri" w:hAnsi="Calibri"/>
          <w:sz w:val="20"/>
          <w:szCs w:val="20"/>
          <w:lang w:val="fr-FR"/>
        </w:rPr>
        <w:t xml:space="preserve">Annexes spécifiques au domaine d'intervention du FEM (par exemple, le METT, les calculs de GES, le profil du paysage cible, l'étude de faisabilité, d'autres rapports techniques). </w:t>
      </w:r>
    </w:p>
    <w:p w14:paraId="5898E130" w14:textId="77777777" w:rsidR="00601D9B" w:rsidRPr="000E53A0" w:rsidRDefault="000E53A0">
      <w:pPr>
        <w:pStyle w:val="Paragraphedeliste"/>
        <w:numPr>
          <w:ilvl w:val="0"/>
          <w:numId w:val="30"/>
        </w:numPr>
        <w:spacing w:after="120"/>
        <w:rPr>
          <w:rFonts w:ascii="Calibri" w:hAnsi="Calibri"/>
          <w:sz w:val="20"/>
          <w:szCs w:val="20"/>
          <w:lang w:val="fr-FR"/>
        </w:rPr>
      </w:pPr>
      <w:r w:rsidRPr="000E53A0">
        <w:rPr>
          <w:rFonts w:asciiTheme="minorHAnsi" w:hAnsiTheme="minorHAnsi" w:cstheme="minorHAnsi"/>
          <w:sz w:val="20"/>
          <w:szCs w:val="20"/>
          <w:lang w:val="fr-FR"/>
        </w:rPr>
        <w:t>Accords supplémentaires : tels que des accords de partage des coûts, des accords de coopération de projet signés avec des ONG (où l'ONG est désignée comme "entité d'exécution"), des lettres d'engagements financiers, etc.</w:t>
      </w:r>
    </w:p>
    <w:p w14:paraId="7C03D383" w14:textId="77777777" w:rsidR="00601D9B" w:rsidRPr="000E53A0" w:rsidRDefault="00C84063">
      <w:pPr>
        <w:rPr>
          <w:rFonts w:asciiTheme="minorHAnsi" w:hAnsiTheme="minorHAnsi" w:cstheme="minorHAnsi"/>
          <w:i/>
          <w:szCs w:val="20"/>
          <w:highlight w:val="yellow"/>
          <w:lang w:val="fr-FR"/>
        </w:rPr>
      </w:pPr>
      <w:r w:rsidRPr="000E53A0">
        <w:rPr>
          <w:rFonts w:asciiTheme="minorHAnsi" w:hAnsiTheme="minorHAnsi" w:cstheme="minorHAnsi"/>
          <w:i/>
          <w:szCs w:val="20"/>
          <w:highlight w:val="yellow"/>
          <w:lang w:val="fr-FR"/>
        </w:rPr>
        <w:t xml:space="preserve">Les </w:t>
      </w:r>
      <w:r w:rsidR="000E53A0" w:rsidRPr="000E53A0">
        <w:rPr>
          <w:rFonts w:asciiTheme="minorHAnsi" w:hAnsiTheme="minorHAnsi" w:cstheme="minorHAnsi"/>
          <w:i/>
          <w:szCs w:val="20"/>
          <w:highlight w:val="yellow"/>
          <w:lang w:val="fr-FR"/>
        </w:rPr>
        <w:t xml:space="preserve">annexes suivantes </w:t>
      </w:r>
      <w:r w:rsidR="009B1C64" w:rsidRPr="000E53A0">
        <w:rPr>
          <w:rFonts w:asciiTheme="minorHAnsi" w:hAnsiTheme="minorHAnsi" w:cstheme="minorHAnsi"/>
          <w:i/>
          <w:szCs w:val="20"/>
          <w:highlight w:val="yellow"/>
          <w:lang w:val="fr-FR"/>
        </w:rPr>
        <w:t xml:space="preserve">peuvent être préparées sous forme de documents séparés. Elles doivent être </w:t>
      </w:r>
      <w:r w:rsidR="000E53A0" w:rsidRPr="000E53A0">
        <w:rPr>
          <w:rFonts w:asciiTheme="minorHAnsi" w:hAnsiTheme="minorHAnsi" w:cstheme="minorHAnsi"/>
          <w:i/>
          <w:szCs w:val="20"/>
          <w:highlight w:val="yellow"/>
          <w:lang w:val="fr-FR"/>
        </w:rPr>
        <w:t xml:space="preserve">complétées dans le cadre du dossier de soumission au FEM </w:t>
      </w:r>
      <w:r w:rsidR="008D7547" w:rsidRPr="000E53A0">
        <w:rPr>
          <w:rFonts w:asciiTheme="minorHAnsi" w:hAnsiTheme="minorHAnsi" w:cstheme="minorHAnsi"/>
          <w:i/>
          <w:szCs w:val="20"/>
          <w:highlight w:val="yellow"/>
          <w:lang w:val="fr-FR"/>
        </w:rPr>
        <w:t xml:space="preserve">et sont </w:t>
      </w:r>
      <w:r w:rsidR="009B1C64" w:rsidRPr="000E53A0">
        <w:rPr>
          <w:rFonts w:asciiTheme="minorHAnsi" w:hAnsiTheme="minorHAnsi" w:cstheme="minorHAnsi"/>
          <w:i/>
          <w:szCs w:val="20"/>
          <w:highlight w:val="yellow"/>
          <w:lang w:val="fr-FR"/>
        </w:rPr>
        <w:t xml:space="preserve">saisies </w:t>
      </w:r>
      <w:r w:rsidR="008D7547" w:rsidRPr="000E53A0">
        <w:rPr>
          <w:rFonts w:asciiTheme="minorHAnsi" w:hAnsiTheme="minorHAnsi" w:cstheme="minorHAnsi"/>
          <w:i/>
          <w:szCs w:val="20"/>
          <w:highlight w:val="yellow"/>
          <w:lang w:val="fr-FR"/>
        </w:rPr>
        <w:t xml:space="preserve">ligne par ligne </w:t>
      </w:r>
      <w:r w:rsidR="009B1C64" w:rsidRPr="000E53A0">
        <w:rPr>
          <w:rFonts w:asciiTheme="minorHAnsi" w:hAnsiTheme="minorHAnsi" w:cstheme="minorHAnsi"/>
          <w:i/>
          <w:szCs w:val="20"/>
          <w:highlight w:val="yellow"/>
          <w:lang w:val="fr-FR"/>
        </w:rPr>
        <w:t>dans le portail du FEM</w:t>
      </w:r>
      <w:r w:rsidRPr="000E53A0">
        <w:rPr>
          <w:rFonts w:asciiTheme="minorHAnsi" w:hAnsiTheme="minorHAnsi" w:cstheme="minorHAnsi"/>
          <w:i/>
          <w:szCs w:val="20"/>
          <w:highlight w:val="yellow"/>
          <w:lang w:val="fr-FR"/>
        </w:rPr>
        <w:t xml:space="preserve">. Ces annexes distinctes </w:t>
      </w:r>
      <w:r w:rsidRPr="000E53A0">
        <w:rPr>
          <w:rFonts w:asciiTheme="minorHAnsi" w:hAnsiTheme="minorHAnsi" w:cstheme="minorHAnsi"/>
          <w:i/>
          <w:szCs w:val="20"/>
          <w:highlight w:val="yellow"/>
          <w:u w:val="single"/>
          <w:lang w:val="fr-FR"/>
        </w:rPr>
        <w:t xml:space="preserve">ne </w:t>
      </w:r>
      <w:r w:rsidRPr="000E53A0">
        <w:rPr>
          <w:rFonts w:asciiTheme="minorHAnsi" w:hAnsiTheme="minorHAnsi" w:cstheme="minorHAnsi"/>
          <w:i/>
          <w:szCs w:val="20"/>
          <w:highlight w:val="yellow"/>
          <w:lang w:val="fr-FR"/>
        </w:rPr>
        <w:t xml:space="preserve">doivent </w:t>
      </w:r>
      <w:r w:rsidRPr="000E53A0">
        <w:rPr>
          <w:rFonts w:asciiTheme="minorHAnsi" w:hAnsiTheme="minorHAnsi" w:cstheme="minorHAnsi"/>
          <w:i/>
          <w:szCs w:val="20"/>
          <w:highlight w:val="yellow"/>
          <w:u w:val="single"/>
          <w:lang w:val="fr-FR"/>
        </w:rPr>
        <w:t xml:space="preserve">pas </w:t>
      </w:r>
      <w:r w:rsidRPr="000E53A0">
        <w:rPr>
          <w:rFonts w:asciiTheme="minorHAnsi" w:hAnsiTheme="minorHAnsi" w:cstheme="minorHAnsi"/>
          <w:i/>
          <w:szCs w:val="20"/>
          <w:highlight w:val="yellow"/>
          <w:lang w:val="fr-FR"/>
        </w:rPr>
        <w:t xml:space="preserve">nécessairement faire partie du document de projet signé par les parties concernées </w:t>
      </w:r>
      <w:r w:rsidR="000E53A0" w:rsidRPr="000E53A0">
        <w:rPr>
          <w:rFonts w:asciiTheme="minorHAnsi" w:hAnsiTheme="minorHAnsi" w:cstheme="minorHAnsi"/>
          <w:i/>
          <w:szCs w:val="20"/>
          <w:highlight w:val="yellow"/>
          <w:lang w:val="fr-FR"/>
        </w:rPr>
        <w:t>:</w:t>
      </w:r>
    </w:p>
    <w:p w14:paraId="39D64A11" w14:textId="77777777" w:rsidR="00601D9B" w:rsidRPr="000E53A0" w:rsidRDefault="000E53A0">
      <w:pPr>
        <w:pStyle w:val="Paragraphedeliste"/>
        <w:numPr>
          <w:ilvl w:val="0"/>
          <w:numId w:val="30"/>
        </w:numPr>
        <w:spacing w:after="120"/>
        <w:rPr>
          <w:rFonts w:asciiTheme="minorHAnsi" w:hAnsiTheme="minorHAnsi" w:cstheme="minorHAnsi"/>
          <w:sz w:val="20"/>
          <w:szCs w:val="20"/>
          <w:highlight w:val="yellow"/>
          <w:lang w:val="fr-FR"/>
        </w:rPr>
      </w:pPr>
      <w:r w:rsidRPr="000E53A0">
        <w:rPr>
          <w:rFonts w:asciiTheme="minorHAnsi" w:hAnsiTheme="minorHAnsi" w:cstheme="minorHAnsi"/>
          <w:sz w:val="20"/>
          <w:szCs w:val="20"/>
          <w:lang w:val="fr-FR"/>
        </w:rPr>
        <w:t xml:space="preserve">Indicateurs de base du FEM </w:t>
      </w:r>
      <w:r w:rsidR="00953FB6" w:rsidRPr="000E53A0">
        <w:rPr>
          <w:rFonts w:asciiTheme="minorHAnsi" w:hAnsiTheme="minorHAnsi" w:cstheme="minorHAnsi"/>
          <w:sz w:val="20"/>
          <w:szCs w:val="20"/>
          <w:lang w:val="fr-FR"/>
        </w:rPr>
        <w:t xml:space="preserve">et/ou du FPMA/SCCF </w:t>
      </w:r>
      <w:r w:rsidR="001A7B9D" w:rsidRPr="000E53A0">
        <w:rPr>
          <w:rFonts w:asciiTheme="minorHAnsi" w:hAnsiTheme="minorHAnsi" w:cstheme="minorHAnsi"/>
          <w:sz w:val="20"/>
          <w:szCs w:val="20"/>
          <w:lang w:val="fr-FR"/>
        </w:rPr>
        <w:t>(voir modèle ci-dessous)</w:t>
      </w:r>
    </w:p>
    <w:p w14:paraId="6CE44338" w14:textId="77777777" w:rsidR="00601D9B" w:rsidRPr="000E53A0" w:rsidRDefault="000E53A0">
      <w:pPr>
        <w:pStyle w:val="Paragraphedeliste"/>
        <w:numPr>
          <w:ilvl w:val="0"/>
          <w:numId w:val="30"/>
        </w:numPr>
        <w:spacing w:after="120"/>
        <w:rPr>
          <w:rFonts w:asciiTheme="minorHAnsi" w:hAnsiTheme="minorHAnsi" w:cstheme="minorHAnsi"/>
          <w:sz w:val="20"/>
          <w:szCs w:val="20"/>
          <w:lang w:val="fr-FR"/>
        </w:rPr>
      </w:pPr>
      <w:r w:rsidRPr="000E53A0">
        <w:rPr>
          <w:rFonts w:asciiTheme="minorHAnsi" w:hAnsiTheme="minorHAnsi" w:cstheme="minorHAnsi"/>
          <w:sz w:val="20"/>
          <w:szCs w:val="20"/>
          <w:lang w:val="fr-FR"/>
        </w:rPr>
        <w:t xml:space="preserve">Taxonomie du FEM </w:t>
      </w:r>
      <w:r w:rsidR="001A7B9D" w:rsidRPr="000E53A0">
        <w:rPr>
          <w:rFonts w:asciiTheme="minorHAnsi" w:hAnsiTheme="minorHAnsi" w:cstheme="minorHAnsi"/>
          <w:sz w:val="20"/>
          <w:szCs w:val="20"/>
          <w:lang w:val="fr-FR"/>
        </w:rPr>
        <w:t>(voir modèle ci-dessous)</w:t>
      </w:r>
    </w:p>
    <w:p w14:paraId="0BF39B68" w14:textId="77777777" w:rsidR="00601D9B" w:rsidRPr="000E53A0" w:rsidRDefault="000E53A0">
      <w:pPr>
        <w:rPr>
          <w:i/>
          <w:highlight w:val="yellow"/>
          <w:lang w:val="fr-FR"/>
        </w:rPr>
      </w:pPr>
      <w:r w:rsidRPr="000E53A0">
        <w:rPr>
          <w:i/>
          <w:highlight w:val="yellow"/>
          <w:lang w:val="fr-FR"/>
        </w:rPr>
        <w:t xml:space="preserve">Les annexes suivantes doivent être complétées/préparées en tant que documents séparés. La plupart d'entre elles doivent être complétées au début de la phase PPG afin de contribuer à la conception du projet. Elles doivent être mises à la disposition des membres du LPAC. Elles </w:t>
      </w:r>
      <w:r w:rsidRPr="000E53A0">
        <w:rPr>
          <w:i/>
          <w:highlight w:val="yellow"/>
          <w:u w:val="single"/>
          <w:lang w:val="fr-FR"/>
        </w:rPr>
        <w:t xml:space="preserve">ne doivent pas </w:t>
      </w:r>
      <w:r w:rsidRPr="000E53A0">
        <w:rPr>
          <w:i/>
          <w:highlight w:val="yellow"/>
          <w:lang w:val="fr-FR"/>
        </w:rPr>
        <w:t xml:space="preserve">être soumises au FEM </w:t>
      </w:r>
      <w:r w:rsidR="00C84063" w:rsidRPr="000E53A0">
        <w:rPr>
          <w:i/>
          <w:highlight w:val="yellow"/>
          <w:lang w:val="fr-FR"/>
        </w:rPr>
        <w:t>et ne doivent pas faire partie du document de projet qui est signé par les parties concernées</w:t>
      </w:r>
      <w:r w:rsidRPr="000E53A0">
        <w:rPr>
          <w:i/>
          <w:highlight w:val="yellow"/>
          <w:lang w:val="fr-FR"/>
        </w:rPr>
        <w:t>.</w:t>
      </w:r>
    </w:p>
    <w:p w14:paraId="1B9D932A" w14:textId="77777777" w:rsidR="00601D9B" w:rsidRPr="000E53A0" w:rsidRDefault="00B330C0">
      <w:pPr>
        <w:pStyle w:val="Paragraphedeliste"/>
        <w:numPr>
          <w:ilvl w:val="0"/>
          <w:numId w:val="30"/>
        </w:numPr>
        <w:spacing w:after="120"/>
        <w:rPr>
          <w:rFonts w:asciiTheme="minorHAnsi" w:hAnsiTheme="minorHAnsi" w:cstheme="minorHAnsi"/>
          <w:sz w:val="20"/>
          <w:szCs w:val="20"/>
          <w:lang w:val="fr-FR"/>
        </w:rPr>
      </w:pPr>
      <w:hyperlink r:id="rId43" w:history="1">
        <w:r w:rsidR="004A046B" w:rsidRPr="000E53A0">
          <w:rPr>
            <w:rStyle w:val="Lienhypertexte"/>
            <w:rFonts w:asciiTheme="minorHAnsi" w:hAnsiTheme="minorHAnsi" w:cstheme="minorHAnsi"/>
            <w:sz w:val="20"/>
            <w:szCs w:val="20"/>
            <w:lang w:val="fr-FR"/>
          </w:rPr>
          <w:t xml:space="preserve">L'outil d'évaluation des capacités des partenaires et l'évaluation HACT </w:t>
        </w:r>
      </w:hyperlink>
      <w:r w:rsidR="00A10620" w:rsidRPr="000E53A0">
        <w:rPr>
          <w:rFonts w:asciiTheme="minorHAnsi" w:hAnsiTheme="minorHAnsi" w:cstheme="minorHAnsi"/>
          <w:sz w:val="20"/>
          <w:szCs w:val="20"/>
          <w:highlight w:val="magenta"/>
          <w:lang w:val="fr-FR"/>
        </w:rPr>
        <w:t xml:space="preserve">peuvent ne pas être exigés pour les EE si moins </w:t>
      </w:r>
      <w:r w:rsidR="00C84063" w:rsidRPr="000E53A0">
        <w:rPr>
          <w:rFonts w:asciiTheme="minorHAnsi" w:hAnsiTheme="minorHAnsi" w:cstheme="minorHAnsi"/>
          <w:sz w:val="20"/>
          <w:szCs w:val="20"/>
          <w:highlight w:val="magenta"/>
          <w:lang w:val="fr-FR"/>
        </w:rPr>
        <w:t xml:space="preserve">de </w:t>
      </w:r>
      <w:r w:rsidR="00A10620" w:rsidRPr="000E53A0">
        <w:rPr>
          <w:rFonts w:asciiTheme="minorHAnsi" w:hAnsiTheme="minorHAnsi" w:cstheme="minorHAnsi"/>
          <w:sz w:val="20"/>
          <w:szCs w:val="20"/>
          <w:highlight w:val="magenta"/>
          <w:lang w:val="fr-FR"/>
        </w:rPr>
        <w:t>300 000 dollars US sont transférés au PI.</w:t>
      </w:r>
    </w:p>
    <w:p w14:paraId="07237672" w14:textId="77777777" w:rsidR="00601D9B" w:rsidRPr="000E53A0" w:rsidRDefault="000E53A0">
      <w:pPr>
        <w:pStyle w:val="Paragraphedeliste"/>
        <w:numPr>
          <w:ilvl w:val="0"/>
          <w:numId w:val="30"/>
        </w:numPr>
        <w:spacing w:after="120"/>
        <w:rPr>
          <w:rFonts w:asciiTheme="minorHAnsi" w:hAnsiTheme="minorHAnsi" w:cstheme="minorHAnsi"/>
          <w:sz w:val="20"/>
          <w:szCs w:val="20"/>
          <w:lang w:val="fr-FR"/>
        </w:rPr>
      </w:pPr>
      <w:r w:rsidRPr="000E53A0">
        <w:rPr>
          <w:rFonts w:asciiTheme="minorHAnsi" w:hAnsiTheme="minorHAnsi" w:cstheme="minorHAnsi"/>
          <w:sz w:val="20"/>
          <w:szCs w:val="20"/>
          <w:lang w:val="fr-FR"/>
        </w:rPr>
        <w:t xml:space="preserve">Rapport d'assurance qualité du projet du PNUD (à remplir dans le système de planification en ligne du PNUD) </w:t>
      </w:r>
    </w:p>
    <w:p w14:paraId="7683B220" w14:textId="77777777" w:rsidR="00601D9B" w:rsidRPr="000E53A0" w:rsidRDefault="000E53A0">
      <w:pPr>
        <w:pStyle w:val="Paragraphedeliste"/>
        <w:numPr>
          <w:ilvl w:val="0"/>
          <w:numId w:val="30"/>
        </w:numPr>
        <w:spacing w:after="120"/>
        <w:rPr>
          <w:rFonts w:ascii="Calibri" w:hAnsi="Calibri"/>
          <w:sz w:val="20"/>
          <w:szCs w:val="20"/>
          <w:lang w:val="fr-FR"/>
        </w:rPr>
      </w:pPr>
      <w:r w:rsidRPr="000E53A0">
        <w:rPr>
          <w:rFonts w:ascii="Calibri" w:hAnsi="Calibri"/>
          <w:sz w:val="20"/>
          <w:szCs w:val="20"/>
          <w:lang w:val="fr-FR"/>
        </w:rPr>
        <w:t>Lettre d'accord signée entre le PNUD et le PE demandant les services d'appui du PNUD (si nécessaire à titre exceptionnel et autorisé par le FEM).</w:t>
      </w:r>
    </w:p>
    <w:p w14:paraId="3555771A" w14:textId="77777777" w:rsidR="00637FED" w:rsidRPr="000E53A0" w:rsidRDefault="00637FED" w:rsidP="007543AB">
      <w:pPr>
        <w:pStyle w:val="Paragraphedeliste"/>
        <w:numPr>
          <w:ilvl w:val="0"/>
          <w:numId w:val="30"/>
        </w:numPr>
        <w:spacing w:after="120"/>
        <w:rPr>
          <w:rFonts w:asciiTheme="minorHAnsi" w:hAnsiTheme="minorHAnsi" w:cstheme="minorHAnsi"/>
          <w:sz w:val="20"/>
          <w:szCs w:val="20"/>
          <w:lang w:val="fr-FR"/>
        </w:rPr>
        <w:sectPr w:rsidR="00637FED" w:rsidRPr="000E53A0" w:rsidSect="00F20987">
          <w:pgSz w:w="12240" w:h="15840" w:code="1"/>
          <w:pgMar w:top="1440" w:right="1440" w:bottom="1440" w:left="1440" w:header="720" w:footer="720" w:gutter="0"/>
          <w:cols w:space="720"/>
          <w:docGrid w:linePitch="360"/>
        </w:sectPr>
      </w:pPr>
    </w:p>
    <w:p w14:paraId="2AC6F57E" w14:textId="77777777" w:rsidR="00601D9B" w:rsidRPr="000E53A0" w:rsidRDefault="000E53A0">
      <w:pPr>
        <w:pStyle w:val="Titre2"/>
        <w:ind w:left="0"/>
        <w:rPr>
          <w:rFonts w:asciiTheme="minorHAnsi" w:hAnsiTheme="minorHAnsi" w:cstheme="minorHAnsi"/>
          <w:sz w:val="22"/>
          <w:szCs w:val="22"/>
          <w:lang w:val="fr-FR"/>
        </w:rPr>
      </w:pPr>
      <w:bookmarkStart w:id="66" w:name="_Toc46749088"/>
      <w:r w:rsidRPr="000E53A0">
        <w:rPr>
          <w:rFonts w:asciiTheme="minorHAnsi" w:hAnsiTheme="minorHAnsi" w:cstheme="minorHAnsi"/>
          <w:sz w:val="22"/>
          <w:szCs w:val="22"/>
          <w:lang w:val="fr-FR"/>
        </w:rPr>
        <w:lastRenderedPageBreak/>
        <w:t xml:space="preserve">Annexe 1 : Modèle de budget du FEM </w:t>
      </w:r>
      <w:bookmarkEnd w:id="66"/>
      <w:r w:rsidRPr="000E53A0">
        <w:rPr>
          <w:rFonts w:asciiTheme="minorHAnsi" w:hAnsiTheme="minorHAnsi" w:cstheme="minorHAnsi"/>
          <w:sz w:val="22"/>
          <w:szCs w:val="22"/>
          <w:lang w:val="fr-FR"/>
        </w:rPr>
        <w:br w:type="page"/>
      </w:r>
    </w:p>
    <w:p w14:paraId="2DC49C78" w14:textId="77777777" w:rsidR="00601D9B" w:rsidRPr="000E53A0" w:rsidRDefault="000E53A0">
      <w:pPr>
        <w:pStyle w:val="Titre2"/>
        <w:ind w:left="0"/>
        <w:rPr>
          <w:rFonts w:asciiTheme="minorHAnsi" w:hAnsiTheme="minorHAnsi" w:cstheme="minorHAnsi"/>
          <w:sz w:val="22"/>
          <w:szCs w:val="22"/>
          <w:lang w:val="fr-FR"/>
        </w:rPr>
      </w:pPr>
      <w:bookmarkStart w:id="67" w:name="_Toc46749089"/>
      <w:r w:rsidRPr="000E53A0">
        <w:rPr>
          <w:rFonts w:asciiTheme="minorHAnsi" w:hAnsiTheme="minorHAnsi" w:cstheme="minorHAnsi"/>
          <w:sz w:val="22"/>
          <w:szCs w:val="22"/>
          <w:lang w:val="fr-FR"/>
        </w:rPr>
        <w:lastRenderedPageBreak/>
        <w:t xml:space="preserve">Annexe </w:t>
      </w:r>
      <w:r w:rsidR="00C13BA9" w:rsidRPr="000E53A0">
        <w:rPr>
          <w:rFonts w:asciiTheme="minorHAnsi" w:hAnsiTheme="minorHAnsi" w:cstheme="minorHAnsi"/>
          <w:sz w:val="22"/>
          <w:szCs w:val="22"/>
          <w:lang w:val="fr-FR"/>
        </w:rPr>
        <w:t xml:space="preserve">2 </w:t>
      </w:r>
      <w:r w:rsidRPr="000E53A0">
        <w:rPr>
          <w:rFonts w:asciiTheme="minorHAnsi" w:hAnsiTheme="minorHAnsi" w:cstheme="minorHAnsi"/>
          <w:sz w:val="22"/>
          <w:szCs w:val="22"/>
          <w:lang w:val="fr-FR"/>
        </w:rPr>
        <w:t xml:space="preserve">: </w:t>
      </w:r>
      <w:r w:rsidR="004C066B" w:rsidRPr="000E53A0">
        <w:rPr>
          <w:rFonts w:asciiTheme="minorHAnsi" w:hAnsiTheme="minorHAnsi" w:cstheme="minorHAnsi"/>
          <w:sz w:val="22"/>
          <w:szCs w:val="22"/>
          <w:lang w:val="fr-FR"/>
        </w:rPr>
        <w:t>Lettre d'appui à l'</w:t>
      </w:r>
      <w:bookmarkEnd w:id="67"/>
      <w:commentRangeStart w:id="68"/>
      <w:commentRangeEnd w:id="68"/>
      <w:r w:rsidR="00107491">
        <w:rPr>
          <w:rStyle w:val="Marquedecommentaire"/>
          <w:rFonts w:ascii="Times New Roman" w:hAnsi="Times New Roman"/>
          <w:b w:val="0"/>
          <w:bCs w:val="0"/>
        </w:rPr>
        <w:commentReference w:id="68"/>
      </w:r>
      <w:r w:rsidR="00163050" w:rsidRPr="000E53A0">
        <w:rPr>
          <w:rFonts w:asciiTheme="minorHAnsi" w:hAnsiTheme="minorHAnsi" w:cstheme="minorHAnsi"/>
          <w:sz w:val="22"/>
          <w:szCs w:val="22"/>
          <w:lang w:val="fr-FR"/>
        </w:rPr>
        <w:t xml:space="preserve">exécution du </w:t>
      </w:r>
      <w:r w:rsidR="004C066B" w:rsidRPr="000E53A0">
        <w:rPr>
          <w:rFonts w:asciiTheme="minorHAnsi" w:hAnsiTheme="minorHAnsi" w:cstheme="minorHAnsi"/>
          <w:sz w:val="22"/>
          <w:szCs w:val="22"/>
          <w:lang w:val="fr-FR"/>
        </w:rPr>
        <w:t xml:space="preserve">FEM  </w:t>
      </w:r>
    </w:p>
    <w:p w14:paraId="6AB37C2F" w14:textId="77777777" w:rsidR="00601D9B" w:rsidRPr="000E53A0" w:rsidRDefault="000E53A0">
      <w:pPr>
        <w:jc w:val="center"/>
        <w:rPr>
          <w:highlight w:val="lightGray"/>
          <w:lang w:val="fr-FR"/>
        </w:rPr>
      </w:pPr>
      <w:r w:rsidRPr="000E53A0">
        <w:rPr>
          <w:highlight w:val="lightGray"/>
          <w:lang w:val="fr-FR"/>
        </w:rPr>
        <w:t>[Papier à en-tête du gouvernement]</w:t>
      </w:r>
    </w:p>
    <w:p w14:paraId="02B01A0E" w14:textId="77777777" w:rsidR="00601D9B" w:rsidRPr="000E53A0" w:rsidRDefault="000E53A0">
      <w:pPr>
        <w:jc w:val="right"/>
        <w:rPr>
          <w:lang w:val="fr-FR"/>
        </w:rPr>
      </w:pPr>
      <w:r w:rsidRPr="000E53A0">
        <w:rPr>
          <w:highlight w:val="lightGray"/>
          <w:lang w:val="fr-FR"/>
        </w:rPr>
        <w:t>[Date]</w:t>
      </w:r>
    </w:p>
    <w:p w14:paraId="38E42BAE" w14:textId="77777777" w:rsidR="00601D9B" w:rsidRPr="000E53A0" w:rsidRDefault="000E53A0">
      <w:pPr>
        <w:contextualSpacing/>
        <w:rPr>
          <w:lang w:val="fr-FR"/>
        </w:rPr>
      </w:pPr>
      <w:r w:rsidRPr="000E53A0">
        <w:rPr>
          <w:lang w:val="fr-FR"/>
        </w:rPr>
        <w:t>A :</w:t>
      </w:r>
      <w:r w:rsidRPr="000E53A0">
        <w:rPr>
          <w:lang w:val="fr-FR"/>
        </w:rPr>
        <w:tab/>
      </w:r>
      <w:r w:rsidR="001B7151" w:rsidRPr="000E53A0">
        <w:rPr>
          <w:lang w:val="fr-FR"/>
        </w:rPr>
        <w:t xml:space="preserve">Pradeep </w:t>
      </w:r>
      <w:r w:rsidR="00C25D07" w:rsidRPr="000E53A0">
        <w:rPr>
          <w:lang w:val="fr-FR"/>
        </w:rPr>
        <w:t xml:space="preserve">Kurukulasuriya, </w:t>
      </w:r>
    </w:p>
    <w:p w14:paraId="246C8C94" w14:textId="77777777" w:rsidR="00601D9B" w:rsidRPr="000E53A0" w:rsidRDefault="000E53A0">
      <w:pPr>
        <w:contextualSpacing/>
        <w:rPr>
          <w:highlight w:val="lightGray"/>
          <w:lang w:val="fr-FR"/>
        </w:rPr>
      </w:pPr>
      <w:r w:rsidRPr="000E53A0">
        <w:rPr>
          <w:lang w:val="fr-FR"/>
        </w:rPr>
        <w:tab/>
      </w:r>
      <w:r w:rsidR="000E072D" w:rsidRPr="000E53A0">
        <w:rPr>
          <w:highlight w:val="lightGray"/>
          <w:lang w:val="fr-FR"/>
        </w:rPr>
        <w:t>PNUD</w:t>
      </w:r>
    </w:p>
    <w:p w14:paraId="7359D67D" w14:textId="77777777" w:rsidR="00CC0D3E" w:rsidRPr="000E53A0" w:rsidRDefault="00CC0D3E" w:rsidP="00CC0D3E">
      <w:pPr>
        <w:contextualSpacing/>
        <w:rPr>
          <w:lang w:val="fr-FR"/>
        </w:rPr>
      </w:pPr>
    </w:p>
    <w:p w14:paraId="5886799C" w14:textId="77777777" w:rsidR="00CC0D3E" w:rsidRPr="000E53A0" w:rsidRDefault="00CC0D3E" w:rsidP="00CC0D3E">
      <w:pPr>
        <w:contextualSpacing/>
        <w:rPr>
          <w:lang w:val="fr-FR"/>
        </w:rPr>
      </w:pPr>
    </w:p>
    <w:p w14:paraId="39F44DC8" w14:textId="77777777" w:rsidR="00601D9B" w:rsidRPr="000E53A0" w:rsidRDefault="000E53A0">
      <w:pPr>
        <w:ind w:left="990" w:hanging="990"/>
        <w:contextualSpacing/>
        <w:rPr>
          <w:b/>
          <w:bCs/>
          <w:lang w:val="fr-FR"/>
        </w:rPr>
      </w:pPr>
      <w:r w:rsidRPr="000E53A0">
        <w:rPr>
          <w:b/>
          <w:bCs/>
          <w:lang w:val="fr-FR"/>
        </w:rPr>
        <w:t xml:space="preserve">Objet : </w:t>
      </w:r>
      <w:r w:rsidRPr="000E53A0">
        <w:rPr>
          <w:b/>
          <w:bCs/>
          <w:lang w:val="fr-FR"/>
        </w:rPr>
        <w:tab/>
        <w:t xml:space="preserve">Lettre de soutien à la demande d'exécution de l'Agence du FEM pour </w:t>
      </w:r>
      <w:r w:rsidRPr="000E53A0">
        <w:rPr>
          <w:b/>
          <w:bCs/>
          <w:highlight w:val="lightGray"/>
          <w:lang w:val="fr-FR"/>
        </w:rPr>
        <w:t>[Titre de la proposition de projet/programme] [Numéro d'identification du FEM].</w:t>
      </w:r>
    </w:p>
    <w:p w14:paraId="6C58D203" w14:textId="77777777" w:rsidR="00CC0D3E" w:rsidRPr="000E53A0" w:rsidRDefault="00CC0D3E" w:rsidP="00CC0D3E">
      <w:pPr>
        <w:contextualSpacing/>
        <w:rPr>
          <w:lang w:val="fr-FR"/>
        </w:rPr>
      </w:pPr>
    </w:p>
    <w:p w14:paraId="267DAD8F" w14:textId="77777777" w:rsidR="00601D9B" w:rsidRPr="000E53A0" w:rsidRDefault="000E53A0">
      <w:pPr>
        <w:contextualSpacing/>
        <w:rPr>
          <w:lang w:val="fr-FR"/>
        </w:rPr>
      </w:pPr>
      <w:r w:rsidRPr="000E53A0">
        <w:rPr>
          <w:lang w:val="fr-FR"/>
        </w:rPr>
        <w:tab/>
        <w:t xml:space="preserve">En ma qualité de point focal opérationnel du FEM pour </w:t>
      </w:r>
      <w:r w:rsidRPr="000E53A0">
        <w:rPr>
          <w:highlight w:val="lightGray"/>
          <w:lang w:val="fr-FR"/>
        </w:rPr>
        <w:t>[pays]</w:t>
      </w:r>
      <w:r w:rsidRPr="000E53A0">
        <w:rPr>
          <w:lang w:val="fr-FR"/>
        </w:rPr>
        <w:t xml:space="preserve">, je demande par la présente au </w:t>
      </w:r>
      <w:r w:rsidR="00C15E9A" w:rsidRPr="000E53A0">
        <w:rPr>
          <w:lang w:val="fr-FR"/>
        </w:rPr>
        <w:t>PNUD</w:t>
      </w:r>
      <w:r w:rsidRPr="000E53A0">
        <w:rPr>
          <w:lang w:val="fr-FR"/>
        </w:rPr>
        <w:t>, l'agence d'exécution du FEM pour le projet susmentionné, de fournir également des services d'exécution pour le projet/programme susmentionné, à titre exceptionnel.</w:t>
      </w:r>
    </w:p>
    <w:p w14:paraId="3E781327" w14:textId="77777777" w:rsidR="00CC0D3E" w:rsidRPr="000E53A0" w:rsidRDefault="00CC0D3E" w:rsidP="00CC0D3E">
      <w:pPr>
        <w:contextualSpacing/>
        <w:rPr>
          <w:lang w:val="fr-FR"/>
        </w:rPr>
      </w:pPr>
    </w:p>
    <w:p w14:paraId="1F838E98" w14:textId="77777777" w:rsidR="00601D9B" w:rsidRPr="000E53A0" w:rsidRDefault="000E53A0">
      <w:pPr>
        <w:contextualSpacing/>
        <w:rPr>
          <w:lang w:val="fr-FR"/>
        </w:rPr>
      </w:pPr>
      <w:r w:rsidRPr="000E53A0">
        <w:rPr>
          <w:lang w:val="fr-FR"/>
        </w:rPr>
        <w:t xml:space="preserve">Les </w:t>
      </w:r>
      <w:r w:rsidRPr="000E53A0">
        <w:rPr>
          <w:lang w:val="fr-FR"/>
        </w:rPr>
        <w:tab/>
        <w:t xml:space="preserve">services d'exécution fournis par le </w:t>
      </w:r>
      <w:r w:rsidR="00C15E9A" w:rsidRPr="000E53A0">
        <w:rPr>
          <w:lang w:val="fr-FR"/>
        </w:rPr>
        <w:t xml:space="preserve">PNUD </w:t>
      </w:r>
      <w:r w:rsidRPr="000E53A0">
        <w:rPr>
          <w:lang w:val="fr-FR"/>
        </w:rPr>
        <w:t xml:space="preserve">devraient comprendre les éléments suivants : </w:t>
      </w:r>
      <w:r>
        <w:rPr>
          <w:rStyle w:val="Appelnotedebasdep"/>
        </w:rPr>
        <w:footnoteReference w:id="90"/>
      </w:r>
    </w:p>
    <w:p w14:paraId="15022561" w14:textId="77777777" w:rsidR="00CC0D3E" w:rsidRPr="000E53A0" w:rsidRDefault="00CC0D3E" w:rsidP="00CC0D3E">
      <w:pPr>
        <w:contextualSpacing/>
        <w:rPr>
          <w:highlight w:val="lightGray"/>
          <w:lang w:val="fr-FR"/>
        </w:rPr>
      </w:pPr>
    </w:p>
    <w:p w14:paraId="0E60AAA5" w14:textId="77777777" w:rsidR="00601D9B" w:rsidRDefault="000E53A0">
      <w:pPr>
        <w:pStyle w:val="Paragraphedeliste"/>
        <w:numPr>
          <w:ilvl w:val="0"/>
          <w:numId w:val="47"/>
        </w:numPr>
        <w:contextualSpacing/>
        <w:rPr>
          <w:rFonts w:asciiTheme="minorHAnsi" w:hAnsiTheme="minorHAnsi" w:cstheme="minorHAnsi"/>
          <w:sz w:val="22"/>
          <w:szCs w:val="22"/>
          <w:highlight w:val="lightGray"/>
        </w:rPr>
      </w:pPr>
      <w:r w:rsidRPr="000E072D">
        <w:rPr>
          <w:rFonts w:asciiTheme="minorHAnsi" w:hAnsiTheme="minorHAnsi" w:cstheme="minorHAnsi"/>
          <w:sz w:val="22"/>
          <w:szCs w:val="22"/>
          <w:highlight w:val="lightGray"/>
        </w:rPr>
        <w:t>[Fonction 1</w:t>
      </w:r>
    </w:p>
    <w:p w14:paraId="2D7F3C75" w14:textId="77777777" w:rsidR="00601D9B" w:rsidRDefault="000E53A0">
      <w:pPr>
        <w:pStyle w:val="Paragraphedeliste"/>
        <w:numPr>
          <w:ilvl w:val="0"/>
          <w:numId w:val="47"/>
        </w:numPr>
        <w:contextualSpacing/>
        <w:rPr>
          <w:rFonts w:asciiTheme="minorHAnsi" w:hAnsiTheme="minorHAnsi" w:cstheme="minorHAnsi"/>
          <w:sz w:val="22"/>
          <w:szCs w:val="22"/>
          <w:highlight w:val="lightGray"/>
        </w:rPr>
      </w:pPr>
      <w:r w:rsidRPr="000E072D">
        <w:rPr>
          <w:rFonts w:asciiTheme="minorHAnsi" w:hAnsiTheme="minorHAnsi" w:cstheme="minorHAnsi"/>
          <w:sz w:val="22"/>
          <w:szCs w:val="22"/>
          <w:highlight w:val="lightGray"/>
        </w:rPr>
        <w:t>Fonction 2</w:t>
      </w:r>
    </w:p>
    <w:p w14:paraId="053F170B" w14:textId="77777777" w:rsidR="00601D9B" w:rsidRDefault="000E53A0">
      <w:pPr>
        <w:pStyle w:val="Paragraphedeliste"/>
        <w:numPr>
          <w:ilvl w:val="0"/>
          <w:numId w:val="47"/>
        </w:numPr>
        <w:contextualSpacing/>
        <w:rPr>
          <w:rFonts w:asciiTheme="minorHAnsi" w:hAnsiTheme="minorHAnsi" w:cstheme="minorHAnsi"/>
          <w:sz w:val="22"/>
          <w:szCs w:val="22"/>
          <w:highlight w:val="lightGray"/>
        </w:rPr>
      </w:pPr>
      <w:r w:rsidRPr="000E072D">
        <w:rPr>
          <w:rFonts w:asciiTheme="minorHAnsi" w:hAnsiTheme="minorHAnsi" w:cstheme="minorHAnsi"/>
          <w:sz w:val="22"/>
          <w:szCs w:val="22"/>
          <w:highlight w:val="lightGray"/>
        </w:rPr>
        <w:t>Fonction 3</w:t>
      </w:r>
    </w:p>
    <w:p w14:paraId="6063BFDC" w14:textId="77777777" w:rsidR="00601D9B" w:rsidRDefault="000E53A0">
      <w:pPr>
        <w:pStyle w:val="Paragraphedeliste"/>
        <w:numPr>
          <w:ilvl w:val="0"/>
          <w:numId w:val="47"/>
        </w:numPr>
        <w:contextualSpacing/>
        <w:rPr>
          <w:rFonts w:asciiTheme="minorHAnsi" w:hAnsiTheme="minorHAnsi" w:cstheme="minorHAnsi"/>
          <w:sz w:val="22"/>
          <w:szCs w:val="22"/>
          <w:highlight w:val="lightGray"/>
        </w:rPr>
      </w:pPr>
      <w:r w:rsidRPr="000E072D">
        <w:rPr>
          <w:rFonts w:asciiTheme="minorHAnsi" w:hAnsiTheme="minorHAnsi" w:cstheme="minorHAnsi"/>
          <w:sz w:val="22"/>
          <w:szCs w:val="22"/>
          <w:highlight w:val="lightGray"/>
        </w:rPr>
        <w:t>Etc... ]</w:t>
      </w:r>
    </w:p>
    <w:p w14:paraId="6DC443F8" w14:textId="77777777" w:rsidR="00CC0D3E" w:rsidRPr="000E072D" w:rsidRDefault="00CC0D3E" w:rsidP="00CC0D3E">
      <w:pPr>
        <w:rPr>
          <w:rFonts w:asciiTheme="minorHAnsi" w:hAnsiTheme="minorHAnsi" w:cstheme="minorHAnsi"/>
          <w:sz w:val="22"/>
          <w:szCs w:val="22"/>
          <w:highlight w:val="lightGray"/>
        </w:rPr>
      </w:pPr>
    </w:p>
    <w:p w14:paraId="1D707443" w14:textId="77777777" w:rsidR="00601D9B" w:rsidRPr="000E53A0" w:rsidRDefault="000E53A0">
      <w:pPr>
        <w:rPr>
          <w:lang w:val="fr-FR"/>
        </w:rPr>
      </w:pPr>
      <w:r w:rsidRPr="000E53A0">
        <w:rPr>
          <w:lang w:val="fr-FR"/>
        </w:rPr>
        <w:t>3.</w:t>
      </w:r>
      <w:r w:rsidRPr="000E53A0">
        <w:rPr>
          <w:lang w:val="fr-FR"/>
        </w:rPr>
        <w:tab/>
        <w:t xml:space="preserve">Les services d'exécution devant être fournis par </w:t>
      </w:r>
      <w:r w:rsidRPr="000E53A0">
        <w:rPr>
          <w:highlight w:val="lightGray"/>
          <w:lang w:val="fr-FR"/>
        </w:rPr>
        <w:t>[pays, ministère ou autre entité</w:t>
      </w:r>
      <w:r w:rsidRPr="000E53A0">
        <w:rPr>
          <w:lang w:val="fr-FR"/>
        </w:rPr>
        <w:t xml:space="preserve">] devraient comprendre les éléments suivants : </w:t>
      </w:r>
      <w:r>
        <w:rPr>
          <w:rStyle w:val="Appelnotedebasdep"/>
        </w:rPr>
        <w:footnoteReference w:id="91"/>
      </w:r>
    </w:p>
    <w:p w14:paraId="7E28E8DB" w14:textId="77777777" w:rsidR="00CC0D3E" w:rsidRPr="000E53A0" w:rsidRDefault="00CC0D3E" w:rsidP="00CC0D3E">
      <w:pPr>
        <w:rPr>
          <w:highlight w:val="lightGray"/>
          <w:lang w:val="fr-FR"/>
        </w:rPr>
      </w:pPr>
    </w:p>
    <w:p w14:paraId="027A1472" w14:textId="77777777" w:rsidR="00601D9B" w:rsidRDefault="000E53A0">
      <w:pPr>
        <w:pStyle w:val="Paragraphedeliste"/>
        <w:numPr>
          <w:ilvl w:val="0"/>
          <w:numId w:val="47"/>
        </w:numPr>
        <w:contextualSpacing/>
        <w:rPr>
          <w:rFonts w:asciiTheme="minorHAnsi" w:hAnsiTheme="minorHAnsi" w:cstheme="minorHAnsi"/>
          <w:sz w:val="22"/>
          <w:szCs w:val="22"/>
          <w:highlight w:val="lightGray"/>
        </w:rPr>
      </w:pPr>
      <w:r w:rsidRPr="000E072D">
        <w:rPr>
          <w:rFonts w:asciiTheme="minorHAnsi" w:hAnsiTheme="minorHAnsi" w:cstheme="minorHAnsi"/>
          <w:sz w:val="22"/>
          <w:szCs w:val="22"/>
          <w:highlight w:val="lightGray"/>
        </w:rPr>
        <w:t>[Fonction 1</w:t>
      </w:r>
    </w:p>
    <w:p w14:paraId="206F08B2" w14:textId="77777777" w:rsidR="00601D9B" w:rsidRDefault="000E53A0">
      <w:pPr>
        <w:pStyle w:val="Paragraphedeliste"/>
        <w:numPr>
          <w:ilvl w:val="0"/>
          <w:numId w:val="47"/>
        </w:numPr>
        <w:contextualSpacing/>
        <w:rPr>
          <w:rFonts w:asciiTheme="minorHAnsi" w:hAnsiTheme="minorHAnsi" w:cstheme="minorHAnsi"/>
          <w:sz w:val="22"/>
          <w:szCs w:val="22"/>
          <w:highlight w:val="lightGray"/>
        </w:rPr>
      </w:pPr>
      <w:r w:rsidRPr="000E072D">
        <w:rPr>
          <w:rFonts w:asciiTheme="minorHAnsi" w:hAnsiTheme="minorHAnsi" w:cstheme="minorHAnsi"/>
          <w:sz w:val="22"/>
          <w:szCs w:val="22"/>
          <w:highlight w:val="lightGray"/>
        </w:rPr>
        <w:t>Fonction 2</w:t>
      </w:r>
    </w:p>
    <w:p w14:paraId="5EAD5FBE" w14:textId="77777777" w:rsidR="00601D9B" w:rsidRDefault="000E53A0">
      <w:pPr>
        <w:pStyle w:val="Paragraphedeliste"/>
        <w:numPr>
          <w:ilvl w:val="0"/>
          <w:numId w:val="47"/>
        </w:numPr>
        <w:contextualSpacing/>
        <w:rPr>
          <w:rFonts w:asciiTheme="minorHAnsi" w:hAnsiTheme="minorHAnsi" w:cstheme="minorHAnsi"/>
          <w:sz w:val="22"/>
          <w:szCs w:val="22"/>
          <w:highlight w:val="lightGray"/>
        </w:rPr>
      </w:pPr>
      <w:r w:rsidRPr="000E072D">
        <w:rPr>
          <w:rFonts w:asciiTheme="minorHAnsi" w:hAnsiTheme="minorHAnsi" w:cstheme="minorHAnsi"/>
          <w:sz w:val="22"/>
          <w:szCs w:val="22"/>
          <w:highlight w:val="lightGray"/>
        </w:rPr>
        <w:t>Fonction 3</w:t>
      </w:r>
    </w:p>
    <w:p w14:paraId="3C3EED04" w14:textId="77777777" w:rsidR="00601D9B" w:rsidRDefault="000E53A0">
      <w:pPr>
        <w:pStyle w:val="Paragraphedeliste"/>
        <w:numPr>
          <w:ilvl w:val="0"/>
          <w:numId w:val="47"/>
        </w:numPr>
        <w:contextualSpacing/>
        <w:rPr>
          <w:rFonts w:asciiTheme="minorHAnsi" w:hAnsiTheme="minorHAnsi" w:cstheme="minorHAnsi"/>
          <w:sz w:val="22"/>
          <w:szCs w:val="22"/>
          <w:highlight w:val="lightGray"/>
        </w:rPr>
      </w:pPr>
      <w:r w:rsidRPr="000E072D">
        <w:rPr>
          <w:rFonts w:asciiTheme="minorHAnsi" w:hAnsiTheme="minorHAnsi" w:cstheme="minorHAnsi"/>
          <w:sz w:val="22"/>
          <w:szCs w:val="22"/>
          <w:highlight w:val="lightGray"/>
        </w:rPr>
        <w:t>Etc... ]</w:t>
      </w:r>
    </w:p>
    <w:p w14:paraId="551788FF" w14:textId="77777777" w:rsidR="00CC0D3E" w:rsidRDefault="00CC0D3E" w:rsidP="00CC0D3E">
      <w:pPr>
        <w:contextualSpacing/>
      </w:pPr>
    </w:p>
    <w:p w14:paraId="02EF709D" w14:textId="77777777" w:rsidR="00601D9B" w:rsidRPr="000E53A0" w:rsidRDefault="000E53A0">
      <w:pPr>
        <w:contextualSpacing/>
        <w:rPr>
          <w:lang w:val="fr-FR"/>
        </w:rPr>
      </w:pPr>
      <w:r w:rsidRPr="000E53A0">
        <w:rPr>
          <w:lang w:val="fr-FR"/>
        </w:rPr>
        <w:t xml:space="preserve">Les </w:t>
      </w:r>
      <w:r w:rsidRPr="000E53A0">
        <w:rPr>
          <w:lang w:val="fr-FR"/>
        </w:rPr>
        <w:tab/>
        <w:t xml:space="preserve">activités d'exécution, y compris celles fournies par le </w:t>
      </w:r>
      <w:r w:rsidR="002F7D83" w:rsidRPr="000E53A0">
        <w:rPr>
          <w:lang w:val="fr-FR"/>
        </w:rPr>
        <w:t xml:space="preserve">PNUD, </w:t>
      </w:r>
      <w:r w:rsidRPr="000E53A0">
        <w:rPr>
          <w:lang w:val="fr-FR"/>
        </w:rPr>
        <w:t>seront décrites en détail dans la demande d'approbation de la DG du FEM et dans les documents d'accompagnement du projet/programme, y compris le budget du projet/programme.</w:t>
      </w:r>
    </w:p>
    <w:p w14:paraId="36BFDF92" w14:textId="77777777" w:rsidR="009A7C5F" w:rsidRPr="000E53A0" w:rsidRDefault="009A7C5F" w:rsidP="009A7C5F">
      <w:pPr>
        <w:contextualSpacing/>
        <w:rPr>
          <w:lang w:val="fr-FR"/>
        </w:rPr>
      </w:pPr>
    </w:p>
    <w:p w14:paraId="79F0C824" w14:textId="77777777" w:rsidR="009A7C5F" w:rsidRPr="000E53A0" w:rsidRDefault="009A7C5F" w:rsidP="009A7C5F">
      <w:pPr>
        <w:contextualSpacing/>
        <w:rPr>
          <w:lang w:val="fr-FR"/>
        </w:rPr>
      </w:pPr>
    </w:p>
    <w:p w14:paraId="253B17B3" w14:textId="77777777" w:rsidR="00601D9B" w:rsidRPr="000E53A0" w:rsidRDefault="000E53A0">
      <w:pPr>
        <w:contextualSpacing/>
        <w:rPr>
          <w:lang w:val="fr-FR"/>
        </w:rPr>
      </w:pPr>
      <w:r w:rsidRPr="000E53A0">
        <w:rPr>
          <w:lang w:val="fr-FR"/>
        </w:rPr>
        <w:tab/>
      </w:r>
      <w:r w:rsidRPr="000E53A0">
        <w:rPr>
          <w:lang w:val="fr-FR"/>
        </w:rPr>
        <w:tab/>
      </w:r>
      <w:r w:rsidRPr="000E53A0">
        <w:rPr>
          <w:lang w:val="fr-FR"/>
        </w:rPr>
        <w:tab/>
      </w:r>
      <w:r w:rsidRPr="000E53A0">
        <w:rPr>
          <w:lang w:val="fr-FR"/>
        </w:rPr>
        <w:tab/>
      </w:r>
      <w:r w:rsidRPr="000E53A0">
        <w:rPr>
          <w:lang w:val="fr-FR"/>
        </w:rPr>
        <w:tab/>
      </w:r>
      <w:r w:rsidRPr="000E53A0">
        <w:rPr>
          <w:lang w:val="fr-FR"/>
        </w:rPr>
        <w:tab/>
      </w:r>
      <w:r w:rsidRPr="000E53A0">
        <w:rPr>
          <w:lang w:val="fr-FR"/>
        </w:rPr>
        <w:tab/>
      </w:r>
      <w:r w:rsidRPr="000E53A0">
        <w:rPr>
          <w:lang w:val="fr-FR"/>
        </w:rPr>
        <w:tab/>
        <w:t>Sincèrement,</w:t>
      </w:r>
    </w:p>
    <w:p w14:paraId="6708E300" w14:textId="77777777" w:rsidR="00CC0D3E" w:rsidRPr="000E53A0" w:rsidRDefault="00CC0D3E" w:rsidP="00CC0D3E">
      <w:pPr>
        <w:contextualSpacing/>
        <w:rPr>
          <w:lang w:val="fr-FR"/>
        </w:rPr>
      </w:pPr>
    </w:p>
    <w:p w14:paraId="5AF960F3" w14:textId="77777777" w:rsidR="00601D9B" w:rsidRPr="000E53A0" w:rsidRDefault="000E53A0">
      <w:pPr>
        <w:contextualSpacing/>
        <w:rPr>
          <w:highlight w:val="lightGray"/>
          <w:lang w:val="fr-FR"/>
        </w:rPr>
      </w:pPr>
      <w:r w:rsidRPr="000E53A0">
        <w:rPr>
          <w:lang w:val="fr-FR"/>
        </w:rPr>
        <w:tab/>
      </w:r>
      <w:r w:rsidRPr="000E53A0">
        <w:rPr>
          <w:lang w:val="fr-FR"/>
        </w:rPr>
        <w:tab/>
      </w:r>
      <w:r w:rsidRPr="000E53A0">
        <w:rPr>
          <w:lang w:val="fr-FR"/>
        </w:rPr>
        <w:tab/>
      </w:r>
      <w:r w:rsidRPr="000E53A0">
        <w:rPr>
          <w:lang w:val="fr-FR"/>
        </w:rPr>
        <w:tab/>
      </w:r>
      <w:r w:rsidRPr="000E53A0">
        <w:rPr>
          <w:lang w:val="fr-FR"/>
        </w:rPr>
        <w:tab/>
      </w:r>
      <w:r w:rsidRPr="000E53A0">
        <w:rPr>
          <w:lang w:val="fr-FR"/>
        </w:rPr>
        <w:tab/>
      </w:r>
      <w:r w:rsidRPr="000E53A0">
        <w:rPr>
          <w:lang w:val="fr-FR"/>
        </w:rPr>
        <w:tab/>
      </w:r>
      <w:r w:rsidRPr="000E53A0">
        <w:rPr>
          <w:lang w:val="fr-FR"/>
        </w:rPr>
        <w:tab/>
      </w:r>
      <w:r w:rsidRPr="000E53A0">
        <w:rPr>
          <w:highlight w:val="lightGray"/>
          <w:lang w:val="fr-FR"/>
        </w:rPr>
        <w:t>[Nom du point focal opérationnel]</w:t>
      </w:r>
    </w:p>
    <w:p w14:paraId="2C091DF9" w14:textId="77777777" w:rsidR="00601D9B" w:rsidRPr="000E53A0" w:rsidRDefault="000E53A0">
      <w:pPr>
        <w:contextualSpacing/>
        <w:rPr>
          <w:lang w:val="fr-FR"/>
        </w:rPr>
      </w:pPr>
      <w:r w:rsidRPr="000E53A0">
        <w:rPr>
          <w:lang w:val="fr-FR"/>
        </w:rPr>
        <w:tab/>
      </w:r>
      <w:r w:rsidRPr="000E53A0">
        <w:rPr>
          <w:lang w:val="fr-FR"/>
        </w:rPr>
        <w:tab/>
      </w:r>
      <w:r w:rsidRPr="000E53A0">
        <w:rPr>
          <w:lang w:val="fr-FR"/>
        </w:rPr>
        <w:tab/>
      </w:r>
      <w:r w:rsidRPr="000E53A0">
        <w:rPr>
          <w:lang w:val="fr-FR"/>
        </w:rPr>
        <w:tab/>
      </w:r>
      <w:r w:rsidRPr="000E53A0">
        <w:rPr>
          <w:lang w:val="fr-FR"/>
        </w:rPr>
        <w:tab/>
      </w:r>
      <w:r w:rsidRPr="000E53A0">
        <w:rPr>
          <w:lang w:val="fr-FR"/>
        </w:rPr>
        <w:tab/>
      </w:r>
      <w:r w:rsidRPr="000E53A0">
        <w:rPr>
          <w:lang w:val="fr-FR"/>
        </w:rPr>
        <w:tab/>
      </w:r>
      <w:r w:rsidRPr="000E53A0">
        <w:rPr>
          <w:lang w:val="fr-FR"/>
        </w:rPr>
        <w:tab/>
      </w:r>
      <w:r w:rsidRPr="000E53A0">
        <w:rPr>
          <w:highlight w:val="lightGray"/>
          <w:lang w:val="fr-FR"/>
        </w:rPr>
        <w:t>[Poste/titre dans le gouvernement]</w:t>
      </w:r>
    </w:p>
    <w:p w14:paraId="74CFAF2C" w14:textId="77777777" w:rsidR="004C066B" w:rsidRPr="000E53A0" w:rsidRDefault="004C066B">
      <w:pPr>
        <w:rPr>
          <w:b/>
          <w:bCs/>
          <w:szCs w:val="22"/>
          <w:lang w:val="fr-FR"/>
        </w:rPr>
      </w:pPr>
      <w:r w:rsidRPr="000E53A0">
        <w:rPr>
          <w:szCs w:val="22"/>
          <w:lang w:val="fr-FR"/>
        </w:rPr>
        <w:br w:type="page"/>
      </w:r>
    </w:p>
    <w:p w14:paraId="5E802365" w14:textId="77777777" w:rsidR="00601D9B" w:rsidRPr="000E53A0" w:rsidRDefault="000E53A0">
      <w:pPr>
        <w:pStyle w:val="Titre2"/>
        <w:ind w:left="0"/>
        <w:rPr>
          <w:rFonts w:ascii="Calibri" w:hAnsi="Calibri"/>
          <w:szCs w:val="22"/>
          <w:lang w:val="fr-FR"/>
        </w:rPr>
      </w:pPr>
      <w:bookmarkStart w:id="69" w:name="_Toc46749090"/>
      <w:r w:rsidRPr="000E53A0">
        <w:rPr>
          <w:rFonts w:ascii="Calibri" w:hAnsi="Calibri"/>
          <w:szCs w:val="22"/>
          <w:lang w:val="fr-FR"/>
        </w:rPr>
        <w:lastRenderedPageBreak/>
        <w:t xml:space="preserve">Annexe 3 : </w:t>
      </w:r>
      <w:r w:rsidR="007E03E7" w:rsidRPr="000E53A0">
        <w:rPr>
          <w:rFonts w:ascii="Calibri" w:hAnsi="Calibri"/>
          <w:szCs w:val="22"/>
          <w:lang w:val="fr-FR"/>
        </w:rPr>
        <w:t>Carte du projet et coordonnées</w:t>
      </w:r>
      <w:r w:rsidR="001A7B9D" w:rsidRPr="000E53A0">
        <w:rPr>
          <w:rFonts w:ascii="Calibri" w:hAnsi="Calibri"/>
          <w:szCs w:val="22"/>
          <w:lang w:val="fr-FR"/>
        </w:rPr>
        <w:t xml:space="preserve"> géospatiales des </w:t>
      </w:r>
      <w:commentRangeStart w:id="70"/>
      <w:r w:rsidR="001A7B9D" w:rsidRPr="000E53A0">
        <w:rPr>
          <w:rFonts w:ascii="Calibri" w:hAnsi="Calibri"/>
          <w:szCs w:val="22"/>
          <w:lang w:val="fr-FR"/>
        </w:rPr>
        <w:t xml:space="preserve">sites du projet </w:t>
      </w:r>
      <w:bookmarkEnd w:id="69"/>
      <w:commentRangeEnd w:id="70"/>
      <w:r w:rsidR="00107491">
        <w:rPr>
          <w:rStyle w:val="Marquedecommentaire"/>
          <w:rFonts w:ascii="Times New Roman" w:hAnsi="Times New Roman"/>
          <w:b w:val="0"/>
          <w:bCs w:val="0"/>
        </w:rPr>
        <w:commentReference w:id="70"/>
      </w:r>
    </w:p>
    <w:p w14:paraId="74DAAFA2" w14:textId="77777777" w:rsidR="008A3099" w:rsidRPr="000E53A0" w:rsidRDefault="008A3099" w:rsidP="008A3099">
      <w:pPr>
        <w:rPr>
          <w:lang w:val="fr-FR"/>
        </w:rPr>
      </w:pPr>
    </w:p>
    <w:p w14:paraId="0490C0CF" w14:textId="77777777" w:rsidR="00601D9B" w:rsidRPr="000E53A0" w:rsidRDefault="000E53A0">
      <w:pPr>
        <w:rPr>
          <w:rFonts w:asciiTheme="minorHAnsi" w:hAnsiTheme="minorHAnsi"/>
          <w:szCs w:val="20"/>
          <w:lang w:val="fr-FR"/>
        </w:rPr>
      </w:pPr>
      <w:r w:rsidRPr="000E53A0">
        <w:rPr>
          <w:rFonts w:asciiTheme="minorHAnsi" w:hAnsiTheme="minorHAnsi"/>
          <w:szCs w:val="20"/>
          <w:lang w:val="fr-FR"/>
        </w:rPr>
        <w:t>Toutes les cartes incluses dans ce document de projet doivent être conformes aux cartes acceptées par l'unité cartographique des Nations unies (</w:t>
      </w:r>
      <w:hyperlink r:id="rId44" w:history="1">
        <w:r w:rsidRPr="000E53A0">
          <w:rPr>
            <w:rStyle w:val="Lienhypertexte"/>
            <w:lang w:val="fr-FR"/>
          </w:rPr>
          <w:t xml:space="preserve">voir </w:t>
        </w:r>
      </w:hyperlink>
      <w:r w:rsidRPr="000E53A0">
        <w:rPr>
          <w:lang w:val="fr-FR"/>
        </w:rPr>
        <w:t>https://www.un.org/Depts/Cartographic/english/htmain.htm).</w:t>
      </w:r>
    </w:p>
    <w:p w14:paraId="4041687E" w14:textId="77777777" w:rsidR="00601D9B" w:rsidRDefault="000E53A0">
      <w:pPr>
        <w:pStyle w:val="Titre2"/>
        <w:ind w:left="0"/>
        <w:rPr>
          <w:rFonts w:ascii="Calibri" w:hAnsi="Calibri"/>
          <w:szCs w:val="22"/>
        </w:rPr>
      </w:pPr>
      <w:r w:rsidRPr="000E53A0">
        <w:rPr>
          <w:rFonts w:ascii="Calibri" w:hAnsi="Calibri"/>
          <w:szCs w:val="22"/>
          <w:lang w:val="fr-FR"/>
        </w:rPr>
        <w:br w:type="page"/>
      </w:r>
      <w:bookmarkStart w:id="71" w:name="_Toc46749091"/>
      <w:bookmarkStart w:id="72" w:name="_Hlk82678216"/>
      <w:r>
        <w:rPr>
          <w:rFonts w:ascii="Calibri" w:hAnsi="Calibri"/>
          <w:szCs w:val="22"/>
        </w:rPr>
        <w:lastRenderedPageBreak/>
        <w:t xml:space="preserve">Annexe </w:t>
      </w:r>
      <w:r w:rsidR="00163050">
        <w:rPr>
          <w:rFonts w:ascii="Calibri" w:hAnsi="Calibri"/>
          <w:szCs w:val="22"/>
        </w:rPr>
        <w:t xml:space="preserve">4 </w:t>
      </w:r>
      <w:r>
        <w:rPr>
          <w:rFonts w:ascii="Calibri" w:hAnsi="Calibri"/>
          <w:szCs w:val="22"/>
        </w:rPr>
        <w:t xml:space="preserve">: </w:t>
      </w:r>
      <w:r w:rsidR="003E3ABA" w:rsidRPr="00421FD8">
        <w:rPr>
          <w:rFonts w:ascii="Calibri" w:hAnsi="Calibri"/>
          <w:szCs w:val="22"/>
        </w:rPr>
        <w:t xml:space="preserve">Plan de travail pluriannuel </w:t>
      </w:r>
      <w:bookmarkEnd w:id="71"/>
    </w:p>
    <w:p w14:paraId="28527275" w14:textId="77777777" w:rsidR="00072CB3" w:rsidRDefault="00072CB3" w:rsidP="003B2A79">
      <w:pPr>
        <w:rPr>
          <w:szCs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582"/>
        <w:gridCol w:w="489"/>
        <w:gridCol w:w="330"/>
        <w:gridCol w:w="330"/>
        <w:gridCol w:w="329"/>
        <w:gridCol w:w="329"/>
        <w:gridCol w:w="329"/>
        <w:gridCol w:w="329"/>
        <w:gridCol w:w="329"/>
        <w:gridCol w:w="329"/>
        <w:gridCol w:w="329"/>
        <w:gridCol w:w="329"/>
        <w:gridCol w:w="329"/>
        <w:gridCol w:w="329"/>
        <w:gridCol w:w="329"/>
        <w:gridCol w:w="329"/>
        <w:gridCol w:w="329"/>
        <w:gridCol w:w="329"/>
        <w:gridCol w:w="329"/>
        <w:gridCol w:w="329"/>
        <w:gridCol w:w="329"/>
        <w:gridCol w:w="329"/>
        <w:gridCol w:w="329"/>
        <w:gridCol w:w="329"/>
        <w:gridCol w:w="329"/>
        <w:gridCol w:w="329"/>
      </w:tblGrid>
      <w:tr w:rsidR="00027395" w:rsidRPr="005F6745" w14:paraId="197F34A4" w14:textId="77777777" w:rsidTr="000E53A0">
        <w:tc>
          <w:tcPr>
            <w:tcW w:w="1064" w:type="dxa"/>
            <w:vMerge w:val="restart"/>
            <w:shd w:val="clear" w:color="auto" w:fill="D9D9D9"/>
          </w:tcPr>
          <w:p w14:paraId="7DFDAD52" w14:textId="77777777" w:rsidR="00027395" w:rsidRDefault="00027395" w:rsidP="000E53A0">
            <w:pPr>
              <w:rPr>
                <w:b/>
                <w:szCs w:val="22"/>
              </w:rPr>
            </w:pPr>
          </w:p>
        </w:tc>
        <w:tc>
          <w:tcPr>
            <w:tcW w:w="965" w:type="dxa"/>
            <w:vMerge w:val="restart"/>
            <w:shd w:val="clear" w:color="auto" w:fill="D9D9D9"/>
          </w:tcPr>
          <w:p w14:paraId="07EF132F" w14:textId="77777777" w:rsidR="00601D9B" w:rsidRDefault="000E53A0">
            <w:pPr>
              <w:rPr>
                <w:b/>
                <w:szCs w:val="22"/>
              </w:rPr>
            </w:pPr>
            <w:r>
              <w:rPr>
                <w:b/>
                <w:szCs w:val="22"/>
              </w:rPr>
              <w:t>Résultats</w:t>
            </w:r>
          </w:p>
        </w:tc>
        <w:tc>
          <w:tcPr>
            <w:tcW w:w="814" w:type="dxa"/>
            <w:vMerge w:val="restart"/>
            <w:shd w:val="clear" w:color="auto" w:fill="D9D9D9"/>
          </w:tcPr>
          <w:p w14:paraId="79BFB73B" w14:textId="77777777" w:rsidR="00601D9B" w:rsidRDefault="000E53A0">
            <w:pPr>
              <w:jc w:val="center"/>
              <w:rPr>
                <w:b/>
                <w:szCs w:val="22"/>
              </w:rPr>
            </w:pPr>
            <w:r>
              <w:rPr>
                <w:b/>
                <w:szCs w:val="22"/>
              </w:rPr>
              <w:t>Sorties</w:t>
            </w:r>
          </w:p>
        </w:tc>
        <w:tc>
          <w:tcPr>
            <w:tcW w:w="1699" w:type="dxa"/>
            <w:gridSpan w:val="4"/>
            <w:shd w:val="clear" w:color="auto" w:fill="D9D9D9"/>
          </w:tcPr>
          <w:p w14:paraId="4AE54560" w14:textId="77777777" w:rsidR="00601D9B" w:rsidRDefault="000E53A0">
            <w:pPr>
              <w:jc w:val="center"/>
              <w:rPr>
                <w:b/>
                <w:szCs w:val="22"/>
              </w:rPr>
            </w:pPr>
            <w:r w:rsidRPr="005F6745">
              <w:rPr>
                <w:b/>
                <w:szCs w:val="22"/>
              </w:rPr>
              <w:t>Année 1</w:t>
            </w:r>
          </w:p>
        </w:tc>
        <w:tc>
          <w:tcPr>
            <w:tcW w:w="1696" w:type="dxa"/>
            <w:gridSpan w:val="4"/>
            <w:shd w:val="clear" w:color="auto" w:fill="D9D9D9"/>
          </w:tcPr>
          <w:p w14:paraId="58A33FED" w14:textId="77777777" w:rsidR="00601D9B" w:rsidRDefault="000E53A0">
            <w:pPr>
              <w:jc w:val="center"/>
              <w:rPr>
                <w:b/>
                <w:szCs w:val="22"/>
              </w:rPr>
            </w:pPr>
            <w:r w:rsidRPr="005F6745">
              <w:rPr>
                <w:b/>
                <w:szCs w:val="22"/>
              </w:rPr>
              <w:t>Année 2</w:t>
            </w:r>
          </w:p>
        </w:tc>
        <w:tc>
          <w:tcPr>
            <w:tcW w:w="1696" w:type="dxa"/>
            <w:gridSpan w:val="4"/>
            <w:shd w:val="clear" w:color="auto" w:fill="D9D9D9"/>
          </w:tcPr>
          <w:p w14:paraId="09D84EF4" w14:textId="77777777" w:rsidR="00601D9B" w:rsidRDefault="000E53A0">
            <w:pPr>
              <w:jc w:val="center"/>
              <w:rPr>
                <w:b/>
                <w:szCs w:val="22"/>
              </w:rPr>
            </w:pPr>
            <w:r w:rsidRPr="005F6745">
              <w:rPr>
                <w:b/>
                <w:szCs w:val="22"/>
              </w:rPr>
              <w:t>Année 3</w:t>
            </w:r>
          </w:p>
        </w:tc>
        <w:tc>
          <w:tcPr>
            <w:tcW w:w="1696" w:type="dxa"/>
            <w:gridSpan w:val="4"/>
            <w:shd w:val="clear" w:color="auto" w:fill="D9D9D9"/>
          </w:tcPr>
          <w:p w14:paraId="4A5990AD" w14:textId="77777777" w:rsidR="00601D9B" w:rsidRDefault="000E53A0">
            <w:pPr>
              <w:jc w:val="center"/>
              <w:rPr>
                <w:b/>
                <w:szCs w:val="22"/>
              </w:rPr>
            </w:pPr>
            <w:r w:rsidRPr="005F6745">
              <w:rPr>
                <w:b/>
                <w:szCs w:val="22"/>
              </w:rPr>
              <w:t>Année 4</w:t>
            </w:r>
          </w:p>
        </w:tc>
        <w:tc>
          <w:tcPr>
            <w:tcW w:w="1696" w:type="dxa"/>
            <w:gridSpan w:val="4"/>
            <w:shd w:val="clear" w:color="auto" w:fill="D9D9D9"/>
          </w:tcPr>
          <w:p w14:paraId="691012DD" w14:textId="77777777" w:rsidR="00601D9B" w:rsidRDefault="000E53A0">
            <w:pPr>
              <w:jc w:val="center"/>
              <w:rPr>
                <w:b/>
                <w:szCs w:val="22"/>
              </w:rPr>
            </w:pPr>
            <w:r w:rsidRPr="005F6745">
              <w:rPr>
                <w:b/>
                <w:szCs w:val="22"/>
              </w:rPr>
              <w:t>Année 5</w:t>
            </w:r>
          </w:p>
        </w:tc>
        <w:tc>
          <w:tcPr>
            <w:tcW w:w="1696" w:type="dxa"/>
            <w:gridSpan w:val="4"/>
            <w:shd w:val="clear" w:color="auto" w:fill="D9D9D9"/>
          </w:tcPr>
          <w:p w14:paraId="28B09635" w14:textId="77777777" w:rsidR="00601D9B" w:rsidRDefault="000E53A0">
            <w:pPr>
              <w:jc w:val="center"/>
              <w:rPr>
                <w:b/>
                <w:szCs w:val="22"/>
              </w:rPr>
            </w:pPr>
            <w:r>
              <w:rPr>
                <w:b/>
                <w:szCs w:val="22"/>
              </w:rPr>
              <w:t>Année 6</w:t>
            </w:r>
          </w:p>
        </w:tc>
      </w:tr>
      <w:tr w:rsidR="00027395" w:rsidRPr="005F6745" w14:paraId="55B1CBE5" w14:textId="77777777" w:rsidTr="000E53A0">
        <w:tc>
          <w:tcPr>
            <w:tcW w:w="1064" w:type="dxa"/>
            <w:vMerge/>
            <w:shd w:val="clear" w:color="auto" w:fill="D9D9D9"/>
          </w:tcPr>
          <w:p w14:paraId="401332B2" w14:textId="77777777" w:rsidR="00027395" w:rsidRPr="005F6745" w:rsidRDefault="00027395" w:rsidP="000E53A0">
            <w:pPr>
              <w:rPr>
                <w:szCs w:val="22"/>
              </w:rPr>
            </w:pPr>
          </w:p>
        </w:tc>
        <w:tc>
          <w:tcPr>
            <w:tcW w:w="965" w:type="dxa"/>
            <w:vMerge/>
            <w:shd w:val="clear" w:color="auto" w:fill="D9D9D9"/>
          </w:tcPr>
          <w:p w14:paraId="3B8CBC91" w14:textId="77777777" w:rsidR="00027395" w:rsidRPr="005F6745" w:rsidRDefault="00027395" w:rsidP="000E53A0">
            <w:pPr>
              <w:rPr>
                <w:szCs w:val="22"/>
              </w:rPr>
            </w:pPr>
          </w:p>
        </w:tc>
        <w:tc>
          <w:tcPr>
            <w:tcW w:w="814" w:type="dxa"/>
            <w:vMerge/>
            <w:shd w:val="clear" w:color="auto" w:fill="D9D9D9"/>
          </w:tcPr>
          <w:p w14:paraId="212AE1B7" w14:textId="77777777" w:rsidR="00027395" w:rsidRPr="005F6745" w:rsidRDefault="00027395" w:rsidP="000E53A0">
            <w:pPr>
              <w:rPr>
                <w:szCs w:val="22"/>
              </w:rPr>
            </w:pPr>
          </w:p>
        </w:tc>
        <w:tc>
          <w:tcPr>
            <w:tcW w:w="425" w:type="dxa"/>
            <w:shd w:val="clear" w:color="auto" w:fill="D9D9D9"/>
          </w:tcPr>
          <w:p w14:paraId="0521F78F" w14:textId="77777777" w:rsidR="00601D9B" w:rsidRDefault="000E53A0">
            <w:pPr>
              <w:rPr>
                <w:szCs w:val="22"/>
              </w:rPr>
            </w:pPr>
            <w:r w:rsidRPr="005F6745">
              <w:rPr>
                <w:szCs w:val="22"/>
              </w:rPr>
              <w:t>Q1</w:t>
            </w:r>
          </w:p>
        </w:tc>
        <w:tc>
          <w:tcPr>
            <w:tcW w:w="425" w:type="dxa"/>
            <w:shd w:val="clear" w:color="auto" w:fill="D9D9D9"/>
          </w:tcPr>
          <w:p w14:paraId="0322E6C5" w14:textId="77777777" w:rsidR="00601D9B" w:rsidRDefault="000E53A0">
            <w:pPr>
              <w:rPr>
                <w:szCs w:val="22"/>
              </w:rPr>
            </w:pPr>
            <w:r w:rsidRPr="005F6745">
              <w:rPr>
                <w:szCs w:val="22"/>
              </w:rPr>
              <w:t>Q2</w:t>
            </w:r>
          </w:p>
        </w:tc>
        <w:tc>
          <w:tcPr>
            <w:tcW w:w="425" w:type="dxa"/>
            <w:shd w:val="clear" w:color="auto" w:fill="D9D9D9"/>
          </w:tcPr>
          <w:p w14:paraId="6CFBC16C" w14:textId="77777777" w:rsidR="00601D9B" w:rsidRDefault="000E53A0">
            <w:pPr>
              <w:rPr>
                <w:szCs w:val="22"/>
              </w:rPr>
            </w:pPr>
            <w:r w:rsidRPr="005F6745">
              <w:rPr>
                <w:szCs w:val="22"/>
              </w:rPr>
              <w:t>Q3</w:t>
            </w:r>
          </w:p>
        </w:tc>
        <w:tc>
          <w:tcPr>
            <w:tcW w:w="424" w:type="dxa"/>
            <w:shd w:val="clear" w:color="auto" w:fill="D9D9D9"/>
          </w:tcPr>
          <w:p w14:paraId="11382C5F" w14:textId="77777777" w:rsidR="00601D9B" w:rsidRDefault="000E53A0">
            <w:pPr>
              <w:rPr>
                <w:szCs w:val="22"/>
              </w:rPr>
            </w:pPr>
            <w:r w:rsidRPr="005F6745">
              <w:rPr>
                <w:szCs w:val="22"/>
              </w:rPr>
              <w:t>Q4</w:t>
            </w:r>
          </w:p>
        </w:tc>
        <w:tc>
          <w:tcPr>
            <w:tcW w:w="424" w:type="dxa"/>
            <w:shd w:val="clear" w:color="auto" w:fill="D9D9D9"/>
          </w:tcPr>
          <w:p w14:paraId="330B04B7" w14:textId="77777777" w:rsidR="00601D9B" w:rsidRDefault="000E53A0">
            <w:pPr>
              <w:rPr>
                <w:szCs w:val="22"/>
              </w:rPr>
            </w:pPr>
            <w:r w:rsidRPr="005F6745">
              <w:rPr>
                <w:szCs w:val="22"/>
              </w:rPr>
              <w:t>Q1</w:t>
            </w:r>
          </w:p>
        </w:tc>
        <w:tc>
          <w:tcPr>
            <w:tcW w:w="424" w:type="dxa"/>
            <w:shd w:val="clear" w:color="auto" w:fill="D9D9D9"/>
          </w:tcPr>
          <w:p w14:paraId="48C0AFE7" w14:textId="77777777" w:rsidR="00601D9B" w:rsidRDefault="000E53A0">
            <w:pPr>
              <w:rPr>
                <w:szCs w:val="22"/>
              </w:rPr>
            </w:pPr>
            <w:r w:rsidRPr="005F6745">
              <w:rPr>
                <w:szCs w:val="22"/>
              </w:rPr>
              <w:t>Q2</w:t>
            </w:r>
          </w:p>
        </w:tc>
        <w:tc>
          <w:tcPr>
            <w:tcW w:w="424" w:type="dxa"/>
            <w:shd w:val="clear" w:color="auto" w:fill="D9D9D9"/>
          </w:tcPr>
          <w:p w14:paraId="23291F70" w14:textId="77777777" w:rsidR="00601D9B" w:rsidRDefault="000E53A0">
            <w:pPr>
              <w:rPr>
                <w:szCs w:val="22"/>
              </w:rPr>
            </w:pPr>
            <w:r w:rsidRPr="005F6745">
              <w:rPr>
                <w:szCs w:val="22"/>
              </w:rPr>
              <w:t>Q3</w:t>
            </w:r>
          </w:p>
        </w:tc>
        <w:tc>
          <w:tcPr>
            <w:tcW w:w="424" w:type="dxa"/>
            <w:shd w:val="clear" w:color="auto" w:fill="D9D9D9"/>
          </w:tcPr>
          <w:p w14:paraId="7BA7E273" w14:textId="77777777" w:rsidR="00601D9B" w:rsidRDefault="000E53A0">
            <w:pPr>
              <w:rPr>
                <w:szCs w:val="22"/>
              </w:rPr>
            </w:pPr>
            <w:r w:rsidRPr="005F6745">
              <w:rPr>
                <w:szCs w:val="22"/>
              </w:rPr>
              <w:t>Q4</w:t>
            </w:r>
          </w:p>
        </w:tc>
        <w:tc>
          <w:tcPr>
            <w:tcW w:w="424" w:type="dxa"/>
            <w:shd w:val="clear" w:color="auto" w:fill="D9D9D9"/>
          </w:tcPr>
          <w:p w14:paraId="72A76304" w14:textId="77777777" w:rsidR="00601D9B" w:rsidRDefault="000E53A0">
            <w:pPr>
              <w:rPr>
                <w:szCs w:val="22"/>
              </w:rPr>
            </w:pPr>
            <w:r w:rsidRPr="005F6745">
              <w:rPr>
                <w:szCs w:val="22"/>
              </w:rPr>
              <w:t>Q1</w:t>
            </w:r>
          </w:p>
        </w:tc>
        <w:tc>
          <w:tcPr>
            <w:tcW w:w="424" w:type="dxa"/>
            <w:shd w:val="clear" w:color="auto" w:fill="D9D9D9"/>
          </w:tcPr>
          <w:p w14:paraId="1A8E796E" w14:textId="77777777" w:rsidR="00601D9B" w:rsidRDefault="000E53A0">
            <w:pPr>
              <w:rPr>
                <w:szCs w:val="22"/>
              </w:rPr>
            </w:pPr>
            <w:r w:rsidRPr="005F6745">
              <w:rPr>
                <w:szCs w:val="22"/>
              </w:rPr>
              <w:t>Q2</w:t>
            </w:r>
          </w:p>
        </w:tc>
        <w:tc>
          <w:tcPr>
            <w:tcW w:w="424" w:type="dxa"/>
            <w:shd w:val="clear" w:color="auto" w:fill="D9D9D9"/>
          </w:tcPr>
          <w:p w14:paraId="66D536DE" w14:textId="77777777" w:rsidR="00601D9B" w:rsidRDefault="000E53A0">
            <w:pPr>
              <w:rPr>
                <w:szCs w:val="22"/>
              </w:rPr>
            </w:pPr>
            <w:r w:rsidRPr="005F6745">
              <w:rPr>
                <w:szCs w:val="22"/>
              </w:rPr>
              <w:t>Q3</w:t>
            </w:r>
          </w:p>
        </w:tc>
        <w:tc>
          <w:tcPr>
            <w:tcW w:w="424" w:type="dxa"/>
            <w:shd w:val="clear" w:color="auto" w:fill="D9D9D9"/>
          </w:tcPr>
          <w:p w14:paraId="1CA6CE8C" w14:textId="77777777" w:rsidR="00601D9B" w:rsidRDefault="000E53A0">
            <w:pPr>
              <w:rPr>
                <w:szCs w:val="22"/>
              </w:rPr>
            </w:pPr>
            <w:r w:rsidRPr="005F6745">
              <w:rPr>
                <w:szCs w:val="22"/>
              </w:rPr>
              <w:t>Q4</w:t>
            </w:r>
          </w:p>
        </w:tc>
        <w:tc>
          <w:tcPr>
            <w:tcW w:w="424" w:type="dxa"/>
            <w:shd w:val="clear" w:color="auto" w:fill="D9D9D9"/>
          </w:tcPr>
          <w:p w14:paraId="464E99EA" w14:textId="77777777" w:rsidR="00601D9B" w:rsidRDefault="000E53A0">
            <w:pPr>
              <w:rPr>
                <w:szCs w:val="22"/>
              </w:rPr>
            </w:pPr>
            <w:r w:rsidRPr="005F6745">
              <w:rPr>
                <w:szCs w:val="22"/>
              </w:rPr>
              <w:t>Q1</w:t>
            </w:r>
          </w:p>
        </w:tc>
        <w:tc>
          <w:tcPr>
            <w:tcW w:w="424" w:type="dxa"/>
            <w:shd w:val="clear" w:color="auto" w:fill="D9D9D9"/>
          </w:tcPr>
          <w:p w14:paraId="507383AB" w14:textId="77777777" w:rsidR="00601D9B" w:rsidRDefault="000E53A0">
            <w:pPr>
              <w:rPr>
                <w:szCs w:val="22"/>
              </w:rPr>
            </w:pPr>
            <w:r w:rsidRPr="005F6745">
              <w:rPr>
                <w:szCs w:val="22"/>
              </w:rPr>
              <w:t>Q2</w:t>
            </w:r>
          </w:p>
        </w:tc>
        <w:tc>
          <w:tcPr>
            <w:tcW w:w="424" w:type="dxa"/>
            <w:shd w:val="clear" w:color="auto" w:fill="D9D9D9"/>
          </w:tcPr>
          <w:p w14:paraId="7A8F12E8" w14:textId="77777777" w:rsidR="00601D9B" w:rsidRDefault="000E53A0">
            <w:pPr>
              <w:rPr>
                <w:szCs w:val="22"/>
              </w:rPr>
            </w:pPr>
            <w:r w:rsidRPr="005F6745">
              <w:rPr>
                <w:szCs w:val="22"/>
              </w:rPr>
              <w:t>Q3</w:t>
            </w:r>
          </w:p>
        </w:tc>
        <w:tc>
          <w:tcPr>
            <w:tcW w:w="424" w:type="dxa"/>
            <w:shd w:val="clear" w:color="auto" w:fill="D9D9D9"/>
          </w:tcPr>
          <w:p w14:paraId="5DD53BAD" w14:textId="77777777" w:rsidR="00601D9B" w:rsidRDefault="000E53A0">
            <w:pPr>
              <w:rPr>
                <w:szCs w:val="22"/>
              </w:rPr>
            </w:pPr>
            <w:r w:rsidRPr="005F6745">
              <w:rPr>
                <w:szCs w:val="22"/>
              </w:rPr>
              <w:t>Q4</w:t>
            </w:r>
          </w:p>
        </w:tc>
        <w:tc>
          <w:tcPr>
            <w:tcW w:w="424" w:type="dxa"/>
            <w:shd w:val="clear" w:color="auto" w:fill="D9D9D9"/>
          </w:tcPr>
          <w:p w14:paraId="585F3D2E" w14:textId="77777777" w:rsidR="00601D9B" w:rsidRDefault="000E53A0">
            <w:pPr>
              <w:rPr>
                <w:szCs w:val="22"/>
              </w:rPr>
            </w:pPr>
            <w:r w:rsidRPr="005F6745">
              <w:rPr>
                <w:szCs w:val="22"/>
              </w:rPr>
              <w:t>Q1</w:t>
            </w:r>
          </w:p>
        </w:tc>
        <w:tc>
          <w:tcPr>
            <w:tcW w:w="424" w:type="dxa"/>
            <w:shd w:val="clear" w:color="auto" w:fill="D9D9D9"/>
          </w:tcPr>
          <w:p w14:paraId="58BAE5AD" w14:textId="77777777" w:rsidR="00601D9B" w:rsidRDefault="000E53A0">
            <w:pPr>
              <w:rPr>
                <w:szCs w:val="22"/>
              </w:rPr>
            </w:pPr>
            <w:r w:rsidRPr="005F6745">
              <w:rPr>
                <w:szCs w:val="22"/>
              </w:rPr>
              <w:t>Q2</w:t>
            </w:r>
          </w:p>
        </w:tc>
        <w:tc>
          <w:tcPr>
            <w:tcW w:w="424" w:type="dxa"/>
            <w:shd w:val="clear" w:color="auto" w:fill="D9D9D9"/>
          </w:tcPr>
          <w:p w14:paraId="150A0121" w14:textId="77777777" w:rsidR="00601D9B" w:rsidRDefault="000E53A0">
            <w:pPr>
              <w:rPr>
                <w:szCs w:val="22"/>
              </w:rPr>
            </w:pPr>
            <w:r w:rsidRPr="005F6745">
              <w:rPr>
                <w:szCs w:val="22"/>
              </w:rPr>
              <w:t>Q3</w:t>
            </w:r>
          </w:p>
        </w:tc>
        <w:tc>
          <w:tcPr>
            <w:tcW w:w="424" w:type="dxa"/>
            <w:shd w:val="clear" w:color="auto" w:fill="D9D9D9"/>
          </w:tcPr>
          <w:p w14:paraId="3BDA1C51" w14:textId="77777777" w:rsidR="00601D9B" w:rsidRDefault="000E53A0">
            <w:pPr>
              <w:rPr>
                <w:szCs w:val="22"/>
              </w:rPr>
            </w:pPr>
            <w:r w:rsidRPr="005F6745">
              <w:rPr>
                <w:szCs w:val="22"/>
              </w:rPr>
              <w:t>Q4</w:t>
            </w:r>
          </w:p>
        </w:tc>
        <w:tc>
          <w:tcPr>
            <w:tcW w:w="424" w:type="dxa"/>
            <w:shd w:val="clear" w:color="auto" w:fill="D9D9D9"/>
          </w:tcPr>
          <w:p w14:paraId="397D1449" w14:textId="77777777" w:rsidR="00601D9B" w:rsidRDefault="000E53A0">
            <w:pPr>
              <w:rPr>
                <w:szCs w:val="22"/>
              </w:rPr>
            </w:pPr>
            <w:r w:rsidRPr="005F6745">
              <w:rPr>
                <w:szCs w:val="22"/>
              </w:rPr>
              <w:t>Q1</w:t>
            </w:r>
          </w:p>
        </w:tc>
        <w:tc>
          <w:tcPr>
            <w:tcW w:w="424" w:type="dxa"/>
            <w:shd w:val="clear" w:color="auto" w:fill="D9D9D9"/>
          </w:tcPr>
          <w:p w14:paraId="0E800B97" w14:textId="77777777" w:rsidR="00601D9B" w:rsidRDefault="000E53A0">
            <w:pPr>
              <w:rPr>
                <w:szCs w:val="22"/>
              </w:rPr>
            </w:pPr>
            <w:r w:rsidRPr="005F6745">
              <w:rPr>
                <w:szCs w:val="22"/>
              </w:rPr>
              <w:t>Q2</w:t>
            </w:r>
          </w:p>
        </w:tc>
        <w:tc>
          <w:tcPr>
            <w:tcW w:w="424" w:type="dxa"/>
            <w:shd w:val="clear" w:color="auto" w:fill="D9D9D9"/>
          </w:tcPr>
          <w:p w14:paraId="614955E1" w14:textId="77777777" w:rsidR="00601D9B" w:rsidRDefault="000E53A0">
            <w:pPr>
              <w:rPr>
                <w:szCs w:val="22"/>
              </w:rPr>
            </w:pPr>
            <w:r w:rsidRPr="005F6745">
              <w:rPr>
                <w:szCs w:val="22"/>
              </w:rPr>
              <w:t>Q3</w:t>
            </w:r>
          </w:p>
        </w:tc>
        <w:tc>
          <w:tcPr>
            <w:tcW w:w="424" w:type="dxa"/>
            <w:shd w:val="clear" w:color="auto" w:fill="D9D9D9"/>
          </w:tcPr>
          <w:p w14:paraId="55707127" w14:textId="77777777" w:rsidR="00601D9B" w:rsidRDefault="000E53A0">
            <w:pPr>
              <w:rPr>
                <w:szCs w:val="22"/>
              </w:rPr>
            </w:pPr>
            <w:r w:rsidRPr="005F6745">
              <w:rPr>
                <w:szCs w:val="22"/>
              </w:rPr>
              <w:t>Q4</w:t>
            </w:r>
          </w:p>
        </w:tc>
      </w:tr>
      <w:tr w:rsidR="009F3374" w:rsidRPr="005F6745" w14:paraId="66F7E991" w14:textId="77777777" w:rsidTr="000E53A0">
        <w:tc>
          <w:tcPr>
            <w:tcW w:w="1064" w:type="dxa"/>
            <w:vMerge w:val="restart"/>
          </w:tcPr>
          <w:p w14:paraId="20E7EB28" w14:textId="77777777" w:rsidR="00601D9B" w:rsidRDefault="000E53A0">
            <w:pPr>
              <w:rPr>
                <w:szCs w:val="22"/>
              </w:rPr>
            </w:pPr>
            <w:r>
              <w:rPr>
                <w:szCs w:val="22"/>
              </w:rPr>
              <w:t>Composante 1</w:t>
            </w:r>
          </w:p>
        </w:tc>
        <w:tc>
          <w:tcPr>
            <w:tcW w:w="965" w:type="dxa"/>
            <w:vMerge w:val="restart"/>
            <w:shd w:val="clear" w:color="auto" w:fill="auto"/>
          </w:tcPr>
          <w:p w14:paraId="7C3524A3" w14:textId="77777777" w:rsidR="00601D9B" w:rsidRDefault="000E53A0">
            <w:pPr>
              <w:rPr>
                <w:szCs w:val="22"/>
              </w:rPr>
            </w:pPr>
            <w:r>
              <w:rPr>
                <w:szCs w:val="22"/>
              </w:rPr>
              <w:t>1</w:t>
            </w:r>
          </w:p>
        </w:tc>
        <w:tc>
          <w:tcPr>
            <w:tcW w:w="814" w:type="dxa"/>
          </w:tcPr>
          <w:p w14:paraId="1DCB6984" w14:textId="77777777" w:rsidR="00601D9B" w:rsidRDefault="000E53A0">
            <w:pPr>
              <w:rPr>
                <w:szCs w:val="22"/>
              </w:rPr>
            </w:pPr>
            <w:r>
              <w:rPr>
                <w:szCs w:val="22"/>
              </w:rPr>
              <w:t>1.1</w:t>
            </w:r>
          </w:p>
        </w:tc>
        <w:tc>
          <w:tcPr>
            <w:tcW w:w="425" w:type="dxa"/>
            <w:shd w:val="clear" w:color="auto" w:fill="B4C6E7" w:themeFill="accent1" w:themeFillTint="66"/>
          </w:tcPr>
          <w:p w14:paraId="1F9BC0CD" w14:textId="77777777" w:rsidR="00027395" w:rsidRPr="005F6745" w:rsidRDefault="00027395" w:rsidP="000E53A0">
            <w:pPr>
              <w:rPr>
                <w:szCs w:val="22"/>
              </w:rPr>
            </w:pPr>
          </w:p>
        </w:tc>
        <w:tc>
          <w:tcPr>
            <w:tcW w:w="425" w:type="dxa"/>
            <w:shd w:val="clear" w:color="auto" w:fill="B4C6E7" w:themeFill="accent1" w:themeFillTint="66"/>
          </w:tcPr>
          <w:p w14:paraId="354035C4" w14:textId="77777777" w:rsidR="00027395" w:rsidRPr="005F6745" w:rsidRDefault="00027395" w:rsidP="000E53A0">
            <w:pPr>
              <w:rPr>
                <w:szCs w:val="22"/>
              </w:rPr>
            </w:pPr>
          </w:p>
        </w:tc>
        <w:tc>
          <w:tcPr>
            <w:tcW w:w="425" w:type="dxa"/>
            <w:shd w:val="clear" w:color="auto" w:fill="B4C6E7" w:themeFill="accent1" w:themeFillTint="66"/>
          </w:tcPr>
          <w:p w14:paraId="7B5B6A01" w14:textId="77777777" w:rsidR="00027395" w:rsidRPr="005F6745" w:rsidRDefault="00027395" w:rsidP="000E53A0">
            <w:pPr>
              <w:rPr>
                <w:szCs w:val="22"/>
              </w:rPr>
            </w:pPr>
          </w:p>
        </w:tc>
        <w:tc>
          <w:tcPr>
            <w:tcW w:w="424" w:type="dxa"/>
            <w:shd w:val="clear" w:color="auto" w:fill="B4C6E7" w:themeFill="accent1" w:themeFillTint="66"/>
          </w:tcPr>
          <w:p w14:paraId="7CFEA557" w14:textId="77777777" w:rsidR="00027395" w:rsidRPr="005F6745" w:rsidRDefault="00027395" w:rsidP="000E53A0">
            <w:pPr>
              <w:rPr>
                <w:szCs w:val="22"/>
              </w:rPr>
            </w:pPr>
          </w:p>
        </w:tc>
        <w:tc>
          <w:tcPr>
            <w:tcW w:w="424" w:type="dxa"/>
            <w:shd w:val="clear" w:color="auto" w:fill="auto"/>
          </w:tcPr>
          <w:p w14:paraId="5019F9E8" w14:textId="77777777" w:rsidR="00027395" w:rsidRPr="005F6745" w:rsidRDefault="00027395" w:rsidP="000E53A0">
            <w:pPr>
              <w:rPr>
                <w:szCs w:val="22"/>
              </w:rPr>
            </w:pPr>
          </w:p>
        </w:tc>
        <w:tc>
          <w:tcPr>
            <w:tcW w:w="424" w:type="dxa"/>
            <w:shd w:val="clear" w:color="auto" w:fill="B4C6E7" w:themeFill="accent1" w:themeFillTint="66"/>
          </w:tcPr>
          <w:p w14:paraId="0F952A80" w14:textId="77777777" w:rsidR="00027395" w:rsidRPr="005F6745" w:rsidRDefault="00027395" w:rsidP="000E53A0">
            <w:pPr>
              <w:rPr>
                <w:szCs w:val="22"/>
              </w:rPr>
            </w:pPr>
          </w:p>
        </w:tc>
        <w:tc>
          <w:tcPr>
            <w:tcW w:w="424" w:type="dxa"/>
            <w:shd w:val="clear" w:color="auto" w:fill="auto"/>
          </w:tcPr>
          <w:p w14:paraId="688C3595" w14:textId="77777777" w:rsidR="00027395" w:rsidRPr="005F6745" w:rsidRDefault="00027395" w:rsidP="000E53A0">
            <w:pPr>
              <w:rPr>
                <w:szCs w:val="22"/>
              </w:rPr>
            </w:pPr>
          </w:p>
        </w:tc>
        <w:tc>
          <w:tcPr>
            <w:tcW w:w="424" w:type="dxa"/>
            <w:shd w:val="clear" w:color="auto" w:fill="auto"/>
          </w:tcPr>
          <w:p w14:paraId="65F08119" w14:textId="77777777" w:rsidR="00027395" w:rsidRPr="005F6745" w:rsidRDefault="00027395" w:rsidP="000E53A0">
            <w:pPr>
              <w:rPr>
                <w:szCs w:val="22"/>
              </w:rPr>
            </w:pPr>
          </w:p>
        </w:tc>
        <w:tc>
          <w:tcPr>
            <w:tcW w:w="424" w:type="dxa"/>
            <w:shd w:val="clear" w:color="auto" w:fill="auto"/>
          </w:tcPr>
          <w:p w14:paraId="56959278" w14:textId="77777777" w:rsidR="00027395" w:rsidRPr="005F6745" w:rsidRDefault="00027395" w:rsidP="000E53A0">
            <w:pPr>
              <w:rPr>
                <w:szCs w:val="22"/>
              </w:rPr>
            </w:pPr>
          </w:p>
        </w:tc>
        <w:tc>
          <w:tcPr>
            <w:tcW w:w="424" w:type="dxa"/>
            <w:shd w:val="clear" w:color="auto" w:fill="B4C6E7" w:themeFill="accent1" w:themeFillTint="66"/>
          </w:tcPr>
          <w:p w14:paraId="4320DF22" w14:textId="77777777" w:rsidR="00027395" w:rsidRPr="005F6745" w:rsidRDefault="00027395" w:rsidP="000E53A0">
            <w:pPr>
              <w:rPr>
                <w:szCs w:val="22"/>
              </w:rPr>
            </w:pPr>
          </w:p>
        </w:tc>
        <w:tc>
          <w:tcPr>
            <w:tcW w:w="424" w:type="dxa"/>
            <w:shd w:val="clear" w:color="auto" w:fill="B4C6E7" w:themeFill="accent1" w:themeFillTint="66"/>
          </w:tcPr>
          <w:p w14:paraId="5F1CF783" w14:textId="77777777" w:rsidR="00027395" w:rsidRPr="005F6745" w:rsidRDefault="00027395" w:rsidP="000E53A0">
            <w:pPr>
              <w:rPr>
                <w:szCs w:val="22"/>
              </w:rPr>
            </w:pPr>
          </w:p>
        </w:tc>
        <w:tc>
          <w:tcPr>
            <w:tcW w:w="424" w:type="dxa"/>
            <w:shd w:val="clear" w:color="auto" w:fill="auto"/>
          </w:tcPr>
          <w:p w14:paraId="75504676" w14:textId="77777777" w:rsidR="00027395" w:rsidRPr="005F6745" w:rsidRDefault="00027395" w:rsidP="000E53A0">
            <w:pPr>
              <w:rPr>
                <w:szCs w:val="22"/>
              </w:rPr>
            </w:pPr>
          </w:p>
        </w:tc>
        <w:tc>
          <w:tcPr>
            <w:tcW w:w="424" w:type="dxa"/>
            <w:shd w:val="clear" w:color="auto" w:fill="auto"/>
          </w:tcPr>
          <w:p w14:paraId="23AC0FF6" w14:textId="77777777" w:rsidR="00027395" w:rsidRPr="005F6745" w:rsidRDefault="00027395" w:rsidP="000E53A0">
            <w:pPr>
              <w:rPr>
                <w:szCs w:val="22"/>
              </w:rPr>
            </w:pPr>
          </w:p>
        </w:tc>
        <w:tc>
          <w:tcPr>
            <w:tcW w:w="424" w:type="dxa"/>
            <w:shd w:val="clear" w:color="auto" w:fill="B4C6E7" w:themeFill="accent1" w:themeFillTint="66"/>
          </w:tcPr>
          <w:p w14:paraId="1AED03D8" w14:textId="77777777" w:rsidR="00027395" w:rsidRPr="005F6745" w:rsidRDefault="00027395" w:rsidP="000E53A0">
            <w:pPr>
              <w:rPr>
                <w:szCs w:val="22"/>
              </w:rPr>
            </w:pPr>
          </w:p>
        </w:tc>
        <w:tc>
          <w:tcPr>
            <w:tcW w:w="424" w:type="dxa"/>
            <w:shd w:val="clear" w:color="auto" w:fill="auto"/>
          </w:tcPr>
          <w:p w14:paraId="11B94725" w14:textId="77777777" w:rsidR="00027395" w:rsidRPr="005F6745" w:rsidRDefault="00027395" w:rsidP="000E53A0">
            <w:pPr>
              <w:rPr>
                <w:szCs w:val="22"/>
              </w:rPr>
            </w:pPr>
          </w:p>
        </w:tc>
        <w:tc>
          <w:tcPr>
            <w:tcW w:w="424" w:type="dxa"/>
            <w:shd w:val="clear" w:color="auto" w:fill="auto"/>
          </w:tcPr>
          <w:p w14:paraId="0BEB0979" w14:textId="77777777" w:rsidR="00027395" w:rsidRPr="005F6745" w:rsidRDefault="00027395" w:rsidP="000E53A0">
            <w:pPr>
              <w:rPr>
                <w:szCs w:val="22"/>
              </w:rPr>
            </w:pPr>
          </w:p>
        </w:tc>
        <w:tc>
          <w:tcPr>
            <w:tcW w:w="424" w:type="dxa"/>
            <w:shd w:val="clear" w:color="auto" w:fill="auto"/>
          </w:tcPr>
          <w:p w14:paraId="52D70ED1" w14:textId="77777777" w:rsidR="00027395" w:rsidRPr="005F6745" w:rsidRDefault="00027395" w:rsidP="000E53A0">
            <w:pPr>
              <w:rPr>
                <w:szCs w:val="22"/>
              </w:rPr>
            </w:pPr>
          </w:p>
        </w:tc>
        <w:tc>
          <w:tcPr>
            <w:tcW w:w="424" w:type="dxa"/>
            <w:shd w:val="clear" w:color="auto" w:fill="B4C6E7" w:themeFill="accent1" w:themeFillTint="66"/>
          </w:tcPr>
          <w:p w14:paraId="1F605A0B" w14:textId="77777777" w:rsidR="00027395" w:rsidRPr="005F6745" w:rsidRDefault="00027395" w:rsidP="000E53A0">
            <w:pPr>
              <w:rPr>
                <w:szCs w:val="22"/>
              </w:rPr>
            </w:pPr>
          </w:p>
        </w:tc>
        <w:tc>
          <w:tcPr>
            <w:tcW w:w="424" w:type="dxa"/>
            <w:shd w:val="clear" w:color="auto" w:fill="auto"/>
          </w:tcPr>
          <w:p w14:paraId="4E6B23F9" w14:textId="77777777" w:rsidR="00027395" w:rsidRPr="005F6745" w:rsidRDefault="00027395" w:rsidP="000E53A0">
            <w:pPr>
              <w:rPr>
                <w:szCs w:val="22"/>
              </w:rPr>
            </w:pPr>
          </w:p>
        </w:tc>
        <w:tc>
          <w:tcPr>
            <w:tcW w:w="424" w:type="dxa"/>
            <w:shd w:val="clear" w:color="auto" w:fill="auto"/>
          </w:tcPr>
          <w:p w14:paraId="7F4FE856" w14:textId="77777777" w:rsidR="00027395" w:rsidRPr="005F6745" w:rsidRDefault="00027395" w:rsidP="000E53A0">
            <w:pPr>
              <w:rPr>
                <w:szCs w:val="22"/>
              </w:rPr>
            </w:pPr>
          </w:p>
        </w:tc>
        <w:tc>
          <w:tcPr>
            <w:tcW w:w="424" w:type="dxa"/>
          </w:tcPr>
          <w:p w14:paraId="37912620" w14:textId="77777777" w:rsidR="00027395" w:rsidRPr="005F6745" w:rsidRDefault="00027395" w:rsidP="000E53A0">
            <w:pPr>
              <w:rPr>
                <w:szCs w:val="22"/>
              </w:rPr>
            </w:pPr>
          </w:p>
        </w:tc>
        <w:tc>
          <w:tcPr>
            <w:tcW w:w="424" w:type="dxa"/>
            <w:shd w:val="clear" w:color="auto" w:fill="B4C6E7" w:themeFill="accent1" w:themeFillTint="66"/>
          </w:tcPr>
          <w:p w14:paraId="56706F44" w14:textId="77777777" w:rsidR="00027395" w:rsidRPr="005F6745" w:rsidRDefault="00027395" w:rsidP="000E53A0">
            <w:pPr>
              <w:rPr>
                <w:szCs w:val="22"/>
              </w:rPr>
            </w:pPr>
          </w:p>
        </w:tc>
        <w:tc>
          <w:tcPr>
            <w:tcW w:w="424" w:type="dxa"/>
          </w:tcPr>
          <w:p w14:paraId="32697525" w14:textId="77777777" w:rsidR="00027395" w:rsidRPr="005F6745" w:rsidRDefault="00027395" w:rsidP="000E53A0">
            <w:pPr>
              <w:rPr>
                <w:szCs w:val="22"/>
              </w:rPr>
            </w:pPr>
          </w:p>
        </w:tc>
        <w:tc>
          <w:tcPr>
            <w:tcW w:w="424" w:type="dxa"/>
          </w:tcPr>
          <w:p w14:paraId="12BFE66F" w14:textId="77777777" w:rsidR="00027395" w:rsidRPr="005F6745" w:rsidRDefault="00027395" w:rsidP="000E53A0">
            <w:pPr>
              <w:rPr>
                <w:szCs w:val="22"/>
              </w:rPr>
            </w:pPr>
          </w:p>
        </w:tc>
      </w:tr>
      <w:tr w:rsidR="00027395" w:rsidRPr="005F6745" w14:paraId="418E6622" w14:textId="77777777" w:rsidTr="000E53A0">
        <w:tc>
          <w:tcPr>
            <w:tcW w:w="1064" w:type="dxa"/>
            <w:vMerge/>
          </w:tcPr>
          <w:p w14:paraId="4FC85730" w14:textId="77777777" w:rsidR="00027395" w:rsidRPr="005F6745" w:rsidRDefault="00027395" w:rsidP="000E53A0">
            <w:pPr>
              <w:rPr>
                <w:szCs w:val="22"/>
              </w:rPr>
            </w:pPr>
          </w:p>
        </w:tc>
        <w:tc>
          <w:tcPr>
            <w:tcW w:w="965" w:type="dxa"/>
            <w:vMerge/>
            <w:shd w:val="clear" w:color="auto" w:fill="auto"/>
          </w:tcPr>
          <w:p w14:paraId="53C59B69" w14:textId="77777777" w:rsidR="00027395" w:rsidRPr="005F6745" w:rsidRDefault="00027395" w:rsidP="000E53A0">
            <w:pPr>
              <w:rPr>
                <w:szCs w:val="22"/>
              </w:rPr>
            </w:pPr>
          </w:p>
        </w:tc>
        <w:tc>
          <w:tcPr>
            <w:tcW w:w="814" w:type="dxa"/>
          </w:tcPr>
          <w:p w14:paraId="5EE7F637" w14:textId="77777777" w:rsidR="00601D9B" w:rsidRDefault="000E53A0">
            <w:pPr>
              <w:rPr>
                <w:szCs w:val="22"/>
              </w:rPr>
            </w:pPr>
            <w:r>
              <w:rPr>
                <w:szCs w:val="22"/>
              </w:rPr>
              <w:t>1.2</w:t>
            </w:r>
          </w:p>
        </w:tc>
        <w:tc>
          <w:tcPr>
            <w:tcW w:w="425" w:type="dxa"/>
            <w:shd w:val="clear" w:color="auto" w:fill="auto"/>
          </w:tcPr>
          <w:p w14:paraId="03DD8B7A" w14:textId="77777777" w:rsidR="00027395" w:rsidRPr="005F6745" w:rsidRDefault="00027395" w:rsidP="000E53A0">
            <w:pPr>
              <w:rPr>
                <w:szCs w:val="22"/>
              </w:rPr>
            </w:pPr>
          </w:p>
        </w:tc>
        <w:tc>
          <w:tcPr>
            <w:tcW w:w="425" w:type="dxa"/>
            <w:shd w:val="clear" w:color="auto" w:fill="auto"/>
          </w:tcPr>
          <w:p w14:paraId="653C8595" w14:textId="77777777" w:rsidR="00027395" w:rsidRPr="005F6745" w:rsidRDefault="00027395" w:rsidP="000E53A0">
            <w:pPr>
              <w:rPr>
                <w:szCs w:val="22"/>
              </w:rPr>
            </w:pPr>
          </w:p>
        </w:tc>
        <w:tc>
          <w:tcPr>
            <w:tcW w:w="425" w:type="dxa"/>
            <w:shd w:val="clear" w:color="auto" w:fill="auto"/>
          </w:tcPr>
          <w:p w14:paraId="5DDDA328" w14:textId="77777777" w:rsidR="00027395" w:rsidRPr="005F6745" w:rsidRDefault="00027395" w:rsidP="000E53A0">
            <w:pPr>
              <w:rPr>
                <w:szCs w:val="22"/>
              </w:rPr>
            </w:pPr>
          </w:p>
        </w:tc>
        <w:tc>
          <w:tcPr>
            <w:tcW w:w="424" w:type="dxa"/>
            <w:shd w:val="clear" w:color="auto" w:fill="auto"/>
          </w:tcPr>
          <w:p w14:paraId="1AC9234E" w14:textId="77777777" w:rsidR="00027395" w:rsidRPr="005F6745" w:rsidRDefault="00027395" w:rsidP="000E53A0">
            <w:pPr>
              <w:rPr>
                <w:szCs w:val="22"/>
              </w:rPr>
            </w:pPr>
          </w:p>
        </w:tc>
        <w:tc>
          <w:tcPr>
            <w:tcW w:w="424" w:type="dxa"/>
            <w:shd w:val="clear" w:color="auto" w:fill="B4C6E7" w:themeFill="accent1" w:themeFillTint="66"/>
          </w:tcPr>
          <w:p w14:paraId="315C1EC9" w14:textId="77777777" w:rsidR="00027395" w:rsidRPr="005F6745" w:rsidRDefault="00027395" w:rsidP="000E53A0">
            <w:pPr>
              <w:rPr>
                <w:szCs w:val="22"/>
              </w:rPr>
            </w:pPr>
          </w:p>
        </w:tc>
        <w:tc>
          <w:tcPr>
            <w:tcW w:w="424" w:type="dxa"/>
            <w:shd w:val="clear" w:color="auto" w:fill="B4C6E7" w:themeFill="accent1" w:themeFillTint="66"/>
          </w:tcPr>
          <w:p w14:paraId="3615C862" w14:textId="77777777" w:rsidR="00027395" w:rsidRPr="005F6745" w:rsidRDefault="00027395" w:rsidP="000E53A0">
            <w:pPr>
              <w:rPr>
                <w:szCs w:val="22"/>
              </w:rPr>
            </w:pPr>
          </w:p>
        </w:tc>
        <w:tc>
          <w:tcPr>
            <w:tcW w:w="424" w:type="dxa"/>
            <w:shd w:val="clear" w:color="auto" w:fill="auto"/>
          </w:tcPr>
          <w:p w14:paraId="7CB51663" w14:textId="77777777" w:rsidR="00027395" w:rsidRPr="005F6745" w:rsidRDefault="00027395" w:rsidP="000E53A0">
            <w:pPr>
              <w:rPr>
                <w:szCs w:val="22"/>
              </w:rPr>
            </w:pPr>
          </w:p>
        </w:tc>
        <w:tc>
          <w:tcPr>
            <w:tcW w:w="424" w:type="dxa"/>
            <w:shd w:val="clear" w:color="auto" w:fill="auto"/>
          </w:tcPr>
          <w:p w14:paraId="4A28DC69" w14:textId="77777777" w:rsidR="00027395" w:rsidRPr="005F6745" w:rsidRDefault="00027395" w:rsidP="000E53A0">
            <w:pPr>
              <w:rPr>
                <w:szCs w:val="22"/>
              </w:rPr>
            </w:pPr>
          </w:p>
        </w:tc>
        <w:tc>
          <w:tcPr>
            <w:tcW w:w="424" w:type="dxa"/>
            <w:shd w:val="clear" w:color="auto" w:fill="auto"/>
          </w:tcPr>
          <w:p w14:paraId="1C9C7925" w14:textId="77777777" w:rsidR="00027395" w:rsidRPr="005F6745" w:rsidRDefault="00027395" w:rsidP="000E53A0">
            <w:pPr>
              <w:rPr>
                <w:szCs w:val="22"/>
              </w:rPr>
            </w:pPr>
          </w:p>
        </w:tc>
        <w:tc>
          <w:tcPr>
            <w:tcW w:w="424" w:type="dxa"/>
            <w:shd w:val="clear" w:color="auto" w:fill="auto"/>
          </w:tcPr>
          <w:p w14:paraId="39E0417B" w14:textId="77777777" w:rsidR="00027395" w:rsidRPr="005F6745" w:rsidRDefault="00027395" w:rsidP="000E53A0">
            <w:pPr>
              <w:rPr>
                <w:szCs w:val="22"/>
              </w:rPr>
            </w:pPr>
          </w:p>
        </w:tc>
        <w:tc>
          <w:tcPr>
            <w:tcW w:w="424" w:type="dxa"/>
            <w:shd w:val="clear" w:color="auto" w:fill="auto"/>
          </w:tcPr>
          <w:p w14:paraId="6B3CD8A2" w14:textId="77777777" w:rsidR="00027395" w:rsidRPr="005F6745" w:rsidRDefault="00027395" w:rsidP="000E53A0">
            <w:pPr>
              <w:rPr>
                <w:szCs w:val="22"/>
              </w:rPr>
            </w:pPr>
          </w:p>
        </w:tc>
        <w:tc>
          <w:tcPr>
            <w:tcW w:w="424" w:type="dxa"/>
            <w:shd w:val="clear" w:color="auto" w:fill="auto"/>
          </w:tcPr>
          <w:p w14:paraId="184FAD99" w14:textId="77777777" w:rsidR="00027395" w:rsidRPr="005F6745" w:rsidRDefault="00027395" w:rsidP="000E53A0">
            <w:pPr>
              <w:rPr>
                <w:szCs w:val="22"/>
              </w:rPr>
            </w:pPr>
          </w:p>
        </w:tc>
        <w:tc>
          <w:tcPr>
            <w:tcW w:w="424" w:type="dxa"/>
            <w:shd w:val="clear" w:color="auto" w:fill="auto"/>
          </w:tcPr>
          <w:p w14:paraId="43C38C0A" w14:textId="77777777" w:rsidR="00027395" w:rsidRPr="005F6745" w:rsidRDefault="00027395" w:rsidP="000E53A0">
            <w:pPr>
              <w:rPr>
                <w:szCs w:val="22"/>
              </w:rPr>
            </w:pPr>
          </w:p>
        </w:tc>
        <w:tc>
          <w:tcPr>
            <w:tcW w:w="424" w:type="dxa"/>
            <w:shd w:val="clear" w:color="auto" w:fill="auto"/>
          </w:tcPr>
          <w:p w14:paraId="3FE04415" w14:textId="77777777" w:rsidR="00027395" w:rsidRPr="005F6745" w:rsidRDefault="00027395" w:rsidP="000E53A0">
            <w:pPr>
              <w:rPr>
                <w:szCs w:val="22"/>
              </w:rPr>
            </w:pPr>
          </w:p>
        </w:tc>
        <w:tc>
          <w:tcPr>
            <w:tcW w:w="424" w:type="dxa"/>
            <w:shd w:val="clear" w:color="auto" w:fill="auto"/>
          </w:tcPr>
          <w:p w14:paraId="19A0BB6A" w14:textId="77777777" w:rsidR="00027395" w:rsidRPr="005F6745" w:rsidRDefault="00027395" w:rsidP="000E53A0">
            <w:pPr>
              <w:rPr>
                <w:szCs w:val="22"/>
              </w:rPr>
            </w:pPr>
          </w:p>
        </w:tc>
        <w:tc>
          <w:tcPr>
            <w:tcW w:w="424" w:type="dxa"/>
            <w:shd w:val="clear" w:color="auto" w:fill="auto"/>
          </w:tcPr>
          <w:p w14:paraId="4642868F" w14:textId="77777777" w:rsidR="00027395" w:rsidRPr="005F6745" w:rsidRDefault="00027395" w:rsidP="000E53A0">
            <w:pPr>
              <w:rPr>
                <w:szCs w:val="22"/>
              </w:rPr>
            </w:pPr>
          </w:p>
        </w:tc>
        <w:tc>
          <w:tcPr>
            <w:tcW w:w="424" w:type="dxa"/>
            <w:shd w:val="clear" w:color="auto" w:fill="auto"/>
          </w:tcPr>
          <w:p w14:paraId="0130E682" w14:textId="77777777" w:rsidR="00027395" w:rsidRPr="005F6745" w:rsidRDefault="00027395" w:rsidP="000E53A0">
            <w:pPr>
              <w:rPr>
                <w:szCs w:val="22"/>
              </w:rPr>
            </w:pPr>
          </w:p>
        </w:tc>
        <w:tc>
          <w:tcPr>
            <w:tcW w:w="424" w:type="dxa"/>
            <w:shd w:val="clear" w:color="auto" w:fill="auto"/>
          </w:tcPr>
          <w:p w14:paraId="4C07B270" w14:textId="77777777" w:rsidR="00027395" w:rsidRPr="005F6745" w:rsidRDefault="00027395" w:rsidP="000E53A0">
            <w:pPr>
              <w:rPr>
                <w:szCs w:val="22"/>
              </w:rPr>
            </w:pPr>
          </w:p>
        </w:tc>
        <w:tc>
          <w:tcPr>
            <w:tcW w:w="424" w:type="dxa"/>
            <w:shd w:val="clear" w:color="auto" w:fill="auto"/>
          </w:tcPr>
          <w:p w14:paraId="5E5548C8" w14:textId="77777777" w:rsidR="00027395" w:rsidRPr="005F6745" w:rsidRDefault="00027395" w:rsidP="000E53A0">
            <w:pPr>
              <w:rPr>
                <w:szCs w:val="22"/>
              </w:rPr>
            </w:pPr>
          </w:p>
        </w:tc>
        <w:tc>
          <w:tcPr>
            <w:tcW w:w="424" w:type="dxa"/>
            <w:shd w:val="clear" w:color="auto" w:fill="auto"/>
          </w:tcPr>
          <w:p w14:paraId="08D5FAA6" w14:textId="77777777" w:rsidR="00027395" w:rsidRPr="005F6745" w:rsidRDefault="00027395" w:rsidP="000E53A0">
            <w:pPr>
              <w:rPr>
                <w:szCs w:val="22"/>
              </w:rPr>
            </w:pPr>
          </w:p>
        </w:tc>
        <w:tc>
          <w:tcPr>
            <w:tcW w:w="424" w:type="dxa"/>
          </w:tcPr>
          <w:p w14:paraId="13FD6B8E" w14:textId="77777777" w:rsidR="00027395" w:rsidRPr="005F6745" w:rsidRDefault="00027395" w:rsidP="000E53A0">
            <w:pPr>
              <w:rPr>
                <w:szCs w:val="22"/>
              </w:rPr>
            </w:pPr>
          </w:p>
        </w:tc>
        <w:tc>
          <w:tcPr>
            <w:tcW w:w="424" w:type="dxa"/>
          </w:tcPr>
          <w:p w14:paraId="7C13D15E" w14:textId="77777777" w:rsidR="00027395" w:rsidRPr="005F6745" w:rsidRDefault="00027395" w:rsidP="000E53A0">
            <w:pPr>
              <w:rPr>
                <w:szCs w:val="22"/>
              </w:rPr>
            </w:pPr>
          </w:p>
        </w:tc>
        <w:tc>
          <w:tcPr>
            <w:tcW w:w="424" w:type="dxa"/>
          </w:tcPr>
          <w:p w14:paraId="1F53F87D" w14:textId="77777777" w:rsidR="00027395" w:rsidRPr="005F6745" w:rsidRDefault="00027395" w:rsidP="000E53A0">
            <w:pPr>
              <w:rPr>
                <w:szCs w:val="22"/>
              </w:rPr>
            </w:pPr>
          </w:p>
        </w:tc>
        <w:tc>
          <w:tcPr>
            <w:tcW w:w="424" w:type="dxa"/>
          </w:tcPr>
          <w:p w14:paraId="73709844" w14:textId="77777777" w:rsidR="00027395" w:rsidRPr="005F6745" w:rsidRDefault="00027395" w:rsidP="000E53A0">
            <w:pPr>
              <w:rPr>
                <w:szCs w:val="22"/>
              </w:rPr>
            </w:pPr>
          </w:p>
        </w:tc>
      </w:tr>
      <w:tr w:rsidR="00027395" w:rsidRPr="005F6745" w14:paraId="013557F7" w14:textId="77777777" w:rsidTr="000E53A0">
        <w:tc>
          <w:tcPr>
            <w:tcW w:w="1064" w:type="dxa"/>
            <w:vMerge/>
          </w:tcPr>
          <w:p w14:paraId="0EF102E4" w14:textId="77777777" w:rsidR="00027395" w:rsidRPr="005F6745" w:rsidRDefault="00027395" w:rsidP="000E53A0">
            <w:pPr>
              <w:rPr>
                <w:szCs w:val="22"/>
              </w:rPr>
            </w:pPr>
          </w:p>
        </w:tc>
        <w:tc>
          <w:tcPr>
            <w:tcW w:w="965" w:type="dxa"/>
            <w:vMerge/>
            <w:shd w:val="clear" w:color="auto" w:fill="auto"/>
          </w:tcPr>
          <w:p w14:paraId="4F08A4D1" w14:textId="77777777" w:rsidR="00027395" w:rsidRPr="005F6745" w:rsidRDefault="00027395" w:rsidP="000E53A0">
            <w:pPr>
              <w:rPr>
                <w:szCs w:val="22"/>
              </w:rPr>
            </w:pPr>
          </w:p>
        </w:tc>
        <w:tc>
          <w:tcPr>
            <w:tcW w:w="814" w:type="dxa"/>
          </w:tcPr>
          <w:p w14:paraId="19A7C46A" w14:textId="77777777" w:rsidR="00601D9B" w:rsidRDefault="000E53A0">
            <w:pPr>
              <w:rPr>
                <w:szCs w:val="22"/>
              </w:rPr>
            </w:pPr>
            <w:r>
              <w:rPr>
                <w:szCs w:val="22"/>
              </w:rPr>
              <w:t>1.3</w:t>
            </w:r>
          </w:p>
        </w:tc>
        <w:tc>
          <w:tcPr>
            <w:tcW w:w="425" w:type="dxa"/>
            <w:shd w:val="clear" w:color="auto" w:fill="B4C6E7" w:themeFill="accent1" w:themeFillTint="66"/>
          </w:tcPr>
          <w:p w14:paraId="5426CBDB" w14:textId="77777777" w:rsidR="00027395" w:rsidRPr="005F6745" w:rsidRDefault="00027395" w:rsidP="000E53A0">
            <w:pPr>
              <w:rPr>
                <w:szCs w:val="22"/>
              </w:rPr>
            </w:pPr>
          </w:p>
        </w:tc>
        <w:tc>
          <w:tcPr>
            <w:tcW w:w="425" w:type="dxa"/>
            <w:shd w:val="clear" w:color="auto" w:fill="B4C6E7" w:themeFill="accent1" w:themeFillTint="66"/>
          </w:tcPr>
          <w:p w14:paraId="6F6776FC" w14:textId="77777777" w:rsidR="00027395" w:rsidRPr="005F6745" w:rsidRDefault="00027395" w:rsidP="000E53A0">
            <w:pPr>
              <w:rPr>
                <w:szCs w:val="22"/>
              </w:rPr>
            </w:pPr>
          </w:p>
        </w:tc>
        <w:tc>
          <w:tcPr>
            <w:tcW w:w="425" w:type="dxa"/>
            <w:shd w:val="clear" w:color="auto" w:fill="B4C6E7" w:themeFill="accent1" w:themeFillTint="66"/>
          </w:tcPr>
          <w:p w14:paraId="6F4C86FF" w14:textId="77777777" w:rsidR="00027395" w:rsidRPr="005F6745" w:rsidRDefault="00027395" w:rsidP="000E53A0">
            <w:pPr>
              <w:rPr>
                <w:szCs w:val="22"/>
              </w:rPr>
            </w:pPr>
          </w:p>
        </w:tc>
        <w:tc>
          <w:tcPr>
            <w:tcW w:w="424" w:type="dxa"/>
            <w:shd w:val="clear" w:color="auto" w:fill="B4C6E7" w:themeFill="accent1" w:themeFillTint="66"/>
          </w:tcPr>
          <w:p w14:paraId="65E3E2BD" w14:textId="77777777" w:rsidR="00027395" w:rsidRPr="005F6745" w:rsidRDefault="00027395" w:rsidP="000E53A0">
            <w:pPr>
              <w:rPr>
                <w:szCs w:val="22"/>
              </w:rPr>
            </w:pPr>
          </w:p>
        </w:tc>
        <w:tc>
          <w:tcPr>
            <w:tcW w:w="424" w:type="dxa"/>
            <w:shd w:val="clear" w:color="auto" w:fill="B4C6E7" w:themeFill="accent1" w:themeFillTint="66"/>
          </w:tcPr>
          <w:p w14:paraId="727E6178" w14:textId="77777777" w:rsidR="00027395" w:rsidRPr="005F6745" w:rsidRDefault="00027395" w:rsidP="000E53A0">
            <w:pPr>
              <w:rPr>
                <w:szCs w:val="22"/>
              </w:rPr>
            </w:pPr>
          </w:p>
        </w:tc>
        <w:tc>
          <w:tcPr>
            <w:tcW w:w="424" w:type="dxa"/>
            <w:shd w:val="clear" w:color="auto" w:fill="B4C6E7" w:themeFill="accent1" w:themeFillTint="66"/>
          </w:tcPr>
          <w:p w14:paraId="756E3F9D" w14:textId="77777777" w:rsidR="00027395" w:rsidRPr="005F6745" w:rsidRDefault="00027395" w:rsidP="000E53A0">
            <w:pPr>
              <w:rPr>
                <w:szCs w:val="22"/>
              </w:rPr>
            </w:pPr>
          </w:p>
        </w:tc>
        <w:tc>
          <w:tcPr>
            <w:tcW w:w="424" w:type="dxa"/>
            <w:shd w:val="clear" w:color="auto" w:fill="auto"/>
          </w:tcPr>
          <w:p w14:paraId="218B502A" w14:textId="77777777" w:rsidR="00027395" w:rsidRPr="005F6745" w:rsidRDefault="00027395" w:rsidP="000E53A0">
            <w:pPr>
              <w:rPr>
                <w:szCs w:val="22"/>
              </w:rPr>
            </w:pPr>
          </w:p>
        </w:tc>
        <w:tc>
          <w:tcPr>
            <w:tcW w:w="424" w:type="dxa"/>
            <w:shd w:val="clear" w:color="auto" w:fill="auto"/>
          </w:tcPr>
          <w:p w14:paraId="788F24E9" w14:textId="77777777" w:rsidR="00027395" w:rsidRPr="005F6745" w:rsidRDefault="00027395" w:rsidP="000E53A0">
            <w:pPr>
              <w:rPr>
                <w:szCs w:val="22"/>
              </w:rPr>
            </w:pPr>
          </w:p>
        </w:tc>
        <w:tc>
          <w:tcPr>
            <w:tcW w:w="424" w:type="dxa"/>
            <w:shd w:val="clear" w:color="auto" w:fill="auto"/>
          </w:tcPr>
          <w:p w14:paraId="2687EDB1" w14:textId="77777777" w:rsidR="00027395" w:rsidRPr="005F6745" w:rsidRDefault="00027395" w:rsidP="000E53A0">
            <w:pPr>
              <w:rPr>
                <w:szCs w:val="22"/>
              </w:rPr>
            </w:pPr>
          </w:p>
        </w:tc>
        <w:tc>
          <w:tcPr>
            <w:tcW w:w="424" w:type="dxa"/>
            <w:shd w:val="clear" w:color="auto" w:fill="auto"/>
          </w:tcPr>
          <w:p w14:paraId="47B65A45" w14:textId="77777777" w:rsidR="00027395" w:rsidRPr="005F6745" w:rsidRDefault="00027395" w:rsidP="000E53A0">
            <w:pPr>
              <w:rPr>
                <w:szCs w:val="22"/>
              </w:rPr>
            </w:pPr>
          </w:p>
        </w:tc>
        <w:tc>
          <w:tcPr>
            <w:tcW w:w="424" w:type="dxa"/>
            <w:shd w:val="clear" w:color="auto" w:fill="auto"/>
          </w:tcPr>
          <w:p w14:paraId="39B1E108" w14:textId="77777777" w:rsidR="00027395" w:rsidRPr="005F6745" w:rsidRDefault="00027395" w:rsidP="000E53A0">
            <w:pPr>
              <w:rPr>
                <w:szCs w:val="22"/>
              </w:rPr>
            </w:pPr>
          </w:p>
        </w:tc>
        <w:tc>
          <w:tcPr>
            <w:tcW w:w="424" w:type="dxa"/>
            <w:shd w:val="clear" w:color="auto" w:fill="auto"/>
          </w:tcPr>
          <w:p w14:paraId="7812D32F" w14:textId="77777777" w:rsidR="00027395" w:rsidRPr="005F6745" w:rsidRDefault="00027395" w:rsidP="000E53A0">
            <w:pPr>
              <w:rPr>
                <w:szCs w:val="22"/>
              </w:rPr>
            </w:pPr>
          </w:p>
        </w:tc>
        <w:tc>
          <w:tcPr>
            <w:tcW w:w="424" w:type="dxa"/>
            <w:shd w:val="clear" w:color="auto" w:fill="auto"/>
          </w:tcPr>
          <w:p w14:paraId="053CA5C4" w14:textId="77777777" w:rsidR="00027395" w:rsidRPr="005F6745" w:rsidRDefault="00027395" w:rsidP="000E53A0">
            <w:pPr>
              <w:rPr>
                <w:szCs w:val="22"/>
              </w:rPr>
            </w:pPr>
          </w:p>
        </w:tc>
        <w:tc>
          <w:tcPr>
            <w:tcW w:w="424" w:type="dxa"/>
            <w:shd w:val="clear" w:color="auto" w:fill="auto"/>
          </w:tcPr>
          <w:p w14:paraId="02B01511" w14:textId="77777777" w:rsidR="00027395" w:rsidRPr="005F6745" w:rsidRDefault="00027395" w:rsidP="000E53A0">
            <w:pPr>
              <w:rPr>
                <w:szCs w:val="22"/>
              </w:rPr>
            </w:pPr>
          </w:p>
        </w:tc>
        <w:tc>
          <w:tcPr>
            <w:tcW w:w="424" w:type="dxa"/>
            <w:shd w:val="clear" w:color="auto" w:fill="auto"/>
          </w:tcPr>
          <w:p w14:paraId="3824DDE1" w14:textId="77777777" w:rsidR="00027395" w:rsidRPr="005F6745" w:rsidRDefault="00027395" w:rsidP="000E53A0">
            <w:pPr>
              <w:rPr>
                <w:szCs w:val="22"/>
              </w:rPr>
            </w:pPr>
          </w:p>
        </w:tc>
        <w:tc>
          <w:tcPr>
            <w:tcW w:w="424" w:type="dxa"/>
            <w:shd w:val="clear" w:color="auto" w:fill="auto"/>
          </w:tcPr>
          <w:p w14:paraId="7960DD20" w14:textId="77777777" w:rsidR="00027395" w:rsidRPr="005F6745" w:rsidRDefault="00027395" w:rsidP="000E53A0">
            <w:pPr>
              <w:rPr>
                <w:szCs w:val="22"/>
              </w:rPr>
            </w:pPr>
          </w:p>
        </w:tc>
        <w:tc>
          <w:tcPr>
            <w:tcW w:w="424" w:type="dxa"/>
            <w:shd w:val="clear" w:color="auto" w:fill="auto"/>
          </w:tcPr>
          <w:p w14:paraId="1410040C" w14:textId="77777777" w:rsidR="00027395" w:rsidRPr="005F6745" w:rsidRDefault="00027395" w:rsidP="000E53A0">
            <w:pPr>
              <w:rPr>
                <w:szCs w:val="22"/>
              </w:rPr>
            </w:pPr>
          </w:p>
        </w:tc>
        <w:tc>
          <w:tcPr>
            <w:tcW w:w="424" w:type="dxa"/>
            <w:shd w:val="clear" w:color="auto" w:fill="auto"/>
          </w:tcPr>
          <w:p w14:paraId="4577F7BB" w14:textId="77777777" w:rsidR="00027395" w:rsidRPr="005F6745" w:rsidRDefault="00027395" w:rsidP="000E53A0">
            <w:pPr>
              <w:rPr>
                <w:szCs w:val="22"/>
              </w:rPr>
            </w:pPr>
          </w:p>
        </w:tc>
        <w:tc>
          <w:tcPr>
            <w:tcW w:w="424" w:type="dxa"/>
            <w:shd w:val="clear" w:color="auto" w:fill="auto"/>
          </w:tcPr>
          <w:p w14:paraId="2667A3B1" w14:textId="77777777" w:rsidR="00027395" w:rsidRPr="005F6745" w:rsidRDefault="00027395" w:rsidP="000E53A0">
            <w:pPr>
              <w:rPr>
                <w:szCs w:val="22"/>
              </w:rPr>
            </w:pPr>
          </w:p>
        </w:tc>
        <w:tc>
          <w:tcPr>
            <w:tcW w:w="424" w:type="dxa"/>
            <w:shd w:val="clear" w:color="auto" w:fill="auto"/>
          </w:tcPr>
          <w:p w14:paraId="70FF8036" w14:textId="77777777" w:rsidR="00027395" w:rsidRPr="005F6745" w:rsidRDefault="00027395" w:rsidP="000E53A0">
            <w:pPr>
              <w:rPr>
                <w:szCs w:val="22"/>
              </w:rPr>
            </w:pPr>
          </w:p>
        </w:tc>
        <w:tc>
          <w:tcPr>
            <w:tcW w:w="424" w:type="dxa"/>
            <w:shd w:val="clear" w:color="auto" w:fill="B4C6E7" w:themeFill="accent1" w:themeFillTint="66"/>
          </w:tcPr>
          <w:p w14:paraId="14E67954" w14:textId="77777777" w:rsidR="00027395" w:rsidRPr="005F6745" w:rsidRDefault="00027395" w:rsidP="000E53A0">
            <w:pPr>
              <w:rPr>
                <w:szCs w:val="22"/>
              </w:rPr>
            </w:pPr>
          </w:p>
        </w:tc>
        <w:tc>
          <w:tcPr>
            <w:tcW w:w="424" w:type="dxa"/>
            <w:shd w:val="clear" w:color="auto" w:fill="B4C6E7" w:themeFill="accent1" w:themeFillTint="66"/>
          </w:tcPr>
          <w:p w14:paraId="68C93998" w14:textId="77777777" w:rsidR="00027395" w:rsidRPr="005F6745" w:rsidRDefault="00027395" w:rsidP="000E53A0">
            <w:pPr>
              <w:rPr>
                <w:szCs w:val="22"/>
              </w:rPr>
            </w:pPr>
          </w:p>
        </w:tc>
        <w:tc>
          <w:tcPr>
            <w:tcW w:w="424" w:type="dxa"/>
            <w:shd w:val="clear" w:color="auto" w:fill="B4C6E7" w:themeFill="accent1" w:themeFillTint="66"/>
          </w:tcPr>
          <w:p w14:paraId="0AB37143" w14:textId="77777777" w:rsidR="00027395" w:rsidRPr="005F6745" w:rsidRDefault="00027395" w:rsidP="000E53A0">
            <w:pPr>
              <w:rPr>
                <w:szCs w:val="22"/>
              </w:rPr>
            </w:pPr>
          </w:p>
        </w:tc>
        <w:tc>
          <w:tcPr>
            <w:tcW w:w="424" w:type="dxa"/>
          </w:tcPr>
          <w:p w14:paraId="210CC02E" w14:textId="77777777" w:rsidR="00027395" w:rsidRPr="005F6745" w:rsidRDefault="00027395" w:rsidP="000E53A0">
            <w:pPr>
              <w:rPr>
                <w:szCs w:val="22"/>
              </w:rPr>
            </w:pPr>
          </w:p>
        </w:tc>
      </w:tr>
      <w:tr w:rsidR="00027395" w:rsidRPr="005F6745" w14:paraId="7FA355DA" w14:textId="77777777" w:rsidTr="000E53A0">
        <w:tc>
          <w:tcPr>
            <w:tcW w:w="1064" w:type="dxa"/>
            <w:vMerge w:val="restart"/>
          </w:tcPr>
          <w:p w14:paraId="767C5B7F" w14:textId="77777777" w:rsidR="00601D9B" w:rsidRDefault="000E53A0">
            <w:pPr>
              <w:rPr>
                <w:szCs w:val="22"/>
              </w:rPr>
            </w:pPr>
            <w:r>
              <w:rPr>
                <w:szCs w:val="22"/>
              </w:rPr>
              <w:t>Composante 2</w:t>
            </w:r>
          </w:p>
        </w:tc>
        <w:tc>
          <w:tcPr>
            <w:tcW w:w="965" w:type="dxa"/>
            <w:vMerge w:val="restart"/>
            <w:shd w:val="clear" w:color="auto" w:fill="auto"/>
          </w:tcPr>
          <w:p w14:paraId="1BCEFCE5" w14:textId="77777777" w:rsidR="00601D9B" w:rsidRDefault="000E53A0">
            <w:pPr>
              <w:rPr>
                <w:szCs w:val="22"/>
              </w:rPr>
            </w:pPr>
            <w:r>
              <w:rPr>
                <w:szCs w:val="22"/>
              </w:rPr>
              <w:t>2</w:t>
            </w:r>
          </w:p>
        </w:tc>
        <w:tc>
          <w:tcPr>
            <w:tcW w:w="814" w:type="dxa"/>
          </w:tcPr>
          <w:p w14:paraId="6EC88F77" w14:textId="77777777" w:rsidR="00601D9B" w:rsidRDefault="000E53A0">
            <w:pPr>
              <w:rPr>
                <w:szCs w:val="22"/>
              </w:rPr>
            </w:pPr>
            <w:r>
              <w:rPr>
                <w:szCs w:val="22"/>
              </w:rPr>
              <w:t>2.1</w:t>
            </w:r>
          </w:p>
        </w:tc>
        <w:tc>
          <w:tcPr>
            <w:tcW w:w="425" w:type="dxa"/>
            <w:shd w:val="clear" w:color="auto" w:fill="auto"/>
          </w:tcPr>
          <w:p w14:paraId="1F34C3DD" w14:textId="77777777" w:rsidR="00027395" w:rsidRPr="005F6745" w:rsidRDefault="00027395" w:rsidP="000E53A0">
            <w:pPr>
              <w:rPr>
                <w:szCs w:val="22"/>
              </w:rPr>
            </w:pPr>
          </w:p>
        </w:tc>
        <w:tc>
          <w:tcPr>
            <w:tcW w:w="425" w:type="dxa"/>
            <w:shd w:val="clear" w:color="auto" w:fill="auto"/>
          </w:tcPr>
          <w:p w14:paraId="464AC409" w14:textId="77777777" w:rsidR="00027395" w:rsidRPr="005F6745" w:rsidRDefault="00027395" w:rsidP="000E53A0">
            <w:pPr>
              <w:rPr>
                <w:szCs w:val="22"/>
              </w:rPr>
            </w:pPr>
          </w:p>
        </w:tc>
        <w:tc>
          <w:tcPr>
            <w:tcW w:w="425" w:type="dxa"/>
            <w:shd w:val="clear" w:color="auto" w:fill="B4C6E7" w:themeFill="accent1" w:themeFillTint="66"/>
          </w:tcPr>
          <w:p w14:paraId="3D4F6370" w14:textId="77777777" w:rsidR="00027395" w:rsidRPr="005F6745" w:rsidRDefault="00027395" w:rsidP="000E53A0">
            <w:pPr>
              <w:rPr>
                <w:szCs w:val="22"/>
              </w:rPr>
            </w:pPr>
          </w:p>
        </w:tc>
        <w:tc>
          <w:tcPr>
            <w:tcW w:w="424" w:type="dxa"/>
            <w:shd w:val="clear" w:color="auto" w:fill="B4C6E7" w:themeFill="accent1" w:themeFillTint="66"/>
          </w:tcPr>
          <w:p w14:paraId="29A6952F" w14:textId="77777777" w:rsidR="00027395" w:rsidRPr="005F6745" w:rsidRDefault="00027395" w:rsidP="000E53A0">
            <w:pPr>
              <w:rPr>
                <w:szCs w:val="22"/>
              </w:rPr>
            </w:pPr>
          </w:p>
        </w:tc>
        <w:tc>
          <w:tcPr>
            <w:tcW w:w="424" w:type="dxa"/>
            <w:shd w:val="clear" w:color="auto" w:fill="B4C6E7" w:themeFill="accent1" w:themeFillTint="66"/>
          </w:tcPr>
          <w:p w14:paraId="76B5E936" w14:textId="77777777" w:rsidR="00027395" w:rsidRPr="005F6745" w:rsidRDefault="00027395" w:rsidP="000E53A0">
            <w:pPr>
              <w:rPr>
                <w:szCs w:val="22"/>
              </w:rPr>
            </w:pPr>
          </w:p>
        </w:tc>
        <w:tc>
          <w:tcPr>
            <w:tcW w:w="424" w:type="dxa"/>
            <w:shd w:val="clear" w:color="auto" w:fill="B4C6E7" w:themeFill="accent1" w:themeFillTint="66"/>
          </w:tcPr>
          <w:p w14:paraId="3BC0C536" w14:textId="77777777" w:rsidR="00027395" w:rsidRPr="005F6745" w:rsidRDefault="00027395" w:rsidP="000E53A0">
            <w:pPr>
              <w:rPr>
                <w:szCs w:val="22"/>
              </w:rPr>
            </w:pPr>
          </w:p>
        </w:tc>
        <w:tc>
          <w:tcPr>
            <w:tcW w:w="424" w:type="dxa"/>
            <w:shd w:val="clear" w:color="auto" w:fill="B4C6E7" w:themeFill="accent1" w:themeFillTint="66"/>
          </w:tcPr>
          <w:p w14:paraId="6D5A878D" w14:textId="77777777" w:rsidR="00027395" w:rsidRPr="005F6745" w:rsidRDefault="00027395" w:rsidP="000E53A0">
            <w:pPr>
              <w:rPr>
                <w:szCs w:val="22"/>
              </w:rPr>
            </w:pPr>
          </w:p>
        </w:tc>
        <w:tc>
          <w:tcPr>
            <w:tcW w:w="424" w:type="dxa"/>
            <w:shd w:val="clear" w:color="auto" w:fill="B4C6E7" w:themeFill="accent1" w:themeFillTint="66"/>
          </w:tcPr>
          <w:p w14:paraId="450F0B62" w14:textId="77777777" w:rsidR="00027395" w:rsidRPr="005F6745" w:rsidRDefault="00027395" w:rsidP="000E53A0">
            <w:pPr>
              <w:rPr>
                <w:szCs w:val="22"/>
              </w:rPr>
            </w:pPr>
          </w:p>
        </w:tc>
        <w:tc>
          <w:tcPr>
            <w:tcW w:w="424" w:type="dxa"/>
            <w:shd w:val="clear" w:color="auto" w:fill="B4C6E7" w:themeFill="accent1" w:themeFillTint="66"/>
          </w:tcPr>
          <w:p w14:paraId="6D347C73" w14:textId="77777777" w:rsidR="00027395" w:rsidRPr="005F6745" w:rsidRDefault="00027395" w:rsidP="000E53A0">
            <w:pPr>
              <w:rPr>
                <w:szCs w:val="22"/>
              </w:rPr>
            </w:pPr>
          </w:p>
        </w:tc>
        <w:tc>
          <w:tcPr>
            <w:tcW w:w="424" w:type="dxa"/>
            <w:shd w:val="clear" w:color="auto" w:fill="B4C6E7" w:themeFill="accent1" w:themeFillTint="66"/>
          </w:tcPr>
          <w:p w14:paraId="11973D6B" w14:textId="77777777" w:rsidR="00027395" w:rsidRPr="005F6745" w:rsidRDefault="00027395" w:rsidP="000E53A0">
            <w:pPr>
              <w:rPr>
                <w:szCs w:val="22"/>
              </w:rPr>
            </w:pPr>
          </w:p>
        </w:tc>
        <w:tc>
          <w:tcPr>
            <w:tcW w:w="424" w:type="dxa"/>
            <w:shd w:val="clear" w:color="auto" w:fill="B4C6E7" w:themeFill="accent1" w:themeFillTint="66"/>
          </w:tcPr>
          <w:p w14:paraId="721BEC3D" w14:textId="77777777" w:rsidR="00027395" w:rsidRPr="005F6745" w:rsidRDefault="00027395" w:rsidP="000E53A0">
            <w:pPr>
              <w:rPr>
                <w:szCs w:val="22"/>
              </w:rPr>
            </w:pPr>
          </w:p>
        </w:tc>
        <w:tc>
          <w:tcPr>
            <w:tcW w:w="424" w:type="dxa"/>
            <w:shd w:val="clear" w:color="auto" w:fill="B4C6E7" w:themeFill="accent1" w:themeFillTint="66"/>
          </w:tcPr>
          <w:p w14:paraId="3442CD1B" w14:textId="77777777" w:rsidR="00027395" w:rsidRPr="005F6745" w:rsidRDefault="00027395" w:rsidP="000E53A0">
            <w:pPr>
              <w:rPr>
                <w:szCs w:val="22"/>
              </w:rPr>
            </w:pPr>
          </w:p>
        </w:tc>
        <w:tc>
          <w:tcPr>
            <w:tcW w:w="424" w:type="dxa"/>
            <w:shd w:val="clear" w:color="auto" w:fill="B4C6E7" w:themeFill="accent1" w:themeFillTint="66"/>
          </w:tcPr>
          <w:p w14:paraId="01C362D9" w14:textId="77777777" w:rsidR="00027395" w:rsidRPr="005F6745" w:rsidRDefault="00027395" w:rsidP="000E53A0">
            <w:pPr>
              <w:rPr>
                <w:szCs w:val="22"/>
              </w:rPr>
            </w:pPr>
          </w:p>
        </w:tc>
        <w:tc>
          <w:tcPr>
            <w:tcW w:w="424" w:type="dxa"/>
            <w:shd w:val="clear" w:color="auto" w:fill="B4C6E7" w:themeFill="accent1" w:themeFillTint="66"/>
          </w:tcPr>
          <w:p w14:paraId="3FB3D0BC" w14:textId="77777777" w:rsidR="00027395" w:rsidRPr="005F6745" w:rsidRDefault="00027395" w:rsidP="000E53A0">
            <w:pPr>
              <w:rPr>
                <w:szCs w:val="22"/>
              </w:rPr>
            </w:pPr>
          </w:p>
        </w:tc>
        <w:tc>
          <w:tcPr>
            <w:tcW w:w="424" w:type="dxa"/>
            <w:shd w:val="clear" w:color="auto" w:fill="B4C6E7" w:themeFill="accent1" w:themeFillTint="66"/>
          </w:tcPr>
          <w:p w14:paraId="705B9516" w14:textId="77777777" w:rsidR="00027395" w:rsidRPr="005F6745" w:rsidRDefault="00027395" w:rsidP="000E53A0">
            <w:pPr>
              <w:rPr>
                <w:szCs w:val="22"/>
              </w:rPr>
            </w:pPr>
          </w:p>
        </w:tc>
        <w:tc>
          <w:tcPr>
            <w:tcW w:w="424" w:type="dxa"/>
            <w:shd w:val="clear" w:color="auto" w:fill="B4C6E7" w:themeFill="accent1" w:themeFillTint="66"/>
          </w:tcPr>
          <w:p w14:paraId="04736734" w14:textId="77777777" w:rsidR="00027395" w:rsidRPr="005F6745" w:rsidRDefault="00027395" w:rsidP="000E53A0">
            <w:pPr>
              <w:rPr>
                <w:szCs w:val="22"/>
              </w:rPr>
            </w:pPr>
          </w:p>
        </w:tc>
        <w:tc>
          <w:tcPr>
            <w:tcW w:w="424" w:type="dxa"/>
            <w:shd w:val="clear" w:color="auto" w:fill="B4C6E7" w:themeFill="accent1" w:themeFillTint="66"/>
          </w:tcPr>
          <w:p w14:paraId="5A4AF341" w14:textId="77777777" w:rsidR="00027395" w:rsidRPr="005F6745" w:rsidRDefault="00027395" w:rsidP="000E53A0">
            <w:pPr>
              <w:rPr>
                <w:szCs w:val="22"/>
              </w:rPr>
            </w:pPr>
          </w:p>
        </w:tc>
        <w:tc>
          <w:tcPr>
            <w:tcW w:w="424" w:type="dxa"/>
            <w:shd w:val="clear" w:color="auto" w:fill="B4C6E7" w:themeFill="accent1" w:themeFillTint="66"/>
          </w:tcPr>
          <w:p w14:paraId="0862FBC1" w14:textId="77777777" w:rsidR="00027395" w:rsidRPr="005F6745" w:rsidRDefault="00027395" w:rsidP="000E53A0">
            <w:pPr>
              <w:rPr>
                <w:szCs w:val="22"/>
              </w:rPr>
            </w:pPr>
          </w:p>
        </w:tc>
        <w:tc>
          <w:tcPr>
            <w:tcW w:w="424" w:type="dxa"/>
            <w:shd w:val="clear" w:color="auto" w:fill="B4C6E7" w:themeFill="accent1" w:themeFillTint="66"/>
          </w:tcPr>
          <w:p w14:paraId="5860C73F" w14:textId="77777777" w:rsidR="00027395" w:rsidRPr="005F6745" w:rsidRDefault="00027395" w:rsidP="000E53A0">
            <w:pPr>
              <w:rPr>
                <w:szCs w:val="22"/>
              </w:rPr>
            </w:pPr>
          </w:p>
        </w:tc>
        <w:tc>
          <w:tcPr>
            <w:tcW w:w="424" w:type="dxa"/>
            <w:shd w:val="clear" w:color="auto" w:fill="B4C6E7" w:themeFill="accent1" w:themeFillTint="66"/>
          </w:tcPr>
          <w:p w14:paraId="13C89534" w14:textId="77777777" w:rsidR="00027395" w:rsidRPr="005F6745" w:rsidRDefault="00027395" w:rsidP="000E53A0">
            <w:pPr>
              <w:rPr>
                <w:szCs w:val="22"/>
              </w:rPr>
            </w:pPr>
          </w:p>
        </w:tc>
        <w:tc>
          <w:tcPr>
            <w:tcW w:w="424" w:type="dxa"/>
            <w:shd w:val="clear" w:color="auto" w:fill="B4C6E7" w:themeFill="accent1" w:themeFillTint="66"/>
          </w:tcPr>
          <w:p w14:paraId="1110B327" w14:textId="77777777" w:rsidR="00027395" w:rsidRPr="005F6745" w:rsidRDefault="00027395" w:rsidP="000E53A0">
            <w:pPr>
              <w:rPr>
                <w:szCs w:val="22"/>
              </w:rPr>
            </w:pPr>
          </w:p>
        </w:tc>
        <w:tc>
          <w:tcPr>
            <w:tcW w:w="424" w:type="dxa"/>
            <w:shd w:val="clear" w:color="auto" w:fill="B4C6E7" w:themeFill="accent1" w:themeFillTint="66"/>
          </w:tcPr>
          <w:p w14:paraId="48B588AE" w14:textId="77777777" w:rsidR="00027395" w:rsidRPr="005F6745" w:rsidRDefault="00027395" w:rsidP="000E53A0">
            <w:pPr>
              <w:rPr>
                <w:szCs w:val="22"/>
              </w:rPr>
            </w:pPr>
          </w:p>
        </w:tc>
        <w:tc>
          <w:tcPr>
            <w:tcW w:w="424" w:type="dxa"/>
            <w:shd w:val="clear" w:color="auto" w:fill="B4C6E7" w:themeFill="accent1" w:themeFillTint="66"/>
          </w:tcPr>
          <w:p w14:paraId="774946CF" w14:textId="77777777" w:rsidR="00027395" w:rsidRPr="005F6745" w:rsidRDefault="00027395" w:rsidP="000E53A0">
            <w:pPr>
              <w:rPr>
                <w:szCs w:val="22"/>
              </w:rPr>
            </w:pPr>
          </w:p>
        </w:tc>
        <w:tc>
          <w:tcPr>
            <w:tcW w:w="424" w:type="dxa"/>
            <w:shd w:val="clear" w:color="auto" w:fill="B4C6E7" w:themeFill="accent1" w:themeFillTint="66"/>
          </w:tcPr>
          <w:p w14:paraId="512E7DF7" w14:textId="77777777" w:rsidR="00027395" w:rsidRPr="005F6745" w:rsidRDefault="00027395" w:rsidP="000E53A0">
            <w:pPr>
              <w:rPr>
                <w:szCs w:val="22"/>
              </w:rPr>
            </w:pPr>
          </w:p>
        </w:tc>
      </w:tr>
      <w:tr w:rsidR="00027395" w:rsidRPr="005F6745" w14:paraId="28971864" w14:textId="77777777" w:rsidTr="000E53A0">
        <w:tc>
          <w:tcPr>
            <w:tcW w:w="1064" w:type="dxa"/>
            <w:vMerge/>
          </w:tcPr>
          <w:p w14:paraId="38218654" w14:textId="77777777" w:rsidR="00027395" w:rsidRPr="005F6745" w:rsidRDefault="00027395" w:rsidP="000E53A0">
            <w:pPr>
              <w:rPr>
                <w:szCs w:val="22"/>
              </w:rPr>
            </w:pPr>
          </w:p>
        </w:tc>
        <w:tc>
          <w:tcPr>
            <w:tcW w:w="965" w:type="dxa"/>
            <w:vMerge/>
            <w:shd w:val="clear" w:color="auto" w:fill="auto"/>
          </w:tcPr>
          <w:p w14:paraId="792B2159" w14:textId="77777777" w:rsidR="00027395" w:rsidRPr="005F6745" w:rsidRDefault="00027395" w:rsidP="000E53A0">
            <w:pPr>
              <w:rPr>
                <w:szCs w:val="22"/>
              </w:rPr>
            </w:pPr>
          </w:p>
        </w:tc>
        <w:tc>
          <w:tcPr>
            <w:tcW w:w="814" w:type="dxa"/>
          </w:tcPr>
          <w:p w14:paraId="06AB5590" w14:textId="77777777" w:rsidR="00601D9B" w:rsidRDefault="000E53A0">
            <w:pPr>
              <w:rPr>
                <w:szCs w:val="22"/>
              </w:rPr>
            </w:pPr>
            <w:r>
              <w:rPr>
                <w:szCs w:val="22"/>
              </w:rPr>
              <w:t>2.2</w:t>
            </w:r>
          </w:p>
        </w:tc>
        <w:tc>
          <w:tcPr>
            <w:tcW w:w="425" w:type="dxa"/>
            <w:shd w:val="clear" w:color="auto" w:fill="auto"/>
          </w:tcPr>
          <w:p w14:paraId="75FE1D19" w14:textId="77777777" w:rsidR="00027395" w:rsidRPr="005F6745" w:rsidRDefault="00027395" w:rsidP="000E53A0">
            <w:pPr>
              <w:rPr>
                <w:szCs w:val="22"/>
              </w:rPr>
            </w:pPr>
          </w:p>
        </w:tc>
        <w:tc>
          <w:tcPr>
            <w:tcW w:w="425" w:type="dxa"/>
            <w:shd w:val="clear" w:color="auto" w:fill="auto"/>
          </w:tcPr>
          <w:p w14:paraId="30AF333B" w14:textId="77777777" w:rsidR="00027395" w:rsidRPr="005F6745" w:rsidRDefault="00027395" w:rsidP="000E53A0">
            <w:pPr>
              <w:rPr>
                <w:szCs w:val="22"/>
              </w:rPr>
            </w:pPr>
          </w:p>
        </w:tc>
        <w:tc>
          <w:tcPr>
            <w:tcW w:w="425" w:type="dxa"/>
            <w:shd w:val="clear" w:color="auto" w:fill="auto"/>
          </w:tcPr>
          <w:p w14:paraId="4C4D2EAE" w14:textId="77777777" w:rsidR="00027395" w:rsidRPr="005F6745" w:rsidRDefault="00027395" w:rsidP="000E53A0">
            <w:pPr>
              <w:rPr>
                <w:szCs w:val="22"/>
              </w:rPr>
            </w:pPr>
          </w:p>
        </w:tc>
        <w:tc>
          <w:tcPr>
            <w:tcW w:w="424" w:type="dxa"/>
            <w:shd w:val="clear" w:color="auto" w:fill="auto"/>
          </w:tcPr>
          <w:p w14:paraId="4804B7A8" w14:textId="77777777" w:rsidR="00027395" w:rsidRPr="005F6745" w:rsidRDefault="00027395" w:rsidP="000E53A0">
            <w:pPr>
              <w:rPr>
                <w:szCs w:val="22"/>
              </w:rPr>
            </w:pPr>
          </w:p>
        </w:tc>
        <w:tc>
          <w:tcPr>
            <w:tcW w:w="424" w:type="dxa"/>
            <w:shd w:val="clear" w:color="auto" w:fill="B4C6E7" w:themeFill="accent1" w:themeFillTint="66"/>
          </w:tcPr>
          <w:p w14:paraId="780677D4" w14:textId="77777777" w:rsidR="00027395" w:rsidRPr="005F6745" w:rsidRDefault="00027395" w:rsidP="000E53A0">
            <w:pPr>
              <w:rPr>
                <w:szCs w:val="22"/>
              </w:rPr>
            </w:pPr>
          </w:p>
        </w:tc>
        <w:tc>
          <w:tcPr>
            <w:tcW w:w="424" w:type="dxa"/>
            <w:shd w:val="clear" w:color="auto" w:fill="B4C6E7" w:themeFill="accent1" w:themeFillTint="66"/>
          </w:tcPr>
          <w:p w14:paraId="2B2FEB04" w14:textId="77777777" w:rsidR="00027395" w:rsidRPr="005F6745" w:rsidRDefault="00027395" w:rsidP="000E53A0">
            <w:pPr>
              <w:rPr>
                <w:szCs w:val="22"/>
              </w:rPr>
            </w:pPr>
          </w:p>
        </w:tc>
        <w:tc>
          <w:tcPr>
            <w:tcW w:w="424" w:type="dxa"/>
            <w:shd w:val="clear" w:color="auto" w:fill="B4C6E7" w:themeFill="accent1" w:themeFillTint="66"/>
          </w:tcPr>
          <w:p w14:paraId="6857BA9D" w14:textId="77777777" w:rsidR="00027395" w:rsidRPr="005F6745" w:rsidRDefault="00027395" w:rsidP="000E53A0">
            <w:pPr>
              <w:rPr>
                <w:szCs w:val="22"/>
              </w:rPr>
            </w:pPr>
          </w:p>
        </w:tc>
        <w:tc>
          <w:tcPr>
            <w:tcW w:w="424" w:type="dxa"/>
            <w:shd w:val="clear" w:color="auto" w:fill="B4C6E7" w:themeFill="accent1" w:themeFillTint="66"/>
          </w:tcPr>
          <w:p w14:paraId="089F01CA" w14:textId="77777777" w:rsidR="00027395" w:rsidRPr="005F6745" w:rsidRDefault="00027395" w:rsidP="000E53A0">
            <w:pPr>
              <w:rPr>
                <w:szCs w:val="22"/>
              </w:rPr>
            </w:pPr>
          </w:p>
        </w:tc>
        <w:tc>
          <w:tcPr>
            <w:tcW w:w="424" w:type="dxa"/>
            <w:shd w:val="clear" w:color="auto" w:fill="B4C6E7" w:themeFill="accent1" w:themeFillTint="66"/>
          </w:tcPr>
          <w:p w14:paraId="5714534F" w14:textId="77777777" w:rsidR="00027395" w:rsidRPr="005F6745" w:rsidRDefault="00027395" w:rsidP="000E53A0">
            <w:pPr>
              <w:rPr>
                <w:szCs w:val="22"/>
              </w:rPr>
            </w:pPr>
          </w:p>
        </w:tc>
        <w:tc>
          <w:tcPr>
            <w:tcW w:w="424" w:type="dxa"/>
            <w:shd w:val="clear" w:color="auto" w:fill="B4C6E7" w:themeFill="accent1" w:themeFillTint="66"/>
          </w:tcPr>
          <w:p w14:paraId="41CCEEFE" w14:textId="77777777" w:rsidR="00027395" w:rsidRPr="005F6745" w:rsidRDefault="00027395" w:rsidP="000E53A0">
            <w:pPr>
              <w:rPr>
                <w:szCs w:val="22"/>
              </w:rPr>
            </w:pPr>
          </w:p>
        </w:tc>
        <w:tc>
          <w:tcPr>
            <w:tcW w:w="424" w:type="dxa"/>
            <w:shd w:val="clear" w:color="auto" w:fill="B4C6E7" w:themeFill="accent1" w:themeFillTint="66"/>
          </w:tcPr>
          <w:p w14:paraId="6DF95253" w14:textId="77777777" w:rsidR="00027395" w:rsidRPr="005F6745" w:rsidRDefault="00027395" w:rsidP="000E53A0">
            <w:pPr>
              <w:rPr>
                <w:szCs w:val="22"/>
              </w:rPr>
            </w:pPr>
          </w:p>
        </w:tc>
        <w:tc>
          <w:tcPr>
            <w:tcW w:w="424" w:type="dxa"/>
            <w:shd w:val="clear" w:color="auto" w:fill="B4C6E7" w:themeFill="accent1" w:themeFillTint="66"/>
          </w:tcPr>
          <w:p w14:paraId="10D82202" w14:textId="77777777" w:rsidR="00027395" w:rsidRPr="005F6745" w:rsidRDefault="00027395" w:rsidP="000E53A0">
            <w:pPr>
              <w:rPr>
                <w:szCs w:val="22"/>
              </w:rPr>
            </w:pPr>
          </w:p>
        </w:tc>
        <w:tc>
          <w:tcPr>
            <w:tcW w:w="424" w:type="dxa"/>
            <w:shd w:val="clear" w:color="auto" w:fill="auto"/>
          </w:tcPr>
          <w:p w14:paraId="4E9D50E9" w14:textId="77777777" w:rsidR="00027395" w:rsidRPr="005F6745" w:rsidRDefault="00027395" w:rsidP="000E53A0">
            <w:pPr>
              <w:rPr>
                <w:szCs w:val="22"/>
              </w:rPr>
            </w:pPr>
          </w:p>
        </w:tc>
        <w:tc>
          <w:tcPr>
            <w:tcW w:w="424" w:type="dxa"/>
            <w:shd w:val="clear" w:color="auto" w:fill="auto"/>
          </w:tcPr>
          <w:p w14:paraId="0435DE9A" w14:textId="77777777" w:rsidR="00027395" w:rsidRPr="005F6745" w:rsidRDefault="00027395" w:rsidP="000E53A0">
            <w:pPr>
              <w:rPr>
                <w:szCs w:val="22"/>
              </w:rPr>
            </w:pPr>
          </w:p>
        </w:tc>
        <w:tc>
          <w:tcPr>
            <w:tcW w:w="424" w:type="dxa"/>
            <w:shd w:val="clear" w:color="auto" w:fill="auto"/>
          </w:tcPr>
          <w:p w14:paraId="21A97943" w14:textId="77777777" w:rsidR="00027395" w:rsidRPr="005F6745" w:rsidRDefault="00027395" w:rsidP="000E53A0">
            <w:pPr>
              <w:rPr>
                <w:szCs w:val="22"/>
              </w:rPr>
            </w:pPr>
          </w:p>
        </w:tc>
        <w:tc>
          <w:tcPr>
            <w:tcW w:w="424" w:type="dxa"/>
            <w:shd w:val="clear" w:color="auto" w:fill="auto"/>
          </w:tcPr>
          <w:p w14:paraId="7D9DC578" w14:textId="77777777" w:rsidR="00027395" w:rsidRPr="005F6745" w:rsidRDefault="00027395" w:rsidP="000E53A0">
            <w:pPr>
              <w:rPr>
                <w:szCs w:val="22"/>
              </w:rPr>
            </w:pPr>
          </w:p>
        </w:tc>
        <w:tc>
          <w:tcPr>
            <w:tcW w:w="424" w:type="dxa"/>
            <w:shd w:val="clear" w:color="auto" w:fill="auto"/>
          </w:tcPr>
          <w:p w14:paraId="28AD8D66" w14:textId="77777777" w:rsidR="00027395" w:rsidRPr="005F6745" w:rsidRDefault="00027395" w:rsidP="000E53A0">
            <w:pPr>
              <w:rPr>
                <w:szCs w:val="22"/>
              </w:rPr>
            </w:pPr>
          </w:p>
        </w:tc>
        <w:tc>
          <w:tcPr>
            <w:tcW w:w="424" w:type="dxa"/>
            <w:shd w:val="clear" w:color="auto" w:fill="auto"/>
          </w:tcPr>
          <w:p w14:paraId="25163ED3" w14:textId="77777777" w:rsidR="00027395" w:rsidRPr="005F6745" w:rsidRDefault="00027395" w:rsidP="000E53A0">
            <w:pPr>
              <w:rPr>
                <w:szCs w:val="22"/>
              </w:rPr>
            </w:pPr>
          </w:p>
        </w:tc>
        <w:tc>
          <w:tcPr>
            <w:tcW w:w="424" w:type="dxa"/>
            <w:shd w:val="clear" w:color="auto" w:fill="auto"/>
          </w:tcPr>
          <w:p w14:paraId="6174E40A" w14:textId="77777777" w:rsidR="00027395" w:rsidRPr="005F6745" w:rsidRDefault="00027395" w:rsidP="000E53A0">
            <w:pPr>
              <w:rPr>
                <w:szCs w:val="22"/>
              </w:rPr>
            </w:pPr>
          </w:p>
        </w:tc>
        <w:tc>
          <w:tcPr>
            <w:tcW w:w="424" w:type="dxa"/>
            <w:shd w:val="clear" w:color="auto" w:fill="auto"/>
          </w:tcPr>
          <w:p w14:paraId="5C5D4719" w14:textId="77777777" w:rsidR="00027395" w:rsidRPr="005F6745" w:rsidRDefault="00027395" w:rsidP="000E53A0">
            <w:pPr>
              <w:rPr>
                <w:szCs w:val="22"/>
              </w:rPr>
            </w:pPr>
          </w:p>
        </w:tc>
        <w:tc>
          <w:tcPr>
            <w:tcW w:w="424" w:type="dxa"/>
          </w:tcPr>
          <w:p w14:paraId="017D6067" w14:textId="77777777" w:rsidR="00027395" w:rsidRPr="005F6745" w:rsidRDefault="00027395" w:rsidP="000E53A0">
            <w:pPr>
              <w:rPr>
                <w:szCs w:val="22"/>
              </w:rPr>
            </w:pPr>
          </w:p>
        </w:tc>
        <w:tc>
          <w:tcPr>
            <w:tcW w:w="424" w:type="dxa"/>
          </w:tcPr>
          <w:p w14:paraId="41E80C7C" w14:textId="77777777" w:rsidR="00027395" w:rsidRPr="005F6745" w:rsidRDefault="00027395" w:rsidP="000E53A0">
            <w:pPr>
              <w:rPr>
                <w:szCs w:val="22"/>
              </w:rPr>
            </w:pPr>
          </w:p>
        </w:tc>
        <w:tc>
          <w:tcPr>
            <w:tcW w:w="424" w:type="dxa"/>
          </w:tcPr>
          <w:p w14:paraId="7E33CC4F" w14:textId="77777777" w:rsidR="00027395" w:rsidRPr="005F6745" w:rsidRDefault="00027395" w:rsidP="000E53A0">
            <w:pPr>
              <w:rPr>
                <w:szCs w:val="22"/>
              </w:rPr>
            </w:pPr>
          </w:p>
        </w:tc>
        <w:tc>
          <w:tcPr>
            <w:tcW w:w="424" w:type="dxa"/>
          </w:tcPr>
          <w:p w14:paraId="2431E125" w14:textId="77777777" w:rsidR="00027395" w:rsidRPr="005F6745" w:rsidRDefault="00027395" w:rsidP="000E53A0">
            <w:pPr>
              <w:rPr>
                <w:szCs w:val="22"/>
              </w:rPr>
            </w:pPr>
          </w:p>
        </w:tc>
      </w:tr>
      <w:tr w:rsidR="00027395" w:rsidRPr="005F6745" w14:paraId="5CDF97B0" w14:textId="77777777" w:rsidTr="000E53A0">
        <w:tc>
          <w:tcPr>
            <w:tcW w:w="1064" w:type="dxa"/>
            <w:vMerge/>
          </w:tcPr>
          <w:p w14:paraId="478F86E6" w14:textId="77777777" w:rsidR="00027395" w:rsidRPr="005F6745" w:rsidRDefault="00027395" w:rsidP="000E53A0">
            <w:pPr>
              <w:rPr>
                <w:szCs w:val="22"/>
              </w:rPr>
            </w:pPr>
          </w:p>
        </w:tc>
        <w:tc>
          <w:tcPr>
            <w:tcW w:w="965" w:type="dxa"/>
            <w:vMerge/>
            <w:shd w:val="clear" w:color="auto" w:fill="auto"/>
          </w:tcPr>
          <w:p w14:paraId="683705D6" w14:textId="77777777" w:rsidR="00027395" w:rsidRPr="005F6745" w:rsidRDefault="00027395" w:rsidP="000E53A0">
            <w:pPr>
              <w:rPr>
                <w:szCs w:val="22"/>
              </w:rPr>
            </w:pPr>
          </w:p>
        </w:tc>
        <w:tc>
          <w:tcPr>
            <w:tcW w:w="814" w:type="dxa"/>
          </w:tcPr>
          <w:p w14:paraId="21E7CC3E" w14:textId="77777777" w:rsidR="00601D9B" w:rsidRDefault="000E53A0">
            <w:pPr>
              <w:rPr>
                <w:szCs w:val="22"/>
              </w:rPr>
            </w:pPr>
            <w:r>
              <w:rPr>
                <w:szCs w:val="22"/>
              </w:rPr>
              <w:t>2.3</w:t>
            </w:r>
          </w:p>
        </w:tc>
        <w:tc>
          <w:tcPr>
            <w:tcW w:w="425" w:type="dxa"/>
            <w:shd w:val="clear" w:color="auto" w:fill="B4C6E7" w:themeFill="accent1" w:themeFillTint="66"/>
          </w:tcPr>
          <w:p w14:paraId="549336C5" w14:textId="77777777" w:rsidR="00027395" w:rsidRPr="005F6745" w:rsidRDefault="00027395" w:rsidP="000E53A0">
            <w:pPr>
              <w:rPr>
                <w:szCs w:val="22"/>
              </w:rPr>
            </w:pPr>
          </w:p>
        </w:tc>
        <w:tc>
          <w:tcPr>
            <w:tcW w:w="425" w:type="dxa"/>
            <w:shd w:val="clear" w:color="auto" w:fill="B4C6E7" w:themeFill="accent1" w:themeFillTint="66"/>
          </w:tcPr>
          <w:p w14:paraId="2EA91203" w14:textId="77777777" w:rsidR="00027395" w:rsidRPr="005F6745" w:rsidRDefault="00027395" w:rsidP="000E53A0">
            <w:pPr>
              <w:rPr>
                <w:szCs w:val="22"/>
              </w:rPr>
            </w:pPr>
          </w:p>
        </w:tc>
        <w:tc>
          <w:tcPr>
            <w:tcW w:w="425" w:type="dxa"/>
            <w:shd w:val="clear" w:color="auto" w:fill="B4C6E7" w:themeFill="accent1" w:themeFillTint="66"/>
          </w:tcPr>
          <w:p w14:paraId="2724CCE4" w14:textId="77777777" w:rsidR="00027395" w:rsidRPr="005F6745" w:rsidRDefault="00027395" w:rsidP="000E53A0">
            <w:pPr>
              <w:rPr>
                <w:szCs w:val="22"/>
              </w:rPr>
            </w:pPr>
          </w:p>
        </w:tc>
        <w:tc>
          <w:tcPr>
            <w:tcW w:w="424" w:type="dxa"/>
            <w:shd w:val="clear" w:color="auto" w:fill="B4C6E7" w:themeFill="accent1" w:themeFillTint="66"/>
          </w:tcPr>
          <w:p w14:paraId="49D50B76" w14:textId="77777777" w:rsidR="00027395" w:rsidRPr="005F6745" w:rsidRDefault="00027395" w:rsidP="000E53A0">
            <w:pPr>
              <w:rPr>
                <w:szCs w:val="22"/>
              </w:rPr>
            </w:pPr>
          </w:p>
        </w:tc>
        <w:tc>
          <w:tcPr>
            <w:tcW w:w="424" w:type="dxa"/>
            <w:shd w:val="clear" w:color="auto" w:fill="B4C6E7" w:themeFill="accent1" w:themeFillTint="66"/>
          </w:tcPr>
          <w:p w14:paraId="0D259665" w14:textId="77777777" w:rsidR="00027395" w:rsidRPr="005F6745" w:rsidRDefault="00027395" w:rsidP="000E53A0">
            <w:pPr>
              <w:rPr>
                <w:szCs w:val="22"/>
              </w:rPr>
            </w:pPr>
          </w:p>
        </w:tc>
        <w:tc>
          <w:tcPr>
            <w:tcW w:w="424" w:type="dxa"/>
            <w:shd w:val="clear" w:color="auto" w:fill="B4C6E7" w:themeFill="accent1" w:themeFillTint="66"/>
          </w:tcPr>
          <w:p w14:paraId="76076313" w14:textId="77777777" w:rsidR="00027395" w:rsidRPr="005F6745" w:rsidRDefault="00027395" w:rsidP="000E53A0">
            <w:pPr>
              <w:rPr>
                <w:szCs w:val="22"/>
              </w:rPr>
            </w:pPr>
          </w:p>
        </w:tc>
        <w:tc>
          <w:tcPr>
            <w:tcW w:w="424" w:type="dxa"/>
            <w:shd w:val="clear" w:color="auto" w:fill="B4C6E7" w:themeFill="accent1" w:themeFillTint="66"/>
          </w:tcPr>
          <w:p w14:paraId="1470CD8F" w14:textId="77777777" w:rsidR="00027395" w:rsidRPr="005F6745" w:rsidRDefault="00027395" w:rsidP="000E53A0">
            <w:pPr>
              <w:rPr>
                <w:szCs w:val="22"/>
              </w:rPr>
            </w:pPr>
          </w:p>
        </w:tc>
        <w:tc>
          <w:tcPr>
            <w:tcW w:w="424" w:type="dxa"/>
            <w:shd w:val="clear" w:color="auto" w:fill="B4C6E7" w:themeFill="accent1" w:themeFillTint="66"/>
          </w:tcPr>
          <w:p w14:paraId="468AB1F4" w14:textId="77777777" w:rsidR="00027395" w:rsidRPr="005F6745" w:rsidRDefault="00027395" w:rsidP="000E53A0">
            <w:pPr>
              <w:rPr>
                <w:szCs w:val="22"/>
              </w:rPr>
            </w:pPr>
          </w:p>
        </w:tc>
        <w:tc>
          <w:tcPr>
            <w:tcW w:w="424" w:type="dxa"/>
            <w:shd w:val="clear" w:color="auto" w:fill="B4C6E7" w:themeFill="accent1" w:themeFillTint="66"/>
          </w:tcPr>
          <w:p w14:paraId="51D9B0A9" w14:textId="77777777" w:rsidR="00027395" w:rsidRPr="005F6745" w:rsidRDefault="00027395" w:rsidP="000E53A0">
            <w:pPr>
              <w:rPr>
                <w:szCs w:val="22"/>
              </w:rPr>
            </w:pPr>
          </w:p>
        </w:tc>
        <w:tc>
          <w:tcPr>
            <w:tcW w:w="424" w:type="dxa"/>
            <w:shd w:val="clear" w:color="auto" w:fill="B4C6E7" w:themeFill="accent1" w:themeFillTint="66"/>
          </w:tcPr>
          <w:p w14:paraId="275B2720" w14:textId="77777777" w:rsidR="00027395" w:rsidRPr="005F6745" w:rsidRDefault="00027395" w:rsidP="000E53A0">
            <w:pPr>
              <w:rPr>
                <w:szCs w:val="22"/>
              </w:rPr>
            </w:pPr>
          </w:p>
        </w:tc>
        <w:tc>
          <w:tcPr>
            <w:tcW w:w="424" w:type="dxa"/>
            <w:shd w:val="clear" w:color="auto" w:fill="B4C6E7" w:themeFill="accent1" w:themeFillTint="66"/>
          </w:tcPr>
          <w:p w14:paraId="6EF8C765" w14:textId="77777777" w:rsidR="00027395" w:rsidRPr="005F6745" w:rsidRDefault="00027395" w:rsidP="000E53A0">
            <w:pPr>
              <w:rPr>
                <w:szCs w:val="22"/>
              </w:rPr>
            </w:pPr>
          </w:p>
        </w:tc>
        <w:tc>
          <w:tcPr>
            <w:tcW w:w="424" w:type="dxa"/>
            <w:shd w:val="clear" w:color="auto" w:fill="B4C6E7" w:themeFill="accent1" w:themeFillTint="66"/>
          </w:tcPr>
          <w:p w14:paraId="5906668D" w14:textId="77777777" w:rsidR="00027395" w:rsidRPr="005F6745" w:rsidRDefault="00027395" w:rsidP="000E53A0">
            <w:pPr>
              <w:rPr>
                <w:szCs w:val="22"/>
              </w:rPr>
            </w:pPr>
          </w:p>
        </w:tc>
        <w:tc>
          <w:tcPr>
            <w:tcW w:w="424" w:type="dxa"/>
            <w:shd w:val="clear" w:color="auto" w:fill="B4C6E7" w:themeFill="accent1" w:themeFillTint="66"/>
          </w:tcPr>
          <w:p w14:paraId="6599089C" w14:textId="77777777" w:rsidR="00027395" w:rsidRPr="005F6745" w:rsidRDefault="00027395" w:rsidP="000E53A0">
            <w:pPr>
              <w:rPr>
                <w:szCs w:val="22"/>
              </w:rPr>
            </w:pPr>
          </w:p>
        </w:tc>
        <w:tc>
          <w:tcPr>
            <w:tcW w:w="424" w:type="dxa"/>
            <w:shd w:val="clear" w:color="auto" w:fill="B4C6E7" w:themeFill="accent1" w:themeFillTint="66"/>
          </w:tcPr>
          <w:p w14:paraId="3AEC3D43" w14:textId="77777777" w:rsidR="00027395" w:rsidRPr="005F6745" w:rsidRDefault="00027395" w:rsidP="000E53A0">
            <w:pPr>
              <w:rPr>
                <w:szCs w:val="22"/>
              </w:rPr>
            </w:pPr>
          </w:p>
        </w:tc>
        <w:tc>
          <w:tcPr>
            <w:tcW w:w="424" w:type="dxa"/>
            <w:shd w:val="clear" w:color="auto" w:fill="B4C6E7" w:themeFill="accent1" w:themeFillTint="66"/>
          </w:tcPr>
          <w:p w14:paraId="13F6FF18" w14:textId="77777777" w:rsidR="00027395" w:rsidRPr="005F6745" w:rsidRDefault="00027395" w:rsidP="000E53A0">
            <w:pPr>
              <w:rPr>
                <w:szCs w:val="22"/>
              </w:rPr>
            </w:pPr>
          </w:p>
        </w:tc>
        <w:tc>
          <w:tcPr>
            <w:tcW w:w="424" w:type="dxa"/>
            <w:shd w:val="clear" w:color="auto" w:fill="B4C6E7" w:themeFill="accent1" w:themeFillTint="66"/>
          </w:tcPr>
          <w:p w14:paraId="05A507B3" w14:textId="77777777" w:rsidR="00027395" w:rsidRPr="005F6745" w:rsidRDefault="00027395" w:rsidP="000E53A0">
            <w:pPr>
              <w:rPr>
                <w:szCs w:val="22"/>
              </w:rPr>
            </w:pPr>
          </w:p>
        </w:tc>
        <w:tc>
          <w:tcPr>
            <w:tcW w:w="424" w:type="dxa"/>
            <w:shd w:val="clear" w:color="auto" w:fill="B4C6E7" w:themeFill="accent1" w:themeFillTint="66"/>
          </w:tcPr>
          <w:p w14:paraId="2725188C" w14:textId="77777777" w:rsidR="00027395" w:rsidRPr="005F6745" w:rsidRDefault="00027395" w:rsidP="000E53A0">
            <w:pPr>
              <w:rPr>
                <w:szCs w:val="22"/>
              </w:rPr>
            </w:pPr>
          </w:p>
        </w:tc>
        <w:tc>
          <w:tcPr>
            <w:tcW w:w="424" w:type="dxa"/>
            <w:shd w:val="clear" w:color="auto" w:fill="B4C6E7" w:themeFill="accent1" w:themeFillTint="66"/>
          </w:tcPr>
          <w:p w14:paraId="552B8761" w14:textId="77777777" w:rsidR="00027395" w:rsidRPr="005F6745" w:rsidRDefault="00027395" w:rsidP="000E53A0">
            <w:pPr>
              <w:rPr>
                <w:szCs w:val="22"/>
              </w:rPr>
            </w:pPr>
          </w:p>
        </w:tc>
        <w:tc>
          <w:tcPr>
            <w:tcW w:w="424" w:type="dxa"/>
            <w:shd w:val="clear" w:color="auto" w:fill="B4C6E7" w:themeFill="accent1" w:themeFillTint="66"/>
          </w:tcPr>
          <w:p w14:paraId="01F569E3" w14:textId="77777777" w:rsidR="00027395" w:rsidRPr="005F6745" w:rsidRDefault="00027395" w:rsidP="000E53A0">
            <w:pPr>
              <w:rPr>
                <w:szCs w:val="22"/>
              </w:rPr>
            </w:pPr>
          </w:p>
        </w:tc>
        <w:tc>
          <w:tcPr>
            <w:tcW w:w="424" w:type="dxa"/>
            <w:shd w:val="clear" w:color="auto" w:fill="B4C6E7" w:themeFill="accent1" w:themeFillTint="66"/>
          </w:tcPr>
          <w:p w14:paraId="3EEBCE2E" w14:textId="77777777" w:rsidR="00027395" w:rsidRPr="005F6745" w:rsidRDefault="00027395" w:rsidP="000E53A0">
            <w:pPr>
              <w:rPr>
                <w:szCs w:val="22"/>
              </w:rPr>
            </w:pPr>
          </w:p>
        </w:tc>
        <w:tc>
          <w:tcPr>
            <w:tcW w:w="424" w:type="dxa"/>
            <w:shd w:val="clear" w:color="auto" w:fill="B4C6E7" w:themeFill="accent1" w:themeFillTint="66"/>
          </w:tcPr>
          <w:p w14:paraId="775194B3" w14:textId="77777777" w:rsidR="00027395" w:rsidRPr="005F6745" w:rsidRDefault="00027395" w:rsidP="000E53A0">
            <w:pPr>
              <w:rPr>
                <w:szCs w:val="22"/>
              </w:rPr>
            </w:pPr>
          </w:p>
        </w:tc>
        <w:tc>
          <w:tcPr>
            <w:tcW w:w="424" w:type="dxa"/>
            <w:shd w:val="clear" w:color="auto" w:fill="B4C6E7" w:themeFill="accent1" w:themeFillTint="66"/>
          </w:tcPr>
          <w:p w14:paraId="0FC28DA4" w14:textId="77777777" w:rsidR="00027395" w:rsidRPr="005F6745" w:rsidRDefault="00027395" w:rsidP="000E53A0">
            <w:pPr>
              <w:rPr>
                <w:szCs w:val="22"/>
              </w:rPr>
            </w:pPr>
          </w:p>
        </w:tc>
        <w:tc>
          <w:tcPr>
            <w:tcW w:w="424" w:type="dxa"/>
            <w:shd w:val="clear" w:color="auto" w:fill="B4C6E7" w:themeFill="accent1" w:themeFillTint="66"/>
          </w:tcPr>
          <w:p w14:paraId="35C094BC" w14:textId="77777777" w:rsidR="00027395" w:rsidRPr="005F6745" w:rsidRDefault="00027395" w:rsidP="000E53A0">
            <w:pPr>
              <w:rPr>
                <w:szCs w:val="22"/>
              </w:rPr>
            </w:pPr>
          </w:p>
        </w:tc>
        <w:tc>
          <w:tcPr>
            <w:tcW w:w="424" w:type="dxa"/>
            <w:shd w:val="clear" w:color="auto" w:fill="B4C6E7" w:themeFill="accent1" w:themeFillTint="66"/>
          </w:tcPr>
          <w:p w14:paraId="3816C711" w14:textId="77777777" w:rsidR="00027395" w:rsidRPr="005F6745" w:rsidRDefault="00027395" w:rsidP="000E53A0">
            <w:pPr>
              <w:rPr>
                <w:szCs w:val="22"/>
              </w:rPr>
            </w:pPr>
          </w:p>
        </w:tc>
      </w:tr>
      <w:tr w:rsidR="00027395" w:rsidRPr="005F6745" w14:paraId="7AAB3820" w14:textId="77777777" w:rsidTr="000E53A0">
        <w:tc>
          <w:tcPr>
            <w:tcW w:w="1064" w:type="dxa"/>
            <w:vMerge/>
          </w:tcPr>
          <w:p w14:paraId="08CB23D7" w14:textId="77777777" w:rsidR="00027395" w:rsidRPr="005F6745" w:rsidRDefault="00027395" w:rsidP="000E53A0">
            <w:pPr>
              <w:rPr>
                <w:szCs w:val="22"/>
              </w:rPr>
            </w:pPr>
          </w:p>
        </w:tc>
        <w:tc>
          <w:tcPr>
            <w:tcW w:w="965" w:type="dxa"/>
            <w:vMerge/>
            <w:shd w:val="clear" w:color="auto" w:fill="auto"/>
          </w:tcPr>
          <w:p w14:paraId="742AADF8" w14:textId="77777777" w:rsidR="00027395" w:rsidRPr="005F6745" w:rsidRDefault="00027395" w:rsidP="000E53A0">
            <w:pPr>
              <w:rPr>
                <w:szCs w:val="22"/>
              </w:rPr>
            </w:pPr>
          </w:p>
        </w:tc>
        <w:tc>
          <w:tcPr>
            <w:tcW w:w="814" w:type="dxa"/>
          </w:tcPr>
          <w:p w14:paraId="2460EC25" w14:textId="77777777" w:rsidR="00601D9B" w:rsidRDefault="000E53A0">
            <w:pPr>
              <w:rPr>
                <w:szCs w:val="22"/>
              </w:rPr>
            </w:pPr>
            <w:r>
              <w:rPr>
                <w:szCs w:val="22"/>
              </w:rPr>
              <w:t>2.4</w:t>
            </w:r>
          </w:p>
        </w:tc>
        <w:tc>
          <w:tcPr>
            <w:tcW w:w="425" w:type="dxa"/>
            <w:shd w:val="clear" w:color="auto" w:fill="auto"/>
          </w:tcPr>
          <w:p w14:paraId="35501465" w14:textId="77777777" w:rsidR="00027395" w:rsidRPr="005F6745" w:rsidRDefault="00027395" w:rsidP="000E53A0">
            <w:pPr>
              <w:rPr>
                <w:szCs w:val="22"/>
              </w:rPr>
            </w:pPr>
          </w:p>
        </w:tc>
        <w:tc>
          <w:tcPr>
            <w:tcW w:w="425" w:type="dxa"/>
            <w:shd w:val="clear" w:color="auto" w:fill="auto"/>
          </w:tcPr>
          <w:p w14:paraId="5C2B2F12" w14:textId="77777777" w:rsidR="00027395" w:rsidRPr="005F6745" w:rsidRDefault="00027395" w:rsidP="000E53A0">
            <w:pPr>
              <w:rPr>
                <w:szCs w:val="22"/>
              </w:rPr>
            </w:pPr>
          </w:p>
        </w:tc>
        <w:tc>
          <w:tcPr>
            <w:tcW w:w="425" w:type="dxa"/>
            <w:shd w:val="clear" w:color="auto" w:fill="auto"/>
          </w:tcPr>
          <w:p w14:paraId="7FB9B135" w14:textId="77777777" w:rsidR="00027395" w:rsidRPr="005F6745" w:rsidRDefault="00027395" w:rsidP="000E53A0">
            <w:pPr>
              <w:rPr>
                <w:szCs w:val="22"/>
              </w:rPr>
            </w:pPr>
          </w:p>
        </w:tc>
        <w:tc>
          <w:tcPr>
            <w:tcW w:w="424" w:type="dxa"/>
            <w:shd w:val="clear" w:color="auto" w:fill="auto"/>
          </w:tcPr>
          <w:p w14:paraId="11D03F22" w14:textId="77777777" w:rsidR="00027395" w:rsidRPr="005F6745" w:rsidRDefault="00027395" w:rsidP="000E53A0">
            <w:pPr>
              <w:rPr>
                <w:szCs w:val="22"/>
              </w:rPr>
            </w:pPr>
          </w:p>
        </w:tc>
        <w:tc>
          <w:tcPr>
            <w:tcW w:w="424" w:type="dxa"/>
            <w:shd w:val="clear" w:color="auto" w:fill="B4C6E7" w:themeFill="accent1" w:themeFillTint="66"/>
          </w:tcPr>
          <w:p w14:paraId="7D12BF02" w14:textId="77777777" w:rsidR="00027395" w:rsidRPr="005F6745" w:rsidRDefault="00027395" w:rsidP="000E53A0">
            <w:pPr>
              <w:rPr>
                <w:szCs w:val="22"/>
              </w:rPr>
            </w:pPr>
          </w:p>
        </w:tc>
        <w:tc>
          <w:tcPr>
            <w:tcW w:w="424" w:type="dxa"/>
            <w:shd w:val="clear" w:color="auto" w:fill="B4C6E7" w:themeFill="accent1" w:themeFillTint="66"/>
          </w:tcPr>
          <w:p w14:paraId="5336B0C1" w14:textId="77777777" w:rsidR="00027395" w:rsidRPr="005F6745" w:rsidRDefault="00027395" w:rsidP="000E53A0">
            <w:pPr>
              <w:rPr>
                <w:szCs w:val="22"/>
              </w:rPr>
            </w:pPr>
          </w:p>
        </w:tc>
        <w:tc>
          <w:tcPr>
            <w:tcW w:w="424" w:type="dxa"/>
            <w:shd w:val="clear" w:color="auto" w:fill="B4C6E7" w:themeFill="accent1" w:themeFillTint="66"/>
          </w:tcPr>
          <w:p w14:paraId="7427ADDB" w14:textId="77777777" w:rsidR="00027395" w:rsidRPr="005F6745" w:rsidRDefault="00027395" w:rsidP="000E53A0">
            <w:pPr>
              <w:rPr>
                <w:szCs w:val="22"/>
              </w:rPr>
            </w:pPr>
          </w:p>
        </w:tc>
        <w:tc>
          <w:tcPr>
            <w:tcW w:w="424" w:type="dxa"/>
            <w:shd w:val="clear" w:color="auto" w:fill="B4C6E7" w:themeFill="accent1" w:themeFillTint="66"/>
          </w:tcPr>
          <w:p w14:paraId="3145B148" w14:textId="77777777" w:rsidR="00027395" w:rsidRPr="005F6745" w:rsidRDefault="00027395" w:rsidP="000E53A0">
            <w:pPr>
              <w:rPr>
                <w:szCs w:val="22"/>
              </w:rPr>
            </w:pPr>
          </w:p>
        </w:tc>
        <w:tc>
          <w:tcPr>
            <w:tcW w:w="424" w:type="dxa"/>
            <w:shd w:val="clear" w:color="auto" w:fill="B4C6E7" w:themeFill="accent1" w:themeFillTint="66"/>
          </w:tcPr>
          <w:p w14:paraId="59AEE169" w14:textId="77777777" w:rsidR="00027395" w:rsidRPr="005F6745" w:rsidRDefault="00027395" w:rsidP="000E53A0">
            <w:pPr>
              <w:rPr>
                <w:szCs w:val="22"/>
              </w:rPr>
            </w:pPr>
          </w:p>
        </w:tc>
        <w:tc>
          <w:tcPr>
            <w:tcW w:w="424" w:type="dxa"/>
            <w:shd w:val="clear" w:color="auto" w:fill="B4C6E7" w:themeFill="accent1" w:themeFillTint="66"/>
          </w:tcPr>
          <w:p w14:paraId="250A5336" w14:textId="77777777" w:rsidR="00027395" w:rsidRPr="005F6745" w:rsidRDefault="00027395" w:rsidP="000E53A0">
            <w:pPr>
              <w:rPr>
                <w:szCs w:val="22"/>
              </w:rPr>
            </w:pPr>
          </w:p>
        </w:tc>
        <w:tc>
          <w:tcPr>
            <w:tcW w:w="424" w:type="dxa"/>
            <w:shd w:val="clear" w:color="auto" w:fill="B4C6E7" w:themeFill="accent1" w:themeFillTint="66"/>
          </w:tcPr>
          <w:p w14:paraId="1826FED5" w14:textId="77777777" w:rsidR="00027395" w:rsidRPr="005F6745" w:rsidRDefault="00027395" w:rsidP="000E53A0">
            <w:pPr>
              <w:rPr>
                <w:szCs w:val="22"/>
              </w:rPr>
            </w:pPr>
          </w:p>
        </w:tc>
        <w:tc>
          <w:tcPr>
            <w:tcW w:w="424" w:type="dxa"/>
            <w:shd w:val="clear" w:color="auto" w:fill="B4C6E7" w:themeFill="accent1" w:themeFillTint="66"/>
          </w:tcPr>
          <w:p w14:paraId="2B0AFE68" w14:textId="77777777" w:rsidR="00027395" w:rsidRPr="005F6745" w:rsidRDefault="00027395" w:rsidP="000E53A0">
            <w:pPr>
              <w:rPr>
                <w:szCs w:val="22"/>
              </w:rPr>
            </w:pPr>
          </w:p>
        </w:tc>
        <w:tc>
          <w:tcPr>
            <w:tcW w:w="424" w:type="dxa"/>
            <w:shd w:val="clear" w:color="auto" w:fill="B4C6E7" w:themeFill="accent1" w:themeFillTint="66"/>
          </w:tcPr>
          <w:p w14:paraId="5FCEAB21" w14:textId="77777777" w:rsidR="00027395" w:rsidRPr="005F6745" w:rsidRDefault="00027395" w:rsidP="000E53A0">
            <w:pPr>
              <w:rPr>
                <w:szCs w:val="22"/>
              </w:rPr>
            </w:pPr>
          </w:p>
        </w:tc>
        <w:tc>
          <w:tcPr>
            <w:tcW w:w="424" w:type="dxa"/>
            <w:shd w:val="clear" w:color="auto" w:fill="B4C6E7" w:themeFill="accent1" w:themeFillTint="66"/>
          </w:tcPr>
          <w:p w14:paraId="1687F88B" w14:textId="77777777" w:rsidR="00027395" w:rsidRPr="005F6745" w:rsidRDefault="00027395" w:rsidP="000E53A0">
            <w:pPr>
              <w:rPr>
                <w:szCs w:val="22"/>
              </w:rPr>
            </w:pPr>
          </w:p>
        </w:tc>
        <w:tc>
          <w:tcPr>
            <w:tcW w:w="424" w:type="dxa"/>
            <w:shd w:val="clear" w:color="auto" w:fill="B4C6E7" w:themeFill="accent1" w:themeFillTint="66"/>
          </w:tcPr>
          <w:p w14:paraId="7956A105" w14:textId="77777777" w:rsidR="00027395" w:rsidRPr="005F6745" w:rsidRDefault="00027395" w:rsidP="000E53A0">
            <w:pPr>
              <w:rPr>
                <w:szCs w:val="22"/>
              </w:rPr>
            </w:pPr>
          </w:p>
        </w:tc>
        <w:tc>
          <w:tcPr>
            <w:tcW w:w="424" w:type="dxa"/>
            <w:shd w:val="clear" w:color="auto" w:fill="B4C6E7" w:themeFill="accent1" w:themeFillTint="66"/>
          </w:tcPr>
          <w:p w14:paraId="0B6C2352" w14:textId="77777777" w:rsidR="00027395" w:rsidRPr="005F6745" w:rsidRDefault="00027395" w:rsidP="000E53A0">
            <w:pPr>
              <w:rPr>
                <w:szCs w:val="22"/>
              </w:rPr>
            </w:pPr>
          </w:p>
        </w:tc>
        <w:tc>
          <w:tcPr>
            <w:tcW w:w="424" w:type="dxa"/>
            <w:shd w:val="clear" w:color="auto" w:fill="B4C6E7" w:themeFill="accent1" w:themeFillTint="66"/>
          </w:tcPr>
          <w:p w14:paraId="4E93C6D9" w14:textId="77777777" w:rsidR="00027395" w:rsidRPr="005F6745" w:rsidRDefault="00027395" w:rsidP="000E53A0">
            <w:pPr>
              <w:rPr>
                <w:szCs w:val="22"/>
              </w:rPr>
            </w:pPr>
          </w:p>
        </w:tc>
        <w:tc>
          <w:tcPr>
            <w:tcW w:w="424" w:type="dxa"/>
            <w:shd w:val="clear" w:color="auto" w:fill="B4C6E7" w:themeFill="accent1" w:themeFillTint="66"/>
          </w:tcPr>
          <w:p w14:paraId="1640464E" w14:textId="77777777" w:rsidR="00027395" w:rsidRPr="005F6745" w:rsidRDefault="00027395" w:rsidP="000E53A0">
            <w:pPr>
              <w:rPr>
                <w:szCs w:val="22"/>
              </w:rPr>
            </w:pPr>
          </w:p>
        </w:tc>
        <w:tc>
          <w:tcPr>
            <w:tcW w:w="424" w:type="dxa"/>
            <w:shd w:val="clear" w:color="auto" w:fill="B4C6E7" w:themeFill="accent1" w:themeFillTint="66"/>
          </w:tcPr>
          <w:p w14:paraId="3AD5DF26" w14:textId="77777777" w:rsidR="00027395" w:rsidRPr="005F6745" w:rsidRDefault="00027395" w:rsidP="000E53A0">
            <w:pPr>
              <w:rPr>
                <w:szCs w:val="22"/>
              </w:rPr>
            </w:pPr>
          </w:p>
        </w:tc>
        <w:tc>
          <w:tcPr>
            <w:tcW w:w="424" w:type="dxa"/>
            <w:shd w:val="clear" w:color="auto" w:fill="B4C6E7" w:themeFill="accent1" w:themeFillTint="66"/>
          </w:tcPr>
          <w:p w14:paraId="39DE9337" w14:textId="77777777" w:rsidR="00027395" w:rsidRPr="005F6745" w:rsidRDefault="00027395" w:rsidP="000E53A0">
            <w:pPr>
              <w:rPr>
                <w:szCs w:val="22"/>
              </w:rPr>
            </w:pPr>
          </w:p>
        </w:tc>
        <w:tc>
          <w:tcPr>
            <w:tcW w:w="424" w:type="dxa"/>
          </w:tcPr>
          <w:p w14:paraId="2AC279BA" w14:textId="77777777" w:rsidR="00027395" w:rsidRPr="005F6745" w:rsidRDefault="00027395" w:rsidP="000E53A0">
            <w:pPr>
              <w:rPr>
                <w:szCs w:val="22"/>
              </w:rPr>
            </w:pPr>
          </w:p>
        </w:tc>
        <w:tc>
          <w:tcPr>
            <w:tcW w:w="424" w:type="dxa"/>
          </w:tcPr>
          <w:p w14:paraId="01C498C2" w14:textId="77777777" w:rsidR="00027395" w:rsidRPr="005F6745" w:rsidRDefault="00027395" w:rsidP="000E53A0">
            <w:pPr>
              <w:rPr>
                <w:szCs w:val="22"/>
              </w:rPr>
            </w:pPr>
          </w:p>
        </w:tc>
        <w:tc>
          <w:tcPr>
            <w:tcW w:w="424" w:type="dxa"/>
          </w:tcPr>
          <w:p w14:paraId="6E250930" w14:textId="77777777" w:rsidR="00027395" w:rsidRPr="005F6745" w:rsidRDefault="00027395" w:rsidP="000E53A0">
            <w:pPr>
              <w:rPr>
                <w:szCs w:val="22"/>
              </w:rPr>
            </w:pPr>
          </w:p>
        </w:tc>
        <w:tc>
          <w:tcPr>
            <w:tcW w:w="424" w:type="dxa"/>
          </w:tcPr>
          <w:p w14:paraId="1DDE77EB" w14:textId="77777777" w:rsidR="00027395" w:rsidRPr="005F6745" w:rsidRDefault="00027395" w:rsidP="000E53A0">
            <w:pPr>
              <w:rPr>
                <w:szCs w:val="22"/>
              </w:rPr>
            </w:pPr>
          </w:p>
        </w:tc>
      </w:tr>
      <w:tr w:rsidR="00027395" w:rsidRPr="005F6745" w14:paraId="65CE9072" w14:textId="77777777" w:rsidTr="000E53A0">
        <w:tc>
          <w:tcPr>
            <w:tcW w:w="1064" w:type="dxa"/>
            <w:vMerge/>
          </w:tcPr>
          <w:p w14:paraId="159527F4" w14:textId="77777777" w:rsidR="00027395" w:rsidRPr="005F6745" w:rsidRDefault="00027395" w:rsidP="000E53A0">
            <w:pPr>
              <w:rPr>
                <w:szCs w:val="22"/>
              </w:rPr>
            </w:pPr>
          </w:p>
        </w:tc>
        <w:tc>
          <w:tcPr>
            <w:tcW w:w="965" w:type="dxa"/>
            <w:vMerge/>
            <w:shd w:val="clear" w:color="auto" w:fill="auto"/>
          </w:tcPr>
          <w:p w14:paraId="162A66BA" w14:textId="77777777" w:rsidR="00027395" w:rsidRPr="005F6745" w:rsidRDefault="00027395" w:rsidP="000E53A0">
            <w:pPr>
              <w:rPr>
                <w:szCs w:val="22"/>
              </w:rPr>
            </w:pPr>
          </w:p>
        </w:tc>
        <w:tc>
          <w:tcPr>
            <w:tcW w:w="814" w:type="dxa"/>
          </w:tcPr>
          <w:p w14:paraId="73B3B20D" w14:textId="77777777" w:rsidR="00601D9B" w:rsidRDefault="000E53A0">
            <w:pPr>
              <w:rPr>
                <w:szCs w:val="22"/>
              </w:rPr>
            </w:pPr>
            <w:r>
              <w:rPr>
                <w:szCs w:val="22"/>
              </w:rPr>
              <w:t>2.5</w:t>
            </w:r>
          </w:p>
        </w:tc>
        <w:tc>
          <w:tcPr>
            <w:tcW w:w="425" w:type="dxa"/>
            <w:shd w:val="clear" w:color="auto" w:fill="auto"/>
          </w:tcPr>
          <w:p w14:paraId="4FC29DAC" w14:textId="77777777" w:rsidR="00027395" w:rsidRPr="005F6745" w:rsidRDefault="00027395" w:rsidP="000E53A0">
            <w:pPr>
              <w:rPr>
                <w:szCs w:val="22"/>
              </w:rPr>
            </w:pPr>
          </w:p>
        </w:tc>
        <w:tc>
          <w:tcPr>
            <w:tcW w:w="425" w:type="dxa"/>
            <w:shd w:val="clear" w:color="auto" w:fill="auto"/>
          </w:tcPr>
          <w:p w14:paraId="7827C08C" w14:textId="77777777" w:rsidR="00027395" w:rsidRPr="005F6745" w:rsidRDefault="00027395" w:rsidP="000E53A0">
            <w:pPr>
              <w:rPr>
                <w:szCs w:val="22"/>
              </w:rPr>
            </w:pPr>
          </w:p>
        </w:tc>
        <w:tc>
          <w:tcPr>
            <w:tcW w:w="425" w:type="dxa"/>
            <w:shd w:val="clear" w:color="auto" w:fill="B4C6E7" w:themeFill="accent1" w:themeFillTint="66"/>
          </w:tcPr>
          <w:p w14:paraId="2812BEBC" w14:textId="77777777" w:rsidR="00027395" w:rsidRPr="005F6745" w:rsidRDefault="00027395" w:rsidP="000E53A0">
            <w:pPr>
              <w:rPr>
                <w:szCs w:val="22"/>
              </w:rPr>
            </w:pPr>
          </w:p>
        </w:tc>
        <w:tc>
          <w:tcPr>
            <w:tcW w:w="424" w:type="dxa"/>
            <w:shd w:val="clear" w:color="auto" w:fill="B4C6E7" w:themeFill="accent1" w:themeFillTint="66"/>
          </w:tcPr>
          <w:p w14:paraId="722C0025" w14:textId="77777777" w:rsidR="00027395" w:rsidRPr="005F6745" w:rsidRDefault="00027395" w:rsidP="000E53A0">
            <w:pPr>
              <w:rPr>
                <w:szCs w:val="22"/>
              </w:rPr>
            </w:pPr>
          </w:p>
        </w:tc>
        <w:tc>
          <w:tcPr>
            <w:tcW w:w="424" w:type="dxa"/>
            <w:shd w:val="clear" w:color="auto" w:fill="B4C6E7" w:themeFill="accent1" w:themeFillTint="66"/>
          </w:tcPr>
          <w:p w14:paraId="1D0E8115" w14:textId="77777777" w:rsidR="00027395" w:rsidRPr="005F6745" w:rsidRDefault="00027395" w:rsidP="000E53A0">
            <w:pPr>
              <w:rPr>
                <w:szCs w:val="22"/>
              </w:rPr>
            </w:pPr>
          </w:p>
        </w:tc>
        <w:tc>
          <w:tcPr>
            <w:tcW w:w="424" w:type="dxa"/>
            <w:shd w:val="clear" w:color="auto" w:fill="B4C6E7" w:themeFill="accent1" w:themeFillTint="66"/>
          </w:tcPr>
          <w:p w14:paraId="507ABCFF" w14:textId="77777777" w:rsidR="00027395" w:rsidRPr="005F6745" w:rsidRDefault="00027395" w:rsidP="000E53A0">
            <w:pPr>
              <w:rPr>
                <w:szCs w:val="22"/>
              </w:rPr>
            </w:pPr>
          </w:p>
        </w:tc>
        <w:tc>
          <w:tcPr>
            <w:tcW w:w="424" w:type="dxa"/>
            <w:shd w:val="clear" w:color="auto" w:fill="B4C6E7" w:themeFill="accent1" w:themeFillTint="66"/>
          </w:tcPr>
          <w:p w14:paraId="0FB16F96" w14:textId="77777777" w:rsidR="00027395" w:rsidRPr="005F6745" w:rsidRDefault="00027395" w:rsidP="000E53A0">
            <w:pPr>
              <w:rPr>
                <w:szCs w:val="22"/>
              </w:rPr>
            </w:pPr>
          </w:p>
        </w:tc>
        <w:tc>
          <w:tcPr>
            <w:tcW w:w="424" w:type="dxa"/>
            <w:shd w:val="clear" w:color="auto" w:fill="B4C6E7" w:themeFill="accent1" w:themeFillTint="66"/>
          </w:tcPr>
          <w:p w14:paraId="25128504" w14:textId="77777777" w:rsidR="00027395" w:rsidRPr="005F6745" w:rsidRDefault="00027395" w:rsidP="000E53A0">
            <w:pPr>
              <w:rPr>
                <w:szCs w:val="22"/>
              </w:rPr>
            </w:pPr>
          </w:p>
        </w:tc>
        <w:tc>
          <w:tcPr>
            <w:tcW w:w="424" w:type="dxa"/>
            <w:shd w:val="clear" w:color="auto" w:fill="B4C6E7" w:themeFill="accent1" w:themeFillTint="66"/>
          </w:tcPr>
          <w:p w14:paraId="5285B4C8" w14:textId="77777777" w:rsidR="00027395" w:rsidRPr="005F6745" w:rsidRDefault="00027395" w:rsidP="000E53A0">
            <w:pPr>
              <w:rPr>
                <w:szCs w:val="22"/>
              </w:rPr>
            </w:pPr>
          </w:p>
        </w:tc>
        <w:tc>
          <w:tcPr>
            <w:tcW w:w="424" w:type="dxa"/>
            <w:shd w:val="clear" w:color="auto" w:fill="B4C6E7" w:themeFill="accent1" w:themeFillTint="66"/>
          </w:tcPr>
          <w:p w14:paraId="6E753DB0" w14:textId="77777777" w:rsidR="00027395" w:rsidRPr="005F6745" w:rsidRDefault="00027395" w:rsidP="000E53A0">
            <w:pPr>
              <w:rPr>
                <w:szCs w:val="22"/>
              </w:rPr>
            </w:pPr>
          </w:p>
        </w:tc>
        <w:tc>
          <w:tcPr>
            <w:tcW w:w="424" w:type="dxa"/>
            <w:shd w:val="clear" w:color="auto" w:fill="B4C6E7" w:themeFill="accent1" w:themeFillTint="66"/>
          </w:tcPr>
          <w:p w14:paraId="22CC6B65" w14:textId="77777777" w:rsidR="00027395" w:rsidRPr="005F6745" w:rsidRDefault="00027395" w:rsidP="000E53A0">
            <w:pPr>
              <w:rPr>
                <w:szCs w:val="22"/>
              </w:rPr>
            </w:pPr>
          </w:p>
        </w:tc>
        <w:tc>
          <w:tcPr>
            <w:tcW w:w="424" w:type="dxa"/>
            <w:shd w:val="clear" w:color="auto" w:fill="B4C6E7" w:themeFill="accent1" w:themeFillTint="66"/>
          </w:tcPr>
          <w:p w14:paraId="1740CF3F" w14:textId="77777777" w:rsidR="00027395" w:rsidRPr="005F6745" w:rsidRDefault="00027395" w:rsidP="000E53A0">
            <w:pPr>
              <w:rPr>
                <w:szCs w:val="22"/>
              </w:rPr>
            </w:pPr>
          </w:p>
        </w:tc>
        <w:tc>
          <w:tcPr>
            <w:tcW w:w="424" w:type="dxa"/>
            <w:shd w:val="clear" w:color="auto" w:fill="B4C6E7" w:themeFill="accent1" w:themeFillTint="66"/>
          </w:tcPr>
          <w:p w14:paraId="2C5B574A" w14:textId="77777777" w:rsidR="00027395" w:rsidRPr="005F6745" w:rsidRDefault="00027395" w:rsidP="000E53A0">
            <w:pPr>
              <w:rPr>
                <w:szCs w:val="22"/>
              </w:rPr>
            </w:pPr>
          </w:p>
        </w:tc>
        <w:tc>
          <w:tcPr>
            <w:tcW w:w="424" w:type="dxa"/>
            <w:shd w:val="clear" w:color="auto" w:fill="B4C6E7" w:themeFill="accent1" w:themeFillTint="66"/>
          </w:tcPr>
          <w:p w14:paraId="47307C96" w14:textId="77777777" w:rsidR="00027395" w:rsidRPr="005F6745" w:rsidRDefault="00027395" w:rsidP="000E53A0">
            <w:pPr>
              <w:rPr>
                <w:szCs w:val="22"/>
              </w:rPr>
            </w:pPr>
          </w:p>
        </w:tc>
        <w:tc>
          <w:tcPr>
            <w:tcW w:w="424" w:type="dxa"/>
            <w:shd w:val="clear" w:color="auto" w:fill="B4C6E7" w:themeFill="accent1" w:themeFillTint="66"/>
          </w:tcPr>
          <w:p w14:paraId="2A286401" w14:textId="77777777" w:rsidR="00027395" w:rsidRPr="005F6745" w:rsidRDefault="00027395" w:rsidP="000E53A0">
            <w:pPr>
              <w:rPr>
                <w:szCs w:val="22"/>
              </w:rPr>
            </w:pPr>
          </w:p>
        </w:tc>
        <w:tc>
          <w:tcPr>
            <w:tcW w:w="424" w:type="dxa"/>
            <w:shd w:val="clear" w:color="auto" w:fill="B4C6E7" w:themeFill="accent1" w:themeFillTint="66"/>
          </w:tcPr>
          <w:p w14:paraId="6A914836" w14:textId="77777777" w:rsidR="00027395" w:rsidRPr="005F6745" w:rsidRDefault="00027395" w:rsidP="000E53A0">
            <w:pPr>
              <w:rPr>
                <w:szCs w:val="22"/>
              </w:rPr>
            </w:pPr>
          </w:p>
        </w:tc>
        <w:tc>
          <w:tcPr>
            <w:tcW w:w="424" w:type="dxa"/>
            <w:shd w:val="clear" w:color="auto" w:fill="B4C6E7" w:themeFill="accent1" w:themeFillTint="66"/>
          </w:tcPr>
          <w:p w14:paraId="628C3541" w14:textId="77777777" w:rsidR="00027395" w:rsidRPr="005F6745" w:rsidRDefault="00027395" w:rsidP="000E53A0">
            <w:pPr>
              <w:rPr>
                <w:szCs w:val="22"/>
              </w:rPr>
            </w:pPr>
          </w:p>
        </w:tc>
        <w:tc>
          <w:tcPr>
            <w:tcW w:w="424" w:type="dxa"/>
            <w:shd w:val="clear" w:color="auto" w:fill="B4C6E7" w:themeFill="accent1" w:themeFillTint="66"/>
          </w:tcPr>
          <w:p w14:paraId="37E3DF32" w14:textId="77777777" w:rsidR="00027395" w:rsidRPr="005F6745" w:rsidRDefault="00027395" w:rsidP="000E53A0">
            <w:pPr>
              <w:rPr>
                <w:szCs w:val="22"/>
              </w:rPr>
            </w:pPr>
          </w:p>
        </w:tc>
        <w:tc>
          <w:tcPr>
            <w:tcW w:w="424" w:type="dxa"/>
            <w:shd w:val="clear" w:color="auto" w:fill="B4C6E7" w:themeFill="accent1" w:themeFillTint="66"/>
          </w:tcPr>
          <w:p w14:paraId="3BF6602C" w14:textId="77777777" w:rsidR="00027395" w:rsidRPr="005F6745" w:rsidRDefault="00027395" w:rsidP="000E53A0">
            <w:pPr>
              <w:rPr>
                <w:szCs w:val="22"/>
              </w:rPr>
            </w:pPr>
          </w:p>
        </w:tc>
        <w:tc>
          <w:tcPr>
            <w:tcW w:w="424" w:type="dxa"/>
            <w:shd w:val="clear" w:color="auto" w:fill="B4C6E7" w:themeFill="accent1" w:themeFillTint="66"/>
          </w:tcPr>
          <w:p w14:paraId="75D45E1C" w14:textId="77777777" w:rsidR="00027395" w:rsidRPr="005F6745" w:rsidRDefault="00027395" w:rsidP="000E53A0">
            <w:pPr>
              <w:rPr>
                <w:szCs w:val="22"/>
              </w:rPr>
            </w:pPr>
          </w:p>
        </w:tc>
        <w:tc>
          <w:tcPr>
            <w:tcW w:w="424" w:type="dxa"/>
            <w:shd w:val="clear" w:color="auto" w:fill="auto"/>
          </w:tcPr>
          <w:p w14:paraId="6F2B481D" w14:textId="77777777" w:rsidR="00027395" w:rsidRPr="005F6745" w:rsidRDefault="00027395" w:rsidP="000E53A0">
            <w:pPr>
              <w:rPr>
                <w:szCs w:val="22"/>
              </w:rPr>
            </w:pPr>
          </w:p>
        </w:tc>
        <w:tc>
          <w:tcPr>
            <w:tcW w:w="424" w:type="dxa"/>
            <w:shd w:val="clear" w:color="auto" w:fill="auto"/>
          </w:tcPr>
          <w:p w14:paraId="6A7A68C2" w14:textId="77777777" w:rsidR="00027395" w:rsidRPr="005F6745" w:rsidRDefault="00027395" w:rsidP="000E53A0">
            <w:pPr>
              <w:rPr>
                <w:szCs w:val="22"/>
              </w:rPr>
            </w:pPr>
          </w:p>
        </w:tc>
        <w:tc>
          <w:tcPr>
            <w:tcW w:w="424" w:type="dxa"/>
          </w:tcPr>
          <w:p w14:paraId="7511CDCA" w14:textId="77777777" w:rsidR="00027395" w:rsidRPr="005F6745" w:rsidRDefault="00027395" w:rsidP="000E53A0">
            <w:pPr>
              <w:rPr>
                <w:szCs w:val="22"/>
              </w:rPr>
            </w:pPr>
          </w:p>
        </w:tc>
        <w:tc>
          <w:tcPr>
            <w:tcW w:w="424" w:type="dxa"/>
          </w:tcPr>
          <w:p w14:paraId="4710AD20" w14:textId="77777777" w:rsidR="00027395" w:rsidRPr="005F6745" w:rsidRDefault="00027395" w:rsidP="000E53A0">
            <w:pPr>
              <w:rPr>
                <w:szCs w:val="22"/>
              </w:rPr>
            </w:pPr>
          </w:p>
        </w:tc>
      </w:tr>
      <w:tr w:rsidR="00027395" w:rsidRPr="005F6745" w14:paraId="18CF2833" w14:textId="77777777" w:rsidTr="000E53A0">
        <w:tc>
          <w:tcPr>
            <w:tcW w:w="1064" w:type="dxa"/>
            <w:vMerge w:val="restart"/>
          </w:tcPr>
          <w:p w14:paraId="40884DDD" w14:textId="77777777" w:rsidR="00601D9B" w:rsidRDefault="000E53A0">
            <w:pPr>
              <w:rPr>
                <w:szCs w:val="22"/>
              </w:rPr>
            </w:pPr>
            <w:r>
              <w:rPr>
                <w:szCs w:val="22"/>
              </w:rPr>
              <w:t>Composante 3</w:t>
            </w:r>
          </w:p>
        </w:tc>
        <w:tc>
          <w:tcPr>
            <w:tcW w:w="965" w:type="dxa"/>
            <w:vMerge w:val="restart"/>
            <w:shd w:val="clear" w:color="auto" w:fill="auto"/>
          </w:tcPr>
          <w:p w14:paraId="481FF911" w14:textId="77777777" w:rsidR="00601D9B" w:rsidRDefault="000E53A0">
            <w:pPr>
              <w:rPr>
                <w:szCs w:val="22"/>
              </w:rPr>
            </w:pPr>
            <w:r>
              <w:rPr>
                <w:szCs w:val="22"/>
              </w:rPr>
              <w:t>3</w:t>
            </w:r>
          </w:p>
        </w:tc>
        <w:tc>
          <w:tcPr>
            <w:tcW w:w="814" w:type="dxa"/>
          </w:tcPr>
          <w:p w14:paraId="0DA2DC97" w14:textId="77777777" w:rsidR="00601D9B" w:rsidRDefault="000E53A0">
            <w:pPr>
              <w:rPr>
                <w:szCs w:val="22"/>
              </w:rPr>
            </w:pPr>
            <w:r>
              <w:rPr>
                <w:szCs w:val="22"/>
              </w:rPr>
              <w:t>3.1</w:t>
            </w:r>
          </w:p>
        </w:tc>
        <w:tc>
          <w:tcPr>
            <w:tcW w:w="425" w:type="dxa"/>
            <w:shd w:val="clear" w:color="auto" w:fill="auto"/>
          </w:tcPr>
          <w:p w14:paraId="3BF55769" w14:textId="77777777" w:rsidR="00027395" w:rsidRPr="005F6745" w:rsidRDefault="00027395" w:rsidP="000E53A0">
            <w:pPr>
              <w:rPr>
                <w:szCs w:val="22"/>
              </w:rPr>
            </w:pPr>
          </w:p>
        </w:tc>
        <w:tc>
          <w:tcPr>
            <w:tcW w:w="425" w:type="dxa"/>
            <w:shd w:val="clear" w:color="auto" w:fill="auto"/>
          </w:tcPr>
          <w:p w14:paraId="4E2726B8" w14:textId="77777777" w:rsidR="00027395" w:rsidRPr="005F6745" w:rsidRDefault="00027395" w:rsidP="000E53A0">
            <w:pPr>
              <w:rPr>
                <w:szCs w:val="22"/>
              </w:rPr>
            </w:pPr>
          </w:p>
        </w:tc>
        <w:tc>
          <w:tcPr>
            <w:tcW w:w="425" w:type="dxa"/>
            <w:shd w:val="clear" w:color="auto" w:fill="B4C6E7" w:themeFill="accent1" w:themeFillTint="66"/>
          </w:tcPr>
          <w:p w14:paraId="4F0536F0" w14:textId="77777777" w:rsidR="00027395" w:rsidRPr="005F6745" w:rsidRDefault="00027395" w:rsidP="000E53A0">
            <w:pPr>
              <w:rPr>
                <w:szCs w:val="22"/>
              </w:rPr>
            </w:pPr>
          </w:p>
        </w:tc>
        <w:tc>
          <w:tcPr>
            <w:tcW w:w="424" w:type="dxa"/>
            <w:shd w:val="clear" w:color="auto" w:fill="B4C6E7" w:themeFill="accent1" w:themeFillTint="66"/>
          </w:tcPr>
          <w:p w14:paraId="161963B7" w14:textId="77777777" w:rsidR="00027395" w:rsidRPr="005F6745" w:rsidRDefault="00027395" w:rsidP="000E53A0">
            <w:pPr>
              <w:rPr>
                <w:szCs w:val="22"/>
              </w:rPr>
            </w:pPr>
          </w:p>
        </w:tc>
        <w:tc>
          <w:tcPr>
            <w:tcW w:w="424" w:type="dxa"/>
            <w:shd w:val="clear" w:color="auto" w:fill="B4C6E7" w:themeFill="accent1" w:themeFillTint="66"/>
          </w:tcPr>
          <w:p w14:paraId="671324BE" w14:textId="77777777" w:rsidR="00027395" w:rsidRPr="005F6745" w:rsidRDefault="00027395" w:rsidP="000E53A0">
            <w:pPr>
              <w:rPr>
                <w:szCs w:val="22"/>
              </w:rPr>
            </w:pPr>
          </w:p>
        </w:tc>
        <w:tc>
          <w:tcPr>
            <w:tcW w:w="424" w:type="dxa"/>
            <w:shd w:val="clear" w:color="auto" w:fill="B4C6E7" w:themeFill="accent1" w:themeFillTint="66"/>
          </w:tcPr>
          <w:p w14:paraId="64756EE1" w14:textId="77777777" w:rsidR="00027395" w:rsidRPr="005F6745" w:rsidRDefault="00027395" w:rsidP="000E53A0">
            <w:pPr>
              <w:rPr>
                <w:szCs w:val="22"/>
              </w:rPr>
            </w:pPr>
          </w:p>
        </w:tc>
        <w:tc>
          <w:tcPr>
            <w:tcW w:w="424" w:type="dxa"/>
            <w:shd w:val="clear" w:color="auto" w:fill="B4C6E7" w:themeFill="accent1" w:themeFillTint="66"/>
          </w:tcPr>
          <w:p w14:paraId="082B901F" w14:textId="77777777" w:rsidR="00027395" w:rsidRPr="005F6745" w:rsidRDefault="00027395" w:rsidP="000E53A0">
            <w:pPr>
              <w:rPr>
                <w:szCs w:val="22"/>
              </w:rPr>
            </w:pPr>
          </w:p>
        </w:tc>
        <w:tc>
          <w:tcPr>
            <w:tcW w:w="424" w:type="dxa"/>
            <w:shd w:val="clear" w:color="auto" w:fill="B4C6E7" w:themeFill="accent1" w:themeFillTint="66"/>
          </w:tcPr>
          <w:p w14:paraId="0A44BBB3" w14:textId="77777777" w:rsidR="00027395" w:rsidRPr="005F6745" w:rsidRDefault="00027395" w:rsidP="000E53A0">
            <w:pPr>
              <w:rPr>
                <w:szCs w:val="22"/>
              </w:rPr>
            </w:pPr>
          </w:p>
        </w:tc>
        <w:tc>
          <w:tcPr>
            <w:tcW w:w="424" w:type="dxa"/>
            <w:shd w:val="clear" w:color="auto" w:fill="B4C6E7" w:themeFill="accent1" w:themeFillTint="66"/>
          </w:tcPr>
          <w:p w14:paraId="09E16B9E" w14:textId="77777777" w:rsidR="00027395" w:rsidRPr="005F6745" w:rsidRDefault="00027395" w:rsidP="000E53A0">
            <w:pPr>
              <w:rPr>
                <w:szCs w:val="22"/>
              </w:rPr>
            </w:pPr>
          </w:p>
        </w:tc>
        <w:tc>
          <w:tcPr>
            <w:tcW w:w="424" w:type="dxa"/>
            <w:shd w:val="clear" w:color="auto" w:fill="B4C6E7" w:themeFill="accent1" w:themeFillTint="66"/>
          </w:tcPr>
          <w:p w14:paraId="27EA389C" w14:textId="77777777" w:rsidR="00027395" w:rsidRPr="005F6745" w:rsidRDefault="00027395" w:rsidP="000E53A0">
            <w:pPr>
              <w:rPr>
                <w:szCs w:val="22"/>
              </w:rPr>
            </w:pPr>
          </w:p>
        </w:tc>
        <w:tc>
          <w:tcPr>
            <w:tcW w:w="424" w:type="dxa"/>
            <w:shd w:val="clear" w:color="auto" w:fill="B4C6E7" w:themeFill="accent1" w:themeFillTint="66"/>
          </w:tcPr>
          <w:p w14:paraId="5F8A7297" w14:textId="77777777" w:rsidR="00027395" w:rsidRPr="005F6745" w:rsidRDefault="00027395" w:rsidP="000E53A0">
            <w:pPr>
              <w:rPr>
                <w:szCs w:val="22"/>
              </w:rPr>
            </w:pPr>
          </w:p>
        </w:tc>
        <w:tc>
          <w:tcPr>
            <w:tcW w:w="424" w:type="dxa"/>
            <w:shd w:val="clear" w:color="auto" w:fill="B4C6E7" w:themeFill="accent1" w:themeFillTint="66"/>
          </w:tcPr>
          <w:p w14:paraId="5D5AF45A" w14:textId="77777777" w:rsidR="00027395" w:rsidRPr="005F6745" w:rsidRDefault="00027395" w:rsidP="000E53A0">
            <w:pPr>
              <w:rPr>
                <w:szCs w:val="22"/>
              </w:rPr>
            </w:pPr>
          </w:p>
        </w:tc>
        <w:tc>
          <w:tcPr>
            <w:tcW w:w="424" w:type="dxa"/>
            <w:shd w:val="clear" w:color="auto" w:fill="B4C6E7" w:themeFill="accent1" w:themeFillTint="66"/>
          </w:tcPr>
          <w:p w14:paraId="055D1750" w14:textId="77777777" w:rsidR="00027395" w:rsidRPr="005F6745" w:rsidRDefault="00027395" w:rsidP="000E53A0">
            <w:pPr>
              <w:rPr>
                <w:szCs w:val="22"/>
              </w:rPr>
            </w:pPr>
          </w:p>
        </w:tc>
        <w:tc>
          <w:tcPr>
            <w:tcW w:w="424" w:type="dxa"/>
            <w:shd w:val="clear" w:color="auto" w:fill="B4C6E7" w:themeFill="accent1" w:themeFillTint="66"/>
          </w:tcPr>
          <w:p w14:paraId="5F53F9C7" w14:textId="77777777" w:rsidR="00027395" w:rsidRPr="005F6745" w:rsidRDefault="00027395" w:rsidP="000E53A0">
            <w:pPr>
              <w:rPr>
                <w:szCs w:val="22"/>
              </w:rPr>
            </w:pPr>
          </w:p>
        </w:tc>
        <w:tc>
          <w:tcPr>
            <w:tcW w:w="424" w:type="dxa"/>
            <w:shd w:val="clear" w:color="auto" w:fill="B4C6E7" w:themeFill="accent1" w:themeFillTint="66"/>
          </w:tcPr>
          <w:p w14:paraId="33A23D75" w14:textId="77777777" w:rsidR="00027395" w:rsidRPr="005F6745" w:rsidRDefault="00027395" w:rsidP="000E53A0">
            <w:pPr>
              <w:rPr>
                <w:szCs w:val="22"/>
              </w:rPr>
            </w:pPr>
          </w:p>
        </w:tc>
        <w:tc>
          <w:tcPr>
            <w:tcW w:w="424" w:type="dxa"/>
            <w:shd w:val="clear" w:color="auto" w:fill="B4C6E7" w:themeFill="accent1" w:themeFillTint="66"/>
          </w:tcPr>
          <w:p w14:paraId="721C7623" w14:textId="77777777" w:rsidR="00027395" w:rsidRPr="005F6745" w:rsidRDefault="00027395" w:rsidP="000E53A0">
            <w:pPr>
              <w:rPr>
                <w:szCs w:val="22"/>
              </w:rPr>
            </w:pPr>
          </w:p>
        </w:tc>
        <w:tc>
          <w:tcPr>
            <w:tcW w:w="424" w:type="dxa"/>
            <w:shd w:val="clear" w:color="auto" w:fill="B4C6E7" w:themeFill="accent1" w:themeFillTint="66"/>
          </w:tcPr>
          <w:p w14:paraId="48ED053D" w14:textId="77777777" w:rsidR="00027395" w:rsidRPr="005F6745" w:rsidRDefault="00027395" w:rsidP="000E53A0">
            <w:pPr>
              <w:rPr>
                <w:szCs w:val="22"/>
              </w:rPr>
            </w:pPr>
          </w:p>
        </w:tc>
        <w:tc>
          <w:tcPr>
            <w:tcW w:w="424" w:type="dxa"/>
            <w:shd w:val="clear" w:color="auto" w:fill="B4C6E7" w:themeFill="accent1" w:themeFillTint="66"/>
          </w:tcPr>
          <w:p w14:paraId="47EEDDFC" w14:textId="77777777" w:rsidR="00027395" w:rsidRPr="005F6745" w:rsidRDefault="00027395" w:rsidP="000E53A0">
            <w:pPr>
              <w:rPr>
                <w:szCs w:val="22"/>
              </w:rPr>
            </w:pPr>
          </w:p>
        </w:tc>
        <w:tc>
          <w:tcPr>
            <w:tcW w:w="424" w:type="dxa"/>
            <w:shd w:val="clear" w:color="auto" w:fill="B4C6E7" w:themeFill="accent1" w:themeFillTint="66"/>
          </w:tcPr>
          <w:p w14:paraId="31C6EACF" w14:textId="77777777" w:rsidR="00027395" w:rsidRPr="005F6745" w:rsidRDefault="00027395" w:rsidP="000E53A0">
            <w:pPr>
              <w:rPr>
                <w:szCs w:val="22"/>
              </w:rPr>
            </w:pPr>
          </w:p>
        </w:tc>
        <w:tc>
          <w:tcPr>
            <w:tcW w:w="424" w:type="dxa"/>
            <w:shd w:val="clear" w:color="auto" w:fill="B4C6E7" w:themeFill="accent1" w:themeFillTint="66"/>
          </w:tcPr>
          <w:p w14:paraId="372ACE02" w14:textId="77777777" w:rsidR="00027395" w:rsidRPr="005F6745" w:rsidRDefault="00027395" w:rsidP="000E53A0">
            <w:pPr>
              <w:rPr>
                <w:szCs w:val="22"/>
              </w:rPr>
            </w:pPr>
          </w:p>
        </w:tc>
        <w:tc>
          <w:tcPr>
            <w:tcW w:w="424" w:type="dxa"/>
          </w:tcPr>
          <w:p w14:paraId="002DEF28" w14:textId="77777777" w:rsidR="00027395" w:rsidRPr="005F6745" w:rsidRDefault="00027395" w:rsidP="000E53A0">
            <w:pPr>
              <w:rPr>
                <w:szCs w:val="22"/>
              </w:rPr>
            </w:pPr>
          </w:p>
        </w:tc>
        <w:tc>
          <w:tcPr>
            <w:tcW w:w="424" w:type="dxa"/>
          </w:tcPr>
          <w:p w14:paraId="7D3C8F7E" w14:textId="77777777" w:rsidR="00027395" w:rsidRPr="005F6745" w:rsidRDefault="00027395" w:rsidP="000E53A0">
            <w:pPr>
              <w:rPr>
                <w:szCs w:val="22"/>
              </w:rPr>
            </w:pPr>
          </w:p>
        </w:tc>
        <w:tc>
          <w:tcPr>
            <w:tcW w:w="424" w:type="dxa"/>
          </w:tcPr>
          <w:p w14:paraId="1759DD4C" w14:textId="77777777" w:rsidR="00027395" w:rsidRPr="005F6745" w:rsidRDefault="00027395" w:rsidP="000E53A0">
            <w:pPr>
              <w:rPr>
                <w:szCs w:val="22"/>
              </w:rPr>
            </w:pPr>
          </w:p>
        </w:tc>
        <w:tc>
          <w:tcPr>
            <w:tcW w:w="424" w:type="dxa"/>
          </w:tcPr>
          <w:p w14:paraId="6D8B6C85" w14:textId="77777777" w:rsidR="00027395" w:rsidRPr="005F6745" w:rsidRDefault="00027395" w:rsidP="000E53A0">
            <w:pPr>
              <w:rPr>
                <w:szCs w:val="22"/>
              </w:rPr>
            </w:pPr>
          </w:p>
        </w:tc>
      </w:tr>
      <w:tr w:rsidR="00027395" w:rsidRPr="005F6745" w14:paraId="1F18360B" w14:textId="77777777" w:rsidTr="000E53A0">
        <w:tc>
          <w:tcPr>
            <w:tcW w:w="1064" w:type="dxa"/>
            <w:vMerge/>
          </w:tcPr>
          <w:p w14:paraId="5E45E5FF" w14:textId="77777777" w:rsidR="00027395" w:rsidRDefault="00027395" w:rsidP="000E53A0">
            <w:pPr>
              <w:rPr>
                <w:szCs w:val="22"/>
              </w:rPr>
            </w:pPr>
          </w:p>
        </w:tc>
        <w:tc>
          <w:tcPr>
            <w:tcW w:w="965" w:type="dxa"/>
            <w:vMerge/>
            <w:shd w:val="clear" w:color="auto" w:fill="auto"/>
          </w:tcPr>
          <w:p w14:paraId="3A954DB1" w14:textId="77777777" w:rsidR="00027395" w:rsidRPr="005F6745" w:rsidRDefault="00027395" w:rsidP="000E53A0">
            <w:pPr>
              <w:rPr>
                <w:szCs w:val="22"/>
              </w:rPr>
            </w:pPr>
          </w:p>
        </w:tc>
        <w:tc>
          <w:tcPr>
            <w:tcW w:w="814" w:type="dxa"/>
          </w:tcPr>
          <w:p w14:paraId="0CD241EA" w14:textId="77777777" w:rsidR="00601D9B" w:rsidRDefault="000E53A0">
            <w:pPr>
              <w:rPr>
                <w:szCs w:val="22"/>
              </w:rPr>
            </w:pPr>
            <w:r>
              <w:rPr>
                <w:szCs w:val="22"/>
              </w:rPr>
              <w:t>3.2</w:t>
            </w:r>
          </w:p>
        </w:tc>
        <w:tc>
          <w:tcPr>
            <w:tcW w:w="425" w:type="dxa"/>
            <w:shd w:val="clear" w:color="auto" w:fill="auto"/>
          </w:tcPr>
          <w:p w14:paraId="793773D6" w14:textId="77777777" w:rsidR="00027395" w:rsidRPr="005F6745" w:rsidRDefault="00027395" w:rsidP="000E53A0">
            <w:pPr>
              <w:rPr>
                <w:szCs w:val="22"/>
              </w:rPr>
            </w:pPr>
          </w:p>
        </w:tc>
        <w:tc>
          <w:tcPr>
            <w:tcW w:w="425" w:type="dxa"/>
            <w:shd w:val="clear" w:color="auto" w:fill="auto"/>
          </w:tcPr>
          <w:p w14:paraId="5F63E408" w14:textId="77777777" w:rsidR="00027395" w:rsidRPr="005F6745" w:rsidRDefault="00027395" w:rsidP="000E53A0">
            <w:pPr>
              <w:rPr>
                <w:szCs w:val="22"/>
              </w:rPr>
            </w:pPr>
          </w:p>
        </w:tc>
        <w:tc>
          <w:tcPr>
            <w:tcW w:w="425" w:type="dxa"/>
            <w:shd w:val="clear" w:color="auto" w:fill="auto"/>
          </w:tcPr>
          <w:p w14:paraId="162FFA86" w14:textId="77777777" w:rsidR="00027395" w:rsidRPr="005F6745" w:rsidRDefault="00027395" w:rsidP="000E53A0">
            <w:pPr>
              <w:rPr>
                <w:szCs w:val="22"/>
              </w:rPr>
            </w:pPr>
          </w:p>
        </w:tc>
        <w:tc>
          <w:tcPr>
            <w:tcW w:w="424" w:type="dxa"/>
            <w:shd w:val="clear" w:color="auto" w:fill="auto"/>
          </w:tcPr>
          <w:p w14:paraId="49AAA492" w14:textId="77777777" w:rsidR="00027395" w:rsidRPr="005F6745" w:rsidRDefault="00027395" w:rsidP="000E53A0">
            <w:pPr>
              <w:rPr>
                <w:szCs w:val="22"/>
              </w:rPr>
            </w:pPr>
          </w:p>
        </w:tc>
        <w:tc>
          <w:tcPr>
            <w:tcW w:w="424" w:type="dxa"/>
            <w:shd w:val="clear" w:color="auto" w:fill="auto"/>
          </w:tcPr>
          <w:p w14:paraId="3278503A" w14:textId="77777777" w:rsidR="00027395" w:rsidRPr="005F6745" w:rsidRDefault="00027395" w:rsidP="000E53A0">
            <w:pPr>
              <w:rPr>
                <w:szCs w:val="22"/>
              </w:rPr>
            </w:pPr>
          </w:p>
        </w:tc>
        <w:tc>
          <w:tcPr>
            <w:tcW w:w="424" w:type="dxa"/>
            <w:shd w:val="clear" w:color="auto" w:fill="auto"/>
          </w:tcPr>
          <w:p w14:paraId="4CAA9D15" w14:textId="77777777" w:rsidR="00027395" w:rsidRPr="005F6745" w:rsidRDefault="00027395" w:rsidP="000E53A0">
            <w:pPr>
              <w:rPr>
                <w:szCs w:val="22"/>
              </w:rPr>
            </w:pPr>
          </w:p>
        </w:tc>
        <w:tc>
          <w:tcPr>
            <w:tcW w:w="424" w:type="dxa"/>
            <w:shd w:val="clear" w:color="auto" w:fill="B4C6E7" w:themeFill="accent1" w:themeFillTint="66"/>
          </w:tcPr>
          <w:p w14:paraId="48590A91" w14:textId="77777777" w:rsidR="00027395" w:rsidRPr="005F6745" w:rsidRDefault="00027395" w:rsidP="000E53A0">
            <w:pPr>
              <w:rPr>
                <w:szCs w:val="22"/>
              </w:rPr>
            </w:pPr>
          </w:p>
        </w:tc>
        <w:tc>
          <w:tcPr>
            <w:tcW w:w="424" w:type="dxa"/>
            <w:shd w:val="clear" w:color="auto" w:fill="B4C6E7" w:themeFill="accent1" w:themeFillTint="66"/>
          </w:tcPr>
          <w:p w14:paraId="1AF731A6" w14:textId="77777777" w:rsidR="00027395" w:rsidRPr="005F6745" w:rsidRDefault="00027395" w:rsidP="000E53A0">
            <w:pPr>
              <w:rPr>
                <w:szCs w:val="22"/>
              </w:rPr>
            </w:pPr>
          </w:p>
        </w:tc>
        <w:tc>
          <w:tcPr>
            <w:tcW w:w="424" w:type="dxa"/>
            <w:shd w:val="clear" w:color="auto" w:fill="B4C6E7" w:themeFill="accent1" w:themeFillTint="66"/>
          </w:tcPr>
          <w:p w14:paraId="18386009" w14:textId="77777777" w:rsidR="00027395" w:rsidRPr="005F6745" w:rsidRDefault="00027395" w:rsidP="000E53A0">
            <w:pPr>
              <w:rPr>
                <w:szCs w:val="22"/>
              </w:rPr>
            </w:pPr>
          </w:p>
        </w:tc>
        <w:tc>
          <w:tcPr>
            <w:tcW w:w="424" w:type="dxa"/>
            <w:shd w:val="clear" w:color="auto" w:fill="B4C6E7" w:themeFill="accent1" w:themeFillTint="66"/>
          </w:tcPr>
          <w:p w14:paraId="45C8EB9F" w14:textId="77777777" w:rsidR="00027395" w:rsidRPr="005F6745" w:rsidRDefault="00027395" w:rsidP="000E53A0">
            <w:pPr>
              <w:rPr>
                <w:szCs w:val="22"/>
              </w:rPr>
            </w:pPr>
          </w:p>
        </w:tc>
        <w:tc>
          <w:tcPr>
            <w:tcW w:w="424" w:type="dxa"/>
            <w:shd w:val="clear" w:color="auto" w:fill="B4C6E7" w:themeFill="accent1" w:themeFillTint="66"/>
          </w:tcPr>
          <w:p w14:paraId="48040F00" w14:textId="77777777" w:rsidR="00027395" w:rsidRPr="005F6745" w:rsidRDefault="00027395" w:rsidP="000E53A0">
            <w:pPr>
              <w:rPr>
                <w:szCs w:val="22"/>
              </w:rPr>
            </w:pPr>
          </w:p>
        </w:tc>
        <w:tc>
          <w:tcPr>
            <w:tcW w:w="424" w:type="dxa"/>
            <w:shd w:val="clear" w:color="auto" w:fill="B4C6E7" w:themeFill="accent1" w:themeFillTint="66"/>
          </w:tcPr>
          <w:p w14:paraId="5EC03D7A" w14:textId="77777777" w:rsidR="00027395" w:rsidRPr="005F6745" w:rsidRDefault="00027395" w:rsidP="000E53A0">
            <w:pPr>
              <w:rPr>
                <w:szCs w:val="22"/>
              </w:rPr>
            </w:pPr>
          </w:p>
        </w:tc>
        <w:tc>
          <w:tcPr>
            <w:tcW w:w="424" w:type="dxa"/>
            <w:shd w:val="clear" w:color="auto" w:fill="B4C6E7" w:themeFill="accent1" w:themeFillTint="66"/>
          </w:tcPr>
          <w:p w14:paraId="1003604B" w14:textId="77777777" w:rsidR="00027395" w:rsidRPr="005F6745" w:rsidRDefault="00027395" w:rsidP="000E53A0">
            <w:pPr>
              <w:rPr>
                <w:szCs w:val="22"/>
              </w:rPr>
            </w:pPr>
          </w:p>
        </w:tc>
        <w:tc>
          <w:tcPr>
            <w:tcW w:w="424" w:type="dxa"/>
            <w:shd w:val="clear" w:color="auto" w:fill="B4C6E7" w:themeFill="accent1" w:themeFillTint="66"/>
          </w:tcPr>
          <w:p w14:paraId="6C91D118" w14:textId="77777777" w:rsidR="00027395" w:rsidRPr="005F6745" w:rsidRDefault="00027395" w:rsidP="000E53A0">
            <w:pPr>
              <w:rPr>
                <w:szCs w:val="22"/>
              </w:rPr>
            </w:pPr>
          </w:p>
        </w:tc>
        <w:tc>
          <w:tcPr>
            <w:tcW w:w="424" w:type="dxa"/>
            <w:shd w:val="clear" w:color="auto" w:fill="B4C6E7" w:themeFill="accent1" w:themeFillTint="66"/>
          </w:tcPr>
          <w:p w14:paraId="310F7A3C" w14:textId="77777777" w:rsidR="00027395" w:rsidRPr="005F6745" w:rsidRDefault="00027395" w:rsidP="000E53A0">
            <w:pPr>
              <w:rPr>
                <w:szCs w:val="22"/>
              </w:rPr>
            </w:pPr>
          </w:p>
        </w:tc>
        <w:tc>
          <w:tcPr>
            <w:tcW w:w="424" w:type="dxa"/>
            <w:shd w:val="clear" w:color="auto" w:fill="B4C6E7" w:themeFill="accent1" w:themeFillTint="66"/>
          </w:tcPr>
          <w:p w14:paraId="39D114A8" w14:textId="77777777" w:rsidR="00027395" w:rsidRPr="005F6745" w:rsidRDefault="00027395" w:rsidP="000E53A0">
            <w:pPr>
              <w:rPr>
                <w:szCs w:val="22"/>
              </w:rPr>
            </w:pPr>
          </w:p>
        </w:tc>
        <w:tc>
          <w:tcPr>
            <w:tcW w:w="424" w:type="dxa"/>
            <w:shd w:val="clear" w:color="auto" w:fill="B4C6E7" w:themeFill="accent1" w:themeFillTint="66"/>
          </w:tcPr>
          <w:p w14:paraId="2512481A" w14:textId="77777777" w:rsidR="00027395" w:rsidRPr="005F6745" w:rsidRDefault="00027395" w:rsidP="000E53A0">
            <w:pPr>
              <w:rPr>
                <w:szCs w:val="22"/>
              </w:rPr>
            </w:pPr>
          </w:p>
        </w:tc>
        <w:tc>
          <w:tcPr>
            <w:tcW w:w="424" w:type="dxa"/>
            <w:shd w:val="clear" w:color="auto" w:fill="B4C6E7" w:themeFill="accent1" w:themeFillTint="66"/>
          </w:tcPr>
          <w:p w14:paraId="4964C378" w14:textId="77777777" w:rsidR="00027395" w:rsidRPr="005F6745" w:rsidRDefault="00027395" w:rsidP="000E53A0">
            <w:pPr>
              <w:rPr>
                <w:szCs w:val="22"/>
              </w:rPr>
            </w:pPr>
          </w:p>
        </w:tc>
        <w:tc>
          <w:tcPr>
            <w:tcW w:w="424" w:type="dxa"/>
            <w:shd w:val="clear" w:color="auto" w:fill="B4C6E7" w:themeFill="accent1" w:themeFillTint="66"/>
          </w:tcPr>
          <w:p w14:paraId="39ABAB03" w14:textId="77777777" w:rsidR="00027395" w:rsidRPr="005F6745" w:rsidRDefault="00027395" w:rsidP="000E53A0">
            <w:pPr>
              <w:rPr>
                <w:szCs w:val="22"/>
              </w:rPr>
            </w:pPr>
          </w:p>
        </w:tc>
        <w:tc>
          <w:tcPr>
            <w:tcW w:w="424" w:type="dxa"/>
            <w:shd w:val="clear" w:color="auto" w:fill="B4C6E7" w:themeFill="accent1" w:themeFillTint="66"/>
          </w:tcPr>
          <w:p w14:paraId="09CC5275" w14:textId="77777777" w:rsidR="00027395" w:rsidRPr="005F6745" w:rsidRDefault="00027395" w:rsidP="000E53A0">
            <w:pPr>
              <w:rPr>
                <w:szCs w:val="22"/>
              </w:rPr>
            </w:pPr>
          </w:p>
        </w:tc>
        <w:tc>
          <w:tcPr>
            <w:tcW w:w="424" w:type="dxa"/>
            <w:shd w:val="clear" w:color="auto" w:fill="B4C6E7" w:themeFill="accent1" w:themeFillTint="66"/>
          </w:tcPr>
          <w:p w14:paraId="7E84071A" w14:textId="77777777" w:rsidR="00027395" w:rsidRPr="005F6745" w:rsidRDefault="00027395" w:rsidP="000E53A0">
            <w:pPr>
              <w:rPr>
                <w:szCs w:val="22"/>
              </w:rPr>
            </w:pPr>
          </w:p>
        </w:tc>
        <w:tc>
          <w:tcPr>
            <w:tcW w:w="424" w:type="dxa"/>
            <w:shd w:val="clear" w:color="auto" w:fill="B4C6E7" w:themeFill="accent1" w:themeFillTint="66"/>
          </w:tcPr>
          <w:p w14:paraId="2A115DEB" w14:textId="77777777" w:rsidR="00027395" w:rsidRPr="005F6745" w:rsidRDefault="00027395" w:rsidP="000E53A0">
            <w:pPr>
              <w:rPr>
                <w:szCs w:val="22"/>
              </w:rPr>
            </w:pPr>
          </w:p>
        </w:tc>
        <w:tc>
          <w:tcPr>
            <w:tcW w:w="424" w:type="dxa"/>
            <w:shd w:val="clear" w:color="auto" w:fill="B4C6E7" w:themeFill="accent1" w:themeFillTint="66"/>
          </w:tcPr>
          <w:p w14:paraId="774CC261" w14:textId="77777777" w:rsidR="00027395" w:rsidRPr="005F6745" w:rsidRDefault="00027395" w:rsidP="000E53A0">
            <w:pPr>
              <w:rPr>
                <w:szCs w:val="22"/>
              </w:rPr>
            </w:pPr>
          </w:p>
        </w:tc>
        <w:tc>
          <w:tcPr>
            <w:tcW w:w="424" w:type="dxa"/>
            <w:shd w:val="clear" w:color="auto" w:fill="B4C6E7" w:themeFill="accent1" w:themeFillTint="66"/>
          </w:tcPr>
          <w:p w14:paraId="56CA046A" w14:textId="77777777" w:rsidR="00027395" w:rsidRPr="005F6745" w:rsidRDefault="00027395" w:rsidP="000E53A0">
            <w:pPr>
              <w:rPr>
                <w:szCs w:val="22"/>
              </w:rPr>
            </w:pPr>
          </w:p>
        </w:tc>
      </w:tr>
      <w:tr w:rsidR="00027395" w:rsidRPr="005F6745" w14:paraId="6AD81562" w14:textId="77777777" w:rsidTr="000E53A0">
        <w:tc>
          <w:tcPr>
            <w:tcW w:w="1064" w:type="dxa"/>
            <w:vMerge/>
          </w:tcPr>
          <w:p w14:paraId="7EDE0E2C" w14:textId="77777777" w:rsidR="00027395" w:rsidRDefault="00027395" w:rsidP="000E53A0">
            <w:pPr>
              <w:rPr>
                <w:szCs w:val="22"/>
              </w:rPr>
            </w:pPr>
          </w:p>
        </w:tc>
        <w:tc>
          <w:tcPr>
            <w:tcW w:w="965" w:type="dxa"/>
            <w:vMerge/>
            <w:shd w:val="clear" w:color="auto" w:fill="auto"/>
          </w:tcPr>
          <w:p w14:paraId="27D2A772" w14:textId="77777777" w:rsidR="00027395" w:rsidRPr="005F6745" w:rsidRDefault="00027395" w:rsidP="000E53A0">
            <w:pPr>
              <w:rPr>
                <w:szCs w:val="22"/>
              </w:rPr>
            </w:pPr>
          </w:p>
        </w:tc>
        <w:tc>
          <w:tcPr>
            <w:tcW w:w="814" w:type="dxa"/>
          </w:tcPr>
          <w:p w14:paraId="576E84D3" w14:textId="77777777" w:rsidR="00601D9B" w:rsidRDefault="000E53A0">
            <w:pPr>
              <w:rPr>
                <w:szCs w:val="22"/>
              </w:rPr>
            </w:pPr>
            <w:r>
              <w:rPr>
                <w:szCs w:val="22"/>
              </w:rPr>
              <w:t>3.3</w:t>
            </w:r>
          </w:p>
        </w:tc>
        <w:tc>
          <w:tcPr>
            <w:tcW w:w="425" w:type="dxa"/>
            <w:shd w:val="clear" w:color="auto" w:fill="auto"/>
          </w:tcPr>
          <w:p w14:paraId="45EA6646" w14:textId="77777777" w:rsidR="00027395" w:rsidRPr="005F6745" w:rsidRDefault="00027395" w:rsidP="000E53A0">
            <w:pPr>
              <w:rPr>
                <w:szCs w:val="22"/>
              </w:rPr>
            </w:pPr>
          </w:p>
        </w:tc>
        <w:tc>
          <w:tcPr>
            <w:tcW w:w="425" w:type="dxa"/>
            <w:shd w:val="clear" w:color="auto" w:fill="auto"/>
          </w:tcPr>
          <w:p w14:paraId="4C625A2E" w14:textId="77777777" w:rsidR="00027395" w:rsidRPr="005F6745" w:rsidRDefault="00027395" w:rsidP="000E53A0">
            <w:pPr>
              <w:rPr>
                <w:szCs w:val="22"/>
              </w:rPr>
            </w:pPr>
          </w:p>
        </w:tc>
        <w:tc>
          <w:tcPr>
            <w:tcW w:w="425" w:type="dxa"/>
            <w:shd w:val="clear" w:color="auto" w:fill="auto"/>
          </w:tcPr>
          <w:p w14:paraId="742A6CE0" w14:textId="77777777" w:rsidR="00027395" w:rsidRPr="005F6745" w:rsidRDefault="00027395" w:rsidP="000E53A0">
            <w:pPr>
              <w:rPr>
                <w:szCs w:val="22"/>
              </w:rPr>
            </w:pPr>
          </w:p>
        </w:tc>
        <w:tc>
          <w:tcPr>
            <w:tcW w:w="424" w:type="dxa"/>
            <w:shd w:val="clear" w:color="auto" w:fill="auto"/>
          </w:tcPr>
          <w:p w14:paraId="1A9FC93C" w14:textId="77777777" w:rsidR="00027395" w:rsidRPr="005F6745" w:rsidRDefault="00027395" w:rsidP="000E53A0">
            <w:pPr>
              <w:rPr>
                <w:szCs w:val="22"/>
              </w:rPr>
            </w:pPr>
          </w:p>
        </w:tc>
        <w:tc>
          <w:tcPr>
            <w:tcW w:w="424" w:type="dxa"/>
            <w:shd w:val="clear" w:color="auto" w:fill="auto"/>
          </w:tcPr>
          <w:p w14:paraId="7EF7C003" w14:textId="77777777" w:rsidR="00027395" w:rsidRPr="005F6745" w:rsidRDefault="00027395" w:rsidP="000E53A0">
            <w:pPr>
              <w:rPr>
                <w:szCs w:val="22"/>
              </w:rPr>
            </w:pPr>
          </w:p>
        </w:tc>
        <w:tc>
          <w:tcPr>
            <w:tcW w:w="424" w:type="dxa"/>
            <w:shd w:val="clear" w:color="auto" w:fill="auto"/>
          </w:tcPr>
          <w:p w14:paraId="018E1C4B" w14:textId="77777777" w:rsidR="00027395" w:rsidRPr="005F6745" w:rsidRDefault="00027395" w:rsidP="000E53A0">
            <w:pPr>
              <w:rPr>
                <w:szCs w:val="22"/>
              </w:rPr>
            </w:pPr>
          </w:p>
        </w:tc>
        <w:tc>
          <w:tcPr>
            <w:tcW w:w="424" w:type="dxa"/>
            <w:shd w:val="clear" w:color="auto" w:fill="B4C6E7" w:themeFill="accent1" w:themeFillTint="66"/>
          </w:tcPr>
          <w:p w14:paraId="43E01D9F" w14:textId="77777777" w:rsidR="00027395" w:rsidRPr="005F6745" w:rsidRDefault="00027395" w:rsidP="000E53A0">
            <w:pPr>
              <w:rPr>
                <w:szCs w:val="22"/>
              </w:rPr>
            </w:pPr>
          </w:p>
        </w:tc>
        <w:tc>
          <w:tcPr>
            <w:tcW w:w="424" w:type="dxa"/>
            <w:shd w:val="clear" w:color="auto" w:fill="B4C6E7" w:themeFill="accent1" w:themeFillTint="66"/>
          </w:tcPr>
          <w:p w14:paraId="07DD3555" w14:textId="77777777" w:rsidR="00027395" w:rsidRPr="005F6745" w:rsidRDefault="00027395" w:rsidP="000E53A0">
            <w:pPr>
              <w:rPr>
                <w:szCs w:val="22"/>
              </w:rPr>
            </w:pPr>
          </w:p>
        </w:tc>
        <w:tc>
          <w:tcPr>
            <w:tcW w:w="424" w:type="dxa"/>
            <w:shd w:val="clear" w:color="auto" w:fill="B4C6E7" w:themeFill="accent1" w:themeFillTint="66"/>
          </w:tcPr>
          <w:p w14:paraId="4C53B147" w14:textId="77777777" w:rsidR="00027395" w:rsidRPr="005F6745" w:rsidRDefault="00027395" w:rsidP="000E53A0">
            <w:pPr>
              <w:rPr>
                <w:szCs w:val="22"/>
              </w:rPr>
            </w:pPr>
          </w:p>
        </w:tc>
        <w:tc>
          <w:tcPr>
            <w:tcW w:w="424" w:type="dxa"/>
            <w:shd w:val="clear" w:color="auto" w:fill="B4C6E7" w:themeFill="accent1" w:themeFillTint="66"/>
          </w:tcPr>
          <w:p w14:paraId="41C4E1DC" w14:textId="77777777" w:rsidR="00027395" w:rsidRPr="005F6745" w:rsidRDefault="00027395" w:rsidP="000E53A0">
            <w:pPr>
              <w:rPr>
                <w:szCs w:val="22"/>
              </w:rPr>
            </w:pPr>
          </w:p>
        </w:tc>
        <w:tc>
          <w:tcPr>
            <w:tcW w:w="424" w:type="dxa"/>
            <w:shd w:val="clear" w:color="auto" w:fill="B4C6E7" w:themeFill="accent1" w:themeFillTint="66"/>
          </w:tcPr>
          <w:p w14:paraId="3919926F" w14:textId="77777777" w:rsidR="00027395" w:rsidRPr="005F6745" w:rsidRDefault="00027395" w:rsidP="000E53A0">
            <w:pPr>
              <w:rPr>
                <w:szCs w:val="22"/>
              </w:rPr>
            </w:pPr>
          </w:p>
        </w:tc>
        <w:tc>
          <w:tcPr>
            <w:tcW w:w="424" w:type="dxa"/>
            <w:shd w:val="clear" w:color="auto" w:fill="B4C6E7" w:themeFill="accent1" w:themeFillTint="66"/>
          </w:tcPr>
          <w:p w14:paraId="25137A2D" w14:textId="77777777" w:rsidR="00027395" w:rsidRPr="005F6745" w:rsidRDefault="00027395" w:rsidP="000E53A0">
            <w:pPr>
              <w:rPr>
                <w:szCs w:val="22"/>
              </w:rPr>
            </w:pPr>
          </w:p>
        </w:tc>
        <w:tc>
          <w:tcPr>
            <w:tcW w:w="424" w:type="dxa"/>
            <w:shd w:val="clear" w:color="auto" w:fill="B4C6E7" w:themeFill="accent1" w:themeFillTint="66"/>
          </w:tcPr>
          <w:p w14:paraId="7742DF9E" w14:textId="77777777" w:rsidR="00027395" w:rsidRPr="005F6745" w:rsidRDefault="00027395" w:rsidP="000E53A0">
            <w:pPr>
              <w:rPr>
                <w:szCs w:val="22"/>
              </w:rPr>
            </w:pPr>
          </w:p>
        </w:tc>
        <w:tc>
          <w:tcPr>
            <w:tcW w:w="424" w:type="dxa"/>
            <w:shd w:val="clear" w:color="auto" w:fill="B4C6E7" w:themeFill="accent1" w:themeFillTint="66"/>
          </w:tcPr>
          <w:p w14:paraId="5B89B758" w14:textId="77777777" w:rsidR="00027395" w:rsidRPr="005F6745" w:rsidRDefault="00027395" w:rsidP="000E53A0">
            <w:pPr>
              <w:rPr>
                <w:szCs w:val="22"/>
              </w:rPr>
            </w:pPr>
          </w:p>
        </w:tc>
        <w:tc>
          <w:tcPr>
            <w:tcW w:w="424" w:type="dxa"/>
            <w:shd w:val="clear" w:color="auto" w:fill="B4C6E7" w:themeFill="accent1" w:themeFillTint="66"/>
          </w:tcPr>
          <w:p w14:paraId="4D4B8A0D" w14:textId="77777777" w:rsidR="00027395" w:rsidRPr="005F6745" w:rsidRDefault="00027395" w:rsidP="000E53A0">
            <w:pPr>
              <w:rPr>
                <w:szCs w:val="22"/>
              </w:rPr>
            </w:pPr>
          </w:p>
        </w:tc>
        <w:tc>
          <w:tcPr>
            <w:tcW w:w="424" w:type="dxa"/>
            <w:shd w:val="clear" w:color="auto" w:fill="B4C6E7" w:themeFill="accent1" w:themeFillTint="66"/>
          </w:tcPr>
          <w:p w14:paraId="65FC01D1" w14:textId="77777777" w:rsidR="00027395" w:rsidRPr="005F6745" w:rsidRDefault="00027395" w:rsidP="000E53A0">
            <w:pPr>
              <w:rPr>
                <w:szCs w:val="22"/>
              </w:rPr>
            </w:pPr>
          </w:p>
        </w:tc>
        <w:tc>
          <w:tcPr>
            <w:tcW w:w="424" w:type="dxa"/>
            <w:shd w:val="clear" w:color="auto" w:fill="B4C6E7" w:themeFill="accent1" w:themeFillTint="66"/>
          </w:tcPr>
          <w:p w14:paraId="0FDE9AC0" w14:textId="77777777" w:rsidR="00027395" w:rsidRPr="005F6745" w:rsidRDefault="00027395" w:rsidP="000E53A0">
            <w:pPr>
              <w:rPr>
                <w:szCs w:val="22"/>
              </w:rPr>
            </w:pPr>
          </w:p>
        </w:tc>
        <w:tc>
          <w:tcPr>
            <w:tcW w:w="424" w:type="dxa"/>
            <w:shd w:val="clear" w:color="auto" w:fill="B4C6E7" w:themeFill="accent1" w:themeFillTint="66"/>
          </w:tcPr>
          <w:p w14:paraId="69E379D6" w14:textId="77777777" w:rsidR="00027395" w:rsidRPr="005F6745" w:rsidRDefault="00027395" w:rsidP="000E53A0">
            <w:pPr>
              <w:rPr>
                <w:szCs w:val="22"/>
              </w:rPr>
            </w:pPr>
          </w:p>
        </w:tc>
        <w:tc>
          <w:tcPr>
            <w:tcW w:w="424" w:type="dxa"/>
            <w:shd w:val="clear" w:color="auto" w:fill="B4C6E7" w:themeFill="accent1" w:themeFillTint="66"/>
          </w:tcPr>
          <w:p w14:paraId="56C5E886" w14:textId="77777777" w:rsidR="00027395" w:rsidRPr="005F6745" w:rsidRDefault="00027395" w:rsidP="000E53A0">
            <w:pPr>
              <w:rPr>
                <w:szCs w:val="22"/>
              </w:rPr>
            </w:pPr>
          </w:p>
        </w:tc>
        <w:tc>
          <w:tcPr>
            <w:tcW w:w="424" w:type="dxa"/>
            <w:shd w:val="clear" w:color="auto" w:fill="B4C6E7" w:themeFill="accent1" w:themeFillTint="66"/>
          </w:tcPr>
          <w:p w14:paraId="01763819" w14:textId="77777777" w:rsidR="00027395" w:rsidRPr="005F6745" w:rsidRDefault="00027395" w:rsidP="000E53A0">
            <w:pPr>
              <w:rPr>
                <w:szCs w:val="22"/>
              </w:rPr>
            </w:pPr>
          </w:p>
        </w:tc>
        <w:tc>
          <w:tcPr>
            <w:tcW w:w="424" w:type="dxa"/>
            <w:shd w:val="clear" w:color="auto" w:fill="B4C6E7" w:themeFill="accent1" w:themeFillTint="66"/>
          </w:tcPr>
          <w:p w14:paraId="2F52BB46" w14:textId="77777777" w:rsidR="00027395" w:rsidRPr="005F6745" w:rsidRDefault="00027395" w:rsidP="000E53A0">
            <w:pPr>
              <w:rPr>
                <w:szCs w:val="22"/>
              </w:rPr>
            </w:pPr>
          </w:p>
        </w:tc>
        <w:tc>
          <w:tcPr>
            <w:tcW w:w="424" w:type="dxa"/>
            <w:shd w:val="clear" w:color="auto" w:fill="B4C6E7" w:themeFill="accent1" w:themeFillTint="66"/>
          </w:tcPr>
          <w:p w14:paraId="13E73C02" w14:textId="77777777" w:rsidR="00027395" w:rsidRPr="005F6745" w:rsidRDefault="00027395" w:rsidP="000E53A0">
            <w:pPr>
              <w:rPr>
                <w:szCs w:val="22"/>
              </w:rPr>
            </w:pPr>
          </w:p>
        </w:tc>
        <w:tc>
          <w:tcPr>
            <w:tcW w:w="424" w:type="dxa"/>
            <w:shd w:val="clear" w:color="auto" w:fill="B4C6E7" w:themeFill="accent1" w:themeFillTint="66"/>
          </w:tcPr>
          <w:p w14:paraId="28F5D3F6" w14:textId="77777777" w:rsidR="00027395" w:rsidRPr="005F6745" w:rsidRDefault="00027395" w:rsidP="000E53A0">
            <w:pPr>
              <w:rPr>
                <w:szCs w:val="22"/>
              </w:rPr>
            </w:pPr>
          </w:p>
        </w:tc>
        <w:tc>
          <w:tcPr>
            <w:tcW w:w="424" w:type="dxa"/>
            <w:shd w:val="clear" w:color="auto" w:fill="B4C6E7" w:themeFill="accent1" w:themeFillTint="66"/>
          </w:tcPr>
          <w:p w14:paraId="79D13B2D" w14:textId="77777777" w:rsidR="00027395" w:rsidRPr="005F6745" w:rsidRDefault="00027395" w:rsidP="000E53A0">
            <w:pPr>
              <w:rPr>
                <w:szCs w:val="22"/>
              </w:rPr>
            </w:pPr>
          </w:p>
        </w:tc>
      </w:tr>
      <w:tr w:rsidR="00027395" w:rsidRPr="005F6745" w14:paraId="19A002A4" w14:textId="77777777" w:rsidTr="000E53A0">
        <w:tc>
          <w:tcPr>
            <w:tcW w:w="1064" w:type="dxa"/>
            <w:vMerge w:val="restart"/>
          </w:tcPr>
          <w:p w14:paraId="7EB945B6" w14:textId="77777777" w:rsidR="00601D9B" w:rsidRDefault="000E53A0">
            <w:pPr>
              <w:rPr>
                <w:szCs w:val="22"/>
              </w:rPr>
            </w:pPr>
            <w:r>
              <w:rPr>
                <w:szCs w:val="22"/>
              </w:rPr>
              <w:t>Composante 4</w:t>
            </w:r>
          </w:p>
        </w:tc>
        <w:tc>
          <w:tcPr>
            <w:tcW w:w="965" w:type="dxa"/>
            <w:vMerge w:val="restart"/>
            <w:shd w:val="clear" w:color="auto" w:fill="auto"/>
          </w:tcPr>
          <w:p w14:paraId="24B453BA" w14:textId="77777777" w:rsidR="00601D9B" w:rsidRDefault="000E53A0">
            <w:pPr>
              <w:rPr>
                <w:szCs w:val="22"/>
              </w:rPr>
            </w:pPr>
            <w:r>
              <w:rPr>
                <w:szCs w:val="22"/>
              </w:rPr>
              <w:t>4</w:t>
            </w:r>
          </w:p>
        </w:tc>
        <w:tc>
          <w:tcPr>
            <w:tcW w:w="814" w:type="dxa"/>
          </w:tcPr>
          <w:p w14:paraId="34FCBCBF" w14:textId="77777777" w:rsidR="00601D9B" w:rsidRDefault="000E53A0">
            <w:pPr>
              <w:rPr>
                <w:szCs w:val="22"/>
              </w:rPr>
            </w:pPr>
            <w:r>
              <w:rPr>
                <w:szCs w:val="22"/>
              </w:rPr>
              <w:t>4.1</w:t>
            </w:r>
          </w:p>
        </w:tc>
        <w:tc>
          <w:tcPr>
            <w:tcW w:w="425" w:type="dxa"/>
            <w:shd w:val="clear" w:color="auto" w:fill="B4C6E7" w:themeFill="accent1" w:themeFillTint="66"/>
          </w:tcPr>
          <w:p w14:paraId="5EE1AB60" w14:textId="77777777" w:rsidR="00027395" w:rsidRPr="005F6745" w:rsidRDefault="00027395" w:rsidP="000E53A0">
            <w:pPr>
              <w:rPr>
                <w:szCs w:val="22"/>
              </w:rPr>
            </w:pPr>
          </w:p>
        </w:tc>
        <w:tc>
          <w:tcPr>
            <w:tcW w:w="425" w:type="dxa"/>
            <w:shd w:val="clear" w:color="auto" w:fill="B4C6E7" w:themeFill="accent1" w:themeFillTint="66"/>
          </w:tcPr>
          <w:p w14:paraId="1278605D" w14:textId="77777777" w:rsidR="00027395" w:rsidRPr="005F6745" w:rsidRDefault="00027395" w:rsidP="000E53A0">
            <w:pPr>
              <w:rPr>
                <w:szCs w:val="22"/>
              </w:rPr>
            </w:pPr>
          </w:p>
        </w:tc>
        <w:tc>
          <w:tcPr>
            <w:tcW w:w="425" w:type="dxa"/>
            <w:shd w:val="clear" w:color="auto" w:fill="B4C6E7" w:themeFill="accent1" w:themeFillTint="66"/>
          </w:tcPr>
          <w:p w14:paraId="2F158523" w14:textId="77777777" w:rsidR="00027395" w:rsidRPr="005F6745" w:rsidRDefault="00027395" w:rsidP="000E53A0">
            <w:pPr>
              <w:rPr>
                <w:szCs w:val="22"/>
              </w:rPr>
            </w:pPr>
          </w:p>
        </w:tc>
        <w:tc>
          <w:tcPr>
            <w:tcW w:w="424" w:type="dxa"/>
            <w:shd w:val="clear" w:color="auto" w:fill="B4C6E7" w:themeFill="accent1" w:themeFillTint="66"/>
          </w:tcPr>
          <w:p w14:paraId="67A14FC7" w14:textId="77777777" w:rsidR="00027395" w:rsidRPr="005F6745" w:rsidRDefault="00027395" w:rsidP="000E53A0">
            <w:pPr>
              <w:rPr>
                <w:szCs w:val="22"/>
              </w:rPr>
            </w:pPr>
          </w:p>
        </w:tc>
        <w:tc>
          <w:tcPr>
            <w:tcW w:w="424" w:type="dxa"/>
            <w:shd w:val="clear" w:color="auto" w:fill="B4C6E7" w:themeFill="accent1" w:themeFillTint="66"/>
          </w:tcPr>
          <w:p w14:paraId="327E6ABF" w14:textId="77777777" w:rsidR="00027395" w:rsidRPr="005F6745" w:rsidRDefault="00027395" w:rsidP="000E53A0">
            <w:pPr>
              <w:rPr>
                <w:szCs w:val="22"/>
              </w:rPr>
            </w:pPr>
          </w:p>
        </w:tc>
        <w:tc>
          <w:tcPr>
            <w:tcW w:w="424" w:type="dxa"/>
            <w:shd w:val="clear" w:color="auto" w:fill="B4C6E7" w:themeFill="accent1" w:themeFillTint="66"/>
          </w:tcPr>
          <w:p w14:paraId="36D1F8FB" w14:textId="77777777" w:rsidR="00027395" w:rsidRPr="005F6745" w:rsidRDefault="00027395" w:rsidP="000E53A0">
            <w:pPr>
              <w:rPr>
                <w:szCs w:val="22"/>
              </w:rPr>
            </w:pPr>
          </w:p>
        </w:tc>
        <w:tc>
          <w:tcPr>
            <w:tcW w:w="424" w:type="dxa"/>
            <w:shd w:val="clear" w:color="auto" w:fill="B4C6E7" w:themeFill="accent1" w:themeFillTint="66"/>
          </w:tcPr>
          <w:p w14:paraId="304975A0" w14:textId="77777777" w:rsidR="00027395" w:rsidRPr="005F6745" w:rsidRDefault="00027395" w:rsidP="000E53A0">
            <w:pPr>
              <w:rPr>
                <w:szCs w:val="22"/>
              </w:rPr>
            </w:pPr>
          </w:p>
        </w:tc>
        <w:tc>
          <w:tcPr>
            <w:tcW w:w="424" w:type="dxa"/>
            <w:shd w:val="clear" w:color="auto" w:fill="B4C6E7" w:themeFill="accent1" w:themeFillTint="66"/>
          </w:tcPr>
          <w:p w14:paraId="0D3236B2" w14:textId="77777777" w:rsidR="00027395" w:rsidRPr="005F6745" w:rsidRDefault="00027395" w:rsidP="000E53A0">
            <w:pPr>
              <w:rPr>
                <w:szCs w:val="22"/>
              </w:rPr>
            </w:pPr>
          </w:p>
        </w:tc>
        <w:tc>
          <w:tcPr>
            <w:tcW w:w="424" w:type="dxa"/>
            <w:shd w:val="clear" w:color="auto" w:fill="B4C6E7" w:themeFill="accent1" w:themeFillTint="66"/>
          </w:tcPr>
          <w:p w14:paraId="5A690DA6" w14:textId="77777777" w:rsidR="00027395" w:rsidRPr="005F6745" w:rsidRDefault="00027395" w:rsidP="000E53A0">
            <w:pPr>
              <w:rPr>
                <w:szCs w:val="22"/>
              </w:rPr>
            </w:pPr>
          </w:p>
        </w:tc>
        <w:tc>
          <w:tcPr>
            <w:tcW w:w="424" w:type="dxa"/>
            <w:shd w:val="clear" w:color="auto" w:fill="B4C6E7" w:themeFill="accent1" w:themeFillTint="66"/>
          </w:tcPr>
          <w:p w14:paraId="0B3D81FC" w14:textId="77777777" w:rsidR="00027395" w:rsidRPr="005F6745" w:rsidRDefault="00027395" w:rsidP="000E53A0">
            <w:pPr>
              <w:rPr>
                <w:szCs w:val="22"/>
              </w:rPr>
            </w:pPr>
          </w:p>
        </w:tc>
        <w:tc>
          <w:tcPr>
            <w:tcW w:w="424" w:type="dxa"/>
            <w:shd w:val="clear" w:color="auto" w:fill="B4C6E7" w:themeFill="accent1" w:themeFillTint="66"/>
          </w:tcPr>
          <w:p w14:paraId="51B04A82" w14:textId="77777777" w:rsidR="00027395" w:rsidRPr="005F6745" w:rsidRDefault="00027395" w:rsidP="000E53A0">
            <w:pPr>
              <w:rPr>
                <w:szCs w:val="22"/>
              </w:rPr>
            </w:pPr>
          </w:p>
        </w:tc>
        <w:tc>
          <w:tcPr>
            <w:tcW w:w="424" w:type="dxa"/>
            <w:shd w:val="clear" w:color="auto" w:fill="B4C6E7" w:themeFill="accent1" w:themeFillTint="66"/>
          </w:tcPr>
          <w:p w14:paraId="73272C46" w14:textId="77777777" w:rsidR="00027395" w:rsidRPr="005F6745" w:rsidRDefault="00027395" w:rsidP="000E53A0">
            <w:pPr>
              <w:rPr>
                <w:szCs w:val="22"/>
              </w:rPr>
            </w:pPr>
          </w:p>
        </w:tc>
        <w:tc>
          <w:tcPr>
            <w:tcW w:w="424" w:type="dxa"/>
            <w:shd w:val="clear" w:color="auto" w:fill="B4C6E7" w:themeFill="accent1" w:themeFillTint="66"/>
          </w:tcPr>
          <w:p w14:paraId="40DA6B79" w14:textId="77777777" w:rsidR="00027395" w:rsidRPr="005F6745" w:rsidRDefault="00027395" w:rsidP="000E53A0">
            <w:pPr>
              <w:rPr>
                <w:szCs w:val="22"/>
              </w:rPr>
            </w:pPr>
          </w:p>
        </w:tc>
        <w:tc>
          <w:tcPr>
            <w:tcW w:w="424" w:type="dxa"/>
            <w:shd w:val="clear" w:color="auto" w:fill="B4C6E7" w:themeFill="accent1" w:themeFillTint="66"/>
          </w:tcPr>
          <w:p w14:paraId="1659C61E" w14:textId="77777777" w:rsidR="00027395" w:rsidRPr="005F6745" w:rsidRDefault="00027395" w:rsidP="000E53A0">
            <w:pPr>
              <w:rPr>
                <w:szCs w:val="22"/>
              </w:rPr>
            </w:pPr>
          </w:p>
        </w:tc>
        <w:tc>
          <w:tcPr>
            <w:tcW w:w="424" w:type="dxa"/>
            <w:shd w:val="clear" w:color="auto" w:fill="B4C6E7" w:themeFill="accent1" w:themeFillTint="66"/>
          </w:tcPr>
          <w:p w14:paraId="0D12397B" w14:textId="77777777" w:rsidR="00027395" w:rsidRPr="005F6745" w:rsidRDefault="00027395" w:rsidP="000E53A0">
            <w:pPr>
              <w:rPr>
                <w:szCs w:val="22"/>
              </w:rPr>
            </w:pPr>
          </w:p>
        </w:tc>
        <w:tc>
          <w:tcPr>
            <w:tcW w:w="424" w:type="dxa"/>
            <w:shd w:val="clear" w:color="auto" w:fill="B4C6E7" w:themeFill="accent1" w:themeFillTint="66"/>
          </w:tcPr>
          <w:p w14:paraId="0F33C93A" w14:textId="77777777" w:rsidR="00027395" w:rsidRPr="005F6745" w:rsidRDefault="00027395" w:rsidP="000E53A0">
            <w:pPr>
              <w:rPr>
                <w:szCs w:val="22"/>
              </w:rPr>
            </w:pPr>
          </w:p>
        </w:tc>
        <w:tc>
          <w:tcPr>
            <w:tcW w:w="424" w:type="dxa"/>
            <w:shd w:val="clear" w:color="auto" w:fill="B4C6E7" w:themeFill="accent1" w:themeFillTint="66"/>
          </w:tcPr>
          <w:p w14:paraId="50BB699F" w14:textId="77777777" w:rsidR="00027395" w:rsidRPr="005F6745" w:rsidRDefault="00027395" w:rsidP="000E53A0">
            <w:pPr>
              <w:rPr>
                <w:szCs w:val="22"/>
              </w:rPr>
            </w:pPr>
          </w:p>
        </w:tc>
        <w:tc>
          <w:tcPr>
            <w:tcW w:w="424" w:type="dxa"/>
            <w:shd w:val="clear" w:color="auto" w:fill="B4C6E7" w:themeFill="accent1" w:themeFillTint="66"/>
          </w:tcPr>
          <w:p w14:paraId="40CFD167" w14:textId="77777777" w:rsidR="00027395" w:rsidRPr="005F6745" w:rsidRDefault="00027395" w:rsidP="000E53A0">
            <w:pPr>
              <w:rPr>
                <w:szCs w:val="22"/>
              </w:rPr>
            </w:pPr>
          </w:p>
        </w:tc>
        <w:tc>
          <w:tcPr>
            <w:tcW w:w="424" w:type="dxa"/>
            <w:shd w:val="clear" w:color="auto" w:fill="B4C6E7" w:themeFill="accent1" w:themeFillTint="66"/>
          </w:tcPr>
          <w:p w14:paraId="7FA131AF" w14:textId="77777777" w:rsidR="00027395" w:rsidRPr="005F6745" w:rsidRDefault="00027395" w:rsidP="000E53A0">
            <w:pPr>
              <w:rPr>
                <w:szCs w:val="22"/>
              </w:rPr>
            </w:pPr>
          </w:p>
        </w:tc>
        <w:tc>
          <w:tcPr>
            <w:tcW w:w="424" w:type="dxa"/>
            <w:shd w:val="clear" w:color="auto" w:fill="B4C6E7" w:themeFill="accent1" w:themeFillTint="66"/>
          </w:tcPr>
          <w:p w14:paraId="65FBFB89" w14:textId="77777777" w:rsidR="00027395" w:rsidRPr="005F6745" w:rsidRDefault="00027395" w:rsidP="000E53A0">
            <w:pPr>
              <w:rPr>
                <w:szCs w:val="22"/>
              </w:rPr>
            </w:pPr>
          </w:p>
        </w:tc>
        <w:tc>
          <w:tcPr>
            <w:tcW w:w="424" w:type="dxa"/>
            <w:shd w:val="clear" w:color="auto" w:fill="B4C6E7" w:themeFill="accent1" w:themeFillTint="66"/>
          </w:tcPr>
          <w:p w14:paraId="0EEDA571" w14:textId="77777777" w:rsidR="00027395" w:rsidRPr="005F6745" w:rsidRDefault="00027395" w:rsidP="000E53A0">
            <w:pPr>
              <w:rPr>
                <w:szCs w:val="22"/>
              </w:rPr>
            </w:pPr>
          </w:p>
        </w:tc>
        <w:tc>
          <w:tcPr>
            <w:tcW w:w="424" w:type="dxa"/>
            <w:shd w:val="clear" w:color="auto" w:fill="B4C6E7" w:themeFill="accent1" w:themeFillTint="66"/>
          </w:tcPr>
          <w:p w14:paraId="4DF09E64" w14:textId="77777777" w:rsidR="00027395" w:rsidRPr="005F6745" w:rsidRDefault="00027395" w:rsidP="000E53A0">
            <w:pPr>
              <w:rPr>
                <w:szCs w:val="22"/>
              </w:rPr>
            </w:pPr>
          </w:p>
        </w:tc>
        <w:tc>
          <w:tcPr>
            <w:tcW w:w="424" w:type="dxa"/>
            <w:shd w:val="clear" w:color="auto" w:fill="B4C6E7" w:themeFill="accent1" w:themeFillTint="66"/>
          </w:tcPr>
          <w:p w14:paraId="22F940F7" w14:textId="77777777" w:rsidR="00027395" w:rsidRPr="005F6745" w:rsidRDefault="00027395" w:rsidP="000E53A0">
            <w:pPr>
              <w:rPr>
                <w:szCs w:val="22"/>
              </w:rPr>
            </w:pPr>
          </w:p>
        </w:tc>
        <w:tc>
          <w:tcPr>
            <w:tcW w:w="424" w:type="dxa"/>
            <w:shd w:val="clear" w:color="auto" w:fill="B4C6E7" w:themeFill="accent1" w:themeFillTint="66"/>
          </w:tcPr>
          <w:p w14:paraId="4F3E0704" w14:textId="77777777" w:rsidR="00027395" w:rsidRPr="005F6745" w:rsidRDefault="00027395" w:rsidP="000E53A0">
            <w:pPr>
              <w:rPr>
                <w:szCs w:val="22"/>
              </w:rPr>
            </w:pPr>
          </w:p>
        </w:tc>
      </w:tr>
      <w:tr w:rsidR="00027395" w:rsidRPr="005F6745" w14:paraId="402D21CA" w14:textId="77777777" w:rsidTr="000E53A0">
        <w:tc>
          <w:tcPr>
            <w:tcW w:w="1064" w:type="dxa"/>
            <w:vMerge/>
          </w:tcPr>
          <w:p w14:paraId="2A920D6B" w14:textId="77777777" w:rsidR="00027395" w:rsidRDefault="00027395" w:rsidP="000E53A0">
            <w:pPr>
              <w:rPr>
                <w:szCs w:val="22"/>
              </w:rPr>
            </w:pPr>
          </w:p>
        </w:tc>
        <w:tc>
          <w:tcPr>
            <w:tcW w:w="965" w:type="dxa"/>
            <w:vMerge/>
            <w:shd w:val="clear" w:color="auto" w:fill="auto"/>
          </w:tcPr>
          <w:p w14:paraId="4019926B" w14:textId="77777777" w:rsidR="00027395" w:rsidRPr="005F6745" w:rsidRDefault="00027395" w:rsidP="000E53A0">
            <w:pPr>
              <w:rPr>
                <w:szCs w:val="22"/>
              </w:rPr>
            </w:pPr>
          </w:p>
        </w:tc>
        <w:tc>
          <w:tcPr>
            <w:tcW w:w="814" w:type="dxa"/>
          </w:tcPr>
          <w:p w14:paraId="3012F6D4" w14:textId="77777777" w:rsidR="00601D9B" w:rsidRDefault="000E53A0">
            <w:pPr>
              <w:rPr>
                <w:szCs w:val="22"/>
              </w:rPr>
            </w:pPr>
            <w:r>
              <w:rPr>
                <w:szCs w:val="22"/>
              </w:rPr>
              <w:t>4.2</w:t>
            </w:r>
          </w:p>
        </w:tc>
        <w:tc>
          <w:tcPr>
            <w:tcW w:w="425" w:type="dxa"/>
            <w:shd w:val="clear" w:color="auto" w:fill="B4C6E7" w:themeFill="accent1" w:themeFillTint="66"/>
          </w:tcPr>
          <w:p w14:paraId="6293E254" w14:textId="77777777" w:rsidR="00027395" w:rsidRPr="005F6745" w:rsidRDefault="00027395" w:rsidP="000E53A0">
            <w:pPr>
              <w:rPr>
                <w:szCs w:val="22"/>
              </w:rPr>
            </w:pPr>
          </w:p>
        </w:tc>
        <w:tc>
          <w:tcPr>
            <w:tcW w:w="425" w:type="dxa"/>
            <w:shd w:val="clear" w:color="auto" w:fill="B4C6E7" w:themeFill="accent1" w:themeFillTint="66"/>
          </w:tcPr>
          <w:p w14:paraId="5E5E9D03" w14:textId="77777777" w:rsidR="00027395" w:rsidRPr="005F6745" w:rsidRDefault="00027395" w:rsidP="000E53A0">
            <w:pPr>
              <w:rPr>
                <w:szCs w:val="22"/>
              </w:rPr>
            </w:pPr>
          </w:p>
        </w:tc>
        <w:tc>
          <w:tcPr>
            <w:tcW w:w="425" w:type="dxa"/>
            <w:shd w:val="clear" w:color="auto" w:fill="B4C6E7" w:themeFill="accent1" w:themeFillTint="66"/>
          </w:tcPr>
          <w:p w14:paraId="6EBA5687" w14:textId="77777777" w:rsidR="00027395" w:rsidRPr="005F6745" w:rsidRDefault="00027395" w:rsidP="000E53A0">
            <w:pPr>
              <w:rPr>
                <w:szCs w:val="22"/>
              </w:rPr>
            </w:pPr>
          </w:p>
        </w:tc>
        <w:tc>
          <w:tcPr>
            <w:tcW w:w="424" w:type="dxa"/>
            <w:shd w:val="clear" w:color="auto" w:fill="B4C6E7" w:themeFill="accent1" w:themeFillTint="66"/>
          </w:tcPr>
          <w:p w14:paraId="7D965C18" w14:textId="77777777" w:rsidR="00027395" w:rsidRPr="005F6745" w:rsidRDefault="00027395" w:rsidP="000E53A0">
            <w:pPr>
              <w:rPr>
                <w:szCs w:val="22"/>
              </w:rPr>
            </w:pPr>
          </w:p>
        </w:tc>
        <w:tc>
          <w:tcPr>
            <w:tcW w:w="424" w:type="dxa"/>
            <w:shd w:val="clear" w:color="auto" w:fill="B4C6E7" w:themeFill="accent1" w:themeFillTint="66"/>
          </w:tcPr>
          <w:p w14:paraId="0C580A05" w14:textId="77777777" w:rsidR="00027395" w:rsidRPr="005F6745" w:rsidRDefault="00027395" w:rsidP="000E53A0">
            <w:pPr>
              <w:rPr>
                <w:szCs w:val="22"/>
              </w:rPr>
            </w:pPr>
          </w:p>
        </w:tc>
        <w:tc>
          <w:tcPr>
            <w:tcW w:w="424" w:type="dxa"/>
            <w:shd w:val="clear" w:color="auto" w:fill="B4C6E7" w:themeFill="accent1" w:themeFillTint="66"/>
          </w:tcPr>
          <w:p w14:paraId="28851AB0" w14:textId="77777777" w:rsidR="00027395" w:rsidRPr="005F6745" w:rsidRDefault="00027395" w:rsidP="000E53A0">
            <w:pPr>
              <w:rPr>
                <w:szCs w:val="22"/>
              </w:rPr>
            </w:pPr>
          </w:p>
        </w:tc>
        <w:tc>
          <w:tcPr>
            <w:tcW w:w="424" w:type="dxa"/>
            <w:shd w:val="clear" w:color="auto" w:fill="B4C6E7" w:themeFill="accent1" w:themeFillTint="66"/>
          </w:tcPr>
          <w:p w14:paraId="155DA69C" w14:textId="77777777" w:rsidR="00027395" w:rsidRPr="005F6745" w:rsidRDefault="00027395" w:rsidP="000E53A0">
            <w:pPr>
              <w:rPr>
                <w:szCs w:val="22"/>
              </w:rPr>
            </w:pPr>
          </w:p>
        </w:tc>
        <w:tc>
          <w:tcPr>
            <w:tcW w:w="424" w:type="dxa"/>
            <w:shd w:val="clear" w:color="auto" w:fill="B4C6E7" w:themeFill="accent1" w:themeFillTint="66"/>
          </w:tcPr>
          <w:p w14:paraId="44CD6BE3" w14:textId="77777777" w:rsidR="00027395" w:rsidRPr="005F6745" w:rsidRDefault="00027395" w:rsidP="000E53A0">
            <w:pPr>
              <w:rPr>
                <w:szCs w:val="22"/>
              </w:rPr>
            </w:pPr>
          </w:p>
        </w:tc>
        <w:tc>
          <w:tcPr>
            <w:tcW w:w="424" w:type="dxa"/>
            <w:shd w:val="clear" w:color="auto" w:fill="B4C6E7" w:themeFill="accent1" w:themeFillTint="66"/>
          </w:tcPr>
          <w:p w14:paraId="17B0CCAB" w14:textId="77777777" w:rsidR="00027395" w:rsidRPr="005F6745" w:rsidRDefault="00027395" w:rsidP="000E53A0">
            <w:pPr>
              <w:rPr>
                <w:szCs w:val="22"/>
              </w:rPr>
            </w:pPr>
          </w:p>
        </w:tc>
        <w:tc>
          <w:tcPr>
            <w:tcW w:w="424" w:type="dxa"/>
            <w:shd w:val="clear" w:color="auto" w:fill="B4C6E7" w:themeFill="accent1" w:themeFillTint="66"/>
          </w:tcPr>
          <w:p w14:paraId="74A8707E" w14:textId="77777777" w:rsidR="00027395" w:rsidRPr="005F6745" w:rsidRDefault="00027395" w:rsidP="000E53A0">
            <w:pPr>
              <w:rPr>
                <w:szCs w:val="22"/>
              </w:rPr>
            </w:pPr>
          </w:p>
        </w:tc>
        <w:tc>
          <w:tcPr>
            <w:tcW w:w="424" w:type="dxa"/>
            <w:shd w:val="clear" w:color="auto" w:fill="B4C6E7" w:themeFill="accent1" w:themeFillTint="66"/>
          </w:tcPr>
          <w:p w14:paraId="7CF090B3" w14:textId="77777777" w:rsidR="00027395" w:rsidRPr="005F6745" w:rsidRDefault="00027395" w:rsidP="000E53A0">
            <w:pPr>
              <w:rPr>
                <w:szCs w:val="22"/>
              </w:rPr>
            </w:pPr>
          </w:p>
        </w:tc>
        <w:tc>
          <w:tcPr>
            <w:tcW w:w="424" w:type="dxa"/>
            <w:shd w:val="clear" w:color="auto" w:fill="B4C6E7" w:themeFill="accent1" w:themeFillTint="66"/>
          </w:tcPr>
          <w:p w14:paraId="33EC17D7" w14:textId="77777777" w:rsidR="00027395" w:rsidRPr="005F6745" w:rsidRDefault="00027395" w:rsidP="000E53A0">
            <w:pPr>
              <w:rPr>
                <w:szCs w:val="22"/>
              </w:rPr>
            </w:pPr>
          </w:p>
        </w:tc>
        <w:tc>
          <w:tcPr>
            <w:tcW w:w="424" w:type="dxa"/>
            <w:shd w:val="clear" w:color="auto" w:fill="B4C6E7" w:themeFill="accent1" w:themeFillTint="66"/>
          </w:tcPr>
          <w:p w14:paraId="035B73D8" w14:textId="77777777" w:rsidR="00027395" w:rsidRPr="005F6745" w:rsidRDefault="00027395" w:rsidP="000E53A0">
            <w:pPr>
              <w:rPr>
                <w:szCs w:val="22"/>
              </w:rPr>
            </w:pPr>
          </w:p>
        </w:tc>
        <w:tc>
          <w:tcPr>
            <w:tcW w:w="424" w:type="dxa"/>
            <w:shd w:val="clear" w:color="auto" w:fill="B4C6E7" w:themeFill="accent1" w:themeFillTint="66"/>
          </w:tcPr>
          <w:p w14:paraId="6677C5B0" w14:textId="77777777" w:rsidR="00027395" w:rsidRPr="005F6745" w:rsidRDefault="00027395" w:rsidP="000E53A0">
            <w:pPr>
              <w:rPr>
                <w:szCs w:val="22"/>
              </w:rPr>
            </w:pPr>
          </w:p>
        </w:tc>
        <w:tc>
          <w:tcPr>
            <w:tcW w:w="424" w:type="dxa"/>
            <w:shd w:val="clear" w:color="auto" w:fill="B4C6E7" w:themeFill="accent1" w:themeFillTint="66"/>
          </w:tcPr>
          <w:p w14:paraId="1BE7CED3" w14:textId="77777777" w:rsidR="00027395" w:rsidRPr="005F6745" w:rsidRDefault="00027395" w:rsidP="000E53A0">
            <w:pPr>
              <w:rPr>
                <w:szCs w:val="22"/>
              </w:rPr>
            </w:pPr>
          </w:p>
        </w:tc>
        <w:tc>
          <w:tcPr>
            <w:tcW w:w="424" w:type="dxa"/>
            <w:shd w:val="clear" w:color="auto" w:fill="B4C6E7" w:themeFill="accent1" w:themeFillTint="66"/>
          </w:tcPr>
          <w:p w14:paraId="26F63EFC" w14:textId="77777777" w:rsidR="00027395" w:rsidRPr="005F6745" w:rsidRDefault="00027395" w:rsidP="000E53A0">
            <w:pPr>
              <w:rPr>
                <w:szCs w:val="22"/>
              </w:rPr>
            </w:pPr>
          </w:p>
        </w:tc>
        <w:tc>
          <w:tcPr>
            <w:tcW w:w="424" w:type="dxa"/>
            <w:shd w:val="clear" w:color="auto" w:fill="B4C6E7" w:themeFill="accent1" w:themeFillTint="66"/>
          </w:tcPr>
          <w:p w14:paraId="4FDB0437" w14:textId="77777777" w:rsidR="00027395" w:rsidRPr="005F6745" w:rsidRDefault="00027395" w:rsidP="000E53A0">
            <w:pPr>
              <w:rPr>
                <w:szCs w:val="22"/>
              </w:rPr>
            </w:pPr>
          </w:p>
        </w:tc>
        <w:tc>
          <w:tcPr>
            <w:tcW w:w="424" w:type="dxa"/>
            <w:shd w:val="clear" w:color="auto" w:fill="B4C6E7" w:themeFill="accent1" w:themeFillTint="66"/>
          </w:tcPr>
          <w:p w14:paraId="203D9470" w14:textId="77777777" w:rsidR="00027395" w:rsidRPr="005F6745" w:rsidRDefault="00027395" w:rsidP="000E53A0">
            <w:pPr>
              <w:rPr>
                <w:szCs w:val="22"/>
              </w:rPr>
            </w:pPr>
          </w:p>
        </w:tc>
        <w:tc>
          <w:tcPr>
            <w:tcW w:w="424" w:type="dxa"/>
            <w:shd w:val="clear" w:color="auto" w:fill="B4C6E7" w:themeFill="accent1" w:themeFillTint="66"/>
          </w:tcPr>
          <w:p w14:paraId="75745A16" w14:textId="77777777" w:rsidR="00027395" w:rsidRPr="005F6745" w:rsidRDefault="00027395" w:rsidP="000E53A0">
            <w:pPr>
              <w:rPr>
                <w:szCs w:val="22"/>
              </w:rPr>
            </w:pPr>
          </w:p>
        </w:tc>
        <w:tc>
          <w:tcPr>
            <w:tcW w:w="424" w:type="dxa"/>
            <w:shd w:val="clear" w:color="auto" w:fill="B4C6E7" w:themeFill="accent1" w:themeFillTint="66"/>
          </w:tcPr>
          <w:p w14:paraId="0BB0F030" w14:textId="77777777" w:rsidR="00027395" w:rsidRPr="005F6745" w:rsidRDefault="00027395" w:rsidP="000E53A0">
            <w:pPr>
              <w:rPr>
                <w:szCs w:val="22"/>
              </w:rPr>
            </w:pPr>
          </w:p>
        </w:tc>
        <w:tc>
          <w:tcPr>
            <w:tcW w:w="424" w:type="dxa"/>
            <w:shd w:val="clear" w:color="auto" w:fill="B4C6E7" w:themeFill="accent1" w:themeFillTint="66"/>
          </w:tcPr>
          <w:p w14:paraId="1DFB0E06" w14:textId="77777777" w:rsidR="00027395" w:rsidRPr="005F6745" w:rsidRDefault="00027395" w:rsidP="000E53A0">
            <w:pPr>
              <w:rPr>
                <w:szCs w:val="22"/>
              </w:rPr>
            </w:pPr>
          </w:p>
        </w:tc>
        <w:tc>
          <w:tcPr>
            <w:tcW w:w="424" w:type="dxa"/>
            <w:shd w:val="clear" w:color="auto" w:fill="B4C6E7" w:themeFill="accent1" w:themeFillTint="66"/>
          </w:tcPr>
          <w:p w14:paraId="4355B294" w14:textId="77777777" w:rsidR="00027395" w:rsidRPr="005F6745" w:rsidRDefault="00027395" w:rsidP="000E53A0">
            <w:pPr>
              <w:rPr>
                <w:szCs w:val="22"/>
              </w:rPr>
            </w:pPr>
          </w:p>
        </w:tc>
        <w:tc>
          <w:tcPr>
            <w:tcW w:w="424" w:type="dxa"/>
            <w:shd w:val="clear" w:color="auto" w:fill="B4C6E7" w:themeFill="accent1" w:themeFillTint="66"/>
          </w:tcPr>
          <w:p w14:paraId="49B0ACA9" w14:textId="77777777" w:rsidR="00027395" w:rsidRPr="005F6745" w:rsidRDefault="00027395" w:rsidP="000E53A0">
            <w:pPr>
              <w:rPr>
                <w:szCs w:val="22"/>
              </w:rPr>
            </w:pPr>
          </w:p>
        </w:tc>
        <w:tc>
          <w:tcPr>
            <w:tcW w:w="424" w:type="dxa"/>
            <w:shd w:val="clear" w:color="auto" w:fill="B4C6E7" w:themeFill="accent1" w:themeFillTint="66"/>
          </w:tcPr>
          <w:p w14:paraId="19DCA185" w14:textId="77777777" w:rsidR="00027395" w:rsidRPr="005F6745" w:rsidRDefault="00027395" w:rsidP="000E53A0">
            <w:pPr>
              <w:rPr>
                <w:szCs w:val="22"/>
              </w:rPr>
            </w:pPr>
          </w:p>
        </w:tc>
      </w:tr>
    </w:tbl>
    <w:p w14:paraId="1E761E3F" w14:textId="77777777" w:rsidR="00027395" w:rsidRDefault="00027395" w:rsidP="003B2A79">
      <w:pPr>
        <w:rPr>
          <w:szCs w:val="22"/>
        </w:rPr>
      </w:pPr>
    </w:p>
    <w:bookmarkEnd w:id="72"/>
    <w:p w14:paraId="347324E3" w14:textId="77777777" w:rsidR="00601D9B" w:rsidRDefault="000E53A0">
      <w:pPr>
        <w:pStyle w:val="Titre2"/>
        <w:tabs>
          <w:tab w:val="left" w:pos="1740"/>
        </w:tabs>
        <w:ind w:left="0"/>
        <w:rPr>
          <w:rFonts w:asciiTheme="minorHAnsi" w:hAnsiTheme="minorHAnsi" w:cstheme="minorHAnsi"/>
          <w:szCs w:val="22"/>
        </w:rPr>
      </w:pPr>
      <w:r>
        <w:br w:type="page"/>
      </w:r>
      <w:bookmarkStart w:id="73" w:name="_Toc46749092"/>
      <w:bookmarkStart w:id="74" w:name="_Hlk82678100"/>
      <w:bookmarkEnd w:id="47"/>
      <w:bookmarkEnd w:id="48"/>
      <w:commentRangeStart w:id="75"/>
      <w:r w:rsidR="00BB0459" w:rsidRPr="001A7B9D">
        <w:rPr>
          <w:rFonts w:asciiTheme="minorHAnsi" w:hAnsiTheme="minorHAnsi" w:cstheme="minorHAnsi"/>
          <w:szCs w:val="22"/>
        </w:rPr>
        <w:lastRenderedPageBreak/>
        <w:t xml:space="preserve">Annexe </w:t>
      </w:r>
      <w:r w:rsidR="00163050">
        <w:rPr>
          <w:rFonts w:asciiTheme="minorHAnsi" w:hAnsiTheme="minorHAnsi" w:cstheme="minorHAnsi"/>
          <w:szCs w:val="22"/>
        </w:rPr>
        <w:t xml:space="preserve">5 </w:t>
      </w:r>
      <w:r w:rsidR="00BB0459" w:rsidRPr="001A7B9D">
        <w:rPr>
          <w:rFonts w:asciiTheme="minorHAnsi" w:hAnsiTheme="minorHAnsi" w:cstheme="minorHAnsi"/>
          <w:szCs w:val="22"/>
        </w:rPr>
        <w:t xml:space="preserve">: </w:t>
      </w:r>
      <w:r w:rsidR="00BD0D6F" w:rsidRPr="001A7B9D">
        <w:rPr>
          <w:rFonts w:asciiTheme="minorHAnsi" w:hAnsiTheme="minorHAnsi" w:cstheme="minorHAnsi"/>
          <w:szCs w:val="22"/>
        </w:rPr>
        <w:t xml:space="preserve">Plan de suivi </w:t>
      </w:r>
      <w:bookmarkEnd w:id="73"/>
      <w:commentRangeEnd w:id="75"/>
      <w:r w:rsidR="00107491">
        <w:rPr>
          <w:rStyle w:val="Marquedecommentaire"/>
          <w:rFonts w:ascii="Times New Roman" w:hAnsi="Times New Roman"/>
          <w:b w:val="0"/>
          <w:bCs w:val="0"/>
        </w:rPr>
        <w:commentReference w:id="75"/>
      </w:r>
    </w:p>
    <w:p w14:paraId="405AF5AD" w14:textId="77777777" w:rsidR="00601D9B" w:rsidRPr="000E53A0" w:rsidRDefault="000E53A0">
      <w:pPr>
        <w:rPr>
          <w:lang w:val="fr-FR"/>
        </w:rPr>
      </w:pPr>
      <w:bookmarkStart w:id="76" w:name="_Toc10449648"/>
      <w:r w:rsidRPr="000E53A0">
        <w:rPr>
          <w:lang w:val="fr-FR"/>
        </w:rPr>
        <w:t>Ce plan de suivi et le plan et le budget de suivi et d'évaluation de la section VI de ce document de projet guideront le suivi et l'évaluation au niveau du projet pendant toute la durée de sa mise en œuvre.</w:t>
      </w:r>
      <w:bookmarkEnd w:id="76"/>
      <w:r w:rsidR="00BD0D6F" w:rsidRPr="000E53A0">
        <w:rPr>
          <w:lang w:val="fr-FR"/>
        </w:rPr>
        <w:t xml:space="preserve">  </w:t>
      </w:r>
    </w:p>
    <w:p w14:paraId="7C8FC62F" w14:textId="77777777" w:rsidR="00BD0D6F" w:rsidRPr="000E53A0" w:rsidRDefault="00BD0D6F" w:rsidP="00BD0D6F">
      <w:pPr>
        <w:rPr>
          <w:i/>
          <w:szCs w:val="22"/>
          <w:lang w:val="fr-F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063"/>
        <w:gridCol w:w="1002"/>
        <w:gridCol w:w="796"/>
        <w:gridCol w:w="1010"/>
        <w:gridCol w:w="1483"/>
        <w:gridCol w:w="939"/>
        <w:gridCol w:w="1073"/>
        <w:gridCol w:w="1001"/>
        <w:gridCol w:w="1214"/>
      </w:tblGrid>
      <w:tr w:rsidR="00FA7166" w:rsidRPr="0003763F" w14:paraId="4BB97F1F" w14:textId="77777777" w:rsidTr="00D44120">
        <w:trPr>
          <w:trHeight w:val="980"/>
          <w:tblHeader/>
        </w:trPr>
        <w:tc>
          <w:tcPr>
            <w:tcW w:w="1392" w:type="dxa"/>
            <w:shd w:val="clear" w:color="auto" w:fill="D9D9D9"/>
            <w:vAlign w:val="center"/>
          </w:tcPr>
          <w:p w14:paraId="32B2FF32" w14:textId="77777777" w:rsidR="00601D9B" w:rsidRDefault="000E53A0">
            <w:pPr>
              <w:jc w:val="center"/>
              <w:rPr>
                <w:b/>
                <w:szCs w:val="20"/>
              </w:rPr>
            </w:pPr>
            <w:r w:rsidRPr="0003763F">
              <w:rPr>
                <w:b/>
                <w:szCs w:val="20"/>
              </w:rPr>
              <w:t>Surveillance</w:t>
            </w:r>
          </w:p>
        </w:tc>
        <w:tc>
          <w:tcPr>
            <w:tcW w:w="1216" w:type="dxa"/>
            <w:shd w:val="clear" w:color="auto" w:fill="D9D9D9"/>
            <w:vAlign w:val="center"/>
          </w:tcPr>
          <w:p w14:paraId="17F50067" w14:textId="77777777" w:rsidR="00601D9B" w:rsidRDefault="000E53A0">
            <w:pPr>
              <w:jc w:val="center"/>
              <w:rPr>
                <w:b/>
                <w:szCs w:val="20"/>
              </w:rPr>
            </w:pPr>
            <w:r w:rsidRPr="0003763F">
              <w:rPr>
                <w:b/>
                <w:szCs w:val="20"/>
              </w:rPr>
              <w:t>Indicateurs</w:t>
            </w:r>
          </w:p>
        </w:tc>
        <w:tc>
          <w:tcPr>
            <w:tcW w:w="923" w:type="dxa"/>
            <w:shd w:val="clear" w:color="auto" w:fill="D9D9D9"/>
            <w:vAlign w:val="center"/>
          </w:tcPr>
          <w:p w14:paraId="2D1D1DBA" w14:textId="77777777" w:rsidR="00372CE6" w:rsidRDefault="00372CE6" w:rsidP="00372CE6">
            <w:pPr>
              <w:jc w:val="center"/>
              <w:rPr>
                <w:b/>
                <w:szCs w:val="20"/>
              </w:rPr>
            </w:pPr>
          </w:p>
          <w:p w14:paraId="510A25C9" w14:textId="77777777" w:rsidR="00601D9B" w:rsidRDefault="000E53A0">
            <w:pPr>
              <w:jc w:val="center"/>
              <w:rPr>
                <w:b/>
                <w:szCs w:val="20"/>
              </w:rPr>
            </w:pPr>
            <w:r>
              <w:rPr>
                <w:b/>
                <w:szCs w:val="20"/>
              </w:rPr>
              <w:t>Cibles</w:t>
            </w:r>
          </w:p>
        </w:tc>
        <w:tc>
          <w:tcPr>
            <w:tcW w:w="1247" w:type="dxa"/>
            <w:shd w:val="clear" w:color="auto" w:fill="D9D9D9"/>
            <w:vAlign w:val="center"/>
          </w:tcPr>
          <w:p w14:paraId="0D587939" w14:textId="77777777" w:rsidR="00372CE6" w:rsidRPr="000E53A0" w:rsidRDefault="00372CE6" w:rsidP="00372CE6">
            <w:pPr>
              <w:jc w:val="center"/>
              <w:rPr>
                <w:b/>
                <w:szCs w:val="20"/>
                <w:lang w:val="fr-FR"/>
              </w:rPr>
            </w:pPr>
          </w:p>
          <w:p w14:paraId="162F3416" w14:textId="77777777" w:rsidR="00601D9B" w:rsidRPr="000E53A0" w:rsidRDefault="000E53A0">
            <w:pPr>
              <w:jc w:val="center"/>
              <w:rPr>
                <w:b/>
                <w:szCs w:val="20"/>
                <w:lang w:val="fr-FR"/>
              </w:rPr>
            </w:pPr>
            <w:r w:rsidRPr="000E53A0">
              <w:rPr>
                <w:b/>
                <w:szCs w:val="20"/>
                <w:lang w:val="fr-FR"/>
              </w:rPr>
              <w:t>Description des indicateurs et des objectifs</w:t>
            </w:r>
          </w:p>
          <w:p w14:paraId="2BEDE232" w14:textId="77777777" w:rsidR="00372CE6" w:rsidRPr="000E53A0" w:rsidRDefault="00372CE6" w:rsidP="00372CE6">
            <w:pPr>
              <w:jc w:val="center"/>
              <w:rPr>
                <w:b/>
                <w:szCs w:val="20"/>
                <w:lang w:val="fr-FR"/>
              </w:rPr>
            </w:pPr>
          </w:p>
        </w:tc>
        <w:tc>
          <w:tcPr>
            <w:tcW w:w="2007" w:type="dxa"/>
            <w:shd w:val="clear" w:color="auto" w:fill="D9D9D9"/>
            <w:vAlign w:val="center"/>
          </w:tcPr>
          <w:p w14:paraId="600B6676" w14:textId="77777777" w:rsidR="00601D9B" w:rsidRPr="000E53A0" w:rsidRDefault="000E53A0">
            <w:pPr>
              <w:jc w:val="center"/>
              <w:rPr>
                <w:b/>
                <w:bCs/>
                <w:sz w:val="18"/>
                <w:szCs w:val="18"/>
                <w:lang w:val="fr-FR"/>
              </w:rPr>
            </w:pPr>
            <w:r w:rsidRPr="000E53A0">
              <w:rPr>
                <w:b/>
                <w:szCs w:val="20"/>
                <w:lang w:val="fr-FR"/>
              </w:rPr>
              <w:t xml:space="preserve">Source de données/Méthodes de collecte </w:t>
            </w:r>
            <w:r w:rsidRPr="00520A61">
              <w:rPr>
                <w:rStyle w:val="Appelnotedebasdep"/>
                <w:rFonts w:ascii="Calibri" w:hAnsi="Calibri"/>
                <w:b/>
                <w:bCs/>
                <w:szCs w:val="18"/>
              </w:rPr>
              <w:footnoteReference w:id="92"/>
            </w:r>
          </w:p>
          <w:p w14:paraId="3066B5F4" w14:textId="77777777" w:rsidR="00372CE6" w:rsidRPr="000E53A0" w:rsidRDefault="00372CE6" w:rsidP="00372CE6">
            <w:pPr>
              <w:jc w:val="center"/>
              <w:rPr>
                <w:b/>
                <w:szCs w:val="20"/>
                <w:lang w:val="fr-FR"/>
              </w:rPr>
            </w:pPr>
          </w:p>
        </w:tc>
        <w:tc>
          <w:tcPr>
            <w:tcW w:w="1081" w:type="dxa"/>
            <w:shd w:val="clear" w:color="auto" w:fill="D9D9D9"/>
            <w:vAlign w:val="center"/>
          </w:tcPr>
          <w:p w14:paraId="6F5F197F" w14:textId="77777777" w:rsidR="00601D9B" w:rsidRDefault="000E53A0">
            <w:pPr>
              <w:jc w:val="center"/>
              <w:rPr>
                <w:b/>
                <w:szCs w:val="20"/>
              </w:rPr>
            </w:pPr>
            <w:r w:rsidRPr="0003763F">
              <w:rPr>
                <w:b/>
                <w:szCs w:val="20"/>
              </w:rPr>
              <w:t>Fréquence</w:t>
            </w:r>
          </w:p>
          <w:p w14:paraId="2E61FE65" w14:textId="77777777" w:rsidR="00372CE6" w:rsidRPr="0003763F" w:rsidRDefault="00372CE6" w:rsidP="00372CE6">
            <w:pPr>
              <w:jc w:val="center"/>
              <w:rPr>
                <w:b/>
                <w:szCs w:val="20"/>
              </w:rPr>
            </w:pPr>
          </w:p>
        </w:tc>
        <w:tc>
          <w:tcPr>
            <w:tcW w:w="1551" w:type="dxa"/>
            <w:shd w:val="clear" w:color="auto" w:fill="D9D9D9"/>
            <w:vAlign w:val="center"/>
          </w:tcPr>
          <w:p w14:paraId="006939D8" w14:textId="77777777" w:rsidR="00601D9B" w:rsidRPr="000E53A0" w:rsidRDefault="000E53A0">
            <w:pPr>
              <w:jc w:val="center"/>
              <w:rPr>
                <w:b/>
                <w:szCs w:val="20"/>
                <w:lang w:val="fr-FR"/>
              </w:rPr>
            </w:pPr>
            <w:r w:rsidRPr="000E53A0">
              <w:rPr>
                <w:b/>
                <w:szCs w:val="20"/>
                <w:lang w:val="fr-FR"/>
              </w:rPr>
              <w:t>Responsable de la collecte des données</w:t>
            </w:r>
          </w:p>
        </w:tc>
        <w:tc>
          <w:tcPr>
            <w:tcW w:w="1160" w:type="dxa"/>
            <w:shd w:val="clear" w:color="auto" w:fill="D9D9D9"/>
            <w:vAlign w:val="center"/>
          </w:tcPr>
          <w:p w14:paraId="5FDCBC14" w14:textId="77777777" w:rsidR="00601D9B" w:rsidRDefault="000E53A0">
            <w:pPr>
              <w:jc w:val="center"/>
              <w:rPr>
                <w:b/>
                <w:szCs w:val="20"/>
              </w:rPr>
            </w:pPr>
            <w:r w:rsidRPr="0003763F">
              <w:rPr>
                <w:b/>
                <w:szCs w:val="20"/>
              </w:rPr>
              <w:t>Moyens de vérification</w:t>
            </w:r>
          </w:p>
        </w:tc>
        <w:tc>
          <w:tcPr>
            <w:tcW w:w="2378" w:type="dxa"/>
            <w:shd w:val="clear" w:color="auto" w:fill="D9D9D9"/>
            <w:vAlign w:val="center"/>
          </w:tcPr>
          <w:p w14:paraId="32283657" w14:textId="77777777" w:rsidR="00601D9B" w:rsidRDefault="000E53A0">
            <w:pPr>
              <w:jc w:val="center"/>
              <w:rPr>
                <w:b/>
                <w:bCs/>
                <w:sz w:val="18"/>
                <w:szCs w:val="18"/>
              </w:rPr>
            </w:pPr>
            <w:r>
              <w:rPr>
                <w:b/>
                <w:bCs/>
                <w:sz w:val="18"/>
                <w:szCs w:val="18"/>
              </w:rPr>
              <w:t>Risques/hypothèses</w:t>
            </w:r>
          </w:p>
        </w:tc>
      </w:tr>
      <w:tr w:rsidR="00372CE6" w:rsidRPr="000E53A0" w14:paraId="2E9FDCCC" w14:textId="77777777" w:rsidTr="00D44120">
        <w:trPr>
          <w:trHeight w:val="1358"/>
        </w:trPr>
        <w:tc>
          <w:tcPr>
            <w:tcW w:w="1392" w:type="dxa"/>
            <w:vMerge w:val="restart"/>
            <w:shd w:val="clear" w:color="auto" w:fill="auto"/>
          </w:tcPr>
          <w:p w14:paraId="264EA819" w14:textId="77777777" w:rsidR="00601D9B" w:rsidRPr="000E53A0" w:rsidRDefault="000E53A0">
            <w:pPr>
              <w:rPr>
                <w:b/>
                <w:sz w:val="18"/>
                <w:szCs w:val="18"/>
                <w:lang w:val="fr-FR"/>
              </w:rPr>
            </w:pPr>
            <w:r w:rsidRPr="000E53A0">
              <w:rPr>
                <w:b/>
                <w:sz w:val="18"/>
                <w:szCs w:val="18"/>
                <w:lang w:val="fr-FR"/>
              </w:rPr>
              <w:t>Objectif du projet selon le cadre de résultats</w:t>
            </w:r>
          </w:p>
        </w:tc>
        <w:tc>
          <w:tcPr>
            <w:tcW w:w="1216" w:type="dxa"/>
            <w:shd w:val="clear" w:color="auto" w:fill="auto"/>
          </w:tcPr>
          <w:p w14:paraId="329386C6" w14:textId="77777777" w:rsidR="00601D9B" w:rsidRPr="000E53A0" w:rsidRDefault="000E53A0">
            <w:pPr>
              <w:rPr>
                <w:b/>
                <w:i/>
                <w:sz w:val="18"/>
                <w:szCs w:val="18"/>
                <w:lang w:val="fr-FR"/>
              </w:rPr>
            </w:pPr>
            <w:r w:rsidRPr="000E53A0">
              <w:rPr>
                <w:b/>
                <w:i/>
                <w:sz w:val="18"/>
                <w:szCs w:val="18"/>
                <w:lang w:val="fr-FR"/>
              </w:rPr>
              <w:t xml:space="preserve">Indicateur 1 </w:t>
            </w:r>
          </w:p>
          <w:p w14:paraId="60A61C8A" w14:textId="77777777" w:rsidR="00601D9B" w:rsidRPr="000E53A0" w:rsidRDefault="000E53A0">
            <w:pPr>
              <w:rPr>
                <w:i/>
                <w:sz w:val="18"/>
                <w:szCs w:val="18"/>
                <w:lang w:val="fr-FR"/>
              </w:rPr>
            </w:pPr>
            <w:r w:rsidRPr="000E53A0">
              <w:rPr>
                <w:i/>
                <w:sz w:val="18"/>
                <w:szCs w:val="18"/>
                <w:highlight w:val="yellow"/>
                <w:lang w:val="fr-FR"/>
              </w:rPr>
              <w:t>Copie du cadre de résultats</w:t>
            </w:r>
          </w:p>
          <w:p w14:paraId="5FA1C654" w14:textId="77777777" w:rsidR="00372CE6" w:rsidRPr="000E53A0" w:rsidRDefault="00372CE6" w:rsidP="00E2660F">
            <w:pPr>
              <w:rPr>
                <w:i/>
                <w:sz w:val="18"/>
                <w:szCs w:val="18"/>
                <w:lang w:val="fr-FR"/>
              </w:rPr>
            </w:pPr>
          </w:p>
        </w:tc>
        <w:tc>
          <w:tcPr>
            <w:tcW w:w="923" w:type="dxa"/>
          </w:tcPr>
          <w:p w14:paraId="5C426971" w14:textId="77777777" w:rsidR="00601D9B" w:rsidRPr="000E53A0" w:rsidRDefault="000E53A0">
            <w:pPr>
              <w:rPr>
                <w:i/>
                <w:szCs w:val="20"/>
                <w:highlight w:val="yellow"/>
                <w:lang w:val="fr-FR"/>
              </w:rPr>
            </w:pPr>
            <w:r w:rsidRPr="000E53A0">
              <w:rPr>
                <w:i/>
                <w:szCs w:val="20"/>
                <w:highlight w:val="yellow"/>
                <w:lang w:val="fr-FR"/>
              </w:rPr>
              <w:t xml:space="preserve">Répartir les objectifs à mi-parcours et à la </w:t>
            </w:r>
            <w:r w:rsidR="007B4042" w:rsidRPr="000E53A0">
              <w:rPr>
                <w:i/>
                <w:szCs w:val="20"/>
                <w:highlight w:val="yellow"/>
                <w:lang w:val="fr-FR"/>
              </w:rPr>
              <w:t>fin du projet</w:t>
            </w:r>
            <w:r w:rsidR="002E0472" w:rsidRPr="000E53A0">
              <w:rPr>
                <w:i/>
                <w:szCs w:val="20"/>
                <w:highlight w:val="yellow"/>
                <w:lang w:val="fr-FR"/>
              </w:rPr>
              <w:t>. Peut ajouter des objectifs annuels estimés si possible</w:t>
            </w:r>
          </w:p>
        </w:tc>
        <w:tc>
          <w:tcPr>
            <w:tcW w:w="1247" w:type="dxa"/>
          </w:tcPr>
          <w:p w14:paraId="7AD40796" w14:textId="77777777" w:rsidR="00601D9B" w:rsidRPr="000E53A0" w:rsidRDefault="000E53A0">
            <w:pPr>
              <w:rPr>
                <w:i/>
                <w:sz w:val="18"/>
                <w:szCs w:val="18"/>
                <w:highlight w:val="yellow"/>
                <w:lang w:val="fr-FR"/>
              </w:rPr>
            </w:pPr>
            <w:r w:rsidRPr="000E53A0">
              <w:rPr>
                <w:i/>
                <w:szCs w:val="20"/>
                <w:highlight w:val="yellow"/>
                <w:lang w:val="fr-FR"/>
              </w:rPr>
              <w:t>Décrivez l'indicateur et précisez comment les valeurs cibles ont été obtenues.</w:t>
            </w:r>
          </w:p>
        </w:tc>
        <w:tc>
          <w:tcPr>
            <w:tcW w:w="2007" w:type="dxa"/>
            <w:shd w:val="clear" w:color="auto" w:fill="auto"/>
          </w:tcPr>
          <w:p w14:paraId="33340924" w14:textId="77777777" w:rsidR="00601D9B" w:rsidRPr="000E53A0" w:rsidRDefault="000E53A0">
            <w:pPr>
              <w:rPr>
                <w:i/>
                <w:sz w:val="18"/>
                <w:szCs w:val="18"/>
                <w:highlight w:val="yellow"/>
                <w:lang w:val="fr-FR"/>
              </w:rPr>
            </w:pPr>
            <w:r w:rsidRPr="000E53A0">
              <w:rPr>
                <w:i/>
                <w:sz w:val="18"/>
                <w:szCs w:val="18"/>
                <w:highlight w:val="yellow"/>
                <w:lang w:val="fr-FR"/>
              </w:rPr>
              <w:t>Indiquez la source des données de base et des objectifs et expliquez comment ces données ont été collectées et comment elles devraient être collectées pendant la mise en œuvre du projet. Détaillez la méthodologie à utiliser (par exemple, la méthodologie de mesure des GES du FEM).</w:t>
            </w:r>
          </w:p>
        </w:tc>
        <w:tc>
          <w:tcPr>
            <w:tcW w:w="1081" w:type="dxa"/>
            <w:shd w:val="clear" w:color="auto" w:fill="auto"/>
          </w:tcPr>
          <w:p w14:paraId="6E4F8976" w14:textId="77777777" w:rsidR="00601D9B" w:rsidRPr="000E53A0" w:rsidRDefault="000E53A0">
            <w:pPr>
              <w:rPr>
                <w:sz w:val="18"/>
                <w:szCs w:val="18"/>
                <w:highlight w:val="yellow"/>
                <w:lang w:val="fr-FR"/>
              </w:rPr>
            </w:pPr>
            <w:r w:rsidRPr="000E53A0">
              <w:rPr>
                <w:sz w:val="18"/>
                <w:szCs w:val="18"/>
                <w:highlight w:val="yellow"/>
                <w:lang w:val="fr-FR"/>
              </w:rPr>
              <w:t xml:space="preserve">Annuellement </w:t>
            </w:r>
          </w:p>
          <w:p w14:paraId="7C595678" w14:textId="77777777" w:rsidR="00372CE6" w:rsidRPr="000E53A0" w:rsidRDefault="00372CE6" w:rsidP="00E2660F">
            <w:pPr>
              <w:rPr>
                <w:sz w:val="18"/>
                <w:szCs w:val="18"/>
                <w:highlight w:val="yellow"/>
                <w:lang w:val="fr-FR"/>
              </w:rPr>
            </w:pPr>
          </w:p>
          <w:p w14:paraId="0A573B4C" w14:textId="77777777" w:rsidR="00601D9B" w:rsidRPr="000E53A0" w:rsidRDefault="000E53A0">
            <w:pPr>
              <w:rPr>
                <w:sz w:val="18"/>
                <w:szCs w:val="18"/>
                <w:highlight w:val="yellow"/>
                <w:lang w:val="fr-FR"/>
              </w:rPr>
            </w:pPr>
            <w:r w:rsidRPr="000E53A0">
              <w:rPr>
                <w:sz w:val="18"/>
                <w:szCs w:val="18"/>
                <w:highlight w:val="yellow"/>
                <w:lang w:val="fr-FR"/>
              </w:rPr>
              <w:t>Rapporté dans l'onglet DO du GEF PIR</w:t>
            </w:r>
          </w:p>
        </w:tc>
        <w:tc>
          <w:tcPr>
            <w:tcW w:w="1551" w:type="dxa"/>
            <w:shd w:val="clear" w:color="auto" w:fill="auto"/>
          </w:tcPr>
          <w:p w14:paraId="4F8A9645" w14:textId="77777777" w:rsidR="00601D9B" w:rsidRPr="000E53A0" w:rsidRDefault="000E53A0">
            <w:pPr>
              <w:rPr>
                <w:i/>
                <w:sz w:val="18"/>
                <w:szCs w:val="18"/>
                <w:highlight w:val="yellow"/>
                <w:lang w:val="fr-FR"/>
              </w:rPr>
            </w:pPr>
            <w:r w:rsidRPr="000E53A0">
              <w:rPr>
                <w:i/>
                <w:sz w:val="18"/>
                <w:szCs w:val="18"/>
                <w:highlight w:val="yellow"/>
                <w:lang w:val="fr-FR"/>
              </w:rPr>
              <w:t>Par exemple, l'Office national des statistiques ; le bureau national du PNUD ;</w:t>
            </w:r>
          </w:p>
          <w:p w14:paraId="12B3AFBC" w14:textId="77777777" w:rsidR="00601D9B" w:rsidRDefault="000E53A0">
            <w:pPr>
              <w:rPr>
                <w:i/>
                <w:sz w:val="18"/>
                <w:szCs w:val="18"/>
                <w:highlight w:val="yellow"/>
              </w:rPr>
            </w:pPr>
            <w:r w:rsidRPr="00372CE6">
              <w:rPr>
                <w:i/>
                <w:sz w:val="18"/>
                <w:szCs w:val="18"/>
                <w:highlight w:val="yellow"/>
              </w:rPr>
              <w:t>Consultant de projet</w:t>
            </w:r>
          </w:p>
          <w:p w14:paraId="12696A89" w14:textId="77777777" w:rsidR="00372CE6" w:rsidRPr="00372CE6" w:rsidRDefault="00372CE6" w:rsidP="00E2660F">
            <w:pPr>
              <w:rPr>
                <w:i/>
                <w:sz w:val="18"/>
                <w:szCs w:val="18"/>
                <w:highlight w:val="yellow"/>
              </w:rPr>
            </w:pPr>
          </w:p>
        </w:tc>
        <w:tc>
          <w:tcPr>
            <w:tcW w:w="1160" w:type="dxa"/>
            <w:shd w:val="clear" w:color="auto" w:fill="auto"/>
          </w:tcPr>
          <w:p w14:paraId="7128B5D3" w14:textId="77777777" w:rsidR="00601D9B" w:rsidRPr="000E53A0" w:rsidRDefault="000E53A0">
            <w:pPr>
              <w:rPr>
                <w:i/>
                <w:sz w:val="18"/>
                <w:szCs w:val="18"/>
                <w:highlight w:val="yellow"/>
                <w:lang w:val="fr-FR"/>
              </w:rPr>
            </w:pPr>
            <w:r w:rsidRPr="000E53A0">
              <w:rPr>
                <w:i/>
                <w:sz w:val="18"/>
                <w:szCs w:val="18"/>
                <w:highlight w:val="yellow"/>
                <w:lang w:val="fr-FR"/>
              </w:rPr>
              <w:t>Rapport du consultant</w:t>
            </w:r>
          </w:p>
          <w:p w14:paraId="41D4585D" w14:textId="77777777" w:rsidR="00372CE6" w:rsidRPr="000E53A0" w:rsidRDefault="00372CE6" w:rsidP="00E2660F">
            <w:pPr>
              <w:rPr>
                <w:i/>
                <w:sz w:val="18"/>
                <w:szCs w:val="18"/>
                <w:highlight w:val="yellow"/>
                <w:lang w:val="fr-FR"/>
              </w:rPr>
            </w:pPr>
          </w:p>
          <w:p w14:paraId="0A4EB33E" w14:textId="77777777" w:rsidR="00601D9B" w:rsidRPr="000E53A0" w:rsidRDefault="000E53A0">
            <w:pPr>
              <w:rPr>
                <w:i/>
                <w:sz w:val="18"/>
                <w:szCs w:val="18"/>
                <w:highlight w:val="yellow"/>
                <w:lang w:val="fr-FR"/>
              </w:rPr>
            </w:pPr>
            <w:r w:rsidRPr="000E53A0">
              <w:rPr>
                <w:i/>
                <w:sz w:val="18"/>
                <w:szCs w:val="18"/>
                <w:highlight w:val="yellow"/>
                <w:lang w:val="fr-FR"/>
              </w:rPr>
              <w:t>Rapport sur les statistiques nationales</w:t>
            </w:r>
          </w:p>
          <w:p w14:paraId="083F01A2" w14:textId="77777777" w:rsidR="00372CE6" w:rsidRPr="000E53A0" w:rsidRDefault="00372CE6" w:rsidP="00E2660F">
            <w:pPr>
              <w:rPr>
                <w:i/>
                <w:sz w:val="18"/>
                <w:szCs w:val="18"/>
                <w:highlight w:val="yellow"/>
                <w:lang w:val="fr-FR"/>
              </w:rPr>
            </w:pPr>
          </w:p>
        </w:tc>
        <w:tc>
          <w:tcPr>
            <w:tcW w:w="2378" w:type="dxa"/>
            <w:shd w:val="clear" w:color="auto" w:fill="auto"/>
          </w:tcPr>
          <w:p w14:paraId="742E487D" w14:textId="77777777" w:rsidR="00601D9B" w:rsidRPr="000E53A0" w:rsidRDefault="000E53A0">
            <w:pPr>
              <w:rPr>
                <w:bCs/>
                <w:i/>
                <w:sz w:val="18"/>
                <w:szCs w:val="18"/>
                <w:highlight w:val="yellow"/>
                <w:lang w:val="fr-FR"/>
              </w:rPr>
            </w:pPr>
            <w:r w:rsidRPr="000E53A0">
              <w:rPr>
                <w:bCs/>
                <w:i/>
                <w:sz w:val="18"/>
                <w:szCs w:val="18"/>
                <w:highlight w:val="yellow"/>
                <w:lang w:val="fr-FR"/>
              </w:rPr>
              <w:t xml:space="preserve">Expliquez les risques et les hypothèses qui ont été faites lors de la </w:t>
            </w:r>
            <w:r w:rsidR="00CA0085" w:rsidRPr="000E53A0">
              <w:rPr>
                <w:bCs/>
                <w:i/>
                <w:sz w:val="18"/>
                <w:szCs w:val="18"/>
                <w:highlight w:val="yellow"/>
                <w:lang w:val="fr-FR"/>
              </w:rPr>
              <w:t xml:space="preserve">sélection de l'objectif et de l'élaboration de la théorie du changement du projet. Quels risques ont été identifiés qui, s'ils se matérialisent, empêcheront le projet d'atteindre son objectif/résultat. Incluez toutes les hypothèses faites lors de l'estimation des </w:t>
            </w:r>
            <w:r w:rsidRPr="000E53A0">
              <w:rPr>
                <w:bCs/>
                <w:i/>
                <w:sz w:val="18"/>
                <w:szCs w:val="18"/>
                <w:highlight w:val="yellow"/>
                <w:lang w:val="fr-FR"/>
              </w:rPr>
              <w:t xml:space="preserve">valeurs </w:t>
            </w:r>
            <w:r w:rsidR="00CA0085" w:rsidRPr="000E53A0">
              <w:rPr>
                <w:bCs/>
                <w:i/>
                <w:sz w:val="18"/>
                <w:szCs w:val="18"/>
                <w:highlight w:val="yellow"/>
                <w:lang w:val="fr-FR"/>
              </w:rPr>
              <w:t>cibles.</w:t>
            </w:r>
          </w:p>
        </w:tc>
      </w:tr>
      <w:tr w:rsidR="00372CE6" w:rsidRPr="0003763F" w14:paraId="323D09AC" w14:textId="77777777" w:rsidTr="00D44120">
        <w:trPr>
          <w:trHeight w:val="278"/>
        </w:trPr>
        <w:tc>
          <w:tcPr>
            <w:tcW w:w="1392" w:type="dxa"/>
            <w:vMerge/>
            <w:shd w:val="clear" w:color="auto" w:fill="auto"/>
          </w:tcPr>
          <w:p w14:paraId="45E63B7A" w14:textId="77777777" w:rsidR="00372CE6" w:rsidRPr="000E53A0" w:rsidRDefault="00372CE6" w:rsidP="00E2660F">
            <w:pPr>
              <w:rPr>
                <w:b/>
                <w:sz w:val="18"/>
                <w:szCs w:val="18"/>
                <w:lang w:val="fr-FR"/>
              </w:rPr>
            </w:pPr>
          </w:p>
        </w:tc>
        <w:tc>
          <w:tcPr>
            <w:tcW w:w="1216" w:type="dxa"/>
            <w:shd w:val="clear" w:color="auto" w:fill="auto"/>
          </w:tcPr>
          <w:p w14:paraId="2C848818" w14:textId="77777777" w:rsidR="00601D9B" w:rsidRDefault="000E53A0">
            <w:pPr>
              <w:rPr>
                <w:b/>
                <w:i/>
                <w:sz w:val="18"/>
                <w:szCs w:val="18"/>
              </w:rPr>
            </w:pPr>
            <w:r w:rsidRPr="0003763F">
              <w:rPr>
                <w:b/>
                <w:i/>
                <w:sz w:val="18"/>
                <w:szCs w:val="18"/>
              </w:rPr>
              <w:t>Indicateur 2</w:t>
            </w:r>
          </w:p>
        </w:tc>
        <w:tc>
          <w:tcPr>
            <w:tcW w:w="923" w:type="dxa"/>
          </w:tcPr>
          <w:p w14:paraId="7365D336" w14:textId="77777777" w:rsidR="00372CE6" w:rsidRPr="0003763F" w:rsidRDefault="00372CE6" w:rsidP="00E2660F">
            <w:pPr>
              <w:rPr>
                <w:i/>
                <w:sz w:val="18"/>
                <w:szCs w:val="18"/>
              </w:rPr>
            </w:pPr>
          </w:p>
        </w:tc>
        <w:tc>
          <w:tcPr>
            <w:tcW w:w="1247" w:type="dxa"/>
          </w:tcPr>
          <w:p w14:paraId="2464BE4C" w14:textId="77777777" w:rsidR="00372CE6" w:rsidRPr="0003763F" w:rsidRDefault="00372CE6" w:rsidP="00E2660F">
            <w:pPr>
              <w:rPr>
                <w:i/>
                <w:sz w:val="18"/>
                <w:szCs w:val="18"/>
              </w:rPr>
            </w:pPr>
          </w:p>
        </w:tc>
        <w:tc>
          <w:tcPr>
            <w:tcW w:w="2007" w:type="dxa"/>
            <w:shd w:val="clear" w:color="auto" w:fill="auto"/>
          </w:tcPr>
          <w:p w14:paraId="47E530DE" w14:textId="77777777" w:rsidR="00372CE6" w:rsidRPr="0003763F" w:rsidRDefault="00372CE6" w:rsidP="00E2660F">
            <w:pPr>
              <w:rPr>
                <w:i/>
                <w:sz w:val="18"/>
                <w:szCs w:val="18"/>
              </w:rPr>
            </w:pPr>
          </w:p>
        </w:tc>
        <w:tc>
          <w:tcPr>
            <w:tcW w:w="1081" w:type="dxa"/>
            <w:shd w:val="clear" w:color="auto" w:fill="auto"/>
          </w:tcPr>
          <w:p w14:paraId="3E908486" w14:textId="77777777" w:rsidR="00372CE6" w:rsidRPr="0003763F" w:rsidRDefault="00372CE6" w:rsidP="00E2660F">
            <w:pPr>
              <w:rPr>
                <w:sz w:val="18"/>
                <w:szCs w:val="18"/>
              </w:rPr>
            </w:pPr>
          </w:p>
        </w:tc>
        <w:tc>
          <w:tcPr>
            <w:tcW w:w="1551" w:type="dxa"/>
            <w:shd w:val="clear" w:color="auto" w:fill="auto"/>
          </w:tcPr>
          <w:p w14:paraId="4938D448" w14:textId="77777777" w:rsidR="00372CE6" w:rsidRPr="0003763F" w:rsidRDefault="00372CE6" w:rsidP="00E2660F">
            <w:pPr>
              <w:rPr>
                <w:i/>
                <w:sz w:val="18"/>
                <w:szCs w:val="18"/>
              </w:rPr>
            </w:pPr>
          </w:p>
        </w:tc>
        <w:tc>
          <w:tcPr>
            <w:tcW w:w="1160" w:type="dxa"/>
            <w:shd w:val="clear" w:color="auto" w:fill="auto"/>
          </w:tcPr>
          <w:p w14:paraId="2434B290" w14:textId="77777777" w:rsidR="00372CE6" w:rsidRPr="0003763F" w:rsidRDefault="00372CE6" w:rsidP="00E2660F">
            <w:pPr>
              <w:rPr>
                <w:i/>
                <w:sz w:val="18"/>
                <w:szCs w:val="18"/>
              </w:rPr>
            </w:pPr>
          </w:p>
        </w:tc>
        <w:tc>
          <w:tcPr>
            <w:tcW w:w="2378" w:type="dxa"/>
            <w:shd w:val="clear" w:color="auto" w:fill="auto"/>
          </w:tcPr>
          <w:p w14:paraId="14B30114" w14:textId="77777777" w:rsidR="00372CE6" w:rsidRPr="0003763F" w:rsidRDefault="00372CE6" w:rsidP="00E2660F">
            <w:pPr>
              <w:rPr>
                <w:i/>
                <w:sz w:val="18"/>
                <w:szCs w:val="18"/>
              </w:rPr>
            </w:pPr>
          </w:p>
        </w:tc>
      </w:tr>
      <w:tr w:rsidR="00372CE6" w:rsidRPr="0003763F" w14:paraId="2C45B06D" w14:textId="77777777" w:rsidTr="00D44120">
        <w:trPr>
          <w:trHeight w:val="260"/>
        </w:trPr>
        <w:tc>
          <w:tcPr>
            <w:tcW w:w="1392" w:type="dxa"/>
            <w:vMerge/>
            <w:shd w:val="clear" w:color="auto" w:fill="auto"/>
          </w:tcPr>
          <w:p w14:paraId="6AA8E82B" w14:textId="77777777" w:rsidR="00372CE6" w:rsidRPr="0003763F" w:rsidRDefault="00372CE6" w:rsidP="00E2660F">
            <w:pPr>
              <w:rPr>
                <w:b/>
                <w:sz w:val="18"/>
                <w:szCs w:val="18"/>
              </w:rPr>
            </w:pPr>
          </w:p>
        </w:tc>
        <w:tc>
          <w:tcPr>
            <w:tcW w:w="1216" w:type="dxa"/>
            <w:shd w:val="clear" w:color="auto" w:fill="auto"/>
          </w:tcPr>
          <w:p w14:paraId="6CDFADE8" w14:textId="77777777" w:rsidR="00601D9B" w:rsidRDefault="000E53A0">
            <w:pPr>
              <w:rPr>
                <w:b/>
                <w:i/>
                <w:sz w:val="18"/>
                <w:szCs w:val="18"/>
              </w:rPr>
            </w:pPr>
            <w:r w:rsidRPr="0003763F">
              <w:rPr>
                <w:b/>
                <w:i/>
                <w:sz w:val="18"/>
                <w:szCs w:val="18"/>
              </w:rPr>
              <w:t>Indicateur 3</w:t>
            </w:r>
          </w:p>
        </w:tc>
        <w:tc>
          <w:tcPr>
            <w:tcW w:w="923" w:type="dxa"/>
          </w:tcPr>
          <w:p w14:paraId="5C1F99E3" w14:textId="77777777" w:rsidR="00372CE6" w:rsidRPr="0003763F" w:rsidRDefault="00372CE6" w:rsidP="00E2660F">
            <w:pPr>
              <w:rPr>
                <w:i/>
                <w:sz w:val="18"/>
                <w:szCs w:val="18"/>
              </w:rPr>
            </w:pPr>
          </w:p>
        </w:tc>
        <w:tc>
          <w:tcPr>
            <w:tcW w:w="1247" w:type="dxa"/>
          </w:tcPr>
          <w:p w14:paraId="435F7600" w14:textId="77777777" w:rsidR="00372CE6" w:rsidRPr="0003763F" w:rsidRDefault="00372CE6" w:rsidP="00E2660F">
            <w:pPr>
              <w:rPr>
                <w:i/>
                <w:sz w:val="18"/>
                <w:szCs w:val="18"/>
              </w:rPr>
            </w:pPr>
          </w:p>
        </w:tc>
        <w:tc>
          <w:tcPr>
            <w:tcW w:w="2007" w:type="dxa"/>
            <w:shd w:val="clear" w:color="auto" w:fill="auto"/>
          </w:tcPr>
          <w:p w14:paraId="403EC45A" w14:textId="77777777" w:rsidR="00372CE6" w:rsidRPr="0003763F" w:rsidRDefault="00372CE6" w:rsidP="00E2660F">
            <w:pPr>
              <w:rPr>
                <w:i/>
                <w:sz w:val="18"/>
                <w:szCs w:val="18"/>
              </w:rPr>
            </w:pPr>
          </w:p>
        </w:tc>
        <w:tc>
          <w:tcPr>
            <w:tcW w:w="1081" w:type="dxa"/>
            <w:shd w:val="clear" w:color="auto" w:fill="auto"/>
          </w:tcPr>
          <w:p w14:paraId="42FF8F2E" w14:textId="77777777" w:rsidR="00372CE6" w:rsidRPr="0003763F" w:rsidRDefault="00372CE6" w:rsidP="00E2660F">
            <w:pPr>
              <w:rPr>
                <w:sz w:val="18"/>
                <w:szCs w:val="18"/>
              </w:rPr>
            </w:pPr>
          </w:p>
        </w:tc>
        <w:tc>
          <w:tcPr>
            <w:tcW w:w="1551" w:type="dxa"/>
            <w:shd w:val="clear" w:color="auto" w:fill="auto"/>
          </w:tcPr>
          <w:p w14:paraId="6124B36C" w14:textId="77777777" w:rsidR="00372CE6" w:rsidRPr="0003763F" w:rsidRDefault="00372CE6" w:rsidP="00E2660F">
            <w:pPr>
              <w:rPr>
                <w:i/>
                <w:sz w:val="18"/>
                <w:szCs w:val="18"/>
              </w:rPr>
            </w:pPr>
          </w:p>
        </w:tc>
        <w:tc>
          <w:tcPr>
            <w:tcW w:w="1160" w:type="dxa"/>
            <w:shd w:val="clear" w:color="auto" w:fill="auto"/>
          </w:tcPr>
          <w:p w14:paraId="58041CA9" w14:textId="77777777" w:rsidR="00372CE6" w:rsidRPr="0003763F" w:rsidRDefault="00372CE6" w:rsidP="00E2660F">
            <w:pPr>
              <w:rPr>
                <w:i/>
                <w:sz w:val="18"/>
                <w:szCs w:val="18"/>
              </w:rPr>
            </w:pPr>
          </w:p>
        </w:tc>
        <w:tc>
          <w:tcPr>
            <w:tcW w:w="2378" w:type="dxa"/>
            <w:shd w:val="clear" w:color="auto" w:fill="auto"/>
          </w:tcPr>
          <w:p w14:paraId="30CC64D9" w14:textId="77777777" w:rsidR="00372CE6" w:rsidRPr="0003763F" w:rsidRDefault="00372CE6" w:rsidP="00E2660F">
            <w:pPr>
              <w:rPr>
                <w:i/>
                <w:sz w:val="18"/>
                <w:szCs w:val="18"/>
              </w:rPr>
            </w:pPr>
          </w:p>
        </w:tc>
      </w:tr>
      <w:tr w:rsidR="00372CE6" w:rsidRPr="0003763F" w14:paraId="1FEE6934" w14:textId="77777777" w:rsidTr="00D44120">
        <w:trPr>
          <w:trHeight w:val="260"/>
        </w:trPr>
        <w:tc>
          <w:tcPr>
            <w:tcW w:w="1392" w:type="dxa"/>
            <w:vMerge/>
            <w:shd w:val="clear" w:color="auto" w:fill="auto"/>
          </w:tcPr>
          <w:p w14:paraId="088E060A" w14:textId="77777777" w:rsidR="00372CE6" w:rsidRPr="0003763F" w:rsidRDefault="00372CE6" w:rsidP="00E2660F">
            <w:pPr>
              <w:rPr>
                <w:b/>
                <w:sz w:val="18"/>
                <w:szCs w:val="18"/>
              </w:rPr>
            </w:pPr>
          </w:p>
        </w:tc>
        <w:tc>
          <w:tcPr>
            <w:tcW w:w="1216" w:type="dxa"/>
            <w:shd w:val="clear" w:color="auto" w:fill="auto"/>
          </w:tcPr>
          <w:p w14:paraId="4B8A6933" w14:textId="77777777" w:rsidR="00601D9B" w:rsidRDefault="000E53A0">
            <w:pPr>
              <w:rPr>
                <w:b/>
                <w:i/>
                <w:sz w:val="18"/>
                <w:szCs w:val="18"/>
              </w:rPr>
            </w:pPr>
            <w:r>
              <w:rPr>
                <w:b/>
                <w:i/>
                <w:sz w:val="18"/>
                <w:szCs w:val="18"/>
              </w:rPr>
              <w:t>Indicateur 4</w:t>
            </w:r>
          </w:p>
        </w:tc>
        <w:tc>
          <w:tcPr>
            <w:tcW w:w="923" w:type="dxa"/>
          </w:tcPr>
          <w:p w14:paraId="17F2B2E1" w14:textId="77777777" w:rsidR="00372CE6" w:rsidRPr="0003763F" w:rsidRDefault="00372CE6" w:rsidP="00E2660F">
            <w:pPr>
              <w:rPr>
                <w:i/>
                <w:sz w:val="18"/>
                <w:szCs w:val="18"/>
              </w:rPr>
            </w:pPr>
          </w:p>
        </w:tc>
        <w:tc>
          <w:tcPr>
            <w:tcW w:w="1247" w:type="dxa"/>
          </w:tcPr>
          <w:p w14:paraId="54C5240D" w14:textId="77777777" w:rsidR="00372CE6" w:rsidRPr="0003763F" w:rsidRDefault="00372CE6" w:rsidP="00E2660F">
            <w:pPr>
              <w:rPr>
                <w:i/>
                <w:sz w:val="18"/>
                <w:szCs w:val="18"/>
              </w:rPr>
            </w:pPr>
          </w:p>
        </w:tc>
        <w:tc>
          <w:tcPr>
            <w:tcW w:w="2007" w:type="dxa"/>
            <w:shd w:val="clear" w:color="auto" w:fill="auto"/>
          </w:tcPr>
          <w:p w14:paraId="2A04D70C" w14:textId="77777777" w:rsidR="00372CE6" w:rsidRPr="0003763F" w:rsidRDefault="00372CE6" w:rsidP="00E2660F">
            <w:pPr>
              <w:rPr>
                <w:i/>
                <w:sz w:val="18"/>
                <w:szCs w:val="18"/>
              </w:rPr>
            </w:pPr>
          </w:p>
        </w:tc>
        <w:tc>
          <w:tcPr>
            <w:tcW w:w="1081" w:type="dxa"/>
            <w:shd w:val="clear" w:color="auto" w:fill="auto"/>
          </w:tcPr>
          <w:p w14:paraId="16BAB669" w14:textId="77777777" w:rsidR="00372CE6" w:rsidRPr="0003763F" w:rsidRDefault="00372CE6" w:rsidP="00E2660F">
            <w:pPr>
              <w:rPr>
                <w:i/>
                <w:sz w:val="18"/>
                <w:szCs w:val="18"/>
              </w:rPr>
            </w:pPr>
          </w:p>
        </w:tc>
        <w:tc>
          <w:tcPr>
            <w:tcW w:w="1551" w:type="dxa"/>
            <w:shd w:val="clear" w:color="auto" w:fill="auto"/>
          </w:tcPr>
          <w:p w14:paraId="13F4A5D3" w14:textId="77777777" w:rsidR="00372CE6" w:rsidRPr="0003763F" w:rsidRDefault="00372CE6" w:rsidP="00E2660F">
            <w:pPr>
              <w:rPr>
                <w:i/>
                <w:sz w:val="18"/>
                <w:szCs w:val="18"/>
              </w:rPr>
            </w:pPr>
          </w:p>
        </w:tc>
        <w:tc>
          <w:tcPr>
            <w:tcW w:w="1160" w:type="dxa"/>
            <w:shd w:val="clear" w:color="auto" w:fill="auto"/>
          </w:tcPr>
          <w:p w14:paraId="2B8A54AA" w14:textId="77777777" w:rsidR="00372CE6" w:rsidRPr="0003763F" w:rsidRDefault="00372CE6" w:rsidP="00E2660F">
            <w:pPr>
              <w:rPr>
                <w:i/>
                <w:sz w:val="18"/>
                <w:szCs w:val="18"/>
              </w:rPr>
            </w:pPr>
          </w:p>
        </w:tc>
        <w:tc>
          <w:tcPr>
            <w:tcW w:w="2378" w:type="dxa"/>
            <w:shd w:val="clear" w:color="auto" w:fill="auto"/>
          </w:tcPr>
          <w:p w14:paraId="74DEBC65" w14:textId="77777777" w:rsidR="00372CE6" w:rsidRPr="0003763F" w:rsidRDefault="00372CE6" w:rsidP="00E2660F">
            <w:pPr>
              <w:rPr>
                <w:i/>
                <w:sz w:val="18"/>
                <w:szCs w:val="18"/>
              </w:rPr>
            </w:pPr>
          </w:p>
        </w:tc>
      </w:tr>
      <w:tr w:rsidR="00372CE6" w:rsidRPr="0003763F" w14:paraId="1F4A0140" w14:textId="77777777" w:rsidTr="00D44120">
        <w:trPr>
          <w:trHeight w:val="424"/>
        </w:trPr>
        <w:tc>
          <w:tcPr>
            <w:tcW w:w="1392" w:type="dxa"/>
            <w:vMerge w:val="restart"/>
            <w:shd w:val="clear" w:color="auto" w:fill="auto"/>
          </w:tcPr>
          <w:p w14:paraId="1846A2C5" w14:textId="77777777" w:rsidR="00601D9B" w:rsidRDefault="000E53A0">
            <w:pPr>
              <w:rPr>
                <w:b/>
                <w:sz w:val="18"/>
                <w:szCs w:val="18"/>
              </w:rPr>
            </w:pPr>
            <w:r w:rsidRPr="0003763F">
              <w:rPr>
                <w:b/>
                <w:sz w:val="18"/>
                <w:szCs w:val="18"/>
              </w:rPr>
              <w:t xml:space="preserve">Résultat du projet </w:t>
            </w:r>
            <w:r w:rsidRPr="0003763F">
              <w:rPr>
                <w:b/>
                <w:sz w:val="18"/>
                <w:szCs w:val="18"/>
              </w:rPr>
              <w:lastRenderedPageBreak/>
              <w:t>1</w:t>
            </w:r>
          </w:p>
        </w:tc>
        <w:tc>
          <w:tcPr>
            <w:tcW w:w="1216" w:type="dxa"/>
            <w:shd w:val="clear" w:color="auto" w:fill="auto"/>
          </w:tcPr>
          <w:p w14:paraId="68DF1FDA" w14:textId="77777777" w:rsidR="00601D9B" w:rsidRDefault="000E53A0">
            <w:pPr>
              <w:rPr>
                <w:b/>
                <w:i/>
                <w:sz w:val="18"/>
                <w:szCs w:val="18"/>
              </w:rPr>
            </w:pPr>
            <w:r w:rsidRPr="0003763F">
              <w:rPr>
                <w:b/>
                <w:i/>
                <w:sz w:val="18"/>
                <w:szCs w:val="18"/>
              </w:rPr>
              <w:lastRenderedPageBreak/>
              <w:t xml:space="preserve">Indicateur </w:t>
            </w:r>
            <w:r w:rsidR="00667E9E">
              <w:rPr>
                <w:b/>
                <w:i/>
                <w:sz w:val="18"/>
                <w:szCs w:val="18"/>
              </w:rPr>
              <w:t>5</w:t>
            </w:r>
          </w:p>
          <w:p w14:paraId="52D5E88D" w14:textId="77777777" w:rsidR="00372CE6" w:rsidRPr="0003763F" w:rsidRDefault="00372CE6" w:rsidP="00E2660F">
            <w:pPr>
              <w:rPr>
                <w:sz w:val="18"/>
                <w:szCs w:val="18"/>
              </w:rPr>
            </w:pPr>
          </w:p>
        </w:tc>
        <w:tc>
          <w:tcPr>
            <w:tcW w:w="923" w:type="dxa"/>
          </w:tcPr>
          <w:p w14:paraId="73475AD0" w14:textId="77777777" w:rsidR="00372CE6" w:rsidRPr="0003763F" w:rsidRDefault="00372CE6" w:rsidP="00E2660F">
            <w:pPr>
              <w:rPr>
                <w:i/>
                <w:sz w:val="18"/>
                <w:szCs w:val="18"/>
              </w:rPr>
            </w:pPr>
          </w:p>
        </w:tc>
        <w:tc>
          <w:tcPr>
            <w:tcW w:w="1247" w:type="dxa"/>
          </w:tcPr>
          <w:p w14:paraId="1373C57E" w14:textId="77777777" w:rsidR="00372CE6" w:rsidRPr="0003763F" w:rsidRDefault="00372CE6" w:rsidP="00E2660F">
            <w:pPr>
              <w:rPr>
                <w:i/>
                <w:sz w:val="18"/>
                <w:szCs w:val="18"/>
              </w:rPr>
            </w:pPr>
          </w:p>
        </w:tc>
        <w:tc>
          <w:tcPr>
            <w:tcW w:w="2007" w:type="dxa"/>
            <w:shd w:val="clear" w:color="auto" w:fill="auto"/>
          </w:tcPr>
          <w:p w14:paraId="5B6C23DA" w14:textId="77777777" w:rsidR="00372CE6" w:rsidRPr="0003763F" w:rsidRDefault="00372CE6" w:rsidP="00E2660F">
            <w:pPr>
              <w:rPr>
                <w:sz w:val="18"/>
                <w:szCs w:val="18"/>
              </w:rPr>
            </w:pPr>
          </w:p>
        </w:tc>
        <w:tc>
          <w:tcPr>
            <w:tcW w:w="1081" w:type="dxa"/>
            <w:shd w:val="clear" w:color="auto" w:fill="auto"/>
          </w:tcPr>
          <w:p w14:paraId="5EA83B0F" w14:textId="77777777" w:rsidR="00372CE6" w:rsidRPr="0003763F" w:rsidRDefault="00372CE6" w:rsidP="00E2660F">
            <w:pPr>
              <w:rPr>
                <w:sz w:val="18"/>
                <w:szCs w:val="18"/>
              </w:rPr>
            </w:pPr>
          </w:p>
        </w:tc>
        <w:tc>
          <w:tcPr>
            <w:tcW w:w="1551" w:type="dxa"/>
            <w:shd w:val="clear" w:color="auto" w:fill="auto"/>
          </w:tcPr>
          <w:p w14:paraId="76EE989F" w14:textId="77777777" w:rsidR="00372CE6" w:rsidRPr="0003763F" w:rsidRDefault="00372CE6" w:rsidP="00E2660F">
            <w:pPr>
              <w:rPr>
                <w:sz w:val="18"/>
                <w:szCs w:val="18"/>
              </w:rPr>
            </w:pPr>
          </w:p>
        </w:tc>
        <w:tc>
          <w:tcPr>
            <w:tcW w:w="1160" w:type="dxa"/>
            <w:shd w:val="clear" w:color="auto" w:fill="auto"/>
          </w:tcPr>
          <w:p w14:paraId="3A61F45D" w14:textId="77777777" w:rsidR="00372CE6" w:rsidRPr="0003763F" w:rsidRDefault="00372CE6" w:rsidP="00E2660F">
            <w:pPr>
              <w:rPr>
                <w:sz w:val="18"/>
                <w:szCs w:val="18"/>
              </w:rPr>
            </w:pPr>
          </w:p>
        </w:tc>
        <w:tc>
          <w:tcPr>
            <w:tcW w:w="2378" w:type="dxa"/>
            <w:shd w:val="clear" w:color="auto" w:fill="auto"/>
          </w:tcPr>
          <w:p w14:paraId="5AE85D23" w14:textId="77777777" w:rsidR="00372CE6" w:rsidRPr="0003763F" w:rsidRDefault="00372CE6" w:rsidP="00E2660F">
            <w:pPr>
              <w:rPr>
                <w:sz w:val="18"/>
                <w:szCs w:val="18"/>
              </w:rPr>
            </w:pPr>
          </w:p>
        </w:tc>
      </w:tr>
      <w:tr w:rsidR="00372CE6" w:rsidRPr="0003763F" w14:paraId="75791390" w14:textId="77777777" w:rsidTr="00D44120">
        <w:trPr>
          <w:trHeight w:val="424"/>
        </w:trPr>
        <w:tc>
          <w:tcPr>
            <w:tcW w:w="1392" w:type="dxa"/>
            <w:vMerge/>
            <w:shd w:val="clear" w:color="auto" w:fill="auto"/>
          </w:tcPr>
          <w:p w14:paraId="751EBF8D" w14:textId="77777777" w:rsidR="00372CE6" w:rsidRPr="0003763F" w:rsidRDefault="00372CE6" w:rsidP="00E2660F">
            <w:pPr>
              <w:rPr>
                <w:b/>
                <w:sz w:val="18"/>
                <w:szCs w:val="18"/>
              </w:rPr>
            </w:pPr>
          </w:p>
        </w:tc>
        <w:tc>
          <w:tcPr>
            <w:tcW w:w="1216" w:type="dxa"/>
            <w:shd w:val="clear" w:color="auto" w:fill="auto"/>
          </w:tcPr>
          <w:p w14:paraId="37A7731E" w14:textId="77777777" w:rsidR="00601D9B" w:rsidRDefault="000E53A0">
            <w:pPr>
              <w:rPr>
                <w:sz w:val="18"/>
                <w:szCs w:val="18"/>
              </w:rPr>
            </w:pPr>
            <w:r w:rsidRPr="0003763F">
              <w:rPr>
                <w:b/>
                <w:i/>
                <w:sz w:val="18"/>
                <w:szCs w:val="18"/>
              </w:rPr>
              <w:t xml:space="preserve">Indicateur </w:t>
            </w:r>
            <w:r w:rsidR="00667E9E">
              <w:rPr>
                <w:b/>
                <w:i/>
                <w:sz w:val="18"/>
                <w:szCs w:val="18"/>
              </w:rPr>
              <w:t>6</w:t>
            </w:r>
          </w:p>
        </w:tc>
        <w:tc>
          <w:tcPr>
            <w:tcW w:w="923" w:type="dxa"/>
          </w:tcPr>
          <w:p w14:paraId="2DF81925" w14:textId="77777777" w:rsidR="00372CE6" w:rsidRPr="0003763F" w:rsidRDefault="00372CE6" w:rsidP="00E2660F">
            <w:pPr>
              <w:rPr>
                <w:i/>
                <w:sz w:val="18"/>
                <w:szCs w:val="18"/>
              </w:rPr>
            </w:pPr>
          </w:p>
        </w:tc>
        <w:tc>
          <w:tcPr>
            <w:tcW w:w="1247" w:type="dxa"/>
          </w:tcPr>
          <w:p w14:paraId="21E972B7" w14:textId="77777777" w:rsidR="00372CE6" w:rsidRPr="0003763F" w:rsidRDefault="00372CE6" w:rsidP="00E2660F">
            <w:pPr>
              <w:rPr>
                <w:i/>
                <w:sz w:val="18"/>
                <w:szCs w:val="18"/>
              </w:rPr>
            </w:pPr>
          </w:p>
        </w:tc>
        <w:tc>
          <w:tcPr>
            <w:tcW w:w="2007" w:type="dxa"/>
            <w:shd w:val="clear" w:color="auto" w:fill="auto"/>
          </w:tcPr>
          <w:p w14:paraId="13E29AE5" w14:textId="77777777" w:rsidR="00372CE6" w:rsidRPr="0003763F" w:rsidRDefault="00372CE6" w:rsidP="00E2660F">
            <w:pPr>
              <w:rPr>
                <w:i/>
                <w:sz w:val="18"/>
                <w:szCs w:val="18"/>
              </w:rPr>
            </w:pPr>
          </w:p>
        </w:tc>
        <w:tc>
          <w:tcPr>
            <w:tcW w:w="1081" w:type="dxa"/>
            <w:shd w:val="clear" w:color="auto" w:fill="auto"/>
          </w:tcPr>
          <w:p w14:paraId="775CF072" w14:textId="77777777" w:rsidR="00372CE6" w:rsidRPr="0003763F" w:rsidRDefault="00372CE6" w:rsidP="00E2660F">
            <w:pPr>
              <w:rPr>
                <w:sz w:val="18"/>
                <w:szCs w:val="18"/>
              </w:rPr>
            </w:pPr>
          </w:p>
        </w:tc>
        <w:tc>
          <w:tcPr>
            <w:tcW w:w="1551" w:type="dxa"/>
            <w:shd w:val="clear" w:color="auto" w:fill="auto"/>
          </w:tcPr>
          <w:p w14:paraId="43813A87" w14:textId="77777777" w:rsidR="00372CE6" w:rsidRPr="0003763F" w:rsidRDefault="00372CE6" w:rsidP="00E2660F">
            <w:pPr>
              <w:rPr>
                <w:sz w:val="18"/>
                <w:szCs w:val="18"/>
              </w:rPr>
            </w:pPr>
          </w:p>
        </w:tc>
        <w:tc>
          <w:tcPr>
            <w:tcW w:w="1160" w:type="dxa"/>
            <w:shd w:val="clear" w:color="auto" w:fill="auto"/>
          </w:tcPr>
          <w:p w14:paraId="4FAF2349" w14:textId="77777777" w:rsidR="00372CE6" w:rsidRPr="0003763F" w:rsidRDefault="00372CE6" w:rsidP="00E2660F">
            <w:pPr>
              <w:rPr>
                <w:sz w:val="18"/>
                <w:szCs w:val="18"/>
              </w:rPr>
            </w:pPr>
          </w:p>
        </w:tc>
        <w:tc>
          <w:tcPr>
            <w:tcW w:w="2378" w:type="dxa"/>
            <w:shd w:val="clear" w:color="auto" w:fill="auto"/>
          </w:tcPr>
          <w:p w14:paraId="0CE983FC" w14:textId="77777777" w:rsidR="00372CE6" w:rsidRPr="0003763F" w:rsidRDefault="00372CE6" w:rsidP="00E2660F">
            <w:pPr>
              <w:rPr>
                <w:i/>
                <w:sz w:val="18"/>
                <w:szCs w:val="18"/>
              </w:rPr>
            </w:pPr>
          </w:p>
        </w:tc>
      </w:tr>
      <w:tr w:rsidR="00372CE6" w:rsidRPr="0003763F" w14:paraId="60CCE7AD" w14:textId="77777777" w:rsidTr="00D44120">
        <w:trPr>
          <w:trHeight w:val="424"/>
        </w:trPr>
        <w:tc>
          <w:tcPr>
            <w:tcW w:w="1392" w:type="dxa"/>
            <w:vMerge w:val="restart"/>
            <w:shd w:val="clear" w:color="auto" w:fill="auto"/>
          </w:tcPr>
          <w:p w14:paraId="40F08448" w14:textId="77777777" w:rsidR="00372CE6" w:rsidRPr="0003763F" w:rsidRDefault="00372CE6" w:rsidP="00E2660F">
            <w:pPr>
              <w:rPr>
                <w:b/>
                <w:sz w:val="18"/>
                <w:szCs w:val="18"/>
              </w:rPr>
            </w:pPr>
          </w:p>
          <w:p w14:paraId="660F997E" w14:textId="77777777" w:rsidR="00601D9B" w:rsidRDefault="000E53A0">
            <w:pPr>
              <w:rPr>
                <w:b/>
                <w:sz w:val="18"/>
                <w:szCs w:val="18"/>
              </w:rPr>
            </w:pPr>
            <w:r w:rsidRPr="0003763F">
              <w:rPr>
                <w:b/>
                <w:sz w:val="18"/>
                <w:szCs w:val="18"/>
              </w:rPr>
              <w:t>Résultat du projet 2</w:t>
            </w:r>
          </w:p>
        </w:tc>
        <w:tc>
          <w:tcPr>
            <w:tcW w:w="1216" w:type="dxa"/>
            <w:shd w:val="clear" w:color="auto" w:fill="auto"/>
          </w:tcPr>
          <w:p w14:paraId="7F8060B8" w14:textId="77777777" w:rsidR="00601D9B" w:rsidRDefault="000E53A0">
            <w:pPr>
              <w:rPr>
                <w:b/>
                <w:i/>
                <w:sz w:val="18"/>
                <w:szCs w:val="18"/>
              </w:rPr>
            </w:pPr>
            <w:r w:rsidRPr="0003763F">
              <w:rPr>
                <w:b/>
                <w:i/>
                <w:sz w:val="18"/>
                <w:szCs w:val="18"/>
              </w:rPr>
              <w:t xml:space="preserve">Indicateur </w:t>
            </w:r>
            <w:r w:rsidR="00667E9E">
              <w:rPr>
                <w:b/>
                <w:i/>
                <w:sz w:val="18"/>
                <w:szCs w:val="18"/>
              </w:rPr>
              <w:t xml:space="preserve">7 </w:t>
            </w:r>
          </w:p>
          <w:p w14:paraId="7B0B6CE6" w14:textId="77777777" w:rsidR="00372CE6" w:rsidRPr="0003763F" w:rsidRDefault="00372CE6" w:rsidP="00E2660F">
            <w:pPr>
              <w:rPr>
                <w:sz w:val="18"/>
                <w:szCs w:val="18"/>
              </w:rPr>
            </w:pPr>
          </w:p>
        </w:tc>
        <w:tc>
          <w:tcPr>
            <w:tcW w:w="923" w:type="dxa"/>
          </w:tcPr>
          <w:p w14:paraId="005DAFB7" w14:textId="77777777" w:rsidR="00372CE6" w:rsidRPr="0003763F" w:rsidRDefault="00372CE6" w:rsidP="00E2660F">
            <w:pPr>
              <w:rPr>
                <w:i/>
                <w:sz w:val="18"/>
                <w:szCs w:val="18"/>
              </w:rPr>
            </w:pPr>
          </w:p>
        </w:tc>
        <w:tc>
          <w:tcPr>
            <w:tcW w:w="1247" w:type="dxa"/>
          </w:tcPr>
          <w:p w14:paraId="252AB235" w14:textId="77777777" w:rsidR="00372CE6" w:rsidRPr="0003763F" w:rsidRDefault="00372CE6" w:rsidP="00E2660F">
            <w:pPr>
              <w:rPr>
                <w:i/>
                <w:sz w:val="18"/>
                <w:szCs w:val="18"/>
              </w:rPr>
            </w:pPr>
          </w:p>
        </w:tc>
        <w:tc>
          <w:tcPr>
            <w:tcW w:w="2007" w:type="dxa"/>
            <w:shd w:val="clear" w:color="auto" w:fill="auto"/>
          </w:tcPr>
          <w:p w14:paraId="720373F8" w14:textId="77777777" w:rsidR="00372CE6" w:rsidRPr="0003763F" w:rsidRDefault="00372CE6" w:rsidP="00E2660F">
            <w:pPr>
              <w:rPr>
                <w:sz w:val="18"/>
                <w:szCs w:val="18"/>
              </w:rPr>
            </w:pPr>
          </w:p>
        </w:tc>
        <w:tc>
          <w:tcPr>
            <w:tcW w:w="1081" w:type="dxa"/>
            <w:shd w:val="clear" w:color="auto" w:fill="auto"/>
          </w:tcPr>
          <w:p w14:paraId="0984DBB8" w14:textId="77777777" w:rsidR="00372CE6" w:rsidRPr="0003763F" w:rsidRDefault="00372CE6" w:rsidP="00E2660F">
            <w:pPr>
              <w:rPr>
                <w:sz w:val="18"/>
                <w:szCs w:val="18"/>
              </w:rPr>
            </w:pPr>
          </w:p>
        </w:tc>
        <w:tc>
          <w:tcPr>
            <w:tcW w:w="1551" w:type="dxa"/>
            <w:shd w:val="clear" w:color="auto" w:fill="auto"/>
          </w:tcPr>
          <w:p w14:paraId="48EDE79A" w14:textId="77777777" w:rsidR="00372CE6" w:rsidRPr="0003763F" w:rsidRDefault="00372CE6" w:rsidP="00E2660F">
            <w:pPr>
              <w:rPr>
                <w:sz w:val="18"/>
                <w:szCs w:val="18"/>
              </w:rPr>
            </w:pPr>
          </w:p>
        </w:tc>
        <w:tc>
          <w:tcPr>
            <w:tcW w:w="1160" w:type="dxa"/>
            <w:shd w:val="clear" w:color="auto" w:fill="auto"/>
          </w:tcPr>
          <w:p w14:paraId="69DADCE7" w14:textId="77777777" w:rsidR="00372CE6" w:rsidRPr="0003763F" w:rsidRDefault="00372CE6" w:rsidP="00E2660F">
            <w:pPr>
              <w:rPr>
                <w:sz w:val="18"/>
                <w:szCs w:val="18"/>
              </w:rPr>
            </w:pPr>
          </w:p>
        </w:tc>
        <w:tc>
          <w:tcPr>
            <w:tcW w:w="2378" w:type="dxa"/>
            <w:shd w:val="clear" w:color="auto" w:fill="auto"/>
          </w:tcPr>
          <w:p w14:paraId="0C598195" w14:textId="77777777" w:rsidR="00372CE6" w:rsidRPr="0003763F" w:rsidRDefault="00372CE6" w:rsidP="00E2660F">
            <w:pPr>
              <w:rPr>
                <w:sz w:val="18"/>
                <w:szCs w:val="18"/>
              </w:rPr>
            </w:pPr>
          </w:p>
        </w:tc>
      </w:tr>
      <w:tr w:rsidR="00372CE6" w:rsidRPr="0003763F" w14:paraId="5DED70A9" w14:textId="77777777" w:rsidTr="00D44120">
        <w:trPr>
          <w:trHeight w:val="424"/>
        </w:trPr>
        <w:tc>
          <w:tcPr>
            <w:tcW w:w="1392" w:type="dxa"/>
            <w:vMerge/>
            <w:shd w:val="clear" w:color="auto" w:fill="auto"/>
          </w:tcPr>
          <w:p w14:paraId="2FE0BAAE" w14:textId="77777777" w:rsidR="00372CE6" w:rsidRPr="0003763F" w:rsidRDefault="00372CE6" w:rsidP="00E2660F">
            <w:pPr>
              <w:rPr>
                <w:b/>
                <w:sz w:val="18"/>
                <w:szCs w:val="18"/>
              </w:rPr>
            </w:pPr>
          </w:p>
        </w:tc>
        <w:tc>
          <w:tcPr>
            <w:tcW w:w="1216" w:type="dxa"/>
            <w:shd w:val="clear" w:color="auto" w:fill="auto"/>
          </w:tcPr>
          <w:p w14:paraId="5B666F17" w14:textId="77777777" w:rsidR="00601D9B" w:rsidRDefault="000E53A0">
            <w:pPr>
              <w:rPr>
                <w:b/>
                <w:i/>
                <w:sz w:val="18"/>
                <w:szCs w:val="18"/>
              </w:rPr>
            </w:pPr>
            <w:r w:rsidRPr="0003763F">
              <w:rPr>
                <w:b/>
                <w:i/>
                <w:sz w:val="18"/>
                <w:szCs w:val="18"/>
              </w:rPr>
              <w:t xml:space="preserve">Indicateur </w:t>
            </w:r>
            <w:r w:rsidR="00667E9E">
              <w:rPr>
                <w:b/>
                <w:i/>
                <w:sz w:val="18"/>
                <w:szCs w:val="18"/>
              </w:rPr>
              <w:t>8</w:t>
            </w:r>
          </w:p>
        </w:tc>
        <w:tc>
          <w:tcPr>
            <w:tcW w:w="923" w:type="dxa"/>
          </w:tcPr>
          <w:p w14:paraId="03C0A2F2" w14:textId="77777777" w:rsidR="00372CE6" w:rsidRPr="0003763F" w:rsidRDefault="00372CE6" w:rsidP="00E2660F">
            <w:pPr>
              <w:rPr>
                <w:i/>
                <w:sz w:val="18"/>
                <w:szCs w:val="18"/>
              </w:rPr>
            </w:pPr>
          </w:p>
        </w:tc>
        <w:tc>
          <w:tcPr>
            <w:tcW w:w="1247" w:type="dxa"/>
          </w:tcPr>
          <w:p w14:paraId="1037CC5F" w14:textId="77777777" w:rsidR="00372CE6" w:rsidRPr="0003763F" w:rsidRDefault="00372CE6" w:rsidP="00E2660F">
            <w:pPr>
              <w:rPr>
                <w:i/>
                <w:sz w:val="18"/>
                <w:szCs w:val="18"/>
              </w:rPr>
            </w:pPr>
          </w:p>
        </w:tc>
        <w:tc>
          <w:tcPr>
            <w:tcW w:w="2007" w:type="dxa"/>
            <w:shd w:val="clear" w:color="auto" w:fill="auto"/>
          </w:tcPr>
          <w:p w14:paraId="47A823AA" w14:textId="77777777" w:rsidR="00372CE6" w:rsidRPr="0003763F" w:rsidRDefault="00372CE6" w:rsidP="00E2660F">
            <w:pPr>
              <w:rPr>
                <w:i/>
                <w:sz w:val="18"/>
                <w:szCs w:val="18"/>
              </w:rPr>
            </w:pPr>
          </w:p>
        </w:tc>
        <w:tc>
          <w:tcPr>
            <w:tcW w:w="1081" w:type="dxa"/>
            <w:shd w:val="clear" w:color="auto" w:fill="auto"/>
          </w:tcPr>
          <w:p w14:paraId="186D11B8" w14:textId="77777777" w:rsidR="00372CE6" w:rsidRPr="0003763F" w:rsidRDefault="00372CE6" w:rsidP="00E2660F">
            <w:pPr>
              <w:rPr>
                <w:i/>
                <w:sz w:val="18"/>
                <w:szCs w:val="18"/>
              </w:rPr>
            </w:pPr>
          </w:p>
        </w:tc>
        <w:tc>
          <w:tcPr>
            <w:tcW w:w="1551" w:type="dxa"/>
            <w:shd w:val="clear" w:color="auto" w:fill="auto"/>
          </w:tcPr>
          <w:p w14:paraId="2B4D74F8" w14:textId="77777777" w:rsidR="00372CE6" w:rsidRPr="0003763F" w:rsidRDefault="00372CE6" w:rsidP="00E2660F">
            <w:pPr>
              <w:rPr>
                <w:i/>
                <w:sz w:val="18"/>
                <w:szCs w:val="18"/>
              </w:rPr>
            </w:pPr>
          </w:p>
        </w:tc>
        <w:tc>
          <w:tcPr>
            <w:tcW w:w="1160" w:type="dxa"/>
            <w:shd w:val="clear" w:color="auto" w:fill="auto"/>
          </w:tcPr>
          <w:p w14:paraId="558D1F9D" w14:textId="77777777" w:rsidR="00372CE6" w:rsidRPr="0003763F" w:rsidRDefault="00372CE6" w:rsidP="00E2660F">
            <w:pPr>
              <w:rPr>
                <w:i/>
                <w:sz w:val="18"/>
                <w:szCs w:val="18"/>
              </w:rPr>
            </w:pPr>
          </w:p>
        </w:tc>
        <w:tc>
          <w:tcPr>
            <w:tcW w:w="2378" w:type="dxa"/>
            <w:shd w:val="clear" w:color="auto" w:fill="auto"/>
          </w:tcPr>
          <w:p w14:paraId="2202BBDA" w14:textId="77777777" w:rsidR="00372CE6" w:rsidRPr="0003763F" w:rsidRDefault="00372CE6" w:rsidP="00E2660F">
            <w:pPr>
              <w:rPr>
                <w:i/>
                <w:sz w:val="18"/>
                <w:szCs w:val="18"/>
              </w:rPr>
            </w:pPr>
          </w:p>
        </w:tc>
      </w:tr>
      <w:tr w:rsidR="00372CE6" w:rsidRPr="0003763F" w14:paraId="3ABCE71C" w14:textId="77777777" w:rsidTr="00D44120">
        <w:trPr>
          <w:trHeight w:val="424"/>
        </w:trPr>
        <w:tc>
          <w:tcPr>
            <w:tcW w:w="1392" w:type="dxa"/>
            <w:vMerge w:val="restart"/>
            <w:shd w:val="clear" w:color="auto" w:fill="auto"/>
          </w:tcPr>
          <w:p w14:paraId="7907F4C2" w14:textId="77777777" w:rsidR="00372CE6" w:rsidRPr="0003763F" w:rsidRDefault="00372CE6" w:rsidP="00E2660F">
            <w:pPr>
              <w:rPr>
                <w:b/>
                <w:sz w:val="18"/>
                <w:szCs w:val="18"/>
              </w:rPr>
            </w:pPr>
          </w:p>
          <w:p w14:paraId="4145AFDC" w14:textId="77777777" w:rsidR="00601D9B" w:rsidRDefault="000E53A0">
            <w:pPr>
              <w:rPr>
                <w:b/>
                <w:sz w:val="18"/>
                <w:szCs w:val="18"/>
              </w:rPr>
            </w:pPr>
            <w:r w:rsidRPr="0003763F">
              <w:rPr>
                <w:b/>
                <w:sz w:val="18"/>
                <w:szCs w:val="18"/>
              </w:rPr>
              <w:t>Résultat du projet 3</w:t>
            </w:r>
          </w:p>
        </w:tc>
        <w:tc>
          <w:tcPr>
            <w:tcW w:w="1216" w:type="dxa"/>
            <w:shd w:val="clear" w:color="auto" w:fill="auto"/>
          </w:tcPr>
          <w:p w14:paraId="29786EA7" w14:textId="77777777" w:rsidR="00601D9B" w:rsidRDefault="000E53A0">
            <w:pPr>
              <w:rPr>
                <w:b/>
                <w:i/>
                <w:sz w:val="18"/>
                <w:szCs w:val="18"/>
              </w:rPr>
            </w:pPr>
            <w:r w:rsidRPr="0003763F">
              <w:rPr>
                <w:b/>
                <w:i/>
                <w:sz w:val="18"/>
                <w:szCs w:val="18"/>
              </w:rPr>
              <w:t xml:space="preserve">Indicateur </w:t>
            </w:r>
            <w:r w:rsidR="00667E9E">
              <w:rPr>
                <w:b/>
                <w:i/>
                <w:sz w:val="18"/>
                <w:szCs w:val="18"/>
              </w:rPr>
              <w:t xml:space="preserve">9 </w:t>
            </w:r>
          </w:p>
          <w:p w14:paraId="0C39CD72" w14:textId="77777777" w:rsidR="00372CE6" w:rsidRPr="0003763F" w:rsidRDefault="00372CE6" w:rsidP="00E2660F">
            <w:pPr>
              <w:rPr>
                <w:sz w:val="18"/>
                <w:szCs w:val="18"/>
              </w:rPr>
            </w:pPr>
          </w:p>
        </w:tc>
        <w:tc>
          <w:tcPr>
            <w:tcW w:w="923" w:type="dxa"/>
          </w:tcPr>
          <w:p w14:paraId="208B3A8D" w14:textId="77777777" w:rsidR="00372CE6" w:rsidRPr="0003763F" w:rsidRDefault="00372CE6" w:rsidP="00E2660F">
            <w:pPr>
              <w:rPr>
                <w:i/>
                <w:sz w:val="18"/>
                <w:szCs w:val="18"/>
              </w:rPr>
            </w:pPr>
          </w:p>
        </w:tc>
        <w:tc>
          <w:tcPr>
            <w:tcW w:w="1247" w:type="dxa"/>
          </w:tcPr>
          <w:p w14:paraId="1851E62D" w14:textId="77777777" w:rsidR="00372CE6" w:rsidRPr="0003763F" w:rsidRDefault="00372CE6" w:rsidP="00E2660F">
            <w:pPr>
              <w:rPr>
                <w:sz w:val="18"/>
                <w:szCs w:val="18"/>
              </w:rPr>
            </w:pPr>
          </w:p>
        </w:tc>
        <w:tc>
          <w:tcPr>
            <w:tcW w:w="2007" w:type="dxa"/>
            <w:shd w:val="clear" w:color="auto" w:fill="auto"/>
          </w:tcPr>
          <w:p w14:paraId="18F8139B" w14:textId="77777777" w:rsidR="00372CE6" w:rsidRPr="0003763F" w:rsidRDefault="00372CE6" w:rsidP="00E2660F">
            <w:pPr>
              <w:rPr>
                <w:sz w:val="18"/>
                <w:szCs w:val="18"/>
              </w:rPr>
            </w:pPr>
          </w:p>
        </w:tc>
        <w:tc>
          <w:tcPr>
            <w:tcW w:w="1081" w:type="dxa"/>
            <w:shd w:val="clear" w:color="auto" w:fill="auto"/>
          </w:tcPr>
          <w:p w14:paraId="0014F130" w14:textId="77777777" w:rsidR="00372CE6" w:rsidRPr="0003763F" w:rsidRDefault="00372CE6" w:rsidP="00E2660F">
            <w:pPr>
              <w:rPr>
                <w:sz w:val="18"/>
                <w:szCs w:val="18"/>
              </w:rPr>
            </w:pPr>
          </w:p>
        </w:tc>
        <w:tc>
          <w:tcPr>
            <w:tcW w:w="1551" w:type="dxa"/>
            <w:shd w:val="clear" w:color="auto" w:fill="auto"/>
          </w:tcPr>
          <w:p w14:paraId="3E7563AD" w14:textId="77777777" w:rsidR="00372CE6" w:rsidRPr="0003763F" w:rsidRDefault="00372CE6" w:rsidP="00E2660F">
            <w:pPr>
              <w:rPr>
                <w:sz w:val="18"/>
                <w:szCs w:val="18"/>
              </w:rPr>
            </w:pPr>
          </w:p>
        </w:tc>
        <w:tc>
          <w:tcPr>
            <w:tcW w:w="1160" w:type="dxa"/>
            <w:shd w:val="clear" w:color="auto" w:fill="auto"/>
          </w:tcPr>
          <w:p w14:paraId="387DC841" w14:textId="77777777" w:rsidR="00372CE6" w:rsidRPr="0003763F" w:rsidRDefault="00372CE6" w:rsidP="00E2660F">
            <w:pPr>
              <w:rPr>
                <w:sz w:val="18"/>
                <w:szCs w:val="18"/>
              </w:rPr>
            </w:pPr>
          </w:p>
        </w:tc>
        <w:tc>
          <w:tcPr>
            <w:tcW w:w="2378" w:type="dxa"/>
            <w:shd w:val="clear" w:color="auto" w:fill="auto"/>
          </w:tcPr>
          <w:p w14:paraId="4C783603" w14:textId="77777777" w:rsidR="00372CE6" w:rsidRPr="0003763F" w:rsidRDefault="00372CE6" w:rsidP="00E2660F">
            <w:pPr>
              <w:rPr>
                <w:sz w:val="18"/>
                <w:szCs w:val="18"/>
              </w:rPr>
            </w:pPr>
          </w:p>
        </w:tc>
      </w:tr>
      <w:tr w:rsidR="00372CE6" w:rsidRPr="0003763F" w14:paraId="2D542F10" w14:textId="77777777" w:rsidTr="00D44120">
        <w:trPr>
          <w:trHeight w:val="424"/>
        </w:trPr>
        <w:tc>
          <w:tcPr>
            <w:tcW w:w="1392" w:type="dxa"/>
            <w:vMerge/>
            <w:shd w:val="clear" w:color="auto" w:fill="auto"/>
          </w:tcPr>
          <w:p w14:paraId="7BFAE4BA" w14:textId="77777777" w:rsidR="00372CE6" w:rsidRPr="0003763F" w:rsidRDefault="00372CE6" w:rsidP="00E2660F">
            <w:pPr>
              <w:rPr>
                <w:b/>
                <w:sz w:val="18"/>
                <w:szCs w:val="18"/>
              </w:rPr>
            </w:pPr>
          </w:p>
        </w:tc>
        <w:tc>
          <w:tcPr>
            <w:tcW w:w="1216" w:type="dxa"/>
            <w:shd w:val="clear" w:color="auto" w:fill="auto"/>
          </w:tcPr>
          <w:p w14:paraId="63259F51" w14:textId="77777777" w:rsidR="00601D9B" w:rsidRDefault="000E53A0">
            <w:pPr>
              <w:rPr>
                <w:b/>
                <w:i/>
                <w:sz w:val="18"/>
                <w:szCs w:val="18"/>
              </w:rPr>
            </w:pPr>
            <w:r w:rsidRPr="0003763F">
              <w:rPr>
                <w:b/>
                <w:i/>
                <w:sz w:val="18"/>
                <w:szCs w:val="18"/>
              </w:rPr>
              <w:t xml:space="preserve">Indicateur </w:t>
            </w:r>
            <w:r w:rsidR="00667E9E">
              <w:rPr>
                <w:b/>
                <w:i/>
                <w:sz w:val="18"/>
                <w:szCs w:val="18"/>
              </w:rPr>
              <w:t>10</w:t>
            </w:r>
          </w:p>
        </w:tc>
        <w:tc>
          <w:tcPr>
            <w:tcW w:w="923" w:type="dxa"/>
          </w:tcPr>
          <w:p w14:paraId="355DC80F" w14:textId="77777777" w:rsidR="00372CE6" w:rsidRPr="0003763F" w:rsidRDefault="00372CE6" w:rsidP="00E2660F">
            <w:pPr>
              <w:rPr>
                <w:i/>
                <w:sz w:val="18"/>
                <w:szCs w:val="18"/>
              </w:rPr>
            </w:pPr>
          </w:p>
        </w:tc>
        <w:tc>
          <w:tcPr>
            <w:tcW w:w="1247" w:type="dxa"/>
          </w:tcPr>
          <w:p w14:paraId="69D0B4EC" w14:textId="77777777" w:rsidR="00372CE6" w:rsidRPr="0003763F" w:rsidRDefault="00372CE6" w:rsidP="00E2660F">
            <w:pPr>
              <w:rPr>
                <w:i/>
                <w:sz w:val="18"/>
                <w:szCs w:val="18"/>
              </w:rPr>
            </w:pPr>
          </w:p>
        </w:tc>
        <w:tc>
          <w:tcPr>
            <w:tcW w:w="2007" w:type="dxa"/>
            <w:shd w:val="clear" w:color="auto" w:fill="auto"/>
          </w:tcPr>
          <w:p w14:paraId="06B9BAE6" w14:textId="77777777" w:rsidR="00372CE6" w:rsidRPr="0003763F" w:rsidRDefault="00372CE6" w:rsidP="00E2660F">
            <w:pPr>
              <w:rPr>
                <w:i/>
                <w:sz w:val="18"/>
                <w:szCs w:val="18"/>
              </w:rPr>
            </w:pPr>
          </w:p>
        </w:tc>
        <w:tc>
          <w:tcPr>
            <w:tcW w:w="1081" w:type="dxa"/>
            <w:shd w:val="clear" w:color="auto" w:fill="auto"/>
          </w:tcPr>
          <w:p w14:paraId="1E43B205" w14:textId="77777777" w:rsidR="00372CE6" w:rsidRPr="0003763F" w:rsidRDefault="00372CE6" w:rsidP="00E2660F">
            <w:pPr>
              <w:rPr>
                <w:i/>
                <w:sz w:val="18"/>
                <w:szCs w:val="18"/>
              </w:rPr>
            </w:pPr>
          </w:p>
        </w:tc>
        <w:tc>
          <w:tcPr>
            <w:tcW w:w="1551" w:type="dxa"/>
            <w:shd w:val="clear" w:color="auto" w:fill="auto"/>
          </w:tcPr>
          <w:p w14:paraId="26112097" w14:textId="77777777" w:rsidR="00372CE6" w:rsidRPr="0003763F" w:rsidRDefault="00372CE6" w:rsidP="00E2660F">
            <w:pPr>
              <w:rPr>
                <w:i/>
                <w:sz w:val="18"/>
                <w:szCs w:val="18"/>
              </w:rPr>
            </w:pPr>
          </w:p>
        </w:tc>
        <w:tc>
          <w:tcPr>
            <w:tcW w:w="1160" w:type="dxa"/>
            <w:shd w:val="clear" w:color="auto" w:fill="auto"/>
          </w:tcPr>
          <w:p w14:paraId="7A1C1239" w14:textId="77777777" w:rsidR="00372CE6" w:rsidRPr="0003763F" w:rsidRDefault="00372CE6" w:rsidP="00E2660F">
            <w:pPr>
              <w:rPr>
                <w:i/>
                <w:sz w:val="18"/>
                <w:szCs w:val="18"/>
              </w:rPr>
            </w:pPr>
          </w:p>
        </w:tc>
        <w:tc>
          <w:tcPr>
            <w:tcW w:w="2378" w:type="dxa"/>
            <w:shd w:val="clear" w:color="auto" w:fill="auto"/>
          </w:tcPr>
          <w:p w14:paraId="21F41EF4" w14:textId="77777777" w:rsidR="00372CE6" w:rsidRPr="0003763F" w:rsidRDefault="00372CE6" w:rsidP="00E2660F">
            <w:pPr>
              <w:rPr>
                <w:i/>
                <w:sz w:val="18"/>
                <w:szCs w:val="18"/>
              </w:rPr>
            </w:pPr>
          </w:p>
        </w:tc>
      </w:tr>
      <w:tr w:rsidR="00372CE6" w:rsidRPr="0003763F" w14:paraId="493C627A" w14:textId="77777777" w:rsidTr="00D44120">
        <w:trPr>
          <w:trHeight w:val="424"/>
        </w:trPr>
        <w:tc>
          <w:tcPr>
            <w:tcW w:w="1392" w:type="dxa"/>
            <w:vMerge w:val="restart"/>
            <w:shd w:val="clear" w:color="auto" w:fill="auto"/>
          </w:tcPr>
          <w:p w14:paraId="119E4A0A" w14:textId="77777777" w:rsidR="00372CE6" w:rsidRPr="0003763F" w:rsidRDefault="00372CE6" w:rsidP="00E2660F">
            <w:pPr>
              <w:rPr>
                <w:b/>
                <w:sz w:val="18"/>
                <w:szCs w:val="18"/>
              </w:rPr>
            </w:pPr>
          </w:p>
          <w:p w14:paraId="008B1137" w14:textId="77777777" w:rsidR="00601D9B" w:rsidRDefault="000E53A0">
            <w:pPr>
              <w:rPr>
                <w:b/>
                <w:sz w:val="18"/>
                <w:szCs w:val="18"/>
              </w:rPr>
            </w:pPr>
            <w:r w:rsidRPr="0003763F">
              <w:rPr>
                <w:b/>
                <w:sz w:val="18"/>
                <w:szCs w:val="18"/>
              </w:rPr>
              <w:t>Résultat du projet 4</w:t>
            </w:r>
          </w:p>
        </w:tc>
        <w:tc>
          <w:tcPr>
            <w:tcW w:w="1216" w:type="dxa"/>
            <w:shd w:val="clear" w:color="auto" w:fill="auto"/>
          </w:tcPr>
          <w:p w14:paraId="72202B91" w14:textId="77777777" w:rsidR="00601D9B" w:rsidRDefault="000E53A0">
            <w:pPr>
              <w:rPr>
                <w:b/>
                <w:i/>
                <w:sz w:val="18"/>
                <w:szCs w:val="18"/>
              </w:rPr>
            </w:pPr>
            <w:r w:rsidRPr="0003763F">
              <w:rPr>
                <w:b/>
                <w:i/>
                <w:sz w:val="18"/>
                <w:szCs w:val="18"/>
              </w:rPr>
              <w:t xml:space="preserve">Indicateur </w:t>
            </w:r>
            <w:r w:rsidR="00667E9E">
              <w:rPr>
                <w:b/>
                <w:i/>
                <w:sz w:val="18"/>
                <w:szCs w:val="18"/>
              </w:rPr>
              <w:t xml:space="preserve">11 </w:t>
            </w:r>
          </w:p>
          <w:p w14:paraId="5734498B" w14:textId="77777777" w:rsidR="00372CE6" w:rsidRPr="0003763F" w:rsidRDefault="00372CE6" w:rsidP="00E2660F">
            <w:pPr>
              <w:rPr>
                <w:sz w:val="18"/>
                <w:szCs w:val="18"/>
              </w:rPr>
            </w:pPr>
          </w:p>
        </w:tc>
        <w:tc>
          <w:tcPr>
            <w:tcW w:w="923" w:type="dxa"/>
          </w:tcPr>
          <w:p w14:paraId="0BF64638" w14:textId="77777777" w:rsidR="00372CE6" w:rsidRPr="0003763F" w:rsidRDefault="00372CE6" w:rsidP="00E2660F">
            <w:pPr>
              <w:rPr>
                <w:i/>
                <w:sz w:val="18"/>
                <w:szCs w:val="18"/>
              </w:rPr>
            </w:pPr>
          </w:p>
        </w:tc>
        <w:tc>
          <w:tcPr>
            <w:tcW w:w="1247" w:type="dxa"/>
          </w:tcPr>
          <w:p w14:paraId="01F09B54" w14:textId="77777777" w:rsidR="00372CE6" w:rsidRPr="0003763F" w:rsidRDefault="00372CE6" w:rsidP="00E2660F">
            <w:pPr>
              <w:rPr>
                <w:sz w:val="18"/>
                <w:szCs w:val="18"/>
              </w:rPr>
            </w:pPr>
          </w:p>
        </w:tc>
        <w:tc>
          <w:tcPr>
            <w:tcW w:w="2007" w:type="dxa"/>
            <w:shd w:val="clear" w:color="auto" w:fill="auto"/>
          </w:tcPr>
          <w:p w14:paraId="068395D9" w14:textId="77777777" w:rsidR="00372CE6" w:rsidRPr="0003763F" w:rsidRDefault="00372CE6" w:rsidP="00E2660F">
            <w:pPr>
              <w:rPr>
                <w:sz w:val="18"/>
                <w:szCs w:val="18"/>
              </w:rPr>
            </w:pPr>
          </w:p>
        </w:tc>
        <w:tc>
          <w:tcPr>
            <w:tcW w:w="1081" w:type="dxa"/>
            <w:shd w:val="clear" w:color="auto" w:fill="auto"/>
          </w:tcPr>
          <w:p w14:paraId="01185F62" w14:textId="77777777" w:rsidR="00372CE6" w:rsidRPr="0003763F" w:rsidRDefault="00372CE6" w:rsidP="00E2660F">
            <w:pPr>
              <w:rPr>
                <w:sz w:val="18"/>
                <w:szCs w:val="18"/>
              </w:rPr>
            </w:pPr>
          </w:p>
        </w:tc>
        <w:tc>
          <w:tcPr>
            <w:tcW w:w="1551" w:type="dxa"/>
            <w:shd w:val="clear" w:color="auto" w:fill="auto"/>
          </w:tcPr>
          <w:p w14:paraId="1F0FE9E4" w14:textId="77777777" w:rsidR="00372CE6" w:rsidRPr="0003763F" w:rsidRDefault="00372CE6" w:rsidP="00E2660F">
            <w:pPr>
              <w:rPr>
                <w:sz w:val="18"/>
                <w:szCs w:val="18"/>
              </w:rPr>
            </w:pPr>
          </w:p>
        </w:tc>
        <w:tc>
          <w:tcPr>
            <w:tcW w:w="1160" w:type="dxa"/>
            <w:shd w:val="clear" w:color="auto" w:fill="auto"/>
          </w:tcPr>
          <w:p w14:paraId="408C9C5C" w14:textId="77777777" w:rsidR="00372CE6" w:rsidRPr="0003763F" w:rsidRDefault="00372CE6" w:rsidP="00E2660F">
            <w:pPr>
              <w:rPr>
                <w:sz w:val="18"/>
                <w:szCs w:val="18"/>
              </w:rPr>
            </w:pPr>
          </w:p>
        </w:tc>
        <w:tc>
          <w:tcPr>
            <w:tcW w:w="2378" w:type="dxa"/>
            <w:shd w:val="clear" w:color="auto" w:fill="auto"/>
          </w:tcPr>
          <w:p w14:paraId="6D574D46" w14:textId="77777777" w:rsidR="00372CE6" w:rsidRPr="0003763F" w:rsidRDefault="00372CE6" w:rsidP="00E2660F">
            <w:pPr>
              <w:rPr>
                <w:sz w:val="18"/>
                <w:szCs w:val="18"/>
              </w:rPr>
            </w:pPr>
          </w:p>
        </w:tc>
      </w:tr>
      <w:tr w:rsidR="00372CE6" w:rsidRPr="0003763F" w14:paraId="1FFECB95" w14:textId="77777777" w:rsidTr="00D44120">
        <w:trPr>
          <w:trHeight w:val="424"/>
        </w:trPr>
        <w:tc>
          <w:tcPr>
            <w:tcW w:w="1392" w:type="dxa"/>
            <w:vMerge/>
            <w:shd w:val="clear" w:color="auto" w:fill="auto"/>
          </w:tcPr>
          <w:p w14:paraId="2C9AB977" w14:textId="77777777" w:rsidR="00372CE6" w:rsidRPr="0003763F" w:rsidRDefault="00372CE6" w:rsidP="00E2660F">
            <w:pPr>
              <w:rPr>
                <w:b/>
                <w:sz w:val="18"/>
                <w:szCs w:val="18"/>
              </w:rPr>
            </w:pPr>
          </w:p>
        </w:tc>
        <w:tc>
          <w:tcPr>
            <w:tcW w:w="1216" w:type="dxa"/>
            <w:shd w:val="clear" w:color="auto" w:fill="auto"/>
          </w:tcPr>
          <w:p w14:paraId="46C9C739" w14:textId="77777777" w:rsidR="00601D9B" w:rsidRDefault="000E53A0">
            <w:pPr>
              <w:rPr>
                <w:b/>
                <w:i/>
                <w:sz w:val="18"/>
                <w:szCs w:val="18"/>
              </w:rPr>
            </w:pPr>
            <w:r w:rsidRPr="0003763F">
              <w:rPr>
                <w:b/>
                <w:i/>
                <w:sz w:val="18"/>
                <w:szCs w:val="18"/>
              </w:rPr>
              <w:t xml:space="preserve">Indicateur </w:t>
            </w:r>
            <w:r w:rsidR="00667E9E">
              <w:rPr>
                <w:b/>
                <w:i/>
                <w:sz w:val="18"/>
                <w:szCs w:val="18"/>
              </w:rPr>
              <w:t>12</w:t>
            </w:r>
          </w:p>
        </w:tc>
        <w:tc>
          <w:tcPr>
            <w:tcW w:w="923" w:type="dxa"/>
          </w:tcPr>
          <w:p w14:paraId="45ECAA00" w14:textId="77777777" w:rsidR="00372CE6" w:rsidRPr="0003763F" w:rsidRDefault="00372CE6" w:rsidP="00E2660F">
            <w:pPr>
              <w:rPr>
                <w:i/>
                <w:sz w:val="18"/>
                <w:szCs w:val="18"/>
              </w:rPr>
            </w:pPr>
          </w:p>
        </w:tc>
        <w:tc>
          <w:tcPr>
            <w:tcW w:w="1247" w:type="dxa"/>
          </w:tcPr>
          <w:p w14:paraId="2342A91A" w14:textId="77777777" w:rsidR="00372CE6" w:rsidRPr="0003763F" w:rsidRDefault="00372CE6" w:rsidP="00E2660F">
            <w:pPr>
              <w:rPr>
                <w:i/>
                <w:sz w:val="18"/>
                <w:szCs w:val="18"/>
              </w:rPr>
            </w:pPr>
          </w:p>
        </w:tc>
        <w:tc>
          <w:tcPr>
            <w:tcW w:w="2007" w:type="dxa"/>
            <w:shd w:val="clear" w:color="auto" w:fill="auto"/>
          </w:tcPr>
          <w:p w14:paraId="4F5E21E3" w14:textId="77777777" w:rsidR="00372CE6" w:rsidRPr="0003763F" w:rsidRDefault="00372CE6" w:rsidP="00E2660F">
            <w:pPr>
              <w:rPr>
                <w:i/>
                <w:sz w:val="18"/>
                <w:szCs w:val="18"/>
              </w:rPr>
            </w:pPr>
          </w:p>
        </w:tc>
        <w:tc>
          <w:tcPr>
            <w:tcW w:w="1081" w:type="dxa"/>
            <w:shd w:val="clear" w:color="auto" w:fill="auto"/>
          </w:tcPr>
          <w:p w14:paraId="6946DA54" w14:textId="77777777" w:rsidR="00372CE6" w:rsidRPr="0003763F" w:rsidRDefault="00372CE6" w:rsidP="00E2660F">
            <w:pPr>
              <w:rPr>
                <w:i/>
                <w:sz w:val="18"/>
                <w:szCs w:val="18"/>
              </w:rPr>
            </w:pPr>
          </w:p>
        </w:tc>
        <w:tc>
          <w:tcPr>
            <w:tcW w:w="1551" w:type="dxa"/>
            <w:shd w:val="clear" w:color="auto" w:fill="auto"/>
          </w:tcPr>
          <w:p w14:paraId="5E32B2B0" w14:textId="77777777" w:rsidR="00372CE6" w:rsidRPr="0003763F" w:rsidRDefault="00372CE6" w:rsidP="00E2660F">
            <w:pPr>
              <w:rPr>
                <w:i/>
                <w:sz w:val="18"/>
                <w:szCs w:val="18"/>
              </w:rPr>
            </w:pPr>
          </w:p>
        </w:tc>
        <w:tc>
          <w:tcPr>
            <w:tcW w:w="1160" w:type="dxa"/>
            <w:shd w:val="clear" w:color="auto" w:fill="auto"/>
          </w:tcPr>
          <w:p w14:paraId="59FDF289" w14:textId="77777777" w:rsidR="00372CE6" w:rsidRPr="0003763F" w:rsidRDefault="00372CE6" w:rsidP="00E2660F">
            <w:pPr>
              <w:rPr>
                <w:i/>
                <w:sz w:val="18"/>
                <w:szCs w:val="18"/>
              </w:rPr>
            </w:pPr>
          </w:p>
        </w:tc>
        <w:tc>
          <w:tcPr>
            <w:tcW w:w="2378" w:type="dxa"/>
            <w:shd w:val="clear" w:color="auto" w:fill="auto"/>
          </w:tcPr>
          <w:p w14:paraId="7E4E617C" w14:textId="77777777" w:rsidR="00372CE6" w:rsidRPr="0003763F" w:rsidRDefault="00372CE6" w:rsidP="00E2660F">
            <w:pPr>
              <w:rPr>
                <w:i/>
                <w:sz w:val="18"/>
                <w:szCs w:val="18"/>
              </w:rPr>
            </w:pPr>
          </w:p>
        </w:tc>
      </w:tr>
      <w:tr w:rsidR="00645E00" w:rsidRPr="0003763F" w14:paraId="51A52360" w14:textId="77777777" w:rsidTr="00D44120">
        <w:trPr>
          <w:trHeight w:val="424"/>
        </w:trPr>
        <w:tc>
          <w:tcPr>
            <w:tcW w:w="1392" w:type="dxa"/>
            <w:vMerge w:val="restart"/>
            <w:shd w:val="clear" w:color="auto" w:fill="auto"/>
            <w:vAlign w:val="center"/>
          </w:tcPr>
          <w:p w14:paraId="0CD4DE96" w14:textId="77777777" w:rsidR="00601D9B" w:rsidRDefault="000E53A0">
            <w:pPr>
              <w:rPr>
                <w:b/>
                <w:sz w:val="18"/>
                <w:szCs w:val="18"/>
              </w:rPr>
            </w:pPr>
            <w:r w:rsidRPr="00645E00">
              <w:rPr>
                <w:b/>
                <w:sz w:val="18"/>
                <w:szCs w:val="18"/>
              </w:rPr>
              <w:t>Résultat du projet 5</w:t>
            </w:r>
          </w:p>
        </w:tc>
        <w:tc>
          <w:tcPr>
            <w:tcW w:w="1216" w:type="dxa"/>
            <w:shd w:val="clear" w:color="auto" w:fill="auto"/>
          </w:tcPr>
          <w:p w14:paraId="5D6BD098" w14:textId="77777777" w:rsidR="00601D9B" w:rsidRDefault="000E53A0">
            <w:pPr>
              <w:rPr>
                <w:b/>
                <w:i/>
                <w:sz w:val="18"/>
                <w:szCs w:val="18"/>
              </w:rPr>
            </w:pPr>
            <w:r w:rsidRPr="0003763F">
              <w:rPr>
                <w:b/>
                <w:i/>
                <w:sz w:val="18"/>
                <w:szCs w:val="18"/>
              </w:rPr>
              <w:t xml:space="preserve">Indicateur </w:t>
            </w:r>
            <w:r w:rsidR="00667E9E">
              <w:rPr>
                <w:b/>
                <w:i/>
                <w:sz w:val="18"/>
                <w:szCs w:val="18"/>
              </w:rPr>
              <w:t xml:space="preserve">13 </w:t>
            </w:r>
          </w:p>
          <w:p w14:paraId="0C2E4897" w14:textId="77777777" w:rsidR="00645E00" w:rsidRPr="0003763F" w:rsidRDefault="00645E00" w:rsidP="00645E00">
            <w:pPr>
              <w:rPr>
                <w:b/>
                <w:i/>
                <w:sz w:val="18"/>
                <w:szCs w:val="18"/>
              </w:rPr>
            </w:pPr>
          </w:p>
        </w:tc>
        <w:tc>
          <w:tcPr>
            <w:tcW w:w="923" w:type="dxa"/>
          </w:tcPr>
          <w:p w14:paraId="66A37583" w14:textId="77777777" w:rsidR="00645E00" w:rsidRPr="0003763F" w:rsidRDefault="00645E00" w:rsidP="00645E00">
            <w:pPr>
              <w:rPr>
                <w:i/>
                <w:sz w:val="18"/>
                <w:szCs w:val="18"/>
              </w:rPr>
            </w:pPr>
          </w:p>
        </w:tc>
        <w:tc>
          <w:tcPr>
            <w:tcW w:w="1247" w:type="dxa"/>
          </w:tcPr>
          <w:p w14:paraId="27E00652" w14:textId="77777777" w:rsidR="00645E00" w:rsidRPr="0003763F" w:rsidRDefault="00645E00" w:rsidP="00645E00">
            <w:pPr>
              <w:rPr>
                <w:i/>
                <w:sz w:val="18"/>
                <w:szCs w:val="18"/>
              </w:rPr>
            </w:pPr>
          </w:p>
        </w:tc>
        <w:tc>
          <w:tcPr>
            <w:tcW w:w="2007" w:type="dxa"/>
            <w:shd w:val="clear" w:color="auto" w:fill="auto"/>
          </w:tcPr>
          <w:p w14:paraId="585F4890" w14:textId="77777777" w:rsidR="00645E00" w:rsidRPr="0003763F" w:rsidRDefault="00645E00" w:rsidP="00645E00">
            <w:pPr>
              <w:rPr>
                <w:i/>
                <w:sz w:val="18"/>
                <w:szCs w:val="18"/>
              </w:rPr>
            </w:pPr>
          </w:p>
        </w:tc>
        <w:tc>
          <w:tcPr>
            <w:tcW w:w="1081" w:type="dxa"/>
            <w:shd w:val="clear" w:color="auto" w:fill="auto"/>
          </w:tcPr>
          <w:p w14:paraId="5A6F8ECF" w14:textId="77777777" w:rsidR="00645E00" w:rsidRPr="0003763F" w:rsidRDefault="00645E00" w:rsidP="00645E00">
            <w:pPr>
              <w:rPr>
                <w:i/>
                <w:sz w:val="18"/>
                <w:szCs w:val="18"/>
              </w:rPr>
            </w:pPr>
          </w:p>
        </w:tc>
        <w:tc>
          <w:tcPr>
            <w:tcW w:w="1551" w:type="dxa"/>
            <w:shd w:val="clear" w:color="auto" w:fill="auto"/>
          </w:tcPr>
          <w:p w14:paraId="04C67485" w14:textId="77777777" w:rsidR="00645E00" w:rsidRPr="0003763F" w:rsidRDefault="00645E00" w:rsidP="00645E00">
            <w:pPr>
              <w:rPr>
                <w:i/>
                <w:sz w:val="18"/>
                <w:szCs w:val="18"/>
              </w:rPr>
            </w:pPr>
          </w:p>
        </w:tc>
        <w:tc>
          <w:tcPr>
            <w:tcW w:w="1160" w:type="dxa"/>
            <w:shd w:val="clear" w:color="auto" w:fill="auto"/>
          </w:tcPr>
          <w:p w14:paraId="4C70B336" w14:textId="77777777" w:rsidR="00645E00" w:rsidRPr="0003763F" w:rsidRDefault="00645E00" w:rsidP="00645E00">
            <w:pPr>
              <w:rPr>
                <w:i/>
                <w:sz w:val="18"/>
                <w:szCs w:val="18"/>
              </w:rPr>
            </w:pPr>
          </w:p>
        </w:tc>
        <w:tc>
          <w:tcPr>
            <w:tcW w:w="2378" w:type="dxa"/>
            <w:shd w:val="clear" w:color="auto" w:fill="auto"/>
          </w:tcPr>
          <w:p w14:paraId="1A97EE7E" w14:textId="77777777" w:rsidR="00645E00" w:rsidRPr="0003763F" w:rsidRDefault="00645E00" w:rsidP="00645E00">
            <w:pPr>
              <w:rPr>
                <w:i/>
                <w:sz w:val="18"/>
                <w:szCs w:val="18"/>
              </w:rPr>
            </w:pPr>
          </w:p>
        </w:tc>
      </w:tr>
      <w:tr w:rsidR="00645E00" w:rsidRPr="0087039F" w14:paraId="3F989C11" w14:textId="77777777" w:rsidTr="00D44120">
        <w:trPr>
          <w:trHeight w:val="424"/>
        </w:trPr>
        <w:tc>
          <w:tcPr>
            <w:tcW w:w="1392" w:type="dxa"/>
            <w:vMerge/>
            <w:shd w:val="clear" w:color="auto" w:fill="auto"/>
            <w:vAlign w:val="center"/>
          </w:tcPr>
          <w:p w14:paraId="474AFE47" w14:textId="77777777" w:rsidR="00645E00" w:rsidRPr="00645E00" w:rsidRDefault="00645E00" w:rsidP="00645E00">
            <w:pPr>
              <w:rPr>
                <w:b/>
                <w:sz w:val="18"/>
                <w:szCs w:val="18"/>
              </w:rPr>
            </w:pPr>
          </w:p>
        </w:tc>
        <w:tc>
          <w:tcPr>
            <w:tcW w:w="1216" w:type="dxa"/>
            <w:shd w:val="clear" w:color="auto" w:fill="auto"/>
          </w:tcPr>
          <w:p w14:paraId="2309D2EB" w14:textId="77777777" w:rsidR="00601D9B" w:rsidRDefault="000E53A0">
            <w:pPr>
              <w:rPr>
                <w:b/>
                <w:i/>
                <w:sz w:val="18"/>
                <w:szCs w:val="18"/>
              </w:rPr>
            </w:pPr>
            <w:r w:rsidRPr="0003763F">
              <w:rPr>
                <w:b/>
                <w:i/>
                <w:sz w:val="18"/>
                <w:szCs w:val="18"/>
              </w:rPr>
              <w:t xml:space="preserve">Indicateur </w:t>
            </w:r>
            <w:r w:rsidR="00667E9E">
              <w:rPr>
                <w:b/>
                <w:i/>
                <w:sz w:val="18"/>
                <w:szCs w:val="18"/>
              </w:rPr>
              <w:t>14</w:t>
            </w:r>
          </w:p>
        </w:tc>
        <w:tc>
          <w:tcPr>
            <w:tcW w:w="923" w:type="dxa"/>
          </w:tcPr>
          <w:p w14:paraId="4AED5524" w14:textId="77777777" w:rsidR="00645E00" w:rsidRPr="0087039F" w:rsidRDefault="00645E00" w:rsidP="00645E00">
            <w:pPr>
              <w:rPr>
                <w:i/>
                <w:sz w:val="18"/>
                <w:szCs w:val="18"/>
              </w:rPr>
            </w:pPr>
          </w:p>
        </w:tc>
        <w:tc>
          <w:tcPr>
            <w:tcW w:w="1247" w:type="dxa"/>
          </w:tcPr>
          <w:p w14:paraId="0DE822C5" w14:textId="77777777" w:rsidR="00645E00" w:rsidRPr="0087039F" w:rsidRDefault="00645E00" w:rsidP="00645E00">
            <w:pPr>
              <w:rPr>
                <w:i/>
                <w:sz w:val="18"/>
                <w:szCs w:val="18"/>
              </w:rPr>
            </w:pPr>
          </w:p>
        </w:tc>
        <w:tc>
          <w:tcPr>
            <w:tcW w:w="2007" w:type="dxa"/>
            <w:shd w:val="clear" w:color="auto" w:fill="auto"/>
          </w:tcPr>
          <w:p w14:paraId="1D8A8722" w14:textId="77777777" w:rsidR="00645E00" w:rsidRPr="0087039F" w:rsidRDefault="00645E00" w:rsidP="00645E00">
            <w:pPr>
              <w:rPr>
                <w:i/>
                <w:sz w:val="18"/>
                <w:szCs w:val="18"/>
              </w:rPr>
            </w:pPr>
          </w:p>
        </w:tc>
        <w:tc>
          <w:tcPr>
            <w:tcW w:w="1081" w:type="dxa"/>
            <w:shd w:val="clear" w:color="auto" w:fill="auto"/>
          </w:tcPr>
          <w:p w14:paraId="666ED33B" w14:textId="77777777" w:rsidR="00645E00" w:rsidRPr="0087039F" w:rsidRDefault="00645E00" w:rsidP="00645E00">
            <w:pPr>
              <w:rPr>
                <w:i/>
                <w:sz w:val="18"/>
                <w:szCs w:val="18"/>
              </w:rPr>
            </w:pPr>
          </w:p>
        </w:tc>
        <w:tc>
          <w:tcPr>
            <w:tcW w:w="1551" w:type="dxa"/>
            <w:shd w:val="clear" w:color="auto" w:fill="auto"/>
          </w:tcPr>
          <w:p w14:paraId="44AA5AE5" w14:textId="77777777" w:rsidR="00645E00" w:rsidRPr="0087039F" w:rsidRDefault="00645E00" w:rsidP="00645E00">
            <w:pPr>
              <w:rPr>
                <w:i/>
                <w:sz w:val="18"/>
                <w:szCs w:val="18"/>
              </w:rPr>
            </w:pPr>
          </w:p>
        </w:tc>
        <w:tc>
          <w:tcPr>
            <w:tcW w:w="1160" w:type="dxa"/>
            <w:shd w:val="clear" w:color="auto" w:fill="auto"/>
          </w:tcPr>
          <w:p w14:paraId="566DE293" w14:textId="77777777" w:rsidR="00645E00" w:rsidRPr="0087039F" w:rsidRDefault="00645E00" w:rsidP="00645E00">
            <w:pPr>
              <w:rPr>
                <w:i/>
                <w:sz w:val="18"/>
                <w:szCs w:val="18"/>
              </w:rPr>
            </w:pPr>
          </w:p>
        </w:tc>
        <w:tc>
          <w:tcPr>
            <w:tcW w:w="2378" w:type="dxa"/>
            <w:shd w:val="clear" w:color="auto" w:fill="auto"/>
          </w:tcPr>
          <w:p w14:paraId="509A0402" w14:textId="77777777" w:rsidR="00645E00" w:rsidRPr="0087039F" w:rsidRDefault="00645E00" w:rsidP="00645E00">
            <w:pPr>
              <w:rPr>
                <w:i/>
                <w:sz w:val="18"/>
                <w:szCs w:val="18"/>
              </w:rPr>
            </w:pPr>
          </w:p>
        </w:tc>
      </w:tr>
      <w:tr w:rsidR="00645E00" w:rsidRPr="0087039F" w14:paraId="4A0D476F" w14:textId="77777777" w:rsidTr="00D44120">
        <w:trPr>
          <w:trHeight w:val="424"/>
        </w:trPr>
        <w:tc>
          <w:tcPr>
            <w:tcW w:w="1392" w:type="dxa"/>
            <w:vMerge w:val="restart"/>
            <w:shd w:val="clear" w:color="auto" w:fill="auto"/>
            <w:vAlign w:val="center"/>
          </w:tcPr>
          <w:p w14:paraId="5CA7FBC2" w14:textId="77777777" w:rsidR="00601D9B" w:rsidRDefault="000E53A0">
            <w:pPr>
              <w:rPr>
                <w:b/>
                <w:sz w:val="18"/>
                <w:szCs w:val="18"/>
              </w:rPr>
            </w:pPr>
            <w:r w:rsidRPr="00645E00">
              <w:rPr>
                <w:b/>
                <w:sz w:val="18"/>
                <w:szCs w:val="18"/>
              </w:rPr>
              <w:t>Résultat du projet 6</w:t>
            </w:r>
          </w:p>
        </w:tc>
        <w:tc>
          <w:tcPr>
            <w:tcW w:w="1216" w:type="dxa"/>
            <w:shd w:val="clear" w:color="auto" w:fill="auto"/>
          </w:tcPr>
          <w:p w14:paraId="33723B89" w14:textId="77777777" w:rsidR="00601D9B" w:rsidRDefault="000E53A0">
            <w:pPr>
              <w:rPr>
                <w:b/>
                <w:i/>
                <w:sz w:val="18"/>
                <w:szCs w:val="18"/>
              </w:rPr>
            </w:pPr>
            <w:r>
              <w:rPr>
                <w:b/>
                <w:i/>
                <w:sz w:val="18"/>
                <w:szCs w:val="18"/>
              </w:rPr>
              <w:t xml:space="preserve">Indicateur </w:t>
            </w:r>
            <w:r w:rsidR="00667E9E">
              <w:rPr>
                <w:b/>
                <w:i/>
                <w:sz w:val="18"/>
                <w:szCs w:val="18"/>
              </w:rPr>
              <w:t>15</w:t>
            </w:r>
          </w:p>
        </w:tc>
        <w:tc>
          <w:tcPr>
            <w:tcW w:w="923" w:type="dxa"/>
          </w:tcPr>
          <w:p w14:paraId="4062CC7D" w14:textId="77777777" w:rsidR="00645E00" w:rsidRPr="0087039F" w:rsidRDefault="00645E00" w:rsidP="00645E00">
            <w:pPr>
              <w:rPr>
                <w:i/>
                <w:sz w:val="18"/>
                <w:szCs w:val="18"/>
              </w:rPr>
            </w:pPr>
          </w:p>
        </w:tc>
        <w:tc>
          <w:tcPr>
            <w:tcW w:w="1247" w:type="dxa"/>
          </w:tcPr>
          <w:p w14:paraId="294BA975" w14:textId="77777777" w:rsidR="00645E00" w:rsidRPr="0087039F" w:rsidRDefault="00645E00" w:rsidP="00645E00">
            <w:pPr>
              <w:rPr>
                <w:i/>
                <w:sz w:val="18"/>
                <w:szCs w:val="18"/>
              </w:rPr>
            </w:pPr>
          </w:p>
        </w:tc>
        <w:tc>
          <w:tcPr>
            <w:tcW w:w="2007" w:type="dxa"/>
            <w:shd w:val="clear" w:color="auto" w:fill="auto"/>
          </w:tcPr>
          <w:p w14:paraId="56B0C35F" w14:textId="77777777" w:rsidR="00645E00" w:rsidRPr="0087039F" w:rsidRDefault="00645E00" w:rsidP="00645E00">
            <w:pPr>
              <w:rPr>
                <w:i/>
                <w:sz w:val="18"/>
                <w:szCs w:val="18"/>
              </w:rPr>
            </w:pPr>
          </w:p>
        </w:tc>
        <w:tc>
          <w:tcPr>
            <w:tcW w:w="1081" w:type="dxa"/>
            <w:shd w:val="clear" w:color="auto" w:fill="auto"/>
          </w:tcPr>
          <w:p w14:paraId="5643F37E" w14:textId="77777777" w:rsidR="00645E00" w:rsidRPr="0087039F" w:rsidRDefault="00645E00" w:rsidP="00645E00">
            <w:pPr>
              <w:rPr>
                <w:i/>
                <w:sz w:val="18"/>
                <w:szCs w:val="18"/>
              </w:rPr>
            </w:pPr>
          </w:p>
        </w:tc>
        <w:tc>
          <w:tcPr>
            <w:tcW w:w="1551" w:type="dxa"/>
            <w:shd w:val="clear" w:color="auto" w:fill="auto"/>
          </w:tcPr>
          <w:p w14:paraId="07E11CC4" w14:textId="77777777" w:rsidR="00645E00" w:rsidRPr="0087039F" w:rsidRDefault="00645E00" w:rsidP="00645E00">
            <w:pPr>
              <w:rPr>
                <w:i/>
                <w:sz w:val="18"/>
                <w:szCs w:val="18"/>
              </w:rPr>
            </w:pPr>
          </w:p>
        </w:tc>
        <w:tc>
          <w:tcPr>
            <w:tcW w:w="1160" w:type="dxa"/>
            <w:shd w:val="clear" w:color="auto" w:fill="auto"/>
          </w:tcPr>
          <w:p w14:paraId="62194592" w14:textId="77777777" w:rsidR="00645E00" w:rsidRPr="0087039F" w:rsidRDefault="00645E00" w:rsidP="00645E00">
            <w:pPr>
              <w:rPr>
                <w:i/>
                <w:sz w:val="18"/>
                <w:szCs w:val="18"/>
              </w:rPr>
            </w:pPr>
          </w:p>
        </w:tc>
        <w:tc>
          <w:tcPr>
            <w:tcW w:w="2378" w:type="dxa"/>
            <w:shd w:val="clear" w:color="auto" w:fill="auto"/>
          </w:tcPr>
          <w:p w14:paraId="7E8EDEFB" w14:textId="77777777" w:rsidR="00645E00" w:rsidRPr="0087039F" w:rsidRDefault="00645E00" w:rsidP="00645E00">
            <w:pPr>
              <w:rPr>
                <w:i/>
                <w:sz w:val="18"/>
                <w:szCs w:val="18"/>
              </w:rPr>
            </w:pPr>
          </w:p>
        </w:tc>
      </w:tr>
      <w:tr w:rsidR="00645E00" w:rsidRPr="0087039F" w14:paraId="14500011" w14:textId="77777777" w:rsidTr="00D44120">
        <w:trPr>
          <w:trHeight w:val="424"/>
        </w:trPr>
        <w:tc>
          <w:tcPr>
            <w:tcW w:w="1392" w:type="dxa"/>
            <w:vMerge/>
            <w:shd w:val="clear" w:color="auto" w:fill="auto"/>
            <w:vAlign w:val="center"/>
          </w:tcPr>
          <w:p w14:paraId="7A7A37BA" w14:textId="77777777" w:rsidR="00645E00" w:rsidRPr="00645E00" w:rsidRDefault="00645E00" w:rsidP="00645E00">
            <w:pPr>
              <w:rPr>
                <w:b/>
                <w:sz w:val="18"/>
                <w:szCs w:val="18"/>
              </w:rPr>
            </w:pPr>
          </w:p>
        </w:tc>
        <w:tc>
          <w:tcPr>
            <w:tcW w:w="1216" w:type="dxa"/>
            <w:shd w:val="clear" w:color="auto" w:fill="auto"/>
          </w:tcPr>
          <w:p w14:paraId="3DB8C292" w14:textId="77777777" w:rsidR="00601D9B" w:rsidRDefault="000E53A0">
            <w:pPr>
              <w:rPr>
                <w:b/>
                <w:i/>
                <w:sz w:val="18"/>
                <w:szCs w:val="18"/>
              </w:rPr>
            </w:pPr>
            <w:r>
              <w:rPr>
                <w:b/>
                <w:i/>
                <w:sz w:val="18"/>
                <w:szCs w:val="18"/>
              </w:rPr>
              <w:t xml:space="preserve">Indicateur </w:t>
            </w:r>
            <w:r w:rsidR="00667E9E">
              <w:rPr>
                <w:b/>
                <w:i/>
                <w:sz w:val="18"/>
                <w:szCs w:val="18"/>
              </w:rPr>
              <w:t>16</w:t>
            </w:r>
          </w:p>
        </w:tc>
        <w:tc>
          <w:tcPr>
            <w:tcW w:w="923" w:type="dxa"/>
          </w:tcPr>
          <w:p w14:paraId="740D395F" w14:textId="77777777" w:rsidR="00645E00" w:rsidRPr="0087039F" w:rsidRDefault="00645E00" w:rsidP="00645E00">
            <w:pPr>
              <w:rPr>
                <w:i/>
                <w:sz w:val="18"/>
                <w:szCs w:val="18"/>
              </w:rPr>
            </w:pPr>
          </w:p>
        </w:tc>
        <w:tc>
          <w:tcPr>
            <w:tcW w:w="1247" w:type="dxa"/>
          </w:tcPr>
          <w:p w14:paraId="3A5EE5A7" w14:textId="77777777" w:rsidR="00645E00" w:rsidRPr="0087039F" w:rsidRDefault="00645E00" w:rsidP="00645E00">
            <w:pPr>
              <w:rPr>
                <w:i/>
                <w:sz w:val="18"/>
                <w:szCs w:val="18"/>
              </w:rPr>
            </w:pPr>
          </w:p>
        </w:tc>
        <w:tc>
          <w:tcPr>
            <w:tcW w:w="2007" w:type="dxa"/>
            <w:shd w:val="clear" w:color="auto" w:fill="auto"/>
          </w:tcPr>
          <w:p w14:paraId="659D001F" w14:textId="77777777" w:rsidR="00645E00" w:rsidRPr="0087039F" w:rsidRDefault="00645E00" w:rsidP="00645E00">
            <w:pPr>
              <w:rPr>
                <w:i/>
                <w:sz w:val="18"/>
                <w:szCs w:val="18"/>
              </w:rPr>
            </w:pPr>
          </w:p>
        </w:tc>
        <w:tc>
          <w:tcPr>
            <w:tcW w:w="1081" w:type="dxa"/>
            <w:shd w:val="clear" w:color="auto" w:fill="auto"/>
          </w:tcPr>
          <w:p w14:paraId="531A97E7" w14:textId="77777777" w:rsidR="00645E00" w:rsidRPr="0087039F" w:rsidRDefault="00645E00" w:rsidP="00645E00">
            <w:pPr>
              <w:rPr>
                <w:i/>
                <w:sz w:val="18"/>
                <w:szCs w:val="18"/>
              </w:rPr>
            </w:pPr>
          </w:p>
        </w:tc>
        <w:tc>
          <w:tcPr>
            <w:tcW w:w="1551" w:type="dxa"/>
            <w:shd w:val="clear" w:color="auto" w:fill="auto"/>
          </w:tcPr>
          <w:p w14:paraId="3E424F50" w14:textId="77777777" w:rsidR="00645E00" w:rsidRPr="0087039F" w:rsidRDefault="00645E00" w:rsidP="00645E00">
            <w:pPr>
              <w:rPr>
                <w:i/>
                <w:sz w:val="18"/>
                <w:szCs w:val="18"/>
              </w:rPr>
            </w:pPr>
          </w:p>
        </w:tc>
        <w:tc>
          <w:tcPr>
            <w:tcW w:w="1160" w:type="dxa"/>
            <w:shd w:val="clear" w:color="auto" w:fill="auto"/>
          </w:tcPr>
          <w:p w14:paraId="10E9741A" w14:textId="77777777" w:rsidR="00645E00" w:rsidRPr="0087039F" w:rsidRDefault="00645E00" w:rsidP="00645E00">
            <w:pPr>
              <w:rPr>
                <w:i/>
                <w:sz w:val="18"/>
                <w:szCs w:val="18"/>
              </w:rPr>
            </w:pPr>
          </w:p>
        </w:tc>
        <w:tc>
          <w:tcPr>
            <w:tcW w:w="2378" w:type="dxa"/>
            <w:shd w:val="clear" w:color="auto" w:fill="auto"/>
          </w:tcPr>
          <w:p w14:paraId="6717BA39" w14:textId="77777777" w:rsidR="00645E00" w:rsidRPr="0087039F" w:rsidRDefault="00645E00" w:rsidP="00645E00">
            <w:pPr>
              <w:rPr>
                <w:i/>
                <w:sz w:val="18"/>
                <w:szCs w:val="18"/>
              </w:rPr>
            </w:pPr>
          </w:p>
        </w:tc>
      </w:tr>
      <w:tr w:rsidR="00645E00" w:rsidRPr="0087039F" w14:paraId="020F761E" w14:textId="77777777" w:rsidTr="00D44120">
        <w:trPr>
          <w:trHeight w:val="424"/>
        </w:trPr>
        <w:tc>
          <w:tcPr>
            <w:tcW w:w="1392" w:type="dxa"/>
            <w:vMerge w:val="restart"/>
            <w:shd w:val="clear" w:color="auto" w:fill="auto"/>
            <w:vAlign w:val="center"/>
          </w:tcPr>
          <w:p w14:paraId="5C1F3A1B" w14:textId="77777777" w:rsidR="00601D9B" w:rsidRDefault="000E53A0">
            <w:pPr>
              <w:rPr>
                <w:b/>
                <w:sz w:val="18"/>
                <w:szCs w:val="18"/>
              </w:rPr>
            </w:pPr>
            <w:r w:rsidRPr="00645E00">
              <w:rPr>
                <w:b/>
                <w:sz w:val="18"/>
                <w:szCs w:val="18"/>
              </w:rPr>
              <w:t>Résultat du projet 7</w:t>
            </w:r>
          </w:p>
        </w:tc>
        <w:tc>
          <w:tcPr>
            <w:tcW w:w="1216" w:type="dxa"/>
            <w:shd w:val="clear" w:color="auto" w:fill="auto"/>
          </w:tcPr>
          <w:p w14:paraId="350504E9" w14:textId="77777777" w:rsidR="00601D9B" w:rsidRDefault="000E53A0">
            <w:pPr>
              <w:rPr>
                <w:b/>
                <w:i/>
                <w:sz w:val="18"/>
                <w:szCs w:val="18"/>
              </w:rPr>
            </w:pPr>
            <w:r>
              <w:rPr>
                <w:b/>
                <w:i/>
                <w:sz w:val="18"/>
                <w:szCs w:val="18"/>
              </w:rPr>
              <w:t xml:space="preserve">Indicateur </w:t>
            </w:r>
            <w:r w:rsidR="00667E9E">
              <w:rPr>
                <w:b/>
                <w:i/>
                <w:sz w:val="18"/>
                <w:szCs w:val="18"/>
              </w:rPr>
              <w:t>17</w:t>
            </w:r>
          </w:p>
        </w:tc>
        <w:tc>
          <w:tcPr>
            <w:tcW w:w="923" w:type="dxa"/>
          </w:tcPr>
          <w:p w14:paraId="1C9A3617" w14:textId="77777777" w:rsidR="00645E00" w:rsidRPr="0087039F" w:rsidRDefault="00645E00" w:rsidP="00645E00">
            <w:pPr>
              <w:rPr>
                <w:i/>
                <w:sz w:val="18"/>
                <w:szCs w:val="18"/>
              </w:rPr>
            </w:pPr>
          </w:p>
        </w:tc>
        <w:tc>
          <w:tcPr>
            <w:tcW w:w="1247" w:type="dxa"/>
          </w:tcPr>
          <w:p w14:paraId="6319C2DB" w14:textId="77777777" w:rsidR="00645E00" w:rsidRPr="0087039F" w:rsidRDefault="00645E00" w:rsidP="00645E00">
            <w:pPr>
              <w:rPr>
                <w:i/>
                <w:sz w:val="18"/>
                <w:szCs w:val="18"/>
              </w:rPr>
            </w:pPr>
          </w:p>
        </w:tc>
        <w:tc>
          <w:tcPr>
            <w:tcW w:w="2007" w:type="dxa"/>
            <w:shd w:val="clear" w:color="auto" w:fill="auto"/>
          </w:tcPr>
          <w:p w14:paraId="6E5535BB" w14:textId="77777777" w:rsidR="00645E00" w:rsidRPr="0087039F" w:rsidRDefault="00645E00" w:rsidP="00645E00">
            <w:pPr>
              <w:rPr>
                <w:i/>
                <w:sz w:val="18"/>
                <w:szCs w:val="18"/>
              </w:rPr>
            </w:pPr>
          </w:p>
        </w:tc>
        <w:tc>
          <w:tcPr>
            <w:tcW w:w="1081" w:type="dxa"/>
            <w:shd w:val="clear" w:color="auto" w:fill="auto"/>
          </w:tcPr>
          <w:p w14:paraId="55FB2F88" w14:textId="77777777" w:rsidR="00645E00" w:rsidRPr="0087039F" w:rsidRDefault="00645E00" w:rsidP="00645E00">
            <w:pPr>
              <w:rPr>
                <w:i/>
                <w:sz w:val="18"/>
                <w:szCs w:val="18"/>
              </w:rPr>
            </w:pPr>
          </w:p>
        </w:tc>
        <w:tc>
          <w:tcPr>
            <w:tcW w:w="1551" w:type="dxa"/>
            <w:shd w:val="clear" w:color="auto" w:fill="auto"/>
          </w:tcPr>
          <w:p w14:paraId="205B6420" w14:textId="77777777" w:rsidR="00645E00" w:rsidRPr="0087039F" w:rsidRDefault="00645E00" w:rsidP="00645E00">
            <w:pPr>
              <w:rPr>
                <w:i/>
                <w:sz w:val="18"/>
                <w:szCs w:val="18"/>
              </w:rPr>
            </w:pPr>
          </w:p>
        </w:tc>
        <w:tc>
          <w:tcPr>
            <w:tcW w:w="1160" w:type="dxa"/>
            <w:shd w:val="clear" w:color="auto" w:fill="auto"/>
          </w:tcPr>
          <w:p w14:paraId="6D1CF2CB" w14:textId="77777777" w:rsidR="00645E00" w:rsidRPr="0087039F" w:rsidRDefault="00645E00" w:rsidP="00645E00">
            <w:pPr>
              <w:rPr>
                <w:i/>
                <w:sz w:val="18"/>
                <w:szCs w:val="18"/>
              </w:rPr>
            </w:pPr>
          </w:p>
        </w:tc>
        <w:tc>
          <w:tcPr>
            <w:tcW w:w="2378" w:type="dxa"/>
            <w:shd w:val="clear" w:color="auto" w:fill="auto"/>
          </w:tcPr>
          <w:p w14:paraId="0A9B476A" w14:textId="77777777" w:rsidR="00645E00" w:rsidRPr="0087039F" w:rsidRDefault="00645E00" w:rsidP="00645E00">
            <w:pPr>
              <w:rPr>
                <w:i/>
                <w:sz w:val="18"/>
                <w:szCs w:val="18"/>
              </w:rPr>
            </w:pPr>
          </w:p>
        </w:tc>
      </w:tr>
      <w:tr w:rsidR="00645E00" w:rsidRPr="0087039F" w14:paraId="409651BA" w14:textId="77777777" w:rsidTr="00D44120">
        <w:trPr>
          <w:trHeight w:val="424"/>
        </w:trPr>
        <w:tc>
          <w:tcPr>
            <w:tcW w:w="1392" w:type="dxa"/>
            <w:vMerge/>
            <w:shd w:val="clear" w:color="auto" w:fill="auto"/>
            <w:vAlign w:val="center"/>
          </w:tcPr>
          <w:p w14:paraId="263310C0" w14:textId="77777777" w:rsidR="00645E00" w:rsidRPr="00645E00" w:rsidRDefault="00645E00" w:rsidP="00645E00">
            <w:pPr>
              <w:rPr>
                <w:b/>
                <w:sz w:val="18"/>
                <w:szCs w:val="18"/>
              </w:rPr>
            </w:pPr>
          </w:p>
        </w:tc>
        <w:tc>
          <w:tcPr>
            <w:tcW w:w="1216" w:type="dxa"/>
            <w:shd w:val="clear" w:color="auto" w:fill="auto"/>
          </w:tcPr>
          <w:p w14:paraId="101663E8" w14:textId="77777777" w:rsidR="00601D9B" w:rsidRDefault="000E53A0">
            <w:pPr>
              <w:rPr>
                <w:b/>
                <w:i/>
                <w:sz w:val="18"/>
                <w:szCs w:val="18"/>
              </w:rPr>
            </w:pPr>
            <w:r>
              <w:rPr>
                <w:b/>
                <w:i/>
                <w:sz w:val="18"/>
                <w:szCs w:val="18"/>
              </w:rPr>
              <w:t xml:space="preserve">Indicateur </w:t>
            </w:r>
            <w:r w:rsidR="00667E9E">
              <w:rPr>
                <w:b/>
                <w:i/>
                <w:sz w:val="18"/>
                <w:szCs w:val="18"/>
              </w:rPr>
              <w:t>18</w:t>
            </w:r>
          </w:p>
        </w:tc>
        <w:tc>
          <w:tcPr>
            <w:tcW w:w="923" w:type="dxa"/>
          </w:tcPr>
          <w:p w14:paraId="460370B5" w14:textId="77777777" w:rsidR="00645E00" w:rsidRPr="0087039F" w:rsidRDefault="00645E00" w:rsidP="00645E00">
            <w:pPr>
              <w:rPr>
                <w:i/>
                <w:sz w:val="18"/>
                <w:szCs w:val="18"/>
              </w:rPr>
            </w:pPr>
          </w:p>
        </w:tc>
        <w:tc>
          <w:tcPr>
            <w:tcW w:w="1247" w:type="dxa"/>
          </w:tcPr>
          <w:p w14:paraId="0D0796CA" w14:textId="77777777" w:rsidR="00645E00" w:rsidRPr="0087039F" w:rsidRDefault="00645E00" w:rsidP="00645E00">
            <w:pPr>
              <w:rPr>
                <w:i/>
                <w:sz w:val="18"/>
                <w:szCs w:val="18"/>
              </w:rPr>
            </w:pPr>
          </w:p>
        </w:tc>
        <w:tc>
          <w:tcPr>
            <w:tcW w:w="2007" w:type="dxa"/>
            <w:shd w:val="clear" w:color="auto" w:fill="auto"/>
          </w:tcPr>
          <w:p w14:paraId="77307E59" w14:textId="77777777" w:rsidR="00645E00" w:rsidRPr="0087039F" w:rsidRDefault="00645E00" w:rsidP="00645E00">
            <w:pPr>
              <w:rPr>
                <w:i/>
                <w:sz w:val="18"/>
                <w:szCs w:val="18"/>
              </w:rPr>
            </w:pPr>
          </w:p>
        </w:tc>
        <w:tc>
          <w:tcPr>
            <w:tcW w:w="1081" w:type="dxa"/>
            <w:shd w:val="clear" w:color="auto" w:fill="auto"/>
          </w:tcPr>
          <w:p w14:paraId="1A6C1AAA" w14:textId="77777777" w:rsidR="00645E00" w:rsidRPr="0087039F" w:rsidRDefault="00645E00" w:rsidP="00645E00">
            <w:pPr>
              <w:rPr>
                <w:i/>
                <w:sz w:val="18"/>
                <w:szCs w:val="18"/>
              </w:rPr>
            </w:pPr>
          </w:p>
        </w:tc>
        <w:tc>
          <w:tcPr>
            <w:tcW w:w="1551" w:type="dxa"/>
            <w:shd w:val="clear" w:color="auto" w:fill="auto"/>
          </w:tcPr>
          <w:p w14:paraId="4047A8D3" w14:textId="77777777" w:rsidR="00645E00" w:rsidRPr="0087039F" w:rsidRDefault="00645E00" w:rsidP="00645E00">
            <w:pPr>
              <w:rPr>
                <w:i/>
                <w:sz w:val="18"/>
                <w:szCs w:val="18"/>
              </w:rPr>
            </w:pPr>
          </w:p>
        </w:tc>
        <w:tc>
          <w:tcPr>
            <w:tcW w:w="1160" w:type="dxa"/>
            <w:shd w:val="clear" w:color="auto" w:fill="auto"/>
          </w:tcPr>
          <w:p w14:paraId="182481EB" w14:textId="77777777" w:rsidR="00645E00" w:rsidRPr="0087039F" w:rsidRDefault="00645E00" w:rsidP="00645E00">
            <w:pPr>
              <w:rPr>
                <w:i/>
                <w:sz w:val="18"/>
                <w:szCs w:val="18"/>
              </w:rPr>
            </w:pPr>
          </w:p>
        </w:tc>
        <w:tc>
          <w:tcPr>
            <w:tcW w:w="2378" w:type="dxa"/>
            <w:shd w:val="clear" w:color="auto" w:fill="auto"/>
          </w:tcPr>
          <w:p w14:paraId="4B98D0FD" w14:textId="77777777" w:rsidR="00645E00" w:rsidRPr="0087039F" w:rsidRDefault="00645E00" w:rsidP="00645E00">
            <w:pPr>
              <w:rPr>
                <w:i/>
                <w:sz w:val="18"/>
                <w:szCs w:val="18"/>
              </w:rPr>
            </w:pPr>
          </w:p>
        </w:tc>
      </w:tr>
      <w:tr w:rsidR="00645E00" w:rsidRPr="0087039F" w14:paraId="6A0158CA" w14:textId="77777777" w:rsidTr="00D44120">
        <w:trPr>
          <w:trHeight w:val="424"/>
        </w:trPr>
        <w:tc>
          <w:tcPr>
            <w:tcW w:w="1392" w:type="dxa"/>
            <w:vMerge w:val="restart"/>
            <w:shd w:val="clear" w:color="auto" w:fill="auto"/>
            <w:vAlign w:val="center"/>
          </w:tcPr>
          <w:p w14:paraId="61CA21E9" w14:textId="77777777" w:rsidR="00601D9B" w:rsidRDefault="000E53A0">
            <w:pPr>
              <w:rPr>
                <w:b/>
                <w:sz w:val="18"/>
                <w:szCs w:val="18"/>
              </w:rPr>
            </w:pPr>
            <w:r w:rsidRPr="00645E00">
              <w:rPr>
                <w:b/>
                <w:sz w:val="18"/>
                <w:szCs w:val="18"/>
              </w:rPr>
              <w:t>Résultat du projet 8</w:t>
            </w:r>
          </w:p>
        </w:tc>
        <w:tc>
          <w:tcPr>
            <w:tcW w:w="1216" w:type="dxa"/>
            <w:shd w:val="clear" w:color="auto" w:fill="auto"/>
          </w:tcPr>
          <w:p w14:paraId="2283E394" w14:textId="77777777" w:rsidR="00601D9B" w:rsidRDefault="000E53A0">
            <w:pPr>
              <w:rPr>
                <w:b/>
                <w:i/>
                <w:sz w:val="18"/>
                <w:szCs w:val="18"/>
              </w:rPr>
            </w:pPr>
            <w:r>
              <w:rPr>
                <w:b/>
                <w:i/>
                <w:sz w:val="18"/>
                <w:szCs w:val="18"/>
              </w:rPr>
              <w:t xml:space="preserve">Indicateur </w:t>
            </w:r>
            <w:r w:rsidR="00667E9E">
              <w:rPr>
                <w:b/>
                <w:i/>
                <w:sz w:val="18"/>
                <w:szCs w:val="18"/>
              </w:rPr>
              <w:t>19</w:t>
            </w:r>
          </w:p>
        </w:tc>
        <w:tc>
          <w:tcPr>
            <w:tcW w:w="923" w:type="dxa"/>
          </w:tcPr>
          <w:p w14:paraId="38BE68E0" w14:textId="77777777" w:rsidR="00645E00" w:rsidRPr="0087039F" w:rsidRDefault="00645E00" w:rsidP="00645E00">
            <w:pPr>
              <w:rPr>
                <w:i/>
                <w:sz w:val="18"/>
                <w:szCs w:val="18"/>
              </w:rPr>
            </w:pPr>
          </w:p>
        </w:tc>
        <w:tc>
          <w:tcPr>
            <w:tcW w:w="1247" w:type="dxa"/>
          </w:tcPr>
          <w:p w14:paraId="7BCA377B" w14:textId="77777777" w:rsidR="00645E00" w:rsidRPr="0087039F" w:rsidRDefault="00645E00" w:rsidP="00645E00">
            <w:pPr>
              <w:rPr>
                <w:i/>
                <w:sz w:val="18"/>
                <w:szCs w:val="18"/>
              </w:rPr>
            </w:pPr>
          </w:p>
        </w:tc>
        <w:tc>
          <w:tcPr>
            <w:tcW w:w="2007" w:type="dxa"/>
            <w:shd w:val="clear" w:color="auto" w:fill="auto"/>
          </w:tcPr>
          <w:p w14:paraId="17BF6F49" w14:textId="77777777" w:rsidR="00645E00" w:rsidRPr="0087039F" w:rsidRDefault="00645E00" w:rsidP="00645E00">
            <w:pPr>
              <w:rPr>
                <w:i/>
                <w:sz w:val="18"/>
                <w:szCs w:val="18"/>
              </w:rPr>
            </w:pPr>
          </w:p>
        </w:tc>
        <w:tc>
          <w:tcPr>
            <w:tcW w:w="1081" w:type="dxa"/>
            <w:shd w:val="clear" w:color="auto" w:fill="auto"/>
          </w:tcPr>
          <w:p w14:paraId="261CF1E7" w14:textId="77777777" w:rsidR="00645E00" w:rsidRPr="0087039F" w:rsidRDefault="00645E00" w:rsidP="00645E00">
            <w:pPr>
              <w:rPr>
                <w:i/>
                <w:sz w:val="18"/>
                <w:szCs w:val="18"/>
              </w:rPr>
            </w:pPr>
          </w:p>
        </w:tc>
        <w:tc>
          <w:tcPr>
            <w:tcW w:w="1551" w:type="dxa"/>
            <w:shd w:val="clear" w:color="auto" w:fill="auto"/>
          </w:tcPr>
          <w:p w14:paraId="3F78EF1A" w14:textId="77777777" w:rsidR="00645E00" w:rsidRPr="0087039F" w:rsidRDefault="00645E00" w:rsidP="00645E00">
            <w:pPr>
              <w:rPr>
                <w:i/>
                <w:sz w:val="18"/>
                <w:szCs w:val="18"/>
              </w:rPr>
            </w:pPr>
          </w:p>
        </w:tc>
        <w:tc>
          <w:tcPr>
            <w:tcW w:w="1160" w:type="dxa"/>
            <w:shd w:val="clear" w:color="auto" w:fill="auto"/>
          </w:tcPr>
          <w:p w14:paraId="1D799D87" w14:textId="77777777" w:rsidR="00645E00" w:rsidRPr="0087039F" w:rsidRDefault="00645E00" w:rsidP="00645E00">
            <w:pPr>
              <w:rPr>
                <w:i/>
                <w:sz w:val="18"/>
                <w:szCs w:val="18"/>
              </w:rPr>
            </w:pPr>
          </w:p>
        </w:tc>
        <w:tc>
          <w:tcPr>
            <w:tcW w:w="2378" w:type="dxa"/>
            <w:shd w:val="clear" w:color="auto" w:fill="auto"/>
          </w:tcPr>
          <w:p w14:paraId="5D9CF8CA" w14:textId="77777777" w:rsidR="00645E00" w:rsidRPr="0087039F" w:rsidRDefault="00645E00" w:rsidP="00645E00">
            <w:pPr>
              <w:rPr>
                <w:i/>
                <w:sz w:val="18"/>
                <w:szCs w:val="18"/>
              </w:rPr>
            </w:pPr>
          </w:p>
        </w:tc>
      </w:tr>
      <w:tr w:rsidR="00645E00" w:rsidRPr="0087039F" w14:paraId="2141CEF8" w14:textId="77777777" w:rsidTr="00D44120">
        <w:trPr>
          <w:trHeight w:val="424"/>
        </w:trPr>
        <w:tc>
          <w:tcPr>
            <w:tcW w:w="1392" w:type="dxa"/>
            <w:vMerge/>
            <w:shd w:val="clear" w:color="auto" w:fill="auto"/>
          </w:tcPr>
          <w:p w14:paraId="50B81D71" w14:textId="77777777" w:rsidR="00645E00" w:rsidRPr="00645E00" w:rsidRDefault="00645E00" w:rsidP="00645E00">
            <w:pPr>
              <w:rPr>
                <w:b/>
                <w:sz w:val="18"/>
                <w:szCs w:val="18"/>
              </w:rPr>
            </w:pPr>
          </w:p>
        </w:tc>
        <w:tc>
          <w:tcPr>
            <w:tcW w:w="1216" w:type="dxa"/>
            <w:shd w:val="clear" w:color="auto" w:fill="auto"/>
          </w:tcPr>
          <w:p w14:paraId="424E4CA5" w14:textId="77777777" w:rsidR="00601D9B" w:rsidRDefault="000E53A0">
            <w:pPr>
              <w:rPr>
                <w:b/>
                <w:i/>
                <w:sz w:val="18"/>
                <w:szCs w:val="18"/>
              </w:rPr>
            </w:pPr>
            <w:r>
              <w:rPr>
                <w:b/>
                <w:i/>
                <w:sz w:val="18"/>
                <w:szCs w:val="18"/>
              </w:rPr>
              <w:t xml:space="preserve">Indicateur </w:t>
            </w:r>
            <w:r w:rsidR="00667E9E">
              <w:rPr>
                <w:b/>
                <w:i/>
                <w:sz w:val="18"/>
                <w:szCs w:val="18"/>
              </w:rPr>
              <w:t>20</w:t>
            </w:r>
          </w:p>
        </w:tc>
        <w:tc>
          <w:tcPr>
            <w:tcW w:w="923" w:type="dxa"/>
          </w:tcPr>
          <w:p w14:paraId="50DF328D" w14:textId="77777777" w:rsidR="00645E00" w:rsidRPr="0087039F" w:rsidRDefault="00645E00" w:rsidP="00645E00">
            <w:pPr>
              <w:rPr>
                <w:i/>
                <w:sz w:val="18"/>
                <w:szCs w:val="18"/>
              </w:rPr>
            </w:pPr>
          </w:p>
        </w:tc>
        <w:tc>
          <w:tcPr>
            <w:tcW w:w="1247" w:type="dxa"/>
          </w:tcPr>
          <w:p w14:paraId="1DA3388C" w14:textId="77777777" w:rsidR="00645E00" w:rsidRPr="0087039F" w:rsidRDefault="00645E00" w:rsidP="00645E00">
            <w:pPr>
              <w:rPr>
                <w:i/>
                <w:sz w:val="18"/>
                <w:szCs w:val="18"/>
              </w:rPr>
            </w:pPr>
          </w:p>
        </w:tc>
        <w:tc>
          <w:tcPr>
            <w:tcW w:w="2007" w:type="dxa"/>
            <w:shd w:val="clear" w:color="auto" w:fill="auto"/>
          </w:tcPr>
          <w:p w14:paraId="19BD06DD" w14:textId="77777777" w:rsidR="00645E00" w:rsidRPr="0087039F" w:rsidRDefault="00645E00" w:rsidP="00645E00">
            <w:pPr>
              <w:rPr>
                <w:i/>
                <w:sz w:val="18"/>
                <w:szCs w:val="18"/>
              </w:rPr>
            </w:pPr>
          </w:p>
        </w:tc>
        <w:tc>
          <w:tcPr>
            <w:tcW w:w="1081" w:type="dxa"/>
            <w:shd w:val="clear" w:color="auto" w:fill="auto"/>
          </w:tcPr>
          <w:p w14:paraId="03BD0203" w14:textId="77777777" w:rsidR="00645E00" w:rsidRPr="0087039F" w:rsidRDefault="00645E00" w:rsidP="00645E00">
            <w:pPr>
              <w:rPr>
                <w:i/>
                <w:sz w:val="18"/>
                <w:szCs w:val="18"/>
              </w:rPr>
            </w:pPr>
          </w:p>
        </w:tc>
        <w:tc>
          <w:tcPr>
            <w:tcW w:w="1551" w:type="dxa"/>
            <w:shd w:val="clear" w:color="auto" w:fill="auto"/>
          </w:tcPr>
          <w:p w14:paraId="0502E9A3" w14:textId="77777777" w:rsidR="00645E00" w:rsidRPr="0087039F" w:rsidRDefault="00645E00" w:rsidP="00645E00">
            <w:pPr>
              <w:rPr>
                <w:i/>
                <w:sz w:val="18"/>
                <w:szCs w:val="18"/>
              </w:rPr>
            </w:pPr>
          </w:p>
        </w:tc>
        <w:tc>
          <w:tcPr>
            <w:tcW w:w="1160" w:type="dxa"/>
            <w:shd w:val="clear" w:color="auto" w:fill="auto"/>
          </w:tcPr>
          <w:p w14:paraId="5BC9BCB3" w14:textId="77777777" w:rsidR="00645E00" w:rsidRPr="0087039F" w:rsidRDefault="00645E00" w:rsidP="00645E00">
            <w:pPr>
              <w:rPr>
                <w:i/>
                <w:sz w:val="18"/>
                <w:szCs w:val="18"/>
              </w:rPr>
            </w:pPr>
          </w:p>
        </w:tc>
        <w:tc>
          <w:tcPr>
            <w:tcW w:w="2378" w:type="dxa"/>
            <w:shd w:val="clear" w:color="auto" w:fill="auto"/>
          </w:tcPr>
          <w:p w14:paraId="6558F87D" w14:textId="77777777" w:rsidR="00645E00" w:rsidRPr="0087039F" w:rsidRDefault="00645E00" w:rsidP="00645E00">
            <w:pPr>
              <w:rPr>
                <w:i/>
                <w:sz w:val="18"/>
                <w:szCs w:val="18"/>
              </w:rPr>
            </w:pPr>
          </w:p>
        </w:tc>
      </w:tr>
      <w:tr w:rsidR="00703E07" w:rsidRPr="000E53A0" w14:paraId="49D3F6EC" w14:textId="77777777" w:rsidTr="003F5615">
        <w:trPr>
          <w:trHeight w:val="424"/>
        </w:trPr>
        <w:tc>
          <w:tcPr>
            <w:tcW w:w="12955" w:type="dxa"/>
            <w:gridSpan w:val="9"/>
            <w:shd w:val="clear" w:color="auto" w:fill="auto"/>
          </w:tcPr>
          <w:p w14:paraId="74ADC7B9" w14:textId="77777777" w:rsidR="00601D9B" w:rsidRPr="000E53A0" w:rsidRDefault="000E53A0">
            <w:pPr>
              <w:rPr>
                <w:i/>
                <w:sz w:val="18"/>
                <w:szCs w:val="18"/>
                <w:lang w:val="fr-FR"/>
              </w:rPr>
            </w:pPr>
            <w:r w:rsidRPr="000E53A0">
              <w:rPr>
                <w:b/>
                <w:i/>
                <w:sz w:val="18"/>
                <w:szCs w:val="18"/>
                <w:highlight w:val="yellow"/>
                <w:lang w:val="fr-FR"/>
              </w:rPr>
              <w:t>Ajoutez les indicateurs inclus dans le plan d'action pour l'égalité des sexes, le plan d'engagement des parties prenantes ou d'autres plans de suivi si nécessaire.</w:t>
            </w:r>
            <w:r w:rsidRPr="000E53A0">
              <w:rPr>
                <w:b/>
                <w:i/>
                <w:sz w:val="18"/>
                <w:szCs w:val="18"/>
                <w:lang w:val="fr-FR"/>
              </w:rPr>
              <w:t xml:space="preserve">  </w:t>
            </w:r>
          </w:p>
        </w:tc>
      </w:tr>
    </w:tbl>
    <w:p w14:paraId="63B4992B" w14:textId="77777777" w:rsidR="00BB0459" w:rsidRPr="000E53A0" w:rsidRDefault="00BB0459" w:rsidP="00BB0459">
      <w:pPr>
        <w:pStyle w:val="Titre2"/>
        <w:ind w:left="0"/>
        <w:rPr>
          <w:rFonts w:ascii="Calibri" w:hAnsi="Calibri"/>
          <w:szCs w:val="22"/>
          <w:lang w:val="fr-FR"/>
        </w:rPr>
      </w:pPr>
      <w:r w:rsidRPr="000E53A0">
        <w:rPr>
          <w:rFonts w:ascii="Calibri" w:hAnsi="Calibri"/>
          <w:szCs w:val="22"/>
          <w:lang w:val="fr-FR"/>
        </w:rPr>
        <w:br w:type="page"/>
      </w:r>
    </w:p>
    <w:p w14:paraId="2264F3DE" w14:textId="77777777" w:rsidR="00601D9B" w:rsidRPr="000E53A0" w:rsidRDefault="000E53A0">
      <w:pPr>
        <w:pStyle w:val="Titre2"/>
        <w:ind w:left="0"/>
        <w:rPr>
          <w:rFonts w:ascii="Calibri" w:hAnsi="Calibri" w:cs="Calibri"/>
          <w:szCs w:val="20"/>
          <w:lang w:val="fr-FR"/>
        </w:rPr>
      </w:pPr>
      <w:bookmarkStart w:id="77" w:name="_Toc46749093"/>
      <w:bookmarkEnd w:id="74"/>
      <w:r w:rsidRPr="000E53A0">
        <w:rPr>
          <w:rFonts w:ascii="Calibri" w:hAnsi="Calibri" w:cs="Calibri"/>
          <w:szCs w:val="20"/>
          <w:lang w:val="fr-FR"/>
        </w:rPr>
        <w:lastRenderedPageBreak/>
        <w:t xml:space="preserve">Annexe </w:t>
      </w:r>
      <w:r w:rsidR="008223E5" w:rsidRPr="000E53A0">
        <w:rPr>
          <w:rFonts w:ascii="Calibri" w:hAnsi="Calibri" w:cs="Calibri"/>
          <w:szCs w:val="20"/>
          <w:lang w:val="fr-FR"/>
        </w:rPr>
        <w:t xml:space="preserve">6 </w:t>
      </w:r>
      <w:r w:rsidR="00B708E6" w:rsidRPr="000E53A0">
        <w:rPr>
          <w:rFonts w:ascii="Calibri" w:hAnsi="Calibri" w:cs="Calibri"/>
          <w:szCs w:val="20"/>
          <w:lang w:val="fr-FR"/>
        </w:rPr>
        <w:t xml:space="preserve">: Procédure d'évaluation sociale et environnementale du PNUD </w:t>
      </w:r>
      <w:r w:rsidR="00572905" w:rsidRPr="000E53A0">
        <w:rPr>
          <w:rFonts w:ascii="Calibri" w:hAnsi="Calibri" w:cs="Calibri"/>
          <w:szCs w:val="20"/>
          <w:lang w:val="fr-FR"/>
        </w:rPr>
        <w:t>(</w:t>
      </w:r>
      <w:commentRangeStart w:id="78"/>
      <w:r w:rsidR="00572905" w:rsidRPr="000E53A0">
        <w:rPr>
          <w:rFonts w:ascii="Calibri" w:hAnsi="Calibri" w:cs="Calibri"/>
          <w:szCs w:val="20"/>
          <w:lang w:val="fr-FR"/>
        </w:rPr>
        <w:t>SESP</w:t>
      </w:r>
      <w:commentRangeEnd w:id="78"/>
      <w:r w:rsidR="00107491">
        <w:rPr>
          <w:rStyle w:val="Marquedecommentaire"/>
          <w:rFonts w:ascii="Times New Roman" w:hAnsi="Times New Roman"/>
          <w:b w:val="0"/>
          <w:bCs w:val="0"/>
        </w:rPr>
        <w:commentReference w:id="78"/>
      </w:r>
      <w:r w:rsidR="00572905" w:rsidRPr="000E53A0">
        <w:rPr>
          <w:rFonts w:ascii="Calibri" w:hAnsi="Calibri" w:cs="Calibri"/>
          <w:szCs w:val="20"/>
          <w:lang w:val="fr-FR"/>
        </w:rPr>
        <w:t xml:space="preserve">) </w:t>
      </w:r>
      <w:bookmarkEnd w:id="77"/>
    </w:p>
    <w:p w14:paraId="15EC5F0C" w14:textId="77777777" w:rsidR="00641CC1" w:rsidRPr="000E53A0" w:rsidRDefault="00641CC1">
      <w:pPr>
        <w:rPr>
          <w:rFonts w:cs="Calibri"/>
          <w:b/>
          <w:bCs/>
          <w:szCs w:val="20"/>
          <w:lang w:val="fr-FR"/>
        </w:rPr>
      </w:pPr>
      <w:r w:rsidRPr="000E53A0">
        <w:rPr>
          <w:rFonts w:cs="Calibri"/>
          <w:szCs w:val="20"/>
          <w:lang w:val="fr-FR"/>
        </w:rPr>
        <w:br w:type="page"/>
      </w:r>
    </w:p>
    <w:p w14:paraId="28070935" w14:textId="77777777" w:rsidR="00601D9B" w:rsidRPr="000E53A0" w:rsidRDefault="000E53A0">
      <w:pPr>
        <w:pStyle w:val="Titre2"/>
        <w:ind w:left="0"/>
        <w:rPr>
          <w:rFonts w:ascii="Calibri" w:hAnsi="Calibri" w:cs="Calibri"/>
          <w:szCs w:val="20"/>
          <w:lang w:val="fr-FR"/>
        </w:rPr>
      </w:pPr>
      <w:bookmarkStart w:id="79" w:name="_Toc46749094"/>
      <w:r w:rsidRPr="000E53A0">
        <w:rPr>
          <w:rFonts w:ascii="Calibri" w:hAnsi="Calibri" w:cs="Calibri"/>
          <w:szCs w:val="20"/>
          <w:lang w:val="fr-FR"/>
        </w:rPr>
        <w:lastRenderedPageBreak/>
        <w:t xml:space="preserve">Annexe </w:t>
      </w:r>
      <w:r w:rsidR="008223E5" w:rsidRPr="000E53A0">
        <w:rPr>
          <w:rFonts w:ascii="Calibri" w:hAnsi="Calibri" w:cs="Calibri"/>
          <w:szCs w:val="20"/>
          <w:lang w:val="fr-FR"/>
        </w:rPr>
        <w:t xml:space="preserve">7 </w:t>
      </w:r>
      <w:r w:rsidR="00BB0459" w:rsidRPr="000E53A0">
        <w:rPr>
          <w:rFonts w:ascii="Calibri" w:hAnsi="Calibri" w:cs="Calibri"/>
          <w:szCs w:val="20"/>
          <w:lang w:val="fr-FR"/>
        </w:rPr>
        <w:t xml:space="preserve">: </w:t>
      </w:r>
      <w:r w:rsidR="004E5B7D" w:rsidRPr="000E53A0">
        <w:rPr>
          <w:rFonts w:ascii="Calibri" w:hAnsi="Calibri" w:cs="Calibri"/>
          <w:szCs w:val="20"/>
          <w:lang w:val="fr-FR"/>
        </w:rPr>
        <w:t xml:space="preserve">Registre des </w:t>
      </w:r>
      <w:r w:rsidR="00BB0459" w:rsidRPr="000E53A0">
        <w:rPr>
          <w:rFonts w:ascii="Calibri" w:hAnsi="Calibri" w:cs="Calibri"/>
          <w:szCs w:val="20"/>
          <w:lang w:val="fr-FR"/>
        </w:rPr>
        <w:t xml:space="preserve">risques du PNUD </w:t>
      </w:r>
      <w:bookmarkEnd w:id="79"/>
    </w:p>
    <w:p w14:paraId="30F8F26C" w14:textId="77777777" w:rsidR="00897F6C" w:rsidRPr="000E53A0" w:rsidRDefault="00897F6C" w:rsidP="00897F6C">
      <w:pPr>
        <w:rPr>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8FED2"/>
        <w:tblLook w:val="04A0" w:firstRow="1" w:lastRow="0" w:firstColumn="1" w:lastColumn="0" w:noHBand="0" w:noVBand="1"/>
      </w:tblPr>
      <w:tblGrid>
        <w:gridCol w:w="1471"/>
        <w:gridCol w:w="2101"/>
        <w:gridCol w:w="1598"/>
        <w:gridCol w:w="3150"/>
        <w:gridCol w:w="1256"/>
      </w:tblGrid>
      <w:tr w:rsidR="007F30E2" w:rsidRPr="00A965E4" w14:paraId="46D01FF7" w14:textId="77777777" w:rsidTr="007F30E2">
        <w:trPr>
          <w:trHeight w:val="1826"/>
        </w:trPr>
        <w:tc>
          <w:tcPr>
            <w:tcW w:w="952"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978ED9A" w14:textId="77777777" w:rsidR="00601D9B" w:rsidRDefault="000E53A0">
            <w:pPr>
              <w:widowControl w:val="0"/>
              <w:snapToGrid w:val="0"/>
              <w:spacing w:line="264" w:lineRule="auto"/>
              <w:jc w:val="both"/>
              <w:rPr>
                <w:rFonts w:asciiTheme="minorHAnsi" w:eastAsia="Cambria" w:hAnsiTheme="minorHAnsi" w:cstheme="minorHAnsi"/>
                <w:b/>
                <w:sz w:val="18"/>
                <w:szCs w:val="18"/>
                <w:lang w:val="en-GB"/>
              </w:rPr>
            </w:pPr>
            <w:r w:rsidRPr="00A965E4">
              <w:rPr>
                <w:rFonts w:asciiTheme="minorHAnsi" w:eastAsia="Cambria" w:hAnsiTheme="minorHAnsi" w:cstheme="minorHAnsi"/>
                <w:b/>
                <w:sz w:val="18"/>
                <w:szCs w:val="18"/>
                <w:lang w:val="en-GB"/>
              </w:rPr>
              <w:t>Risque</w:t>
            </w:r>
          </w:p>
          <w:p w14:paraId="0F401B05" w14:textId="77777777" w:rsidR="0098202D" w:rsidRPr="00A965E4" w:rsidRDefault="0098202D" w:rsidP="000E53A0">
            <w:pPr>
              <w:widowControl w:val="0"/>
              <w:snapToGrid w:val="0"/>
              <w:spacing w:line="264" w:lineRule="auto"/>
              <w:jc w:val="both"/>
              <w:rPr>
                <w:rFonts w:asciiTheme="minorHAnsi" w:eastAsia="Cambria" w:hAnsiTheme="minorHAnsi" w:cstheme="minorHAnsi"/>
                <w:b/>
                <w:sz w:val="18"/>
                <w:szCs w:val="18"/>
                <w:lang w:val="en-GB"/>
              </w:rPr>
            </w:pPr>
          </w:p>
          <w:p w14:paraId="29593BC6" w14:textId="77777777" w:rsidR="0098202D" w:rsidRPr="00A965E4" w:rsidRDefault="0098202D" w:rsidP="000E53A0">
            <w:pPr>
              <w:widowControl w:val="0"/>
              <w:snapToGrid w:val="0"/>
              <w:spacing w:line="264" w:lineRule="auto"/>
              <w:jc w:val="both"/>
              <w:rPr>
                <w:rFonts w:asciiTheme="minorHAnsi" w:eastAsia="Cambria" w:hAnsiTheme="minorHAnsi" w:cstheme="minorHAnsi"/>
                <w:b/>
                <w:sz w:val="18"/>
                <w:szCs w:val="18"/>
                <w:lang w:val="en-GB"/>
              </w:rPr>
            </w:pPr>
          </w:p>
          <w:p w14:paraId="5F56F42B" w14:textId="77777777" w:rsidR="0098202D" w:rsidRPr="00A965E4" w:rsidRDefault="0098202D" w:rsidP="000E53A0">
            <w:pPr>
              <w:widowControl w:val="0"/>
              <w:snapToGrid w:val="0"/>
              <w:spacing w:line="264" w:lineRule="auto"/>
              <w:jc w:val="both"/>
              <w:rPr>
                <w:rFonts w:asciiTheme="minorHAnsi" w:eastAsia="Cambria" w:hAnsiTheme="minorHAnsi" w:cstheme="minorHAnsi"/>
                <w:sz w:val="18"/>
                <w:szCs w:val="18"/>
                <w:lang w:val="en-GB"/>
              </w:rPr>
            </w:pPr>
          </w:p>
        </w:tc>
        <w:tc>
          <w:tcPr>
            <w:tcW w:w="964"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5E1FC46" w14:textId="77777777" w:rsidR="00601D9B" w:rsidRDefault="000E53A0">
            <w:pPr>
              <w:widowControl w:val="0"/>
              <w:snapToGrid w:val="0"/>
              <w:rPr>
                <w:rFonts w:asciiTheme="minorHAnsi" w:hAnsiTheme="minorHAnsi" w:cstheme="minorHAnsi"/>
                <w:b/>
                <w:sz w:val="18"/>
                <w:szCs w:val="18"/>
                <w:lang w:val="fr-FR"/>
              </w:rPr>
            </w:pPr>
            <w:r w:rsidRPr="00A965E4">
              <w:rPr>
                <w:rFonts w:asciiTheme="minorHAnsi" w:hAnsiTheme="minorHAnsi" w:cstheme="minorHAnsi"/>
                <w:b/>
                <w:sz w:val="18"/>
                <w:szCs w:val="18"/>
                <w:lang w:val="fr-FR"/>
              </w:rPr>
              <w:t>Catégorie de risque</w:t>
            </w:r>
          </w:p>
        </w:tc>
        <w:tc>
          <w:tcPr>
            <w:tcW w:w="1018"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997DD6C" w14:textId="77777777" w:rsidR="00601D9B" w:rsidRPr="000E53A0" w:rsidRDefault="000E53A0">
            <w:pPr>
              <w:widowControl w:val="0"/>
              <w:snapToGrid w:val="0"/>
              <w:spacing w:line="23" w:lineRule="atLeast"/>
              <w:rPr>
                <w:rFonts w:asciiTheme="minorHAnsi" w:hAnsiTheme="minorHAnsi" w:cstheme="minorHAnsi"/>
                <w:b/>
                <w:color w:val="000000"/>
                <w:sz w:val="18"/>
                <w:szCs w:val="18"/>
                <w:lang w:val="fr-FR"/>
              </w:rPr>
            </w:pPr>
            <w:r w:rsidRPr="000E53A0">
              <w:rPr>
                <w:rFonts w:asciiTheme="minorHAnsi" w:hAnsiTheme="minorHAnsi" w:cstheme="minorHAnsi"/>
                <w:b/>
                <w:color w:val="000000"/>
                <w:sz w:val="18"/>
                <w:szCs w:val="18"/>
                <w:lang w:val="fr-FR"/>
              </w:rPr>
              <w:t xml:space="preserve">Probabilité : </w:t>
            </w:r>
          </w:p>
          <w:p w14:paraId="021669D4" w14:textId="77777777" w:rsidR="00601D9B" w:rsidRPr="000E53A0" w:rsidRDefault="000E53A0">
            <w:pPr>
              <w:widowControl w:val="0"/>
              <w:snapToGrid w:val="0"/>
              <w:spacing w:line="23" w:lineRule="atLeast"/>
              <w:rPr>
                <w:rFonts w:asciiTheme="minorHAnsi" w:hAnsiTheme="minorHAnsi" w:cstheme="minorHAnsi"/>
                <w:bCs/>
                <w:color w:val="000000"/>
                <w:sz w:val="18"/>
                <w:szCs w:val="18"/>
                <w:lang w:val="fr-FR"/>
              </w:rPr>
            </w:pPr>
            <w:r w:rsidRPr="000E53A0">
              <w:rPr>
                <w:rFonts w:asciiTheme="minorHAnsi" w:hAnsiTheme="minorHAnsi" w:cstheme="minorHAnsi"/>
                <w:bCs/>
                <w:color w:val="000000"/>
                <w:sz w:val="18"/>
                <w:szCs w:val="18"/>
                <w:lang w:val="fr-FR"/>
              </w:rPr>
              <w:t>Presque certain - 5</w:t>
            </w:r>
          </w:p>
          <w:p w14:paraId="30E6AB94" w14:textId="77777777" w:rsidR="00601D9B" w:rsidRPr="000E53A0" w:rsidRDefault="000E53A0">
            <w:pPr>
              <w:widowControl w:val="0"/>
              <w:snapToGrid w:val="0"/>
              <w:spacing w:line="23" w:lineRule="atLeast"/>
              <w:rPr>
                <w:rFonts w:asciiTheme="minorHAnsi" w:hAnsiTheme="minorHAnsi" w:cstheme="minorHAnsi"/>
                <w:bCs/>
                <w:color w:val="000000"/>
                <w:sz w:val="18"/>
                <w:szCs w:val="18"/>
                <w:lang w:val="fr-FR"/>
              </w:rPr>
            </w:pPr>
            <w:r w:rsidRPr="000E53A0">
              <w:rPr>
                <w:rFonts w:asciiTheme="minorHAnsi" w:hAnsiTheme="minorHAnsi" w:cstheme="minorHAnsi"/>
                <w:bCs/>
                <w:color w:val="000000"/>
                <w:sz w:val="18"/>
                <w:szCs w:val="18"/>
                <w:lang w:val="fr-FR"/>
              </w:rPr>
              <w:t>Probable - 4</w:t>
            </w:r>
          </w:p>
          <w:p w14:paraId="1C512423" w14:textId="77777777" w:rsidR="00601D9B" w:rsidRPr="000E53A0" w:rsidRDefault="000E53A0">
            <w:pPr>
              <w:widowControl w:val="0"/>
              <w:snapToGrid w:val="0"/>
              <w:spacing w:line="23" w:lineRule="atLeast"/>
              <w:rPr>
                <w:rFonts w:asciiTheme="minorHAnsi" w:hAnsiTheme="minorHAnsi" w:cstheme="minorHAnsi"/>
                <w:bCs/>
                <w:color w:val="000000"/>
                <w:sz w:val="18"/>
                <w:szCs w:val="18"/>
                <w:lang w:val="fr-FR"/>
              </w:rPr>
            </w:pPr>
            <w:r w:rsidRPr="000E53A0">
              <w:rPr>
                <w:rFonts w:asciiTheme="minorHAnsi" w:hAnsiTheme="minorHAnsi" w:cstheme="minorHAnsi"/>
                <w:bCs/>
                <w:color w:val="000000"/>
                <w:sz w:val="18"/>
                <w:szCs w:val="18"/>
                <w:lang w:val="fr-FR"/>
              </w:rPr>
              <w:t>Possible - 3</w:t>
            </w:r>
          </w:p>
          <w:p w14:paraId="6FE41540" w14:textId="77777777" w:rsidR="00601D9B" w:rsidRPr="000E53A0" w:rsidRDefault="000E53A0">
            <w:pPr>
              <w:widowControl w:val="0"/>
              <w:snapToGrid w:val="0"/>
              <w:spacing w:line="23" w:lineRule="atLeast"/>
              <w:rPr>
                <w:rFonts w:asciiTheme="minorHAnsi" w:hAnsiTheme="minorHAnsi" w:cstheme="minorHAnsi"/>
                <w:bCs/>
                <w:color w:val="000000"/>
                <w:sz w:val="18"/>
                <w:szCs w:val="18"/>
                <w:lang w:val="fr-FR"/>
              </w:rPr>
            </w:pPr>
            <w:r w:rsidRPr="000E53A0">
              <w:rPr>
                <w:rFonts w:asciiTheme="minorHAnsi" w:hAnsiTheme="minorHAnsi" w:cstheme="minorHAnsi"/>
                <w:bCs/>
                <w:color w:val="000000"/>
                <w:sz w:val="18"/>
                <w:szCs w:val="18"/>
                <w:lang w:val="fr-FR"/>
              </w:rPr>
              <w:t>Peu probable - 2</w:t>
            </w:r>
          </w:p>
          <w:p w14:paraId="1C101D7B" w14:textId="77777777" w:rsidR="00601D9B" w:rsidRPr="000E53A0" w:rsidRDefault="000E53A0">
            <w:pPr>
              <w:widowControl w:val="0"/>
              <w:snapToGrid w:val="0"/>
              <w:spacing w:line="23" w:lineRule="atLeast"/>
              <w:rPr>
                <w:rFonts w:asciiTheme="minorHAnsi" w:hAnsiTheme="minorHAnsi" w:cstheme="minorHAnsi"/>
                <w:b/>
                <w:color w:val="000000"/>
                <w:sz w:val="18"/>
                <w:szCs w:val="18"/>
                <w:lang w:val="fr-FR"/>
              </w:rPr>
            </w:pPr>
            <w:r w:rsidRPr="000E53A0">
              <w:rPr>
                <w:rFonts w:asciiTheme="minorHAnsi" w:hAnsiTheme="minorHAnsi" w:cstheme="minorHAnsi"/>
                <w:bCs/>
                <w:color w:val="000000"/>
                <w:sz w:val="18"/>
                <w:szCs w:val="18"/>
                <w:lang w:val="fr-FR"/>
              </w:rPr>
              <w:t xml:space="preserve">Rare - 1 et </w:t>
            </w:r>
            <w:r w:rsidRPr="000E53A0">
              <w:rPr>
                <w:rFonts w:asciiTheme="minorHAnsi" w:hAnsiTheme="minorHAnsi" w:cstheme="minorHAnsi"/>
                <w:b/>
                <w:color w:val="000000"/>
                <w:sz w:val="18"/>
                <w:szCs w:val="18"/>
                <w:lang w:val="fr-FR"/>
              </w:rPr>
              <w:t xml:space="preserve">Impact : </w:t>
            </w:r>
          </w:p>
          <w:p w14:paraId="3147BA72" w14:textId="77777777" w:rsidR="00601D9B" w:rsidRPr="000E53A0" w:rsidRDefault="000E53A0">
            <w:pPr>
              <w:widowControl w:val="0"/>
              <w:snapToGrid w:val="0"/>
              <w:spacing w:line="23" w:lineRule="atLeast"/>
              <w:rPr>
                <w:rFonts w:asciiTheme="minorHAnsi" w:hAnsiTheme="minorHAnsi" w:cstheme="minorHAnsi"/>
                <w:bCs/>
                <w:color w:val="000000"/>
                <w:sz w:val="18"/>
                <w:szCs w:val="18"/>
                <w:lang w:val="fr-FR"/>
              </w:rPr>
            </w:pPr>
            <w:r w:rsidRPr="000E53A0">
              <w:rPr>
                <w:rFonts w:asciiTheme="minorHAnsi" w:hAnsiTheme="minorHAnsi" w:cstheme="minorHAnsi"/>
                <w:bCs/>
                <w:color w:val="000000"/>
                <w:sz w:val="18"/>
                <w:szCs w:val="18"/>
                <w:lang w:val="fr-FR"/>
              </w:rPr>
              <w:t>Extrême - 5</w:t>
            </w:r>
          </w:p>
          <w:p w14:paraId="27C87B30" w14:textId="77777777" w:rsidR="00601D9B" w:rsidRPr="000E53A0" w:rsidRDefault="000E53A0">
            <w:pPr>
              <w:widowControl w:val="0"/>
              <w:snapToGrid w:val="0"/>
              <w:spacing w:line="23" w:lineRule="atLeast"/>
              <w:rPr>
                <w:rFonts w:asciiTheme="minorHAnsi" w:hAnsiTheme="minorHAnsi" w:cstheme="minorHAnsi"/>
                <w:bCs/>
                <w:color w:val="000000"/>
                <w:sz w:val="18"/>
                <w:szCs w:val="18"/>
                <w:lang w:val="fr-FR"/>
              </w:rPr>
            </w:pPr>
            <w:r w:rsidRPr="000E53A0">
              <w:rPr>
                <w:rFonts w:asciiTheme="minorHAnsi" w:hAnsiTheme="minorHAnsi" w:cstheme="minorHAnsi"/>
                <w:bCs/>
                <w:color w:val="000000"/>
                <w:sz w:val="18"/>
                <w:szCs w:val="18"/>
                <w:lang w:val="fr-FR"/>
              </w:rPr>
              <w:t>Major - 4</w:t>
            </w:r>
          </w:p>
          <w:p w14:paraId="512A96C3" w14:textId="77777777" w:rsidR="00601D9B" w:rsidRPr="000E53A0" w:rsidRDefault="000E53A0">
            <w:pPr>
              <w:widowControl w:val="0"/>
              <w:snapToGrid w:val="0"/>
              <w:spacing w:line="23" w:lineRule="atLeast"/>
              <w:rPr>
                <w:rFonts w:asciiTheme="minorHAnsi" w:hAnsiTheme="minorHAnsi" w:cstheme="minorHAnsi"/>
                <w:bCs/>
                <w:color w:val="000000"/>
                <w:sz w:val="18"/>
                <w:szCs w:val="18"/>
                <w:lang w:val="fr-FR"/>
              </w:rPr>
            </w:pPr>
            <w:r w:rsidRPr="000E53A0">
              <w:rPr>
                <w:rFonts w:asciiTheme="minorHAnsi" w:hAnsiTheme="minorHAnsi" w:cstheme="minorHAnsi"/>
                <w:bCs/>
                <w:color w:val="000000"/>
                <w:sz w:val="18"/>
                <w:szCs w:val="18"/>
                <w:lang w:val="fr-FR"/>
              </w:rPr>
              <w:t>Modéré - 3</w:t>
            </w:r>
          </w:p>
          <w:p w14:paraId="69E684C3" w14:textId="77777777" w:rsidR="00601D9B" w:rsidRPr="000E53A0" w:rsidRDefault="000E53A0">
            <w:pPr>
              <w:widowControl w:val="0"/>
              <w:snapToGrid w:val="0"/>
              <w:spacing w:line="23" w:lineRule="atLeast"/>
              <w:rPr>
                <w:rFonts w:asciiTheme="minorHAnsi" w:hAnsiTheme="minorHAnsi" w:cstheme="minorHAnsi"/>
                <w:bCs/>
                <w:color w:val="000000"/>
                <w:sz w:val="18"/>
                <w:szCs w:val="18"/>
                <w:lang w:val="fr-FR"/>
              </w:rPr>
            </w:pPr>
            <w:r w:rsidRPr="000E53A0">
              <w:rPr>
                <w:rFonts w:asciiTheme="minorHAnsi" w:hAnsiTheme="minorHAnsi" w:cstheme="minorHAnsi"/>
                <w:bCs/>
                <w:color w:val="000000"/>
                <w:sz w:val="18"/>
                <w:szCs w:val="18"/>
                <w:lang w:val="fr-FR"/>
              </w:rPr>
              <w:t>Mineur - 2</w:t>
            </w:r>
          </w:p>
          <w:p w14:paraId="4B802972" w14:textId="77777777" w:rsidR="00601D9B" w:rsidRDefault="000E53A0">
            <w:pPr>
              <w:widowControl w:val="0"/>
              <w:snapToGrid w:val="0"/>
              <w:spacing w:line="23" w:lineRule="atLeast"/>
              <w:rPr>
                <w:rFonts w:asciiTheme="minorHAnsi" w:hAnsiTheme="minorHAnsi" w:cstheme="minorHAnsi"/>
                <w:color w:val="000000"/>
                <w:sz w:val="18"/>
                <w:szCs w:val="18"/>
                <w:lang w:val="fr-FR"/>
              </w:rPr>
            </w:pPr>
            <w:r w:rsidRPr="00A965E4">
              <w:rPr>
                <w:rFonts w:asciiTheme="minorHAnsi" w:hAnsiTheme="minorHAnsi" w:cstheme="minorHAnsi"/>
                <w:bCs/>
                <w:color w:val="000000"/>
                <w:sz w:val="18"/>
                <w:szCs w:val="18"/>
                <w:lang w:val="fr-FR"/>
              </w:rPr>
              <w:t>Insignifiant - 1</w:t>
            </w:r>
          </w:p>
        </w:tc>
        <w:tc>
          <w:tcPr>
            <w:tcW w:w="1828"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EC2D6E1" w14:textId="77777777" w:rsidR="00601D9B" w:rsidRDefault="000E53A0">
            <w:pPr>
              <w:widowControl w:val="0"/>
              <w:snapToGrid w:val="0"/>
              <w:spacing w:line="264" w:lineRule="auto"/>
              <w:jc w:val="both"/>
              <w:rPr>
                <w:rFonts w:asciiTheme="minorHAnsi" w:eastAsia="Cambria" w:hAnsiTheme="minorHAnsi" w:cstheme="minorHAnsi"/>
                <w:b/>
                <w:sz w:val="18"/>
                <w:szCs w:val="18"/>
                <w:lang w:val="en-GB"/>
              </w:rPr>
            </w:pPr>
            <w:r>
              <w:rPr>
                <w:rFonts w:asciiTheme="minorHAnsi" w:hAnsiTheme="minorHAnsi" w:cstheme="minorHAnsi"/>
                <w:b/>
                <w:sz w:val="18"/>
                <w:szCs w:val="18"/>
                <w:lang w:val="en-GB"/>
              </w:rPr>
              <w:t>Mesures d'atténuation</w:t>
            </w:r>
          </w:p>
          <w:p w14:paraId="63BA2EC2" w14:textId="77777777" w:rsidR="0098202D" w:rsidRPr="00A965E4" w:rsidRDefault="0098202D" w:rsidP="00A965E4">
            <w:pPr>
              <w:widowControl w:val="0"/>
              <w:snapToGrid w:val="0"/>
              <w:rPr>
                <w:rFonts w:asciiTheme="minorHAnsi" w:eastAsia="Cambria" w:hAnsiTheme="minorHAnsi" w:cstheme="minorHAnsi"/>
                <w:sz w:val="18"/>
                <w:szCs w:val="18"/>
                <w:lang w:val="en-GB"/>
              </w:rPr>
            </w:pPr>
          </w:p>
        </w:tc>
        <w:tc>
          <w:tcPr>
            <w:tcW w:w="238"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8A0AB14" w14:textId="77777777" w:rsidR="00601D9B" w:rsidRDefault="000E53A0">
            <w:pPr>
              <w:widowControl w:val="0"/>
              <w:snapToGrid w:val="0"/>
              <w:spacing w:line="264" w:lineRule="auto"/>
              <w:jc w:val="both"/>
              <w:rPr>
                <w:rFonts w:asciiTheme="minorHAnsi" w:eastAsia="Cambria" w:hAnsiTheme="minorHAnsi" w:cstheme="minorHAnsi"/>
                <w:b/>
                <w:sz w:val="18"/>
                <w:szCs w:val="18"/>
                <w:lang w:val="en-GB"/>
              </w:rPr>
            </w:pPr>
            <w:r>
              <w:rPr>
                <w:rFonts w:asciiTheme="minorHAnsi" w:hAnsiTheme="minorHAnsi" w:cstheme="minorHAnsi"/>
                <w:b/>
                <w:sz w:val="18"/>
                <w:szCs w:val="18"/>
                <w:lang w:val="en-GB"/>
              </w:rPr>
              <w:t xml:space="preserve">Propriétaire du risque </w:t>
            </w:r>
          </w:p>
        </w:tc>
      </w:tr>
      <w:tr w:rsidR="007F30E2" w:rsidRPr="00A965E4" w14:paraId="42D5CC22" w14:textId="77777777" w:rsidTr="007F30E2">
        <w:tc>
          <w:tcPr>
            <w:tcW w:w="952" w:type="pct"/>
            <w:tcBorders>
              <w:top w:val="single" w:sz="4" w:space="0" w:color="auto"/>
              <w:left w:val="single" w:sz="4" w:space="0" w:color="auto"/>
              <w:bottom w:val="single" w:sz="4" w:space="0" w:color="auto"/>
              <w:right w:val="single" w:sz="4" w:space="0" w:color="auto"/>
            </w:tcBorders>
            <w:shd w:val="clear" w:color="auto" w:fill="auto"/>
          </w:tcPr>
          <w:p w14:paraId="396730C1" w14:textId="77777777" w:rsidR="00601D9B" w:rsidRPr="000E53A0" w:rsidRDefault="0098202D">
            <w:pPr>
              <w:spacing w:after="60"/>
              <w:jc w:val="both"/>
              <w:rPr>
                <w:rFonts w:asciiTheme="minorHAnsi" w:hAnsiTheme="minorHAnsi" w:cstheme="minorHAnsi"/>
                <w:sz w:val="18"/>
                <w:szCs w:val="18"/>
                <w:lang w:val="fr-FR"/>
              </w:rPr>
            </w:pPr>
            <w:r w:rsidRPr="000E53A0">
              <w:rPr>
                <w:rFonts w:asciiTheme="minorHAnsi" w:hAnsiTheme="minorHAnsi" w:cstheme="minorHAnsi"/>
                <w:sz w:val="18"/>
                <w:szCs w:val="18"/>
                <w:lang w:val="fr-FR"/>
              </w:rPr>
              <w:t>Instabilité permanente liée à un conflit avec une forte probabilité d'affecter les zones d'intervention pendant la mise en œuvre.</w:t>
            </w:r>
          </w:p>
        </w:tc>
        <w:tc>
          <w:tcPr>
            <w:tcW w:w="964" w:type="pct"/>
            <w:tcBorders>
              <w:top w:val="single" w:sz="4" w:space="0" w:color="auto"/>
              <w:left w:val="single" w:sz="4" w:space="0" w:color="auto"/>
              <w:bottom w:val="single" w:sz="4" w:space="0" w:color="auto"/>
              <w:right w:val="single" w:sz="4" w:space="0" w:color="auto"/>
            </w:tcBorders>
          </w:tcPr>
          <w:p w14:paraId="46C636C7" w14:textId="77777777" w:rsidR="00601D9B" w:rsidRDefault="000E53A0">
            <w:pPr>
              <w:rPr>
                <w:rFonts w:asciiTheme="minorHAnsi" w:hAnsiTheme="minorHAnsi" w:cstheme="minorHAnsi"/>
                <w:sz w:val="18"/>
                <w:szCs w:val="18"/>
              </w:rPr>
            </w:pPr>
            <w:r w:rsidRPr="00A965E4">
              <w:rPr>
                <w:rFonts w:asciiTheme="minorHAnsi" w:hAnsiTheme="minorHAnsi" w:cstheme="minorHAnsi"/>
                <w:sz w:val="18"/>
                <w:szCs w:val="18"/>
              </w:rPr>
              <w:t>Social et environnemental</w:t>
            </w:r>
          </w:p>
          <w:p w14:paraId="3D3041E4" w14:textId="77777777" w:rsidR="0098202D" w:rsidRPr="00A965E4" w:rsidRDefault="0098202D" w:rsidP="00A965E4">
            <w:pPr>
              <w:widowControl w:val="0"/>
              <w:snapToGrid w:val="0"/>
              <w:spacing w:line="264" w:lineRule="auto"/>
              <w:rPr>
                <w:rFonts w:asciiTheme="minorHAnsi" w:eastAsia="Cambria" w:hAnsiTheme="minorHAnsi" w:cstheme="minorHAnsi"/>
                <w:sz w:val="18"/>
                <w:szCs w:val="18"/>
                <w:lang w:val="fr-FR"/>
              </w:rPr>
            </w:pPr>
          </w:p>
        </w:tc>
        <w:tc>
          <w:tcPr>
            <w:tcW w:w="1018" w:type="pct"/>
            <w:tcBorders>
              <w:top w:val="single" w:sz="4" w:space="0" w:color="auto"/>
              <w:left w:val="single" w:sz="4" w:space="0" w:color="auto"/>
              <w:bottom w:val="single" w:sz="4" w:space="0" w:color="auto"/>
              <w:right w:val="single" w:sz="4" w:space="0" w:color="auto"/>
            </w:tcBorders>
            <w:shd w:val="clear" w:color="auto" w:fill="auto"/>
          </w:tcPr>
          <w:p w14:paraId="7F5C9A3F" w14:textId="77777777" w:rsidR="00601D9B" w:rsidRPr="000E53A0" w:rsidRDefault="000E53A0">
            <w:pPr>
              <w:rPr>
                <w:rFonts w:asciiTheme="minorHAnsi" w:hAnsiTheme="minorHAnsi" w:cstheme="minorHAnsi"/>
                <w:sz w:val="18"/>
                <w:szCs w:val="18"/>
                <w:lang w:val="fr-FR"/>
              </w:rPr>
            </w:pPr>
            <w:r w:rsidRPr="000E53A0">
              <w:rPr>
                <w:rFonts w:asciiTheme="minorHAnsi" w:hAnsiTheme="minorHAnsi" w:cstheme="minorHAnsi"/>
                <w:sz w:val="18"/>
                <w:szCs w:val="18"/>
                <w:lang w:val="fr-FR"/>
              </w:rPr>
              <w:t xml:space="preserve">Risque de persistance d'un environnement anti-droits (extrémisme violent, expansion des groupes armés) qui se traduit par </w:t>
            </w:r>
            <w:proofErr w:type="gramStart"/>
            <w:r w:rsidRPr="000E53A0">
              <w:rPr>
                <w:rFonts w:asciiTheme="minorHAnsi" w:hAnsiTheme="minorHAnsi" w:cstheme="minorHAnsi"/>
                <w:sz w:val="18"/>
                <w:szCs w:val="18"/>
                <w:lang w:val="fr-FR"/>
              </w:rPr>
              <w:t>une faible capacité</w:t>
            </w:r>
            <w:proofErr w:type="gramEnd"/>
            <w:r w:rsidRPr="000E53A0">
              <w:rPr>
                <w:rFonts w:asciiTheme="minorHAnsi" w:hAnsiTheme="minorHAnsi" w:cstheme="minorHAnsi"/>
                <w:sz w:val="18"/>
                <w:szCs w:val="18"/>
                <w:lang w:val="fr-FR"/>
              </w:rPr>
              <w:t xml:space="preserve"> d'action des défenseurs des droits, notamment dans les zones d'instabilité.</w:t>
            </w:r>
          </w:p>
          <w:p w14:paraId="1E965B99" w14:textId="77777777" w:rsidR="00601D9B" w:rsidRDefault="000E53A0">
            <w:pPr>
              <w:rPr>
                <w:rFonts w:cs="Calibri"/>
                <w:sz w:val="18"/>
                <w:szCs w:val="18"/>
                <w:lang w:val="fr-FR"/>
              </w:rPr>
            </w:pPr>
            <w:r w:rsidRPr="004C3852">
              <w:rPr>
                <w:rFonts w:cs="Calibri"/>
                <w:sz w:val="18"/>
                <w:szCs w:val="18"/>
                <w:lang w:val="fr-FR"/>
              </w:rPr>
              <w:t>L =4</w:t>
            </w:r>
          </w:p>
          <w:p w14:paraId="0944C80A" w14:textId="77777777" w:rsidR="00601D9B" w:rsidRDefault="000E53A0">
            <w:pPr>
              <w:rPr>
                <w:rFonts w:asciiTheme="minorHAnsi" w:hAnsiTheme="minorHAnsi" w:cstheme="minorHAnsi"/>
                <w:color w:val="000000"/>
                <w:sz w:val="18"/>
                <w:szCs w:val="18"/>
                <w:lang w:val="fr-FR"/>
              </w:rPr>
            </w:pPr>
            <w:r w:rsidRPr="004C3852">
              <w:rPr>
                <w:rFonts w:cs="Calibri"/>
                <w:sz w:val="18"/>
                <w:szCs w:val="18"/>
                <w:lang w:val="fr-FR"/>
              </w:rPr>
              <w:t>I =4</w:t>
            </w:r>
          </w:p>
        </w:tc>
        <w:tc>
          <w:tcPr>
            <w:tcW w:w="1828" w:type="pct"/>
            <w:tcBorders>
              <w:top w:val="single" w:sz="4" w:space="0" w:color="auto"/>
              <w:left w:val="single" w:sz="4" w:space="0" w:color="auto"/>
              <w:bottom w:val="single" w:sz="4" w:space="0" w:color="auto"/>
              <w:right w:val="single" w:sz="4" w:space="0" w:color="auto"/>
            </w:tcBorders>
            <w:shd w:val="clear" w:color="auto" w:fill="auto"/>
          </w:tcPr>
          <w:p w14:paraId="2EBAD7BD" w14:textId="77777777" w:rsidR="00601D9B" w:rsidRPr="000E53A0" w:rsidRDefault="000E53A0">
            <w:pPr>
              <w:widowControl w:val="0"/>
              <w:snapToGrid w:val="0"/>
              <w:spacing w:line="264" w:lineRule="auto"/>
              <w:contextualSpacing/>
              <w:rPr>
                <w:rFonts w:asciiTheme="minorHAnsi" w:hAnsiTheme="minorHAnsi" w:cstheme="minorHAnsi"/>
                <w:sz w:val="18"/>
                <w:szCs w:val="18"/>
                <w:lang w:val="fr-FR"/>
              </w:rPr>
            </w:pPr>
            <w:r w:rsidRPr="000E53A0">
              <w:rPr>
                <w:rFonts w:asciiTheme="minorHAnsi" w:hAnsiTheme="minorHAnsi" w:cstheme="minorHAnsi"/>
                <w:sz w:val="18"/>
                <w:szCs w:val="18"/>
                <w:lang w:val="fr-FR"/>
              </w:rPr>
              <w:t>- Le projet surveillera la situation en matière de sécurité et appliquera un plan de sécurité et d'urgence tel que développé pendant le PPG.  Les stratégies de prévention, de gestion et de résolution des risques seront conjointement identifiées, suivies et évaluées régulièrement.</w:t>
            </w:r>
          </w:p>
          <w:p w14:paraId="50F338AA" w14:textId="77777777" w:rsidR="00601D9B" w:rsidRPr="000E53A0" w:rsidRDefault="000E53A0">
            <w:pPr>
              <w:widowControl w:val="0"/>
              <w:snapToGrid w:val="0"/>
              <w:spacing w:line="264" w:lineRule="auto"/>
              <w:contextualSpacing/>
              <w:rPr>
                <w:rFonts w:asciiTheme="minorHAnsi" w:hAnsiTheme="minorHAnsi" w:cstheme="minorHAnsi"/>
                <w:sz w:val="18"/>
                <w:szCs w:val="18"/>
                <w:lang w:val="fr-FR"/>
              </w:rPr>
            </w:pPr>
            <w:r w:rsidRPr="000E53A0">
              <w:rPr>
                <w:rFonts w:asciiTheme="minorHAnsi" w:hAnsiTheme="minorHAnsi" w:cstheme="minorHAnsi"/>
                <w:sz w:val="18"/>
                <w:szCs w:val="18"/>
                <w:lang w:val="fr-FR"/>
              </w:rPr>
              <w:t>- Le projet s'associera à des initiatives communautaires visant à promouvoir la consolidation de la paix et à prévenir les actes d'escalade de la violence contre les femmes et les filles.</w:t>
            </w:r>
          </w:p>
          <w:p w14:paraId="1DD1A4C8" w14:textId="77777777" w:rsidR="00601D9B" w:rsidRPr="000E53A0" w:rsidRDefault="000E53A0">
            <w:pPr>
              <w:widowControl w:val="0"/>
              <w:snapToGrid w:val="0"/>
              <w:spacing w:line="252" w:lineRule="auto"/>
              <w:rPr>
                <w:rFonts w:asciiTheme="minorHAnsi" w:hAnsiTheme="minorHAnsi" w:cstheme="minorHAnsi"/>
                <w:sz w:val="18"/>
                <w:szCs w:val="18"/>
                <w:lang w:val="fr-FR"/>
              </w:rPr>
            </w:pPr>
            <w:r w:rsidRPr="000E53A0">
              <w:rPr>
                <w:rFonts w:asciiTheme="minorHAnsi" w:hAnsiTheme="minorHAnsi" w:cstheme="minorHAnsi"/>
                <w:sz w:val="18"/>
                <w:szCs w:val="18"/>
                <w:lang w:val="fr-FR"/>
              </w:rPr>
              <w:t xml:space="preserve">- Le </w:t>
            </w:r>
            <w:r w:rsidR="007F30E2" w:rsidRPr="000E53A0">
              <w:rPr>
                <w:rFonts w:asciiTheme="minorHAnsi" w:hAnsiTheme="minorHAnsi" w:cstheme="minorHAnsi"/>
                <w:sz w:val="18"/>
                <w:szCs w:val="18"/>
                <w:lang w:val="fr-FR"/>
              </w:rPr>
              <w:t xml:space="preserve">projet </w:t>
            </w:r>
            <w:r w:rsidRPr="000E53A0">
              <w:rPr>
                <w:rFonts w:asciiTheme="minorHAnsi" w:hAnsiTheme="minorHAnsi" w:cstheme="minorHAnsi"/>
                <w:sz w:val="18"/>
                <w:szCs w:val="18"/>
                <w:lang w:val="fr-FR"/>
              </w:rPr>
              <w:t>peut organiser des missions d'échange et de soutien avec d'autres pays de la région qui ont fait des progrès dans ce domaine.</w:t>
            </w:r>
          </w:p>
          <w:p w14:paraId="0EAB4A07" w14:textId="77777777" w:rsidR="00601D9B" w:rsidRPr="000E53A0" w:rsidRDefault="000E53A0">
            <w:pPr>
              <w:widowControl w:val="0"/>
              <w:snapToGrid w:val="0"/>
              <w:spacing w:line="252" w:lineRule="auto"/>
              <w:rPr>
                <w:rFonts w:asciiTheme="minorHAnsi" w:hAnsiTheme="minorHAnsi" w:cstheme="minorHAnsi"/>
                <w:sz w:val="18"/>
                <w:szCs w:val="18"/>
                <w:lang w:val="fr-FR"/>
              </w:rPr>
            </w:pPr>
            <w:r w:rsidRPr="000E53A0">
              <w:rPr>
                <w:rFonts w:asciiTheme="minorHAnsi" w:hAnsiTheme="minorHAnsi" w:cstheme="minorHAnsi"/>
                <w:sz w:val="18"/>
                <w:szCs w:val="18"/>
                <w:lang w:val="fr-FR"/>
              </w:rPr>
              <w:t xml:space="preserve">- Le </w:t>
            </w:r>
            <w:r w:rsidR="007F30E2" w:rsidRPr="000E53A0">
              <w:rPr>
                <w:rFonts w:asciiTheme="minorHAnsi" w:hAnsiTheme="minorHAnsi" w:cstheme="minorHAnsi"/>
                <w:sz w:val="18"/>
                <w:szCs w:val="18"/>
                <w:lang w:val="fr-FR"/>
              </w:rPr>
              <w:t xml:space="preserve">projet </w:t>
            </w:r>
            <w:r w:rsidRPr="000E53A0">
              <w:rPr>
                <w:rFonts w:asciiTheme="minorHAnsi" w:hAnsiTheme="minorHAnsi" w:cstheme="minorHAnsi"/>
                <w:sz w:val="18"/>
                <w:szCs w:val="18"/>
                <w:lang w:val="fr-FR"/>
              </w:rPr>
              <w:t>veillera à ce que les approches soient inclusives, adaptées au contexte et accordent une place centrale aux institutions influentes telles que les chefs religieux.</w:t>
            </w:r>
          </w:p>
          <w:p w14:paraId="5C4398F3" w14:textId="77777777" w:rsidR="00601D9B" w:rsidRPr="000E53A0" w:rsidRDefault="000E53A0">
            <w:pPr>
              <w:widowControl w:val="0"/>
              <w:snapToGrid w:val="0"/>
              <w:spacing w:line="252" w:lineRule="auto"/>
              <w:rPr>
                <w:rFonts w:asciiTheme="minorHAnsi" w:hAnsiTheme="minorHAnsi" w:cstheme="minorHAnsi"/>
                <w:sz w:val="18"/>
                <w:szCs w:val="18"/>
                <w:lang w:val="fr-FR"/>
              </w:rPr>
            </w:pPr>
            <w:r w:rsidRPr="000E53A0">
              <w:rPr>
                <w:rFonts w:asciiTheme="minorHAnsi" w:hAnsiTheme="minorHAnsi" w:cstheme="minorHAnsi"/>
                <w:sz w:val="18"/>
                <w:szCs w:val="18"/>
                <w:lang w:val="fr-FR"/>
              </w:rPr>
              <w:t>- Toutes ces actions s'accompagneront d'une éducation aux droits et aux conséquences de leur non-application sur les individus, les communautés et la nation.</w:t>
            </w:r>
          </w:p>
        </w:tc>
        <w:tc>
          <w:tcPr>
            <w:tcW w:w="238" w:type="pct"/>
            <w:tcBorders>
              <w:top w:val="single" w:sz="4" w:space="0" w:color="auto"/>
              <w:left w:val="single" w:sz="4" w:space="0" w:color="auto"/>
              <w:bottom w:val="single" w:sz="4" w:space="0" w:color="auto"/>
              <w:right w:val="single" w:sz="4" w:space="0" w:color="auto"/>
            </w:tcBorders>
            <w:shd w:val="clear" w:color="auto" w:fill="auto"/>
          </w:tcPr>
          <w:p w14:paraId="284F9B23" w14:textId="77777777" w:rsidR="00601D9B" w:rsidRDefault="000E53A0">
            <w:pPr>
              <w:widowControl w:val="0"/>
              <w:snapToGrid w:val="0"/>
              <w:spacing w:line="264" w:lineRule="auto"/>
              <w:rPr>
                <w:rFonts w:asciiTheme="minorHAnsi" w:eastAsia="Cambria" w:hAnsiTheme="minorHAnsi" w:cstheme="minorHAnsi"/>
                <w:sz w:val="18"/>
                <w:szCs w:val="18"/>
                <w:lang w:val="fr-FR"/>
              </w:rPr>
            </w:pPr>
            <w:r>
              <w:rPr>
                <w:rFonts w:asciiTheme="minorHAnsi" w:eastAsia="Cambria" w:hAnsiTheme="minorHAnsi" w:cstheme="minorHAnsi"/>
                <w:sz w:val="18"/>
                <w:szCs w:val="18"/>
                <w:lang w:val="fr-FR"/>
              </w:rPr>
              <w:t>PMU</w:t>
            </w:r>
          </w:p>
          <w:p w14:paraId="10FF6708" w14:textId="77777777" w:rsidR="00601D9B" w:rsidRDefault="000E53A0">
            <w:pPr>
              <w:widowControl w:val="0"/>
              <w:snapToGrid w:val="0"/>
              <w:spacing w:line="264" w:lineRule="auto"/>
              <w:rPr>
                <w:rFonts w:asciiTheme="minorHAnsi" w:eastAsia="Cambria" w:hAnsiTheme="minorHAnsi" w:cstheme="minorHAnsi"/>
                <w:sz w:val="18"/>
                <w:szCs w:val="18"/>
                <w:lang w:val="fr-FR"/>
              </w:rPr>
            </w:pPr>
            <w:r>
              <w:rPr>
                <w:rFonts w:asciiTheme="minorHAnsi" w:eastAsia="Cambria" w:hAnsiTheme="minorHAnsi" w:cstheme="minorHAnsi"/>
                <w:sz w:val="18"/>
                <w:szCs w:val="18"/>
                <w:lang w:val="fr-FR"/>
              </w:rPr>
              <w:t>PNUD</w:t>
            </w:r>
          </w:p>
          <w:p w14:paraId="3120652A" w14:textId="77777777" w:rsidR="0098202D" w:rsidRPr="00A965E4" w:rsidRDefault="0098202D" w:rsidP="000E53A0">
            <w:pPr>
              <w:widowControl w:val="0"/>
              <w:snapToGrid w:val="0"/>
              <w:spacing w:line="264" w:lineRule="auto"/>
              <w:jc w:val="both"/>
              <w:rPr>
                <w:rFonts w:asciiTheme="minorHAnsi" w:eastAsia="Cambria" w:hAnsiTheme="minorHAnsi" w:cstheme="minorHAnsi"/>
                <w:sz w:val="18"/>
                <w:szCs w:val="18"/>
                <w:lang w:val="fr-FR"/>
              </w:rPr>
            </w:pPr>
          </w:p>
        </w:tc>
      </w:tr>
      <w:tr w:rsidR="007F30E2" w:rsidRPr="00A965E4" w14:paraId="38C7BA00" w14:textId="77777777" w:rsidTr="007F30E2">
        <w:tc>
          <w:tcPr>
            <w:tcW w:w="952" w:type="pct"/>
            <w:tcBorders>
              <w:top w:val="single" w:sz="4" w:space="0" w:color="auto"/>
              <w:left w:val="single" w:sz="4" w:space="0" w:color="auto"/>
              <w:bottom w:val="single" w:sz="4" w:space="0" w:color="auto"/>
              <w:right w:val="single" w:sz="4" w:space="0" w:color="auto"/>
            </w:tcBorders>
            <w:shd w:val="clear" w:color="auto" w:fill="auto"/>
            <w:hideMark/>
          </w:tcPr>
          <w:p w14:paraId="1F04FFF5" w14:textId="77777777" w:rsidR="00601D9B" w:rsidRPr="000E53A0" w:rsidRDefault="000E53A0">
            <w:pPr>
              <w:rPr>
                <w:rFonts w:asciiTheme="minorHAnsi" w:hAnsiTheme="minorHAnsi" w:cstheme="minorHAnsi"/>
                <w:sz w:val="18"/>
                <w:szCs w:val="18"/>
                <w:lang w:val="fr-FR"/>
              </w:rPr>
            </w:pPr>
            <w:r w:rsidRPr="000E53A0">
              <w:rPr>
                <w:rFonts w:asciiTheme="minorHAnsi" w:hAnsiTheme="minorHAnsi" w:cstheme="minorHAnsi"/>
                <w:sz w:val="18"/>
                <w:szCs w:val="18"/>
                <w:lang w:val="fr-FR"/>
              </w:rPr>
              <w:t xml:space="preserve">Insuffisance du cadre législatif et politique : Non-harmonisation des statuts et des textes juridiques avec les conventions internationales ; non-insertion des textes ratifiés dans le journal officiel ; mise en avant </w:t>
            </w:r>
            <w:r w:rsidRPr="000E53A0">
              <w:rPr>
                <w:rFonts w:asciiTheme="minorHAnsi" w:hAnsiTheme="minorHAnsi" w:cstheme="minorHAnsi"/>
                <w:sz w:val="18"/>
                <w:szCs w:val="18"/>
                <w:lang w:val="fr-FR"/>
              </w:rPr>
              <w:lastRenderedPageBreak/>
              <w:t>des règles coutumières au détriment de la loi.</w:t>
            </w:r>
          </w:p>
          <w:p w14:paraId="1DDC180C" w14:textId="77777777" w:rsidR="0098202D" w:rsidRPr="000E53A0" w:rsidRDefault="0098202D" w:rsidP="000E53A0">
            <w:pPr>
              <w:widowControl w:val="0"/>
              <w:snapToGrid w:val="0"/>
              <w:spacing w:line="264" w:lineRule="auto"/>
              <w:jc w:val="both"/>
              <w:rPr>
                <w:rFonts w:asciiTheme="minorHAnsi" w:eastAsia="Cambria" w:hAnsiTheme="minorHAnsi" w:cstheme="minorHAnsi"/>
                <w:sz w:val="18"/>
                <w:szCs w:val="18"/>
                <w:lang w:val="fr-FR"/>
              </w:rPr>
            </w:pPr>
          </w:p>
        </w:tc>
        <w:tc>
          <w:tcPr>
            <w:tcW w:w="964" w:type="pct"/>
            <w:tcBorders>
              <w:top w:val="single" w:sz="4" w:space="0" w:color="auto"/>
              <w:left w:val="single" w:sz="4" w:space="0" w:color="auto"/>
              <w:bottom w:val="single" w:sz="4" w:space="0" w:color="auto"/>
              <w:right w:val="single" w:sz="4" w:space="0" w:color="auto"/>
            </w:tcBorders>
          </w:tcPr>
          <w:p w14:paraId="1F93471F" w14:textId="77777777" w:rsidR="00601D9B" w:rsidRDefault="000E53A0">
            <w:pPr>
              <w:rPr>
                <w:rFonts w:asciiTheme="minorHAnsi" w:hAnsiTheme="minorHAnsi" w:cstheme="minorHAnsi"/>
                <w:sz w:val="18"/>
                <w:szCs w:val="18"/>
              </w:rPr>
            </w:pPr>
            <w:r w:rsidRPr="00A965E4">
              <w:rPr>
                <w:rFonts w:asciiTheme="minorHAnsi" w:hAnsiTheme="minorHAnsi" w:cstheme="minorHAnsi"/>
                <w:sz w:val="18"/>
                <w:szCs w:val="18"/>
              </w:rPr>
              <w:lastRenderedPageBreak/>
              <w:t>Réglementation</w:t>
            </w:r>
          </w:p>
          <w:p w14:paraId="701C4407" w14:textId="77777777" w:rsidR="0098202D" w:rsidRPr="00A965E4" w:rsidRDefault="0098202D" w:rsidP="00A965E4">
            <w:pPr>
              <w:widowControl w:val="0"/>
              <w:snapToGrid w:val="0"/>
              <w:spacing w:line="264" w:lineRule="auto"/>
              <w:rPr>
                <w:rFonts w:asciiTheme="minorHAnsi" w:eastAsia="Cambria" w:hAnsiTheme="minorHAnsi" w:cstheme="minorHAnsi"/>
                <w:sz w:val="18"/>
                <w:szCs w:val="18"/>
                <w:lang w:val="fr-FR"/>
              </w:rPr>
            </w:pPr>
          </w:p>
        </w:tc>
        <w:tc>
          <w:tcPr>
            <w:tcW w:w="1018" w:type="pct"/>
            <w:tcBorders>
              <w:top w:val="single" w:sz="4" w:space="0" w:color="auto"/>
              <w:left w:val="single" w:sz="4" w:space="0" w:color="auto"/>
              <w:bottom w:val="single" w:sz="4" w:space="0" w:color="auto"/>
              <w:right w:val="single" w:sz="4" w:space="0" w:color="auto"/>
            </w:tcBorders>
            <w:shd w:val="clear" w:color="auto" w:fill="auto"/>
            <w:hideMark/>
          </w:tcPr>
          <w:p w14:paraId="076AC399" w14:textId="77777777" w:rsidR="00601D9B" w:rsidRDefault="000E53A0">
            <w:pPr>
              <w:rPr>
                <w:rFonts w:cs="Calibri"/>
                <w:sz w:val="18"/>
                <w:szCs w:val="18"/>
              </w:rPr>
            </w:pPr>
            <w:r>
              <w:rPr>
                <w:rFonts w:cs="Calibri"/>
                <w:sz w:val="18"/>
                <w:szCs w:val="18"/>
              </w:rPr>
              <w:t xml:space="preserve">L </w:t>
            </w:r>
            <w:r w:rsidRPr="00BB0459">
              <w:rPr>
                <w:rFonts w:cs="Calibri"/>
                <w:sz w:val="18"/>
                <w:szCs w:val="18"/>
              </w:rPr>
              <w:t>=3</w:t>
            </w:r>
          </w:p>
          <w:p w14:paraId="25DE6C39" w14:textId="77777777" w:rsidR="00601D9B" w:rsidRDefault="000E53A0">
            <w:pPr>
              <w:jc w:val="both"/>
              <w:rPr>
                <w:rFonts w:ascii="Calibri" w:eastAsia="SimSun" w:hAnsi="Calibri" w:cs="Calibri"/>
                <w:sz w:val="18"/>
                <w:szCs w:val="18"/>
                <w:lang w:val="en-US"/>
              </w:rPr>
            </w:pPr>
            <w:r w:rsidRPr="00BB0459">
              <w:rPr>
                <w:rFonts w:cs="Calibri"/>
                <w:sz w:val="18"/>
                <w:szCs w:val="18"/>
              </w:rPr>
              <w:t>I =3</w:t>
            </w:r>
          </w:p>
          <w:p w14:paraId="60EA7D8E" w14:textId="77777777" w:rsidR="0098202D" w:rsidRPr="00A965E4" w:rsidRDefault="0098202D" w:rsidP="000E53A0">
            <w:pPr>
              <w:widowControl w:val="0"/>
              <w:snapToGrid w:val="0"/>
              <w:spacing w:line="264" w:lineRule="auto"/>
              <w:jc w:val="center"/>
              <w:rPr>
                <w:rFonts w:asciiTheme="minorHAnsi" w:eastAsia="Cambria" w:hAnsiTheme="minorHAnsi" w:cstheme="minorHAnsi"/>
                <w:sz w:val="18"/>
                <w:szCs w:val="18"/>
                <w:lang w:val="en-GB"/>
              </w:rPr>
            </w:pPr>
          </w:p>
        </w:tc>
        <w:tc>
          <w:tcPr>
            <w:tcW w:w="1828" w:type="pct"/>
            <w:tcBorders>
              <w:top w:val="single" w:sz="4" w:space="0" w:color="auto"/>
              <w:left w:val="single" w:sz="4" w:space="0" w:color="auto"/>
              <w:bottom w:val="single" w:sz="4" w:space="0" w:color="auto"/>
              <w:right w:val="single" w:sz="4" w:space="0" w:color="auto"/>
            </w:tcBorders>
            <w:shd w:val="clear" w:color="auto" w:fill="auto"/>
            <w:hideMark/>
          </w:tcPr>
          <w:p w14:paraId="1EDF88EE" w14:textId="77777777" w:rsidR="00601D9B" w:rsidRPr="000E53A0" w:rsidRDefault="000E53A0">
            <w:pPr>
              <w:widowControl w:val="0"/>
              <w:snapToGrid w:val="0"/>
              <w:spacing w:line="252" w:lineRule="auto"/>
              <w:rPr>
                <w:rFonts w:asciiTheme="minorHAnsi" w:hAnsiTheme="minorHAnsi" w:cstheme="minorHAnsi"/>
                <w:sz w:val="18"/>
                <w:szCs w:val="18"/>
                <w:lang w:val="fr-FR"/>
              </w:rPr>
            </w:pPr>
            <w:r w:rsidRPr="000E53A0">
              <w:rPr>
                <w:rFonts w:asciiTheme="minorHAnsi" w:hAnsiTheme="minorHAnsi" w:cstheme="minorHAnsi"/>
                <w:sz w:val="18"/>
                <w:szCs w:val="18"/>
                <w:lang w:val="fr-FR"/>
              </w:rPr>
              <w:t xml:space="preserve">- Consacrer un pilier du </w:t>
            </w:r>
            <w:r w:rsidR="007F30E2" w:rsidRPr="000E53A0">
              <w:rPr>
                <w:rFonts w:asciiTheme="minorHAnsi" w:hAnsiTheme="minorHAnsi" w:cstheme="minorHAnsi"/>
                <w:sz w:val="18"/>
                <w:szCs w:val="18"/>
                <w:lang w:val="fr-FR"/>
              </w:rPr>
              <w:t xml:space="preserve">projet </w:t>
            </w:r>
            <w:r w:rsidRPr="000E53A0">
              <w:rPr>
                <w:rFonts w:asciiTheme="minorHAnsi" w:hAnsiTheme="minorHAnsi" w:cstheme="minorHAnsi"/>
                <w:sz w:val="18"/>
                <w:szCs w:val="18"/>
                <w:lang w:val="fr-FR"/>
              </w:rPr>
              <w:t>à l'harmonisation des textes et à la proposition de mesures d'application. Dans ce cadre, le plaidoyer pour la révision des textes ratifiés, l'adoption de nouveaux textes juridiques visant une plus grande inclusion des femmes et des groupes vulnérables sera renforcé.</w:t>
            </w:r>
          </w:p>
          <w:p w14:paraId="0094CBDC" w14:textId="77777777" w:rsidR="00601D9B" w:rsidRPr="000E53A0" w:rsidRDefault="000E53A0">
            <w:pPr>
              <w:widowControl w:val="0"/>
              <w:snapToGrid w:val="0"/>
              <w:spacing w:line="252" w:lineRule="auto"/>
              <w:rPr>
                <w:rFonts w:asciiTheme="minorHAnsi" w:hAnsiTheme="minorHAnsi" w:cstheme="minorHAnsi"/>
                <w:sz w:val="18"/>
                <w:szCs w:val="18"/>
                <w:lang w:val="fr-FR"/>
              </w:rPr>
            </w:pPr>
            <w:r w:rsidRPr="000E53A0">
              <w:rPr>
                <w:rFonts w:asciiTheme="minorHAnsi" w:hAnsiTheme="minorHAnsi" w:cstheme="minorHAnsi"/>
                <w:sz w:val="18"/>
                <w:szCs w:val="18"/>
                <w:lang w:val="fr-FR"/>
              </w:rPr>
              <w:t>- Les capacités des acteurs judiciaires seront également renforcées.</w:t>
            </w:r>
          </w:p>
          <w:p w14:paraId="675D6FA4" w14:textId="77777777" w:rsidR="00601D9B" w:rsidRPr="000E53A0" w:rsidRDefault="000E53A0">
            <w:pPr>
              <w:widowControl w:val="0"/>
              <w:snapToGrid w:val="0"/>
              <w:spacing w:line="252" w:lineRule="auto"/>
              <w:rPr>
                <w:rFonts w:asciiTheme="minorHAnsi" w:hAnsiTheme="minorHAnsi" w:cstheme="minorHAnsi"/>
                <w:sz w:val="18"/>
                <w:szCs w:val="18"/>
                <w:lang w:val="fr-FR"/>
              </w:rPr>
            </w:pPr>
            <w:r w:rsidRPr="000E53A0">
              <w:rPr>
                <w:rFonts w:asciiTheme="minorHAnsi" w:hAnsiTheme="minorHAnsi" w:cstheme="minorHAnsi"/>
                <w:sz w:val="18"/>
                <w:szCs w:val="18"/>
                <w:lang w:val="fr-FR"/>
              </w:rPr>
              <w:t xml:space="preserve">- En outre, le projet soutiendra le travail des chefs communautaires et religieux </w:t>
            </w:r>
            <w:r w:rsidRPr="000E53A0">
              <w:rPr>
                <w:rFonts w:asciiTheme="minorHAnsi" w:hAnsiTheme="minorHAnsi" w:cstheme="minorHAnsi"/>
                <w:sz w:val="18"/>
                <w:szCs w:val="18"/>
                <w:lang w:val="fr-FR"/>
              </w:rPr>
              <w:lastRenderedPageBreak/>
              <w:t>dans l'harmonisation de la législation nationale et du droit coutumier.</w:t>
            </w:r>
          </w:p>
        </w:tc>
        <w:tc>
          <w:tcPr>
            <w:tcW w:w="238" w:type="pct"/>
            <w:tcBorders>
              <w:top w:val="single" w:sz="4" w:space="0" w:color="auto"/>
              <w:left w:val="single" w:sz="4" w:space="0" w:color="auto"/>
              <w:bottom w:val="single" w:sz="4" w:space="0" w:color="auto"/>
              <w:right w:val="single" w:sz="4" w:space="0" w:color="auto"/>
            </w:tcBorders>
            <w:shd w:val="clear" w:color="auto" w:fill="auto"/>
            <w:hideMark/>
          </w:tcPr>
          <w:p w14:paraId="0690D3AE" w14:textId="77777777" w:rsidR="00601D9B" w:rsidRDefault="000E53A0">
            <w:pPr>
              <w:widowControl w:val="0"/>
              <w:snapToGrid w:val="0"/>
              <w:rPr>
                <w:rFonts w:asciiTheme="minorHAnsi" w:eastAsia="Cambria" w:hAnsiTheme="minorHAnsi" w:cstheme="minorHAnsi"/>
                <w:sz w:val="18"/>
                <w:szCs w:val="18"/>
                <w:lang w:val="fr-FR"/>
              </w:rPr>
            </w:pPr>
            <w:r>
              <w:rPr>
                <w:rFonts w:asciiTheme="minorHAnsi" w:eastAsia="Cambria" w:hAnsiTheme="minorHAnsi" w:cstheme="minorHAnsi"/>
                <w:sz w:val="18"/>
                <w:szCs w:val="18"/>
                <w:lang w:val="fr-FR"/>
              </w:rPr>
              <w:lastRenderedPageBreak/>
              <w:t>PMU</w:t>
            </w:r>
          </w:p>
          <w:p w14:paraId="7D1564C4" w14:textId="77777777" w:rsidR="00601D9B" w:rsidRDefault="000E53A0">
            <w:pPr>
              <w:widowControl w:val="0"/>
              <w:snapToGrid w:val="0"/>
              <w:jc w:val="both"/>
              <w:rPr>
                <w:rFonts w:asciiTheme="minorHAnsi" w:eastAsia="Cambria" w:hAnsiTheme="minorHAnsi" w:cstheme="minorHAnsi"/>
                <w:color w:val="FF0000"/>
                <w:sz w:val="18"/>
                <w:szCs w:val="18"/>
                <w:lang w:val="en-GB"/>
              </w:rPr>
            </w:pPr>
            <w:r w:rsidRPr="009B6B88">
              <w:rPr>
                <w:rFonts w:asciiTheme="minorHAnsi" w:eastAsia="Cambria" w:hAnsiTheme="minorHAnsi" w:cstheme="minorHAnsi"/>
                <w:sz w:val="18"/>
                <w:szCs w:val="18"/>
                <w:lang w:val="fr-FR"/>
              </w:rPr>
              <w:t>PNUD</w:t>
            </w:r>
          </w:p>
        </w:tc>
      </w:tr>
      <w:tr w:rsidR="007F30E2" w:rsidRPr="00A965E4" w14:paraId="2A37B55A" w14:textId="77777777" w:rsidTr="007F30E2">
        <w:trPr>
          <w:trHeight w:val="557"/>
        </w:trPr>
        <w:tc>
          <w:tcPr>
            <w:tcW w:w="952" w:type="pct"/>
            <w:tcBorders>
              <w:top w:val="single" w:sz="4" w:space="0" w:color="auto"/>
              <w:left w:val="single" w:sz="4" w:space="0" w:color="auto"/>
              <w:bottom w:val="single" w:sz="4" w:space="0" w:color="auto"/>
              <w:right w:val="single" w:sz="4" w:space="0" w:color="auto"/>
            </w:tcBorders>
            <w:shd w:val="clear" w:color="auto" w:fill="auto"/>
            <w:hideMark/>
          </w:tcPr>
          <w:p w14:paraId="61376325" w14:textId="77777777" w:rsidR="00601D9B" w:rsidRPr="000E53A0" w:rsidRDefault="000E53A0">
            <w:pPr>
              <w:widowControl w:val="0"/>
              <w:snapToGrid w:val="0"/>
              <w:spacing w:line="264" w:lineRule="auto"/>
              <w:rPr>
                <w:rFonts w:asciiTheme="minorHAnsi" w:hAnsiTheme="minorHAnsi" w:cstheme="minorHAnsi"/>
                <w:sz w:val="18"/>
                <w:szCs w:val="18"/>
                <w:lang w:val="fr-FR"/>
              </w:rPr>
            </w:pPr>
            <w:r w:rsidRPr="000E53A0">
              <w:rPr>
                <w:rFonts w:asciiTheme="minorHAnsi" w:hAnsiTheme="minorHAnsi" w:cstheme="minorHAnsi"/>
                <w:sz w:val="18"/>
                <w:szCs w:val="18"/>
                <w:lang w:val="fr-FR"/>
              </w:rPr>
              <w:t xml:space="preserve">Résistance </w:t>
            </w:r>
            <w:r w:rsidR="00933802" w:rsidRPr="000E53A0">
              <w:rPr>
                <w:rFonts w:asciiTheme="minorHAnsi" w:hAnsiTheme="minorHAnsi" w:cstheme="minorHAnsi"/>
                <w:sz w:val="18"/>
                <w:szCs w:val="18"/>
                <w:lang w:val="fr-FR"/>
              </w:rPr>
              <w:t xml:space="preserve">au changement </w:t>
            </w:r>
            <w:r w:rsidRPr="000E53A0">
              <w:rPr>
                <w:rFonts w:asciiTheme="minorHAnsi" w:hAnsiTheme="minorHAnsi" w:cstheme="minorHAnsi"/>
                <w:sz w:val="18"/>
                <w:szCs w:val="18"/>
                <w:lang w:val="fr-FR"/>
              </w:rPr>
              <w:t>de la part des communautés (des hommes en particulier), ainsi que des chefs traditionnels et religieux.</w:t>
            </w:r>
          </w:p>
        </w:tc>
        <w:tc>
          <w:tcPr>
            <w:tcW w:w="964" w:type="pct"/>
            <w:tcBorders>
              <w:top w:val="single" w:sz="4" w:space="0" w:color="auto"/>
              <w:left w:val="single" w:sz="4" w:space="0" w:color="auto"/>
              <w:bottom w:val="single" w:sz="4" w:space="0" w:color="auto"/>
              <w:right w:val="single" w:sz="4" w:space="0" w:color="auto"/>
            </w:tcBorders>
          </w:tcPr>
          <w:p w14:paraId="24E377C8" w14:textId="77777777" w:rsidR="00601D9B" w:rsidRDefault="000E53A0">
            <w:pPr>
              <w:rPr>
                <w:rFonts w:asciiTheme="minorHAnsi" w:hAnsiTheme="minorHAnsi" w:cstheme="minorHAnsi"/>
                <w:sz w:val="18"/>
                <w:szCs w:val="18"/>
              </w:rPr>
            </w:pPr>
            <w:r w:rsidRPr="00A965E4">
              <w:rPr>
                <w:rFonts w:asciiTheme="minorHAnsi" w:hAnsiTheme="minorHAnsi" w:cstheme="minorHAnsi"/>
                <w:sz w:val="18"/>
                <w:szCs w:val="18"/>
              </w:rPr>
              <w:t>Social et environnemental</w:t>
            </w:r>
          </w:p>
          <w:p w14:paraId="4576F85E" w14:textId="77777777" w:rsidR="0098202D" w:rsidRPr="00A965E4" w:rsidRDefault="0098202D" w:rsidP="00A965E4">
            <w:pPr>
              <w:widowControl w:val="0"/>
              <w:snapToGrid w:val="0"/>
              <w:spacing w:line="264" w:lineRule="auto"/>
              <w:rPr>
                <w:rFonts w:asciiTheme="minorHAnsi" w:eastAsia="Cambria" w:hAnsiTheme="minorHAnsi" w:cstheme="minorHAnsi"/>
                <w:sz w:val="18"/>
                <w:szCs w:val="18"/>
                <w:lang w:val="en-GB"/>
              </w:rPr>
            </w:pPr>
          </w:p>
        </w:tc>
        <w:tc>
          <w:tcPr>
            <w:tcW w:w="1018" w:type="pct"/>
            <w:tcBorders>
              <w:top w:val="single" w:sz="4" w:space="0" w:color="auto"/>
              <w:left w:val="single" w:sz="4" w:space="0" w:color="auto"/>
              <w:bottom w:val="single" w:sz="4" w:space="0" w:color="auto"/>
              <w:right w:val="single" w:sz="4" w:space="0" w:color="auto"/>
            </w:tcBorders>
            <w:shd w:val="clear" w:color="auto" w:fill="auto"/>
          </w:tcPr>
          <w:p w14:paraId="0022F748" w14:textId="77777777" w:rsidR="0098202D" w:rsidRDefault="0098202D" w:rsidP="000E53A0">
            <w:pPr>
              <w:widowControl w:val="0"/>
              <w:snapToGrid w:val="0"/>
              <w:spacing w:line="23" w:lineRule="atLeast"/>
              <w:rPr>
                <w:rFonts w:asciiTheme="minorHAnsi" w:hAnsiTheme="minorHAnsi" w:cstheme="minorHAnsi"/>
                <w:sz w:val="18"/>
                <w:szCs w:val="18"/>
                <w:lang w:val="en-GB"/>
              </w:rPr>
            </w:pPr>
          </w:p>
          <w:p w14:paraId="5875436C" w14:textId="77777777" w:rsidR="00601D9B" w:rsidRDefault="000E53A0">
            <w:pPr>
              <w:rPr>
                <w:rFonts w:cs="Calibri"/>
                <w:sz w:val="18"/>
                <w:szCs w:val="18"/>
              </w:rPr>
            </w:pPr>
            <w:r>
              <w:rPr>
                <w:rFonts w:cs="Calibri"/>
                <w:sz w:val="18"/>
                <w:szCs w:val="18"/>
              </w:rPr>
              <w:t xml:space="preserve">L </w:t>
            </w:r>
            <w:r w:rsidRPr="00BB0459">
              <w:rPr>
                <w:rFonts w:cs="Calibri"/>
                <w:sz w:val="18"/>
                <w:szCs w:val="18"/>
              </w:rPr>
              <w:t>=3</w:t>
            </w:r>
          </w:p>
          <w:p w14:paraId="25A85DE7" w14:textId="77777777" w:rsidR="00601D9B" w:rsidRDefault="000E53A0">
            <w:pPr>
              <w:jc w:val="both"/>
              <w:rPr>
                <w:rFonts w:ascii="Calibri" w:eastAsia="SimSun" w:hAnsi="Calibri" w:cs="Calibri"/>
                <w:sz w:val="18"/>
                <w:szCs w:val="18"/>
                <w:lang w:val="en-US"/>
              </w:rPr>
            </w:pPr>
            <w:r w:rsidRPr="00BB0459">
              <w:rPr>
                <w:rFonts w:cs="Calibri"/>
                <w:sz w:val="18"/>
                <w:szCs w:val="18"/>
              </w:rPr>
              <w:t>I =3</w:t>
            </w:r>
          </w:p>
          <w:p w14:paraId="47273CB6" w14:textId="77777777" w:rsidR="0098202D" w:rsidRDefault="0098202D" w:rsidP="000E53A0">
            <w:pPr>
              <w:widowControl w:val="0"/>
              <w:snapToGrid w:val="0"/>
              <w:spacing w:line="23" w:lineRule="atLeast"/>
              <w:rPr>
                <w:rFonts w:asciiTheme="minorHAnsi" w:hAnsiTheme="minorHAnsi" w:cstheme="minorHAnsi"/>
                <w:sz w:val="18"/>
                <w:szCs w:val="18"/>
                <w:lang w:val="en-GB"/>
              </w:rPr>
            </w:pPr>
          </w:p>
          <w:p w14:paraId="4750EB22" w14:textId="77777777" w:rsidR="0098202D" w:rsidRPr="00A965E4" w:rsidRDefault="0098202D" w:rsidP="0098202D">
            <w:pPr>
              <w:widowControl w:val="0"/>
              <w:snapToGrid w:val="0"/>
              <w:spacing w:line="23" w:lineRule="atLeast"/>
              <w:rPr>
                <w:rFonts w:asciiTheme="minorHAnsi" w:eastAsia="Cambria" w:hAnsiTheme="minorHAnsi" w:cstheme="minorHAnsi"/>
                <w:sz w:val="18"/>
                <w:szCs w:val="18"/>
                <w:lang w:val="en-GB"/>
              </w:rPr>
            </w:pPr>
          </w:p>
        </w:tc>
        <w:tc>
          <w:tcPr>
            <w:tcW w:w="1828" w:type="pct"/>
            <w:tcBorders>
              <w:top w:val="single" w:sz="4" w:space="0" w:color="auto"/>
              <w:left w:val="single" w:sz="4" w:space="0" w:color="auto"/>
              <w:bottom w:val="single" w:sz="4" w:space="0" w:color="auto"/>
              <w:right w:val="single" w:sz="4" w:space="0" w:color="auto"/>
            </w:tcBorders>
            <w:shd w:val="clear" w:color="auto" w:fill="auto"/>
            <w:hideMark/>
          </w:tcPr>
          <w:p w14:paraId="0659491A" w14:textId="77777777" w:rsidR="00601D9B" w:rsidRPr="000E53A0" w:rsidRDefault="000E53A0">
            <w:pPr>
              <w:widowControl w:val="0"/>
              <w:snapToGrid w:val="0"/>
              <w:spacing w:line="264" w:lineRule="auto"/>
              <w:rPr>
                <w:rFonts w:asciiTheme="minorHAnsi" w:eastAsia="Cambria" w:hAnsiTheme="minorHAnsi" w:cstheme="minorHAnsi"/>
                <w:sz w:val="18"/>
                <w:szCs w:val="18"/>
                <w:lang w:val="fr-FR"/>
              </w:rPr>
            </w:pPr>
            <w:r w:rsidRPr="000E53A0">
              <w:rPr>
                <w:rFonts w:asciiTheme="minorHAnsi" w:eastAsia="Cambria" w:hAnsiTheme="minorHAnsi" w:cstheme="minorHAnsi"/>
                <w:sz w:val="18"/>
                <w:szCs w:val="18"/>
                <w:lang w:val="fr-FR"/>
              </w:rPr>
              <w:t>- Renforcer la sensibilisation et le plaidoyer.</w:t>
            </w:r>
          </w:p>
          <w:p w14:paraId="2A562471" w14:textId="77777777" w:rsidR="00601D9B" w:rsidRPr="000E53A0" w:rsidRDefault="000E53A0">
            <w:pPr>
              <w:widowControl w:val="0"/>
              <w:snapToGrid w:val="0"/>
              <w:spacing w:line="264" w:lineRule="auto"/>
              <w:rPr>
                <w:rFonts w:asciiTheme="minorHAnsi" w:eastAsia="Cambria" w:hAnsiTheme="minorHAnsi" w:cstheme="minorHAnsi"/>
                <w:sz w:val="18"/>
                <w:szCs w:val="18"/>
                <w:lang w:val="fr-FR"/>
              </w:rPr>
            </w:pPr>
            <w:r w:rsidRPr="000E53A0">
              <w:rPr>
                <w:rFonts w:asciiTheme="minorHAnsi" w:eastAsia="Cambria" w:hAnsiTheme="minorHAnsi" w:cstheme="minorHAnsi"/>
                <w:sz w:val="18"/>
                <w:szCs w:val="18"/>
                <w:lang w:val="fr-FR"/>
              </w:rPr>
              <w:t xml:space="preserve">- Le </w:t>
            </w:r>
            <w:r w:rsidR="00DD424B" w:rsidRPr="000E53A0">
              <w:rPr>
                <w:rFonts w:asciiTheme="minorHAnsi" w:eastAsia="Cambria" w:hAnsiTheme="minorHAnsi" w:cstheme="minorHAnsi"/>
                <w:sz w:val="18"/>
                <w:szCs w:val="18"/>
                <w:lang w:val="fr-FR"/>
              </w:rPr>
              <w:t xml:space="preserve">projet </w:t>
            </w:r>
            <w:r w:rsidRPr="000E53A0">
              <w:rPr>
                <w:rFonts w:asciiTheme="minorHAnsi" w:eastAsia="Cambria" w:hAnsiTheme="minorHAnsi" w:cstheme="minorHAnsi"/>
                <w:sz w:val="18"/>
                <w:szCs w:val="18"/>
                <w:lang w:val="fr-FR"/>
              </w:rPr>
              <w:t>investit dans la construction d'alliances stratégiques avec des leaders stratégiques clés. Il travaillera avec des OSC et des groupes d'hommes, de femmes et de jeunes engagés dans la protection de l'environnement.</w:t>
            </w:r>
          </w:p>
          <w:p w14:paraId="45C0CD28" w14:textId="77777777" w:rsidR="00601D9B" w:rsidRPr="000E53A0" w:rsidRDefault="000E53A0">
            <w:pPr>
              <w:widowControl w:val="0"/>
              <w:snapToGrid w:val="0"/>
              <w:spacing w:line="264" w:lineRule="auto"/>
              <w:rPr>
                <w:rFonts w:asciiTheme="minorHAnsi" w:eastAsia="Cambria" w:hAnsiTheme="minorHAnsi" w:cstheme="minorHAnsi"/>
                <w:sz w:val="18"/>
                <w:szCs w:val="18"/>
                <w:lang w:val="fr-FR"/>
              </w:rPr>
            </w:pPr>
            <w:r w:rsidRPr="000E53A0">
              <w:rPr>
                <w:rFonts w:asciiTheme="minorHAnsi" w:eastAsia="Cambria" w:hAnsiTheme="minorHAnsi" w:cstheme="minorHAnsi"/>
                <w:sz w:val="18"/>
                <w:szCs w:val="18"/>
                <w:lang w:val="fr-FR"/>
              </w:rPr>
              <w:t>- Inclusion et autonomisation par le biais de campagnes ciblant le public non convaincu et offrant des incitations aux groupes qui lancent des innovations.</w:t>
            </w:r>
          </w:p>
        </w:tc>
        <w:tc>
          <w:tcPr>
            <w:tcW w:w="238" w:type="pct"/>
            <w:tcBorders>
              <w:top w:val="single" w:sz="4" w:space="0" w:color="auto"/>
              <w:left w:val="single" w:sz="4" w:space="0" w:color="auto"/>
              <w:bottom w:val="single" w:sz="4" w:space="0" w:color="auto"/>
              <w:right w:val="single" w:sz="4" w:space="0" w:color="auto"/>
            </w:tcBorders>
            <w:shd w:val="clear" w:color="auto" w:fill="auto"/>
            <w:hideMark/>
          </w:tcPr>
          <w:p w14:paraId="108B43A9" w14:textId="77777777" w:rsidR="00601D9B" w:rsidRPr="000E53A0" w:rsidRDefault="000E53A0">
            <w:pPr>
              <w:widowControl w:val="0"/>
              <w:snapToGrid w:val="0"/>
              <w:spacing w:line="264" w:lineRule="auto"/>
              <w:rPr>
                <w:rFonts w:asciiTheme="minorHAnsi" w:eastAsia="Cambria" w:hAnsiTheme="minorHAnsi" w:cstheme="minorHAnsi"/>
                <w:sz w:val="18"/>
                <w:szCs w:val="18"/>
                <w:lang w:val="fr-FR"/>
              </w:rPr>
            </w:pPr>
            <w:r w:rsidRPr="000E53A0">
              <w:rPr>
                <w:rFonts w:asciiTheme="minorHAnsi" w:eastAsia="Cambria" w:hAnsiTheme="minorHAnsi" w:cstheme="minorHAnsi"/>
                <w:sz w:val="18"/>
                <w:szCs w:val="18"/>
                <w:lang w:val="fr-FR"/>
              </w:rPr>
              <w:t>Consultant en matière de sauvegarde</w:t>
            </w:r>
          </w:p>
          <w:p w14:paraId="49AF72DA" w14:textId="77777777" w:rsidR="00601D9B" w:rsidRPr="000E53A0" w:rsidRDefault="000E53A0">
            <w:pPr>
              <w:widowControl w:val="0"/>
              <w:snapToGrid w:val="0"/>
              <w:spacing w:line="264" w:lineRule="auto"/>
              <w:rPr>
                <w:rFonts w:asciiTheme="minorHAnsi" w:eastAsia="Cambria" w:hAnsiTheme="minorHAnsi" w:cstheme="minorHAnsi"/>
                <w:sz w:val="18"/>
                <w:szCs w:val="18"/>
                <w:lang w:val="fr-FR"/>
              </w:rPr>
            </w:pPr>
            <w:r w:rsidRPr="000E53A0">
              <w:rPr>
                <w:rFonts w:asciiTheme="minorHAnsi" w:eastAsia="Cambria" w:hAnsiTheme="minorHAnsi" w:cstheme="minorHAnsi"/>
                <w:sz w:val="18"/>
                <w:szCs w:val="18"/>
                <w:lang w:val="fr-FR"/>
              </w:rPr>
              <w:t>PMU</w:t>
            </w:r>
          </w:p>
          <w:p w14:paraId="6AD5E178" w14:textId="77777777" w:rsidR="00601D9B" w:rsidRDefault="000E53A0">
            <w:pPr>
              <w:widowControl w:val="0"/>
              <w:snapToGrid w:val="0"/>
              <w:spacing w:line="264" w:lineRule="auto"/>
              <w:jc w:val="both"/>
              <w:rPr>
                <w:rFonts w:asciiTheme="minorHAnsi" w:eastAsia="Cambria" w:hAnsiTheme="minorHAnsi" w:cstheme="minorHAnsi"/>
                <w:sz w:val="18"/>
                <w:szCs w:val="18"/>
                <w:lang w:val="en-GB"/>
              </w:rPr>
            </w:pPr>
            <w:r>
              <w:rPr>
                <w:rFonts w:asciiTheme="minorHAnsi" w:eastAsia="Cambria" w:hAnsiTheme="minorHAnsi" w:cstheme="minorHAnsi"/>
                <w:sz w:val="18"/>
                <w:szCs w:val="18"/>
                <w:lang w:val="en-GB"/>
              </w:rPr>
              <w:t>PNUD</w:t>
            </w:r>
          </w:p>
        </w:tc>
      </w:tr>
      <w:tr w:rsidR="007F30E2" w:rsidRPr="00A965E4" w14:paraId="60F7758A" w14:textId="77777777" w:rsidTr="007F30E2">
        <w:tc>
          <w:tcPr>
            <w:tcW w:w="952" w:type="pct"/>
            <w:tcBorders>
              <w:top w:val="single" w:sz="4" w:space="0" w:color="auto"/>
              <w:left w:val="single" w:sz="4" w:space="0" w:color="auto"/>
              <w:bottom w:val="single" w:sz="4" w:space="0" w:color="auto"/>
              <w:right w:val="single" w:sz="4" w:space="0" w:color="auto"/>
            </w:tcBorders>
            <w:shd w:val="clear" w:color="auto" w:fill="auto"/>
          </w:tcPr>
          <w:p w14:paraId="363501CE" w14:textId="77777777" w:rsidR="00601D9B" w:rsidRPr="000E53A0" w:rsidRDefault="000E53A0">
            <w:pPr>
              <w:rPr>
                <w:rFonts w:asciiTheme="minorHAnsi" w:hAnsiTheme="minorHAnsi" w:cstheme="minorHAnsi"/>
                <w:sz w:val="18"/>
                <w:szCs w:val="18"/>
                <w:lang w:val="fr-FR"/>
              </w:rPr>
            </w:pPr>
            <w:r w:rsidRPr="000E53A0">
              <w:rPr>
                <w:rFonts w:asciiTheme="minorHAnsi" w:hAnsiTheme="minorHAnsi" w:cstheme="minorHAnsi"/>
                <w:sz w:val="18"/>
                <w:szCs w:val="18"/>
                <w:lang w:val="fr-FR"/>
              </w:rPr>
              <w:t>Participation insuffisante des femmes et des jeunes</w:t>
            </w:r>
          </w:p>
          <w:p w14:paraId="2A9319F3" w14:textId="77777777" w:rsidR="0098202D" w:rsidRPr="000E53A0" w:rsidRDefault="0098202D" w:rsidP="000E53A0">
            <w:pPr>
              <w:widowControl w:val="0"/>
              <w:snapToGrid w:val="0"/>
              <w:spacing w:line="264" w:lineRule="auto"/>
              <w:jc w:val="both"/>
              <w:rPr>
                <w:rFonts w:asciiTheme="minorHAnsi" w:hAnsiTheme="minorHAnsi" w:cstheme="minorHAnsi"/>
                <w:sz w:val="18"/>
                <w:szCs w:val="18"/>
                <w:lang w:val="fr-FR"/>
              </w:rPr>
            </w:pPr>
          </w:p>
        </w:tc>
        <w:tc>
          <w:tcPr>
            <w:tcW w:w="964" w:type="pct"/>
            <w:tcBorders>
              <w:top w:val="single" w:sz="4" w:space="0" w:color="auto"/>
              <w:left w:val="single" w:sz="4" w:space="0" w:color="auto"/>
              <w:bottom w:val="single" w:sz="4" w:space="0" w:color="auto"/>
              <w:right w:val="single" w:sz="4" w:space="0" w:color="auto"/>
            </w:tcBorders>
          </w:tcPr>
          <w:p w14:paraId="68573825" w14:textId="77777777" w:rsidR="00601D9B" w:rsidRDefault="000E53A0">
            <w:pPr>
              <w:rPr>
                <w:rFonts w:asciiTheme="minorHAnsi" w:hAnsiTheme="minorHAnsi" w:cstheme="minorHAnsi"/>
                <w:sz w:val="18"/>
                <w:szCs w:val="18"/>
              </w:rPr>
            </w:pPr>
            <w:r w:rsidRPr="00A965E4">
              <w:rPr>
                <w:rFonts w:asciiTheme="minorHAnsi" w:hAnsiTheme="minorHAnsi" w:cstheme="minorHAnsi"/>
                <w:sz w:val="18"/>
                <w:szCs w:val="18"/>
              </w:rPr>
              <w:t>Social et environnemental</w:t>
            </w:r>
          </w:p>
          <w:p w14:paraId="7511DE79" w14:textId="77777777" w:rsidR="0098202D" w:rsidRPr="00A965E4" w:rsidRDefault="0098202D" w:rsidP="00A965E4">
            <w:pPr>
              <w:widowControl w:val="0"/>
              <w:snapToGrid w:val="0"/>
              <w:spacing w:line="264" w:lineRule="auto"/>
              <w:rPr>
                <w:rFonts w:asciiTheme="minorHAnsi" w:eastAsia="Cambria" w:hAnsiTheme="minorHAnsi" w:cstheme="minorHAnsi"/>
                <w:sz w:val="18"/>
                <w:szCs w:val="18"/>
                <w:lang w:val="fr-FR"/>
              </w:rPr>
            </w:pPr>
          </w:p>
        </w:tc>
        <w:tc>
          <w:tcPr>
            <w:tcW w:w="1018" w:type="pct"/>
            <w:tcBorders>
              <w:top w:val="single" w:sz="4" w:space="0" w:color="auto"/>
              <w:left w:val="single" w:sz="4" w:space="0" w:color="auto"/>
              <w:bottom w:val="single" w:sz="4" w:space="0" w:color="auto"/>
              <w:right w:val="single" w:sz="4" w:space="0" w:color="auto"/>
            </w:tcBorders>
            <w:shd w:val="clear" w:color="auto" w:fill="auto"/>
          </w:tcPr>
          <w:p w14:paraId="4990AB89" w14:textId="77777777" w:rsidR="00601D9B" w:rsidRPr="000E53A0" w:rsidRDefault="000E53A0">
            <w:pPr>
              <w:rPr>
                <w:rFonts w:cs="Calibri"/>
                <w:sz w:val="18"/>
                <w:szCs w:val="18"/>
                <w:lang w:val="fr-FR"/>
              </w:rPr>
            </w:pPr>
            <w:r w:rsidRPr="000E53A0">
              <w:rPr>
                <w:rFonts w:cs="Calibri"/>
                <w:sz w:val="18"/>
                <w:szCs w:val="18"/>
                <w:lang w:val="fr-FR"/>
              </w:rPr>
              <w:t xml:space="preserve">La phase PPG a identifié plusieurs barrières socioculturelles à l'implication des femmes et des jeunes dans les activités prévues, en particulier en ce qui concerne le soutien aux nouvelles entreprises. </w:t>
            </w:r>
          </w:p>
          <w:p w14:paraId="4E11900B" w14:textId="77777777" w:rsidR="00601D9B" w:rsidRDefault="000E53A0">
            <w:pPr>
              <w:rPr>
                <w:rFonts w:cs="Calibri"/>
                <w:sz w:val="18"/>
                <w:szCs w:val="18"/>
              </w:rPr>
            </w:pPr>
            <w:r>
              <w:rPr>
                <w:rFonts w:cs="Calibri"/>
                <w:sz w:val="18"/>
                <w:szCs w:val="18"/>
              </w:rPr>
              <w:t xml:space="preserve">L </w:t>
            </w:r>
            <w:r w:rsidRPr="00BB0459">
              <w:rPr>
                <w:rFonts w:cs="Calibri"/>
                <w:sz w:val="18"/>
                <w:szCs w:val="18"/>
              </w:rPr>
              <w:t>=4</w:t>
            </w:r>
          </w:p>
          <w:p w14:paraId="12CFD7B5" w14:textId="77777777" w:rsidR="00601D9B" w:rsidRDefault="000E53A0">
            <w:pPr>
              <w:rPr>
                <w:rFonts w:asciiTheme="minorHAnsi" w:eastAsia="Cambria" w:hAnsiTheme="minorHAnsi" w:cstheme="minorHAnsi"/>
                <w:sz w:val="18"/>
                <w:szCs w:val="18"/>
                <w:lang w:val="en-GB"/>
              </w:rPr>
            </w:pPr>
            <w:r w:rsidRPr="00BB0459">
              <w:rPr>
                <w:rFonts w:cs="Calibri"/>
                <w:sz w:val="18"/>
                <w:szCs w:val="18"/>
              </w:rPr>
              <w:t>I =3</w:t>
            </w:r>
          </w:p>
        </w:tc>
        <w:tc>
          <w:tcPr>
            <w:tcW w:w="1828" w:type="pct"/>
            <w:tcBorders>
              <w:top w:val="single" w:sz="4" w:space="0" w:color="auto"/>
              <w:left w:val="single" w:sz="4" w:space="0" w:color="auto"/>
              <w:bottom w:val="single" w:sz="4" w:space="0" w:color="auto"/>
              <w:right w:val="single" w:sz="4" w:space="0" w:color="auto"/>
            </w:tcBorders>
            <w:shd w:val="clear" w:color="auto" w:fill="auto"/>
          </w:tcPr>
          <w:p w14:paraId="4A92E8D6" w14:textId="77777777" w:rsidR="00601D9B" w:rsidRPr="000E53A0" w:rsidRDefault="000E53A0">
            <w:pPr>
              <w:widowControl w:val="0"/>
              <w:snapToGrid w:val="0"/>
              <w:spacing w:line="264" w:lineRule="auto"/>
              <w:contextualSpacing/>
              <w:rPr>
                <w:rFonts w:asciiTheme="minorHAnsi" w:hAnsiTheme="minorHAnsi" w:cstheme="minorHAnsi"/>
                <w:sz w:val="18"/>
                <w:szCs w:val="18"/>
                <w:lang w:val="fr-FR"/>
              </w:rPr>
            </w:pPr>
            <w:r w:rsidRPr="000E53A0">
              <w:rPr>
                <w:rFonts w:asciiTheme="minorHAnsi" w:hAnsiTheme="minorHAnsi" w:cstheme="minorHAnsi"/>
                <w:sz w:val="18"/>
                <w:szCs w:val="18"/>
                <w:lang w:val="fr-FR"/>
              </w:rPr>
              <w:t>- Sensibilisation, plaidoyer auprès des leaders communautaires.</w:t>
            </w:r>
          </w:p>
          <w:p w14:paraId="00FB286C" w14:textId="77777777" w:rsidR="00601D9B" w:rsidRPr="000E53A0" w:rsidRDefault="000E53A0">
            <w:pPr>
              <w:widowControl w:val="0"/>
              <w:snapToGrid w:val="0"/>
              <w:spacing w:line="264" w:lineRule="auto"/>
              <w:contextualSpacing/>
              <w:rPr>
                <w:rFonts w:asciiTheme="minorHAnsi" w:hAnsiTheme="minorHAnsi" w:cstheme="minorHAnsi"/>
                <w:sz w:val="18"/>
                <w:szCs w:val="18"/>
                <w:lang w:val="fr-FR"/>
              </w:rPr>
            </w:pPr>
            <w:r w:rsidRPr="000E53A0">
              <w:rPr>
                <w:rFonts w:asciiTheme="minorHAnsi" w:hAnsiTheme="minorHAnsi" w:cstheme="minorHAnsi"/>
                <w:sz w:val="18"/>
                <w:szCs w:val="18"/>
                <w:lang w:val="fr-FR"/>
              </w:rPr>
              <w:t>- Implication des dirigeants communautaires, des chefs religieux, de RECOTRADE et des groupes de femmes à tous les niveaux de la mise en œuvre du projet.</w:t>
            </w:r>
          </w:p>
          <w:p w14:paraId="3E4A6012" w14:textId="77777777" w:rsidR="00A14D81" w:rsidRPr="000E53A0" w:rsidRDefault="00A14D81" w:rsidP="00A14D81">
            <w:pPr>
              <w:widowControl w:val="0"/>
              <w:snapToGrid w:val="0"/>
              <w:spacing w:line="264" w:lineRule="auto"/>
              <w:contextualSpacing/>
              <w:rPr>
                <w:rFonts w:asciiTheme="minorHAnsi" w:hAnsiTheme="minorHAnsi" w:cstheme="minorHAnsi"/>
                <w:sz w:val="18"/>
                <w:szCs w:val="18"/>
                <w:lang w:val="fr-FR"/>
              </w:rPr>
            </w:pPr>
          </w:p>
          <w:p w14:paraId="46546C28" w14:textId="77777777" w:rsidR="0098202D" w:rsidRPr="000E53A0" w:rsidRDefault="0098202D" w:rsidP="000E53A0">
            <w:pPr>
              <w:widowControl w:val="0"/>
              <w:snapToGrid w:val="0"/>
              <w:spacing w:line="264" w:lineRule="auto"/>
              <w:contextualSpacing/>
              <w:rPr>
                <w:rFonts w:asciiTheme="minorHAnsi" w:hAnsiTheme="minorHAnsi" w:cstheme="minorHAnsi"/>
                <w:sz w:val="18"/>
                <w:szCs w:val="18"/>
                <w:lang w:val="fr-FR"/>
              </w:rPr>
            </w:pPr>
          </w:p>
        </w:tc>
        <w:tc>
          <w:tcPr>
            <w:tcW w:w="238" w:type="pct"/>
            <w:tcBorders>
              <w:top w:val="single" w:sz="4" w:space="0" w:color="auto"/>
              <w:left w:val="single" w:sz="4" w:space="0" w:color="auto"/>
              <w:bottom w:val="single" w:sz="4" w:space="0" w:color="auto"/>
              <w:right w:val="single" w:sz="4" w:space="0" w:color="auto"/>
            </w:tcBorders>
            <w:shd w:val="clear" w:color="auto" w:fill="auto"/>
          </w:tcPr>
          <w:p w14:paraId="2FC602C3" w14:textId="77777777" w:rsidR="00601D9B" w:rsidRDefault="000E53A0">
            <w:pPr>
              <w:widowControl w:val="0"/>
              <w:snapToGrid w:val="0"/>
              <w:spacing w:line="264" w:lineRule="auto"/>
              <w:rPr>
                <w:rFonts w:asciiTheme="minorHAnsi" w:eastAsia="Cambria" w:hAnsiTheme="minorHAnsi" w:cstheme="minorHAnsi"/>
                <w:sz w:val="18"/>
                <w:szCs w:val="18"/>
                <w:lang w:val="fr-FR"/>
              </w:rPr>
            </w:pPr>
            <w:r>
              <w:rPr>
                <w:rFonts w:asciiTheme="minorHAnsi" w:eastAsia="Cambria" w:hAnsiTheme="minorHAnsi" w:cstheme="minorHAnsi"/>
                <w:sz w:val="18"/>
                <w:szCs w:val="18"/>
                <w:lang w:val="fr-FR"/>
              </w:rPr>
              <w:t>PMU</w:t>
            </w:r>
          </w:p>
          <w:p w14:paraId="5A64D093" w14:textId="77777777" w:rsidR="00601D9B" w:rsidRDefault="000E53A0">
            <w:pPr>
              <w:widowControl w:val="0"/>
              <w:snapToGrid w:val="0"/>
              <w:spacing w:line="264" w:lineRule="auto"/>
              <w:rPr>
                <w:rFonts w:asciiTheme="minorHAnsi" w:eastAsia="Cambria" w:hAnsiTheme="minorHAnsi" w:cstheme="minorHAnsi"/>
                <w:sz w:val="18"/>
                <w:szCs w:val="18"/>
                <w:lang w:val="fr-FR"/>
              </w:rPr>
            </w:pPr>
            <w:r>
              <w:rPr>
                <w:rFonts w:asciiTheme="minorHAnsi" w:eastAsia="Cambria" w:hAnsiTheme="minorHAnsi" w:cstheme="minorHAnsi"/>
                <w:sz w:val="18"/>
                <w:szCs w:val="18"/>
                <w:lang w:val="fr-FR"/>
              </w:rPr>
              <w:t>Consultant en genre</w:t>
            </w:r>
          </w:p>
          <w:p w14:paraId="68A27A28" w14:textId="77777777" w:rsidR="00601D9B" w:rsidRDefault="000E53A0">
            <w:pPr>
              <w:widowControl w:val="0"/>
              <w:snapToGrid w:val="0"/>
              <w:spacing w:line="264" w:lineRule="auto"/>
              <w:jc w:val="both"/>
              <w:rPr>
                <w:rFonts w:asciiTheme="minorHAnsi" w:eastAsia="Cambria" w:hAnsiTheme="minorHAnsi" w:cstheme="minorHAnsi"/>
                <w:sz w:val="18"/>
                <w:szCs w:val="18"/>
                <w:lang w:val="fr-FR"/>
              </w:rPr>
            </w:pPr>
            <w:r>
              <w:rPr>
                <w:rFonts w:asciiTheme="minorHAnsi" w:eastAsia="Cambria" w:hAnsiTheme="minorHAnsi" w:cstheme="minorHAnsi"/>
                <w:sz w:val="18"/>
                <w:szCs w:val="18"/>
                <w:lang w:val="fr-FR"/>
              </w:rPr>
              <w:t>PNUD</w:t>
            </w:r>
          </w:p>
          <w:p w14:paraId="3C3539CE" w14:textId="77777777" w:rsidR="0098202D" w:rsidRPr="00A965E4" w:rsidRDefault="0098202D" w:rsidP="000E53A0">
            <w:pPr>
              <w:widowControl w:val="0"/>
              <w:snapToGrid w:val="0"/>
              <w:spacing w:line="264" w:lineRule="auto"/>
              <w:jc w:val="both"/>
              <w:rPr>
                <w:rFonts w:asciiTheme="minorHAnsi" w:eastAsia="Cambria" w:hAnsiTheme="minorHAnsi" w:cstheme="minorHAnsi"/>
                <w:sz w:val="18"/>
                <w:szCs w:val="18"/>
                <w:lang w:val="fr-FR"/>
              </w:rPr>
            </w:pPr>
          </w:p>
        </w:tc>
      </w:tr>
      <w:tr w:rsidR="007F30E2" w:rsidRPr="000E53A0" w14:paraId="4A8EE2D2" w14:textId="77777777" w:rsidTr="007F30E2">
        <w:tc>
          <w:tcPr>
            <w:tcW w:w="952" w:type="pct"/>
            <w:tcBorders>
              <w:top w:val="single" w:sz="4" w:space="0" w:color="auto"/>
              <w:left w:val="single" w:sz="4" w:space="0" w:color="auto"/>
              <w:bottom w:val="single" w:sz="4" w:space="0" w:color="auto"/>
              <w:right w:val="single" w:sz="4" w:space="0" w:color="auto"/>
            </w:tcBorders>
            <w:shd w:val="clear" w:color="auto" w:fill="auto"/>
            <w:hideMark/>
          </w:tcPr>
          <w:p w14:paraId="106529F2" w14:textId="77777777" w:rsidR="00601D9B" w:rsidRPr="000E53A0" w:rsidRDefault="000E53A0">
            <w:pPr>
              <w:rPr>
                <w:rFonts w:asciiTheme="minorHAnsi" w:hAnsiTheme="minorHAnsi" w:cstheme="minorHAnsi"/>
                <w:sz w:val="18"/>
                <w:szCs w:val="18"/>
                <w:lang w:val="fr-FR"/>
              </w:rPr>
            </w:pPr>
            <w:bookmarkStart w:id="80" w:name="_Hlk510471396"/>
            <w:r w:rsidRPr="000E53A0">
              <w:rPr>
                <w:rFonts w:asciiTheme="minorHAnsi" w:hAnsiTheme="minorHAnsi" w:cstheme="minorHAnsi"/>
                <w:sz w:val="18"/>
                <w:szCs w:val="18"/>
                <w:lang w:val="fr-FR"/>
              </w:rPr>
              <w:t>Partenaires de mise en œuvre insuffisants ou dispersés, engagés dans d'autres chantiers ou opportunités.</w:t>
            </w:r>
          </w:p>
          <w:p w14:paraId="1406D13A" w14:textId="77777777" w:rsidR="0098202D" w:rsidRPr="000E53A0" w:rsidRDefault="0098202D" w:rsidP="000E53A0">
            <w:pPr>
              <w:widowControl w:val="0"/>
              <w:snapToGrid w:val="0"/>
              <w:rPr>
                <w:rFonts w:asciiTheme="minorHAnsi" w:hAnsiTheme="minorHAnsi" w:cstheme="minorHAnsi"/>
                <w:sz w:val="18"/>
                <w:szCs w:val="18"/>
                <w:lang w:val="fr-FR"/>
              </w:rPr>
            </w:pPr>
          </w:p>
        </w:tc>
        <w:tc>
          <w:tcPr>
            <w:tcW w:w="964" w:type="pct"/>
            <w:tcBorders>
              <w:top w:val="single" w:sz="4" w:space="0" w:color="auto"/>
              <w:left w:val="single" w:sz="4" w:space="0" w:color="auto"/>
              <w:bottom w:val="single" w:sz="4" w:space="0" w:color="auto"/>
              <w:right w:val="single" w:sz="4" w:space="0" w:color="auto"/>
            </w:tcBorders>
          </w:tcPr>
          <w:p w14:paraId="64956D45" w14:textId="77777777" w:rsidR="00601D9B" w:rsidRDefault="000E53A0">
            <w:pPr>
              <w:rPr>
                <w:rFonts w:asciiTheme="minorHAnsi" w:hAnsiTheme="minorHAnsi" w:cstheme="minorHAnsi"/>
                <w:sz w:val="18"/>
                <w:szCs w:val="18"/>
              </w:rPr>
            </w:pPr>
            <w:r>
              <w:rPr>
                <w:rFonts w:asciiTheme="minorHAnsi" w:hAnsiTheme="minorHAnsi" w:cstheme="minorHAnsi"/>
                <w:sz w:val="18"/>
                <w:szCs w:val="18"/>
              </w:rPr>
              <w:t>Organisation</w:t>
            </w:r>
          </w:p>
          <w:p w14:paraId="538DC9AE" w14:textId="77777777" w:rsidR="0098202D" w:rsidRPr="00A965E4" w:rsidRDefault="0098202D" w:rsidP="00A965E4">
            <w:pPr>
              <w:widowControl w:val="0"/>
              <w:snapToGrid w:val="0"/>
              <w:spacing w:line="264" w:lineRule="auto"/>
              <w:rPr>
                <w:rFonts w:asciiTheme="minorHAnsi" w:eastAsia="Cambria" w:hAnsiTheme="minorHAnsi" w:cstheme="minorHAnsi"/>
                <w:sz w:val="18"/>
                <w:szCs w:val="18"/>
                <w:lang w:val="fr-FR"/>
              </w:rPr>
            </w:pPr>
          </w:p>
        </w:tc>
        <w:tc>
          <w:tcPr>
            <w:tcW w:w="1018" w:type="pct"/>
            <w:tcBorders>
              <w:top w:val="single" w:sz="4" w:space="0" w:color="auto"/>
              <w:left w:val="single" w:sz="4" w:space="0" w:color="auto"/>
              <w:bottom w:val="single" w:sz="4" w:space="0" w:color="auto"/>
              <w:right w:val="single" w:sz="4" w:space="0" w:color="auto"/>
            </w:tcBorders>
            <w:shd w:val="clear" w:color="auto" w:fill="auto"/>
          </w:tcPr>
          <w:p w14:paraId="017EFB58" w14:textId="77777777" w:rsidR="00601D9B" w:rsidRPr="000E53A0" w:rsidRDefault="000E53A0">
            <w:pPr>
              <w:rPr>
                <w:rFonts w:cs="Calibri"/>
                <w:sz w:val="18"/>
                <w:szCs w:val="18"/>
                <w:lang w:val="fr-FR"/>
              </w:rPr>
            </w:pPr>
            <w:r w:rsidRPr="000E53A0">
              <w:rPr>
                <w:rFonts w:cs="Calibri"/>
                <w:sz w:val="18"/>
                <w:szCs w:val="18"/>
                <w:lang w:val="fr-FR"/>
              </w:rPr>
              <w:t>La capacité humaine à s'engager dans le projet est limitée, en raison d'un manque de personnel au niveau régional, etc.</w:t>
            </w:r>
          </w:p>
          <w:p w14:paraId="7F7D1E5B" w14:textId="77777777" w:rsidR="00601D9B" w:rsidRDefault="000E53A0">
            <w:pPr>
              <w:rPr>
                <w:rFonts w:cs="Calibri"/>
                <w:sz w:val="18"/>
                <w:szCs w:val="18"/>
              </w:rPr>
            </w:pPr>
            <w:r>
              <w:rPr>
                <w:rFonts w:cs="Calibri"/>
                <w:sz w:val="18"/>
                <w:szCs w:val="18"/>
              </w:rPr>
              <w:t xml:space="preserve">L </w:t>
            </w:r>
            <w:r w:rsidRPr="00BB0459">
              <w:rPr>
                <w:rFonts w:cs="Calibri"/>
                <w:sz w:val="18"/>
                <w:szCs w:val="18"/>
              </w:rPr>
              <w:t>=3</w:t>
            </w:r>
          </w:p>
          <w:p w14:paraId="7E027C85" w14:textId="77777777" w:rsidR="00601D9B" w:rsidRDefault="000E53A0">
            <w:pPr>
              <w:rPr>
                <w:rFonts w:asciiTheme="minorHAnsi" w:eastAsia="Cambria" w:hAnsiTheme="minorHAnsi" w:cstheme="minorHAnsi"/>
                <w:sz w:val="18"/>
                <w:szCs w:val="18"/>
                <w:lang w:val="en-GB"/>
              </w:rPr>
            </w:pPr>
            <w:r w:rsidRPr="00BB0459">
              <w:rPr>
                <w:rFonts w:cs="Calibri"/>
                <w:sz w:val="18"/>
                <w:szCs w:val="18"/>
              </w:rPr>
              <w:t>I =2</w:t>
            </w:r>
          </w:p>
        </w:tc>
        <w:tc>
          <w:tcPr>
            <w:tcW w:w="1828" w:type="pct"/>
            <w:tcBorders>
              <w:top w:val="single" w:sz="4" w:space="0" w:color="auto"/>
              <w:left w:val="single" w:sz="4" w:space="0" w:color="auto"/>
              <w:bottom w:val="single" w:sz="4" w:space="0" w:color="auto"/>
              <w:right w:val="single" w:sz="4" w:space="0" w:color="auto"/>
            </w:tcBorders>
            <w:shd w:val="clear" w:color="auto" w:fill="auto"/>
            <w:hideMark/>
          </w:tcPr>
          <w:p w14:paraId="4070029C" w14:textId="77777777" w:rsidR="00601D9B" w:rsidRPr="000E53A0" w:rsidRDefault="000E53A0">
            <w:pPr>
              <w:widowControl w:val="0"/>
              <w:snapToGrid w:val="0"/>
              <w:spacing w:line="252" w:lineRule="auto"/>
              <w:rPr>
                <w:rFonts w:asciiTheme="minorHAnsi" w:hAnsiTheme="minorHAnsi" w:cstheme="minorHAnsi"/>
                <w:sz w:val="18"/>
                <w:szCs w:val="18"/>
                <w:lang w:val="fr-FR"/>
              </w:rPr>
            </w:pPr>
            <w:r w:rsidRPr="000E53A0">
              <w:rPr>
                <w:rFonts w:asciiTheme="minorHAnsi" w:hAnsiTheme="minorHAnsi" w:cstheme="minorHAnsi"/>
                <w:sz w:val="18"/>
                <w:szCs w:val="18"/>
                <w:lang w:val="fr-FR"/>
              </w:rPr>
              <w:t>- Reproduira les bonnes pratiques antérieures du même secteur dans la région.</w:t>
            </w:r>
          </w:p>
          <w:p w14:paraId="24210419" w14:textId="77777777" w:rsidR="00601D9B" w:rsidRPr="000E53A0" w:rsidRDefault="000E53A0">
            <w:pPr>
              <w:widowControl w:val="0"/>
              <w:snapToGrid w:val="0"/>
              <w:spacing w:line="252" w:lineRule="auto"/>
              <w:rPr>
                <w:rFonts w:asciiTheme="minorHAnsi" w:hAnsiTheme="minorHAnsi" w:cstheme="minorHAnsi"/>
                <w:sz w:val="18"/>
                <w:szCs w:val="18"/>
                <w:lang w:val="fr-FR"/>
              </w:rPr>
            </w:pPr>
            <w:r w:rsidRPr="000E53A0">
              <w:rPr>
                <w:rFonts w:asciiTheme="minorHAnsi" w:hAnsiTheme="minorHAnsi" w:cstheme="minorHAnsi"/>
                <w:sz w:val="18"/>
                <w:szCs w:val="18"/>
                <w:lang w:val="fr-FR"/>
              </w:rPr>
              <w:t xml:space="preserve">- Conditionner le financement aux résultats </w:t>
            </w:r>
            <w:r w:rsidR="00913127" w:rsidRPr="000E53A0">
              <w:rPr>
                <w:rFonts w:asciiTheme="minorHAnsi" w:hAnsiTheme="minorHAnsi" w:cstheme="minorHAnsi"/>
                <w:sz w:val="18"/>
                <w:szCs w:val="18"/>
                <w:lang w:val="fr-FR"/>
              </w:rPr>
              <w:t>obtenus</w:t>
            </w:r>
          </w:p>
          <w:p w14:paraId="21A6FC5D" w14:textId="77777777" w:rsidR="00601D9B" w:rsidRPr="000E53A0" w:rsidRDefault="000E53A0">
            <w:pPr>
              <w:widowControl w:val="0"/>
              <w:snapToGrid w:val="0"/>
              <w:spacing w:line="252" w:lineRule="auto"/>
              <w:rPr>
                <w:rFonts w:asciiTheme="minorHAnsi" w:hAnsiTheme="minorHAnsi" w:cstheme="minorHAnsi"/>
                <w:sz w:val="18"/>
                <w:szCs w:val="18"/>
                <w:lang w:val="fr-FR"/>
              </w:rPr>
            </w:pPr>
            <w:r w:rsidRPr="000E53A0">
              <w:rPr>
                <w:rFonts w:asciiTheme="minorHAnsi" w:hAnsiTheme="minorHAnsi" w:cstheme="minorHAnsi"/>
                <w:sz w:val="18"/>
                <w:szCs w:val="18"/>
                <w:lang w:val="fr-FR"/>
              </w:rPr>
              <w:t>- Effectuer un suivi rigoureux des partenaires de mise en œuvre</w:t>
            </w:r>
          </w:p>
          <w:p w14:paraId="1E2C47FD" w14:textId="77777777" w:rsidR="00601D9B" w:rsidRPr="000E53A0" w:rsidRDefault="000E53A0">
            <w:pPr>
              <w:widowControl w:val="0"/>
              <w:snapToGrid w:val="0"/>
              <w:spacing w:line="252" w:lineRule="auto"/>
              <w:rPr>
                <w:rFonts w:asciiTheme="minorHAnsi" w:hAnsiTheme="minorHAnsi" w:cstheme="minorHAnsi"/>
                <w:sz w:val="18"/>
                <w:szCs w:val="18"/>
                <w:lang w:val="fr-FR"/>
              </w:rPr>
            </w:pPr>
            <w:r w:rsidRPr="000E53A0">
              <w:rPr>
                <w:rFonts w:asciiTheme="minorHAnsi" w:hAnsiTheme="minorHAnsi" w:cstheme="minorHAnsi"/>
                <w:sz w:val="18"/>
                <w:szCs w:val="18"/>
                <w:lang w:val="fr-FR"/>
              </w:rPr>
              <w:t>-Mettre en place des points focaux au sein des directions régionales</w:t>
            </w:r>
          </w:p>
        </w:tc>
        <w:tc>
          <w:tcPr>
            <w:tcW w:w="238" w:type="pct"/>
            <w:tcBorders>
              <w:top w:val="single" w:sz="4" w:space="0" w:color="auto"/>
              <w:left w:val="single" w:sz="4" w:space="0" w:color="auto"/>
              <w:bottom w:val="single" w:sz="4" w:space="0" w:color="auto"/>
              <w:right w:val="single" w:sz="4" w:space="0" w:color="auto"/>
            </w:tcBorders>
            <w:shd w:val="clear" w:color="auto" w:fill="auto"/>
            <w:hideMark/>
          </w:tcPr>
          <w:p w14:paraId="23D28456" w14:textId="77777777" w:rsidR="00601D9B" w:rsidRPr="000E53A0" w:rsidRDefault="000E53A0">
            <w:pPr>
              <w:rPr>
                <w:rFonts w:asciiTheme="minorHAnsi" w:eastAsia="Cambria" w:hAnsiTheme="minorHAnsi" w:cstheme="minorHAnsi"/>
                <w:sz w:val="18"/>
                <w:szCs w:val="18"/>
                <w:lang w:val="fr-FR"/>
              </w:rPr>
            </w:pPr>
            <w:r w:rsidRPr="000E53A0">
              <w:rPr>
                <w:rFonts w:asciiTheme="minorHAnsi" w:eastAsia="Cambria" w:hAnsiTheme="minorHAnsi" w:cstheme="minorHAnsi"/>
                <w:sz w:val="18"/>
                <w:szCs w:val="18"/>
                <w:lang w:val="fr-FR"/>
              </w:rPr>
              <w:t>Toutes les Agences dans leurs domaines d'intervention respectifs</w:t>
            </w:r>
          </w:p>
          <w:p w14:paraId="5E2B9F66" w14:textId="77777777" w:rsidR="0098202D" w:rsidRPr="000E53A0" w:rsidRDefault="0098202D" w:rsidP="000E53A0">
            <w:pPr>
              <w:widowControl w:val="0"/>
              <w:snapToGrid w:val="0"/>
              <w:spacing w:line="264" w:lineRule="auto"/>
              <w:jc w:val="both"/>
              <w:rPr>
                <w:rFonts w:asciiTheme="minorHAnsi" w:eastAsia="Cambria" w:hAnsiTheme="minorHAnsi" w:cstheme="minorHAnsi"/>
                <w:sz w:val="18"/>
                <w:szCs w:val="18"/>
                <w:lang w:val="fr-FR"/>
              </w:rPr>
            </w:pPr>
          </w:p>
        </w:tc>
      </w:tr>
      <w:tr w:rsidR="007F30E2" w:rsidRPr="00A965E4" w14:paraId="2A917671" w14:textId="77777777" w:rsidTr="007F30E2">
        <w:tc>
          <w:tcPr>
            <w:tcW w:w="952" w:type="pct"/>
            <w:tcBorders>
              <w:top w:val="single" w:sz="4" w:space="0" w:color="auto"/>
              <w:left w:val="single" w:sz="4" w:space="0" w:color="auto"/>
              <w:bottom w:val="single" w:sz="4" w:space="0" w:color="auto"/>
              <w:right w:val="single" w:sz="4" w:space="0" w:color="auto"/>
            </w:tcBorders>
            <w:shd w:val="clear" w:color="auto" w:fill="auto"/>
            <w:hideMark/>
          </w:tcPr>
          <w:p w14:paraId="66A0792A" w14:textId="77777777" w:rsidR="00601D9B" w:rsidRPr="000E53A0" w:rsidRDefault="000E53A0">
            <w:pPr>
              <w:spacing w:after="60"/>
              <w:rPr>
                <w:rFonts w:asciiTheme="minorHAnsi" w:hAnsiTheme="minorHAnsi" w:cstheme="minorHAnsi"/>
                <w:sz w:val="18"/>
                <w:szCs w:val="18"/>
                <w:lang w:val="fr-FR"/>
              </w:rPr>
            </w:pPr>
            <w:r w:rsidRPr="000E53A0">
              <w:rPr>
                <w:rFonts w:asciiTheme="minorHAnsi" w:hAnsiTheme="minorHAnsi" w:cstheme="minorHAnsi"/>
                <w:sz w:val="18"/>
                <w:szCs w:val="18"/>
                <w:lang w:val="fr-FR"/>
              </w:rPr>
              <w:t>Disponibilité limitée des données et capacité limitée des institutions publiques à développer et analyser les données</w:t>
            </w:r>
          </w:p>
        </w:tc>
        <w:tc>
          <w:tcPr>
            <w:tcW w:w="964" w:type="pct"/>
            <w:tcBorders>
              <w:top w:val="single" w:sz="4" w:space="0" w:color="auto"/>
              <w:left w:val="single" w:sz="4" w:space="0" w:color="auto"/>
              <w:bottom w:val="single" w:sz="4" w:space="0" w:color="auto"/>
              <w:right w:val="single" w:sz="4" w:space="0" w:color="auto"/>
            </w:tcBorders>
          </w:tcPr>
          <w:p w14:paraId="35552929" w14:textId="77777777" w:rsidR="00601D9B" w:rsidRDefault="000E53A0">
            <w:pPr>
              <w:rPr>
                <w:rFonts w:asciiTheme="minorHAnsi" w:hAnsiTheme="minorHAnsi" w:cstheme="minorHAnsi"/>
                <w:sz w:val="18"/>
                <w:szCs w:val="18"/>
              </w:rPr>
            </w:pPr>
            <w:r w:rsidRPr="00A965E4">
              <w:rPr>
                <w:rFonts w:asciiTheme="minorHAnsi" w:hAnsiTheme="minorHAnsi" w:cstheme="minorHAnsi"/>
                <w:sz w:val="18"/>
                <w:szCs w:val="18"/>
              </w:rPr>
              <w:t xml:space="preserve">Opérationnel </w:t>
            </w:r>
          </w:p>
          <w:p w14:paraId="1F18C8C3" w14:textId="77777777" w:rsidR="0098202D" w:rsidRPr="00A965E4" w:rsidRDefault="0098202D" w:rsidP="00A965E4">
            <w:pPr>
              <w:widowControl w:val="0"/>
              <w:snapToGrid w:val="0"/>
              <w:spacing w:line="264" w:lineRule="auto"/>
              <w:rPr>
                <w:rFonts w:asciiTheme="minorHAnsi" w:eastAsia="Cambria" w:hAnsiTheme="minorHAnsi" w:cstheme="minorHAnsi"/>
                <w:sz w:val="18"/>
                <w:szCs w:val="18"/>
                <w:lang w:val="fr-FR"/>
              </w:rPr>
            </w:pPr>
          </w:p>
        </w:tc>
        <w:tc>
          <w:tcPr>
            <w:tcW w:w="1018" w:type="pct"/>
            <w:tcBorders>
              <w:top w:val="single" w:sz="4" w:space="0" w:color="auto"/>
              <w:left w:val="single" w:sz="4" w:space="0" w:color="auto"/>
              <w:bottom w:val="single" w:sz="4" w:space="0" w:color="auto"/>
              <w:right w:val="single" w:sz="4" w:space="0" w:color="auto"/>
            </w:tcBorders>
            <w:shd w:val="clear" w:color="auto" w:fill="auto"/>
          </w:tcPr>
          <w:p w14:paraId="14DAA387" w14:textId="77777777" w:rsidR="00601D9B" w:rsidRPr="000E53A0" w:rsidRDefault="000E53A0">
            <w:pPr>
              <w:rPr>
                <w:rFonts w:cs="Calibri"/>
                <w:sz w:val="18"/>
                <w:szCs w:val="18"/>
                <w:lang w:val="fr-FR"/>
              </w:rPr>
            </w:pPr>
            <w:r w:rsidRPr="000E53A0">
              <w:rPr>
                <w:rFonts w:cs="Calibri"/>
                <w:sz w:val="18"/>
                <w:szCs w:val="18"/>
                <w:lang w:val="fr-FR"/>
              </w:rPr>
              <w:t>Au stade du PPG, il a été estimé que plusieurs partenaires n'ont pas actuellement la capacité suffisante pour remplir les rôles prévus par le projet, y compris pour le LDN-NWG et le suivi du LDN, ainsi que pour l'intégration de l'adaptation climatique.</w:t>
            </w:r>
          </w:p>
          <w:p w14:paraId="22C03ED9" w14:textId="77777777" w:rsidR="00601D9B" w:rsidRDefault="000E53A0">
            <w:pPr>
              <w:rPr>
                <w:rFonts w:cs="Calibri"/>
                <w:sz w:val="18"/>
                <w:szCs w:val="18"/>
              </w:rPr>
            </w:pPr>
            <w:r>
              <w:rPr>
                <w:rFonts w:cs="Calibri"/>
                <w:sz w:val="18"/>
                <w:szCs w:val="18"/>
              </w:rPr>
              <w:lastRenderedPageBreak/>
              <w:t xml:space="preserve">L </w:t>
            </w:r>
            <w:r w:rsidRPr="00BB0459">
              <w:rPr>
                <w:rFonts w:cs="Calibri"/>
                <w:sz w:val="18"/>
                <w:szCs w:val="18"/>
              </w:rPr>
              <w:t>=3</w:t>
            </w:r>
          </w:p>
          <w:p w14:paraId="4437C547" w14:textId="77777777" w:rsidR="00601D9B" w:rsidRDefault="000E53A0">
            <w:pPr>
              <w:rPr>
                <w:rFonts w:asciiTheme="minorHAnsi" w:eastAsia="Cambria" w:hAnsiTheme="minorHAnsi" w:cstheme="minorHAnsi"/>
                <w:sz w:val="18"/>
                <w:szCs w:val="18"/>
                <w:lang w:val="en-GB"/>
              </w:rPr>
            </w:pPr>
            <w:r w:rsidRPr="00BB0459">
              <w:rPr>
                <w:rFonts w:cs="Calibri"/>
                <w:sz w:val="18"/>
                <w:szCs w:val="18"/>
              </w:rPr>
              <w:t>I =3</w:t>
            </w:r>
          </w:p>
        </w:tc>
        <w:tc>
          <w:tcPr>
            <w:tcW w:w="1828" w:type="pct"/>
            <w:tcBorders>
              <w:top w:val="single" w:sz="4" w:space="0" w:color="auto"/>
              <w:left w:val="single" w:sz="4" w:space="0" w:color="auto"/>
              <w:bottom w:val="single" w:sz="4" w:space="0" w:color="auto"/>
              <w:right w:val="single" w:sz="4" w:space="0" w:color="auto"/>
            </w:tcBorders>
            <w:shd w:val="clear" w:color="auto" w:fill="auto"/>
            <w:hideMark/>
          </w:tcPr>
          <w:p w14:paraId="2A980258" w14:textId="77777777" w:rsidR="00601D9B" w:rsidRPr="000E53A0" w:rsidRDefault="000E53A0">
            <w:pPr>
              <w:rPr>
                <w:rFonts w:asciiTheme="minorHAnsi" w:eastAsia="Cambria" w:hAnsiTheme="minorHAnsi" w:cstheme="minorHAnsi"/>
                <w:sz w:val="18"/>
                <w:szCs w:val="18"/>
                <w:lang w:val="fr-FR"/>
              </w:rPr>
            </w:pPr>
            <w:r w:rsidRPr="000E53A0">
              <w:rPr>
                <w:rFonts w:asciiTheme="minorHAnsi" w:eastAsia="Cambria" w:hAnsiTheme="minorHAnsi" w:cstheme="minorHAnsi"/>
                <w:sz w:val="18"/>
                <w:szCs w:val="18"/>
                <w:lang w:val="fr-FR"/>
              </w:rPr>
              <w:lastRenderedPageBreak/>
              <w:t>- Le projet cherchera activement à renforcer la capacité des institutions publiques responsables de la planification, du suivi et de la collecte des données.</w:t>
            </w:r>
          </w:p>
          <w:p w14:paraId="249EC3BC" w14:textId="77777777" w:rsidR="0098202D" w:rsidRPr="000E53A0" w:rsidRDefault="0098202D" w:rsidP="000E53A0">
            <w:pPr>
              <w:widowControl w:val="0"/>
              <w:snapToGrid w:val="0"/>
              <w:spacing w:line="264" w:lineRule="auto"/>
              <w:rPr>
                <w:rFonts w:asciiTheme="minorHAnsi" w:eastAsia="Cambria" w:hAnsiTheme="minorHAnsi" w:cstheme="minorHAnsi"/>
                <w:sz w:val="18"/>
                <w:szCs w:val="18"/>
                <w:lang w:val="fr-FR"/>
              </w:rPr>
            </w:pPr>
          </w:p>
        </w:tc>
        <w:tc>
          <w:tcPr>
            <w:tcW w:w="238" w:type="pct"/>
            <w:tcBorders>
              <w:top w:val="single" w:sz="4" w:space="0" w:color="auto"/>
              <w:left w:val="single" w:sz="4" w:space="0" w:color="auto"/>
              <w:bottom w:val="single" w:sz="4" w:space="0" w:color="auto"/>
              <w:right w:val="single" w:sz="4" w:space="0" w:color="auto"/>
            </w:tcBorders>
            <w:shd w:val="clear" w:color="auto" w:fill="auto"/>
            <w:hideMark/>
          </w:tcPr>
          <w:p w14:paraId="79C7CDFF" w14:textId="77777777" w:rsidR="00601D9B" w:rsidRDefault="000E53A0">
            <w:pPr>
              <w:widowControl w:val="0"/>
              <w:snapToGrid w:val="0"/>
              <w:spacing w:line="264" w:lineRule="auto"/>
              <w:rPr>
                <w:rFonts w:asciiTheme="minorHAnsi" w:eastAsia="Cambria" w:hAnsiTheme="minorHAnsi" w:cstheme="minorHAnsi"/>
                <w:sz w:val="18"/>
                <w:szCs w:val="18"/>
                <w:lang w:val="en-GB"/>
              </w:rPr>
            </w:pPr>
            <w:r>
              <w:rPr>
                <w:rFonts w:asciiTheme="minorHAnsi" w:eastAsia="Cambria" w:hAnsiTheme="minorHAnsi" w:cstheme="minorHAnsi"/>
                <w:sz w:val="18"/>
                <w:szCs w:val="18"/>
                <w:lang w:val="en-GB"/>
              </w:rPr>
              <w:t>PMU</w:t>
            </w:r>
          </w:p>
          <w:p w14:paraId="0136B384" w14:textId="77777777" w:rsidR="00601D9B" w:rsidRDefault="000E53A0">
            <w:pPr>
              <w:widowControl w:val="0"/>
              <w:snapToGrid w:val="0"/>
              <w:spacing w:line="264" w:lineRule="auto"/>
              <w:rPr>
                <w:rFonts w:asciiTheme="minorHAnsi" w:eastAsia="Cambria" w:hAnsiTheme="minorHAnsi" w:cstheme="minorHAnsi"/>
                <w:sz w:val="18"/>
                <w:szCs w:val="18"/>
                <w:lang w:val="en-GB"/>
              </w:rPr>
            </w:pPr>
            <w:r>
              <w:rPr>
                <w:rFonts w:asciiTheme="minorHAnsi" w:eastAsia="Cambria" w:hAnsiTheme="minorHAnsi" w:cstheme="minorHAnsi"/>
                <w:sz w:val="18"/>
                <w:szCs w:val="18"/>
                <w:lang w:val="en-GB"/>
              </w:rPr>
              <w:t>PNUD</w:t>
            </w:r>
          </w:p>
        </w:tc>
      </w:tr>
      <w:tr w:rsidR="0098202D" w:rsidRPr="00A965E4" w14:paraId="6281FCDC" w14:textId="77777777" w:rsidTr="007F30E2">
        <w:tc>
          <w:tcPr>
            <w:tcW w:w="952" w:type="pct"/>
            <w:tcBorders>
              <w:top w:val="single" w:sz="4" w:space="0" w:color="auto"/>
              <w:left w:val="single" w:sz="4" w:space="0" w:color="auto"/>
              <w:bottom w:val="single" w:sz="4" w:space="0" w:color="auto"/>
              <w:right w:val="single" w:sz="4" w:space="0" w:color="auto"/>
            </w:tcBorders>
            <w:shd w:val="clear" w:color="auto" w:fill="auto"/>
          </w:tcPr>
          <w:p w14:paraId="29799C54" w14:textId="77777777" w:rsidR="00601D9B" w:rsidRPr="000E53A0" w:rsidRDefault="000E53A0">
            <w:pPr>
              <w:rPr>
                <w:rFonts w:asciiTheme="minorHAnsi" w:hAnsiTheme="minorHAnsi" w:cstheme="minorHAnsi"/>
                <w:sz w:val="18"/>
                <w:szCs w:val="18"/>
                <w:lang w:val="fr-FR"/>
              </w:rPr>
            </w:pPr>
            <w:r w:rsidRPr="000E53A0">
              <w:rPr>
                <w:rFonts w:asciiTheme="minorHAnsi" w:hAnsiTheme="minorHAnsi" w:cstheme="minorHAnsi"/>
                <w:sz w:val="18"/>
                <w:szCs w:val="18"/>
                <w:lang w:val="fr-FR"/>
              </w:rPr>
              <w:t>Une rotation élevée des fonctionnaires du gouvernement qui peut retarder la mise en œuvre du projet.</w:t>
            </w:r>
          </w:p>
        </w:tc>
        <w:tc>
          <w:tcPr>
            <w:tcW w:w="964" w:type="pct"/>
            <w:tcBorders>
              <w:top w:val="single" w:sz="4" w:space="0" w:color="auto"/>
              <w:left w:val="single" w:sz="4" w:space="0" w:color="auto"/>
              <w:bottom w:val="single" w:sz="4" w:space="0" w:color="auto"/>
              <w:right w:val="single" w:sz="4" w:space="0" w:color="auto"/>
            </w:tcBorders>
          </w:tcPr>
          <w:p w14:paraId="396F083D" w14:textId="77777777" w:rsidR="00601D9B" w:rsidRDefault="000E53A0">
            <w:pPr>
              <w:rPr>
                <w:rFonts w:asciiTheme="minorHAnsi" w:hAnsiTheme="minorHAnsi" w:cstheme="minorHAnsi"/>
                <w:sz w:val="18"/>
                <w:szCs w:val="18"/>
              </w:rPr>
            </w:pPr>
            <w:r>
              <w:rPr>
                <w:rFonts w:asciiTheme="minorHAnsi" w:hAnsiTheme="minorHAnsi" w:cstheme="minorHAnsi"/>
                <w:sz w:val="18"/>
                <w:szCs w:val="18"/>
              </w:rPr>
              <w:t>Politique</w:t>
            </w:r>
          </w:p>
        </w:tc>
        <w:tc>
          <w:tcPr>
            <w:tcW w:w="1018" w:type="pct"/>
            <w:tcBorders>
              <w:top w:val="single" w:sz="4" w:space="0" w:color="auto"/>
              <w:left w:val="single" w:sz="4" w:space="0" w:color="auto"/>
              <w:bottom w:val="single" w:sz="4" w:space="0" w:color="auto"/>
              <w:right w:val="single" w:sz="4" w:space="0" w:color="auto"/>
            </w:tcBorders>
            <w:shd w:val="clear" w:color="auto" w:fill="auto"/>
          </w:tcPr>
          <w:p w14:paraId="739BD374" w14:textId="77777777" w:rsidR="00601D9B" w:rsidRPr="000E53A0" w:rsidRDefault="000E53A0">
            <w:pPr>
              <w:rPr>
                <w:rFonts w:cs="Calibri"/>
                <w:sz w:val="18"/>
                <w:szCs w:val="18"/>
                <w:lang w:val="fr-FR"/>
              </w:rPr>
            </w:pPr>
            <w:r w:rsidRPr="000E53A0">
              <w:rPr>
                <w:rFonts w:cs="Calibri"/>
                <w:sz w:val="18"/>
                <w:szCs w:val="18"/>
                <w:lang w:val="fr-FR"/>
              </w:rPr>
              <w:t xml:space="preserve">Le Mali a connu une importante instabilité politique ces dernières années, le </w:t>
            </w:r>
            <w:r w:rsidR="00934E75" w:rsidRPr="000E53A0">
              <w:rPr>
                <w:rFonts w:cs="Calibri"/>
                <w:sz w:val="18"/>
                <w:szCs w:val="18"/>
                <w:lang w:val="fr-FR"/>
              </w:rPr>
              <w:t>dernier coup d'État ayant eu lieu en mai 2021.</w:t>
            </w:r>
          </w:p>
          <w:p w14:paraId="3C0BEFA5" w14:textId="77777777" w:rsidR="00601D9B" w:rsidRDefault="000E53A0">
            <w:pPr>
              <w:rPr>
                <w:rFonts w:cs="Calibri"/>
                <w:sz w:val="18"/>
                <w:szCs w:val="18"/>
              </w:rPr>
            </w:pPr>
            <w:r>
              <w:rPr>
                <w:rFonts w:cs="Calibri"/>
                <w:sz w:val="18"/>
                <w:szCs w:val="18"/>
              </w:rPr>
              <w:t xml:space="preserve">L </w:t>
            </w:r>
            <w:r w:rsidRPr="00BB0459">
              <w:rPr>
                <w:rFonts w:cs="Calibri"/>
                <w:sz w:val="18"/>
                <w:szCs w:val="18"/>
              </w:rPr>
              <w:t>=4</w:t>
            </w:r>
          </w:p>
          <w:p w14:paraId="30F55300" w14:textId="77777777" w:rsidR="00601D9B" w:rsidRDefault="000E53A0">
            <w:pPr>
              <w:rPr>
                <w:rFonts w:cs="Calibri"/>
                <w:sz w:val="18"/>
                <w:szCs w:val="18"/>
              </w:rPr>
            </w:pPr>
            <w:r w:rsidRPr="00BB0459">
              <w:rPr>
                <w:rFonts w:cs="Calibri"/>
                <w:sz w:val="18"/>
                <w:szCs w:val="18"/>
              </w:rPr>
              <w:t>I =3</w:t>
            </w:r>
          </w:p>
        </w:tc>
        <w:tc>
          <w:tcPr>
            <w:tcW w:w="1828" w:type="pct"/>
            <w:tcBorders>
              <w:top w:val="single" w:sz="4" w:space="0" w:color="auto"/>
              <w:left w:val="single" w:sz="4" w:space="0" w:color="auto"/>
              <w:bottom w:val="single" w:sz="4" w:space="0" w:color="auto"/>
              <w:right w:val="single" w:sz="4" w:space="0" w:color="auto"/>
            </w:tcBorders>
            <w:shd w:val="clear" w:color="auto" w:fill="auto"/>
          </w:tcPr>
          <w:p w14:paraId="4E7DFA78" w14:textId="77777777" w:rsidR="00601D9B" w:rsidRPr="000E53A0" w:rsidRDefault="000E53A0">
            <w:pPr>
              <w:widowControl w:val="0"/>
              <w:snapToGrid w:val="0"/>
              <w:spacing w:line="264" w:lineRule="auto"/>
              <w:rPr>
                <w:rFonts w:asciiTheme="minorHAnsi" w:eastAsia="Cambria" w:hAnsiTheme="minorHAnsi" w:cstheme="minorHAnsi"/>
                <w:sz w:val="18"/>
                <w:szCs w:val="18"/>
                <w:lang w:val="fr-FR"/>
              </w:rPr>
            </w:pPr>
            <w:r w:rsidRPr="000E53A0">
              <w:rPr>
                <w:rFonts w:asciiTheme="minorHAnsi" w:eastAsia="Cambria" w:hAnsiTheme="minorHAnsi" w:cstheme="minorHAnsi"/>
                <w:sz w:val="18"/>
                <w:szCs w:val="18"/>
                <w:lang w:val="fr-FR"/>
              </w:rPr>
              <w:t>- Plaider auprès des décideurs politiques pour garantir la disponibilité des agents gouvernementaux.</w:t>
            </w:r>
          </w:p>
          <w:p w14:paraId="51FEB4C5" w14:textId="77777777" w:rsidR="00601D9B" w:rsidRPr="000E53A0" w:rsidRDefault="000E53A0">
            <w:pPr>
              <w:widowControl w:val="0"/>
              <w:snapToGrid w:val="0"/>
              <w:spacing w:line="264" w:lineRule="auto"/>
              <w:rPr>
                <w:rFonts w:asciiTheme="minorHAnsi" w:eastAsia="Cambria" w:hAnsiTheme="minorHAnsi" w:cstheme="minorHAnsi"/>
                <w:sz w:val="18"/>
                <w:szCs w:val="18"/>
                <w:lang w:val="fr-FR"/>
              </w:rPr>
            </w:pPr>
            <w:r w:rsidRPr="000E53A0">
              <w:rPr>
                <w:rFonts w:asciiTheme="minorHAnsi" w:eastAsia="Cambria" w:hAnsiTheme="minorHAnsi" w:cstheme="minorHAnsi"/>
                <w:sz w:val="18"/>
                <w:szCs w:val="18"/>
                <w:lang w:val="fr-FR"/>
              </w:rPr>
              <w:t>- Créer des alliances à plusieurs niveaux (national, régional et local) pour le leadership et l'appropriation des acteurs.</w:t>
            </w:r>
          </w:p>
        </w:tc>
        <w:tc>
          <w:tcPr>
            <w:tcW w:w="238" w:type="pct"/>
            <w:tcBorders>
              <w:top w:val="single" w:sz="4" w:space="0" w:color="auto"/>
              <w:left w:val="single" w:sz="4" w:space="0" w:color="auto"/>
              <w:bottom w:val="single" w:sz="4" w:space="0" w:color="auto"/>
              <w:right w:val="single" w:sz="4" w:space="0" w:color="auto"/>
            </w:tcBorders>
            <w:shd w:val="clear" w:color="auto" w:fill="auto"/>
          </w:tcPr>
          <w:p w14:paraId="3369C7FA" w14:textId="77777777" w:rsidR="00601D9B" w:rsidRDefault="000E53A0">
            <w:pPr>
              <w:widowControl w:val="0"/>
              <w:snapToGrid w:val="0"/>
              <w:spacing w:line="264" w:lineRule="auto"/>
              <w:rPr>
                <w:rFonts w:asciiTheme="minorHAnsi" w:eastAsia="Cambria" w:hAnsiTheme="minorHAnsi" w:cstheme="minorHAnsi"/>
                <w:sz w:val="18"/>
                <w:szCs w:val="18"/>
              </w:rPr>
            </w:pPr>
            <w:r>
              <w:rPr>
                <w:rFonts w:asciiTheme="minorHAnsi" w:eastAsia="Cambria" w:hAnsiTheme="minorHAnsi" w:cstheme="minorHAnsi"/>
                <w:sz w:val="18"/>
                <w:szCs w:val="18"/>
              </w:rPr>
              <w:t>PMU</w:t>
            </w:r>
          </w:p>
          <w:p w14:paraId="7C299690" w14:textId="77777777" w:rsidR="00601D9B" w:rsidRDefault="000E53A0">
            <w:pPr>
              <w:widowControl w:val="0"/>
              <w:snapToGrid w:val="0"/>
              <w:spacing w:line="264" w:lineRule="auto"/>
              <w:rPr>
                <w:rFonts w:asciiTheme="minorHAnsi" w:eastAsia="Cambria" w:hAnsiTheme="minorHAnsi" w:cstheme="minorHAnsi"/>
                <w:sz w:val="18"/>
                <w:szCs w:val="18"/>
                <w:lang w:val="en-US"/>
              </w:rPr>
            </w:pPr>
            <w:r>
              <w:rPr>
                <w:rFonts w:asciiTheme="minorHAnsi" w:eastAsia="Cambria" w:hAnsiTheme="minorHAnsi" w:cstheme="minorHAnsi"/>
                <w:sz w:val="18"/>
                <w:szCs w:val="18"/>
                <w:lang w:val="en-GB"/>
              </w:rPr>
              <w:t>PNUD</w:t>
            </w:r>
          </w:p>
        </w:tc>
      </w:tr>
      <w:tr w:rsidR="007F30E2" w:rsidRPr="00A965E4" w14:paraId="0AE4824B" w14:textId="77777777" w:rsidTr="007F30E2">
        <w:tc>
          <w:tcPr>
            <w:tcW w:w="952" w:type="pct"/>
            <w:tcBorders>
              <w:top w:val="single" w:sz="4" w:space="0" w:color="auto"/>
              <w:left w:val="single" w:sz="4" w:space="0" w:color="auto"/>
              <w:bottom w:val="single" w:sz="4" w:space="0" w:color="auto"/>
              <w:right w:val="single" w:sz="4" w:space="0" w:color="auto"/>
            </w:tcBorders>
            <w:shd w:val="clear" w:color="auto" w:fill="auto"/>
            <w:hideMark/>
          </w:tcPr>
          <w:p w14:paraId="2FCE6927" w14:textId="77777777" w:rsidR="00601D9B" w:rsidRPr="000E53A0" w:rsidRDefault="000E53A0">
            <w:pPr>
              <w:rPr>
                <w:rFonts w:asciiTheme="minorHAnsi" w:hAnsiTheme="minorHAnsi" w:cstheme="minorHAnsi"/>
                <w:sz w:val="18"/>
                <w:szCs w:val="18"/>
                <w:lang w:val="fr-FR"/>
              </w:rPr>
            </w:pPr>
            <w:r w:rsidRPr="000E53A0">
              <w:rPr>
                <w:rFonts w:asciiTheme="minorHAnsi" w:hAnsiTheme="minorHAnsi" w:cstheme="minorHAnsi"/>
                <w:sz w:val="18"/>
                <w:szCs w:val="18"/>
                <w:lang w:val="fr-FR"/>
              </w:rPr>
              <w:t xml:space="preserve">Manque </w:t>
            </w:r>
            <w:r w:rsidR="0098202D" w:rsidRPr="000E53A0">
              <w:rPr>
                <w:rFonts w:asciiTheme="minorHAnsi" w:hAnsiTheme="minorHAnsi" w:cstheme="minorHAnsi"/>
                <w:sz w:val="18"/>
                <w:szCs w:val="18"/>
                <w:lang w:val="fr-FR"/>
              </w:rPr>
              <w:t>de synergie entre les différents acteurs, d'où une coordination insuffisante et une approche intégrée.</w:t>
            </w:r>
          </w:p>
          <w:p w14:paraId="1CA4BFDB" w14:textId="77777777" w:rsidR="0098202D" w:rsidRPr="000E53A0" w:rsidRDefault="0098202D" w:rsidP="000E53A0">
            <w:pPr>
              <w:widowControl w:val="0"/>
              <w:snapToGrid w:val="0"/>
              <w:spacing w:line="264" w:lineRule="auto"/>
              <w:rPr>
                <w:rFonts w:asciiTheme="minorHAnsi" w:eastAsia="Cambria" w:hAnsiTheme="minorHAnsi" w:cstheme="minorHAnsi"/>
                <w:sz w:val="18"/>
                <w:szCs w:val="18"/>
                <w:lang w:val="fr-FR"/>
              </w:rPr>
            </w:pPr>
          </w:p>
        </w:tc>
        <w:tc>
          <w:tcPr>
            <w:tcW w:w="964" w:type="pct"/>
            <w:tcBorders>
              <w:top w:val="single" w:sz="4" w:space="0" w:color="auto"/>
              <w:left w:val="single" w:sz="4" w:space="0" w:color="auto"/>
              <w:bottom w:val="single" w:sz="4" w:space="0" w:color="auto"/>
              <w:right w:val="single" w:sz="4" w:space="0" w:color="auto"/>
            </w:tcBorders>
          </w:tcPr>
          <w:p w14:paraId="7761015B" w14:textId="77777777" w:rsidR="00601D9B" w:rsidRDefault="000E53A0">
            <w:pPr>
              <w:rPr>
                <w:rFonts w:asciiTheme="minorHAnsi" w:hAnsiTheme="minorHAnsi" w:cstheme="minorHAnsi"/>
                <w:sz w:val="18"/>
                <w:szCs w:val="18"/>
              </w:rPr>
            </w:pPr>
            <w:r>
              <w:rPr>
                <w:rFonts w:asciiTheme="minorHAnsi" w:hAnsiTheme="minorHAnsi" w:cstheme="minorHAnsi"/>
                <w:sz w:val="18"/>
                <w:szCs w:val="18"/>
              </w:rPr>
              <w:t>Opérationnel/Stratégique</w:t>
            </w:r>
          </w:p>
          <w:p w14:paraId="5F7E073A" w14:textId="77777777" w:rsidR="0098202D" w:rsidRPr="00A965E4" w:rsidRDefault="0098202D" w:rsidP="00A965E4">
            <w:pPr>
              <w:widowControl w:val="0"/>
              <w:snapToGrid w:val="0"/>
              <w:spacing w:line="264" w:lineRule="auto"/>
              <w:rPr>
                <w:rFonts w:asciiTheme="minorHAnsi" w:eastAsia="Cambria" w:hAnsiTheme="minorHAnsi" w:cstheme="minorHAnsi"/>
                <w:sz w:val="18"/>
                <w:szCs w:val="18"/>
                <w:lang w:val="fr-FR"/>
              </w:rPr>
            </w:pPr>
          </w:p>
        </w:tc>
        <w:tc>
          <w:tcPr>
            <w:tcW w:w="1018" w:type="pct"/>
            <w:tcBorders>
              <w:top w:val="single" w:sz="4" w:space="0" w:color="auto"/>
              <w:left w:val="single" w:sz="4" w:space="0" w:color="auto"/>
              <w:bottom w:val="single" w:sz="4" w:space="0" w:color="auto"/>
              <w:right w:val="single" w:sz="4" w:space="0" w:color="auto"/>
            </w:tcBorders>
            <w:shd w:val="clear" w:color="auto" w:fill="auto"/>
          </w:tcPr>
          <w:p w14:paraId="00E82FFD" w14:textId="77777777" w:rsidR="00601D9B" w:rsidRPr="000E53A0" w:rsidRDefault="000E53A0">
            <w:pPr>
              <w:rPr>
                <w:rFonts w:cs="Calibri"/>
                <w:sz w:val="18"/>
                <w:szCs w:val="18"/>
                <w:lang w:val="fr-FR"/>
              </w:rPr>
            </w:pPr>
            <w:r w:rsidRPr="000E53A0">
              <w:rPr>
                <w:rFonts w:cs="Calibri"/>
                <w:sz w:val="18"/>
                <w:szCs w:val="18"/>
                <w:lang w:val="fr-FR"/>
              </w:rPr>
              <w:t>Les zones d'intervention connaissent de multiples interventions simultanées avec des objectifs similaires ou complémentaires, et de multiples synergies devraient être exploitées pour un plus grand impact.</w:t>
            </w:r>
          </w:p>
          <w:p w14:paraId="6685B04F" w14:textId="77777777" w:rsidR="00601D9B" w:rsidRDefault="000E53A0">
            <w:pPr>
              <w:rPr>
                <w:rFonts w:cs="Calibri"/>
                <w:sz w:val="18"/>
                <w:szCs w:val="18"/>
              </w:rPr>
            </w:pPr>
            <w:r>
              <w:rPr>
                <w:rFonts w:cs="Calibri"/>
                <w:sz w:val="18"/>
                <w:szCs w:val="18"/>
              </w:rPr>
              <w:t xml:space="preserve">L </w:t>
            </w:r>
            <w:r w:rsidRPr="00BB0459">
              <w:rPr>
                <w:rFonts w:cs="Calibri"/>
                <w:sz w:val="18"/>
                <w:szCs w:val="18"/>
              </w:rPr>
              <w:t>=3</w:t>
            </w:r>
          </w:p>
          <w:p w14:paraId="31C9B7C5" w14:textId="77777777" w:rsidR="00601D9B" w:rsidRDefault="000E53A0">
            <w:pPr>
              <w:rPr>
                <w:rFonts w:asciiTheme="minorHAnsi" w:eastAsia="Cambria" w:hAnsiTheme="minorHAnsi" w:cstheme="minorHAnsi"/>
                <w:sz w:val="18"/>
                <w:szCs w:val="18"/>
                <w:lang w:val="en-GB"/>
              </w:rPr>
            </w:pPr>
            <w:r w:rsidRPr="00BB0459">
              <w:rPr>
                <w:rFonts w:cs="Calibri"/>
                <w:sz w:val="18"/>
                <w:szCs w:val="18"/>
              </w:rPr>
              <w:t>I =2</w:t>
            </w:r>
          </w:p>
        </w:tc>
        <w:tc>
          <w:tcPr>
            <w:tcW w:w="1828" w:type="pct"/>
            <w:tcBorders>
              <w:top w:val="single" w:sz="4" w:space="0" w:color="auto"/>
              <w:left w:val="single" w:sz="4" w:space="0" w:color="auto"/>
              <w:bottom w:val="single" w:sz="4" w:space="0" w:color="auto"/>
              <w:right w:val="single" w:sz="4" w:space="0" w:color="auto"/>
            </w:tcBorders>
            <w:shd w:val="clear" w:color="auto" w:fill="auto"/>
          </w:tcPr>
          <w:p w14:paraId="229BC32E" w14:textId="77777777" w:rsidR="00601D9B" w:rsidRPr="000E53A0" w:rsidRDefault="000E53A0">
            <w:pPr>
              <w:widowControl w:val="0"/>
              <w:snapToGrid w:val="0"/>
              <w:spacing w:line="264" w:lineRule="auto"/>
              <w:rPr>
                <w:rFonts w:asciiTheme="minorHAnsi" w:eastAsia="Cambria" w:hAnsiTheme="minorHAnsi" w:cstheme="minorHAnsi"/>
                <w:sz w:val="18"/>
                <w:szCs w:val="18"/>
                <w:lang w:val="fr-FR"/>
              </w:rPr>
            </w:pPr>
            <w:r w:rsidRPr="000E53A0">
              <w:rPr>
                <w:rFonts w:asciiTheme="minorHAnsi" w:eastAsia="Cambria" w:hAnsiTheme="minorHAnsi" w:cstheme="minorHAnsi"/>
                <w:sz w:val="18"/>
                <w:szCs w:val="18"/>
                <w:lang w:val="fr-FR"/>
              </w:rPr>
              <w:t>- Établir un mécanisme de coordination et de synergie des partenaires de mise en œuvre, tant au niveau thématique que géographique.</w:t>
            </w:r>
          </w:p>
          <w:p w14:paraId="4C9B818B" w14:textId="77777777" w:rsidR="0098202D" w:rsidRPr="000E53A0" w:rsidRDefault="0098202D" w:rsidP="0098202D">
            <w:pPr>
              <w:widowControl w:val="0"/>
              <w:snapToGrid w:val="0"/>
              <w:spacing w:line="264" w:lineRule="auto"/>
              <w:rPr>
                <w:rFonts w:asciiTheme="minorHAnsi" w:eastAsia="Cambria" w:hAnsiTheme="minorHAnsi" w:cstheme="minorHAnsi"/>
                <w:sz w:val="18"/>
                <w:szCs w:val="18"/>
                <w:lang w:val="fr-FR"/>
              </w:rPr>
            </w:pPr>
          </w:p>
          <w:p w14:paraId="04C5966E" w14:textId="77777777" w:rsidR="00601D9B" w:rsidRPr="000E53A0" w:rsidRDefault="000E53A0">
            <w:pPr>
              <w:widowControl w:val="0"/>
              <w:snapToGrid w:val="0"/>
              <w:spacing w:line="264" w:lineRule="auto"/>
              <w:rPr>
                <w:rFonts w:asciiTheme="minorHAnsi" w:eastAsia="Cambria" w:hAnsiTheme="minorHAnsi" w:cstheme="minorHAnsi"/>
                <w:sz w:val="18"/>
                <w:szCs w:val="18"/>
                <w:lang w:val="fr-FR"/>
              </w:rPr>
            </w:pPr>
            <w:r w:rsidRPr="000E53A0">
              <w:rPr>
                <w:rFonts w:asciiTheme="minorHAnsi" w:eastAsia="Cambria" w:hAnsiTheme="minorHAnsi" w:cstheme="minorHAnsi"/>
                <w:sz w:val="18"/>
                <w:szCs w:val="18"/>
                <w:lang w:val="fr-FR"/>
              </w:rPr>
              <w:t>- Le critère des synergies avec d'autres acteurs et programmes sera inclus dans les critères de sélection des partenaires de mise en œuvre.</w:t>
            </w:r>
          </w:p>
        </w:tc>
        <w:tc>
          <w:tcPr>
            <w:tcW w:w="238" w:type="pct"/>
            <w:tcBorders>
              <w:top w:val="single" w:sz="4" w:space="0" w:color="auto"/>
              <w:left w:val="single" w:sz="4" w:space="0" w:color="auto"/>
              <w:bottom w:val="single" w:sz="4" w:space="0" w:color="auto"/>
              <w:right w:val="single" w:sz="4" w:space="0" w:color="auto"/>
            </w:tcBorders>
            <w:shd w:val="clear" w:color="auto" w:fill="auto"/>
            <w:hideMark/>
          </w:tcPr>
          <w:p w14:paraId="2B28A0C7" w14:textId="77777777" w:rsidR="00601D9B" w:rsidRDefault="000E53A0">
            <w:pPr>
              <w:widowControl w:val="0"/>
              <w:snapToGrid w:val="0"/>
              <w:spacing w:line="264" w:lineRule="auto"/>
              <w:rPr>
                <w:rFonts w:asciiTheme="minorHAnsi" w:eastAsia="Cambria" w:hAnsiTheme="minorHAnsi" w:cstheme="minorHAnsi"/>
                <w:sz w:val="18"/>
                <w:szCs w:val="18"/>
                <w:lang w:val="en-GB"/>
              </w:rPr>
            </w:pPr>
            <w:r>
              <w:rPr>
                <w:rFonts w:asciiTheme="minorHAnsi" w:eastAsia="Cambria" w:hAnsiTheme="minorHAnsi" w:cstheme="minorHAnsi"/>
                <w:sz w:val="18"/>
                <w:szCs w:val="18"/>
                <w:lang w:val="en-GB"/>
              </w:rPr>
              <w:t>PMU</w:t>
            </w:r>
          </w:p>
          <w:p w14:paraId="50ACA937" w14:textId="77777777" w:rsidR="00601D9B" w:rsidRDefault="000E53A0">
            <w:pPr>
              <w:widowControl w:val="0"/>
              <w:snapToGrid w:val="0"/>
              <w:spacing w:line="264" w:lineRule="auto"/>
              <w:rPr>
                <w:rFonts w:asciiTheme="minorHAnsi" w:eastAsia="Cambria" w:hAnsiTheme="minorHAnsi" w:cstheme="minorHAnsi"/>
                <w:sz w:val="18"/>
                <w:szCs w:val="18"/>
                <w:lang w:val="en-GB"/>
              </w:rPr>
            </w:pPr>
            <w:r>
              <w:rPr>
                <w:rFonts w:asciiTheme="minorHAnsi" w:eastAsia="Cambria" w:hAnsiTheme="minorHAnsi" w:cstheme="minorHAnsi"/>
                <w:sz w:val="18"/>
                <w:szCs w:val="18"/>
                <w:lang w:val="en-GB"/>
              </w:rPr>
              <w:t>PNUD</w:t>
            </w:r>
          </w:p>
        </w:tc>
      </w:tr>
      <w:bookmarkEnd w:id="80"/>
    </w:tbl>
    <w:p w14:paraId="7B672C84" w14:textId="77777777" w:rsidR="00A965E4" w:rsidRPr="00A965E4" w:rsidRDefault="00A965E4" w:rsidP="00897F6C">
      <w:pPr>
        <w:rPr>
          <w:lang w:val="fr-FR"/>
        </w:rPr>
      </w:pPr>
    </w:p>
    <w:p w14:paraId="4023C9C6" w14:textId="77777777" w:rsidR="009E69F2" w:rsidRDefault="00BB0459" w:rsidP="0090528D">
      <w:pPr>
        <w:pStyle w:val="Titre2"/>
        <w:ind w:left="0"/>
        <w:rPr>
          <w:rFonts w:cs="Calibri"/>
          <w:b w:val="0"/>
          <w:bCs w:val="0"/>
          <w:szCs w:val="20"/>
        </w:rPr>
      </w:pPr>
      <w:r>
        <w:rPr>
          <w:rFonts w:ascii="Calibri" w:hAnsi="Calibri"/>
          <w:szCs w:val="22"/>
        </w:rPr>
        <w:br w:type="page"/>
      </w:r>
    </w:p>
    <w:p w14:paraId="38009AA8" w14:textId="77777777" w:rsidR="009A7C5F" w:rsidRDefault="009A7C5F" w:rsidP="00BB0459">
      <w:pPr>
        <w:pStyle w:val="Titre2"/>
        <w:ind w:left="0"/>
        <w:rPr>
          <w:rFonts w:ascii="Calibri" w:hAnsi="Calibri"/>
          <w:szCs w:val="22"/>
        </w:rPr>
        <w:sectPr w:rsidR="009A7C5F" w:rsidSect="00426F66">
          <w:pgSz w:w="12240" w:h="15840" w:code="1"/>
          <w:pgMar w:top="1440" w:right="1440" w:bottom="1440" w:left="1440" w:header="720" w:footer="720" w:gutter="0"/>
          <w:cols w:space="720"/>
          <w:docGrid w:linePitch="360"/>
        </w:sectPr>
      </w:pPr>
      <w:bookmarkStart w:id="81" w:name="_Toc46749095"/>
    </w:p>
    <w:p w14:paraId="0A39DDD3" w14:textId="77777777" w:rsidR="00601D9B" w:rsidRPr="000E53A0" w:rsidRDefault="000E53A0">
      <w:pPr>
        <w:pStyle w:val="Titre2"/>
        <w:ind w:left="0"/>
        <w:rPr>
          <w:rFonts w:ascii="Calibri" w:hAnsi="Calibri"/>
          <w:szCs w:val="22"/>
          <w:lang w:val="fr-FR"/>
        </w:rPr>
      </w:pPr>
      <w:commentRangeStart w:id="82"/>
      <w:r w:rsidRPr="000E53A0">
        <w:rPr>
          <w:rFonts w:ascii="Calibri" w:hAnsi="Calibri"/>
          <w:szCs w:val="22"/>
          <w:lang w:val="fr-FR"/>
        </w:rPr>
        <w:lastRenderedPageBreak/>
        <w:t xml:space="preserve">Annexe </w:t>
      </w:r>
      <w:r w:rsidR="008223E5" w:rsidRPr="000E53A0">
        <w:rPr>
          <w:rFonts w:ascii="Calibri" w:hAnsi="Calibri"/>
          <w:szCs w:val="22"/>
          <w:lang w:val="fr-FR"/>
        </w:rPr>
        <w:t xml:space="preserve">8 </w:t>
      </w:r>
      <w:r w:rsidRPr="000E53A0">
        <w:rPr>
          <w:rFonts w:ascii="Calibri" w:hAnsi="Calibri"/>
          <w:szCs w:val="22"/>
          <w:lang w:val="fr-FR"/>
        </w:rPr>
        <w:t xml:space="preserve">: </w:t>
      </w:r>
      <w:r w:rsidR="00DF2D3A" w:rsidRPr="000E53A0">
        <w:rPr>
          <w:rFonts w:ascii="Calibri" w:hAnsi="Calibri"/>
          <w:szCs w:val="22"/>
          <w:lang w:val="fr-FR"/>
        </w:rPr>
        <w:t xml:space="preserve">Aperçu du </w:t>
      </w:r>
      <w:r w:rsidR="0046717C" w:rsidRPr="000E53A0">
        <w:rPr>
          <w:rFonts w:ascii="Calibri" w:hAnsi="Calibri"/>
          <w:szCs w:val="22"/>
          <w:lang w:val="fr-FR"/>
        </w:rPr>
        <w:t xml:space="preserve">personnel du projet et des </w:t>
      </w:r>
      <w:r w:rsidR="00DF2D3A" w:rsidRPr="000E53A0">
        <w:rPr>
          <w:rFonts w:ascii="Calibri" w:hAnsi="Calibri"/>
          <w:szCs w:val="22"/>
          <w:lang w:val="fr-FR"/>
        </w:rPr>
        <w:t xml:space="preserve">consultants techniques </w:t>
      </w:r>
      <w:bookmarkEnd w:id="81"/>
      <w:commentRangeEnd w:id="82"/>
      <w:r w:rsidR="00BC3DFF">
        <w:rPr>
          <w:rStyle w:val="Marquedecommentaire"/>
          <w:rFonts w:ascii="Times New Roman" w:hAnsi="Times New Roman"/>
          <w:b w:val="0"/>
          <w:bCs w:val="0"/>
        </w:rPr>
        <w:commentReference w:id="82"/>
      </w:r>
    </w:p>
    <w:p w14:paraId="68FFA35E" w14:textId="77777777" w:rsidR="00601D9B" w:rsidRPr="000E53A0" w:rsidRDefault="000E53A0">
      <w:pPr>
        <w:rPr>
          <w:rFonts w:cs="Arial"/>
          <w:i/>
          <w:noProof/>
          <w:szCs w:val="20"/>
          <w:lang w:val="fr-FR" w:eastAsia="zh-CN"/>
        </w:rPr>
      </w:pPr>
      <w:r w:rsidRPr="000E53A0">
        <w:rPr>
          <w:b/>
          <w:szCs w:val="22"/>
          <w:lang w:val="fr-FR"/>
        </w:rPr>
        <w:br/>
      </w:r>
      <w:r w:rsidR="00D42863" w:rsidRPr="000E53A0">
        <w:rPr>
          <w:rFonts w:cs="Arial"/>
          <w:b/>
          <w:i/>
          <w:noProof/>
          <w:szCs w:val="20"/>
          <w:highlight w:val="yellow"/>
          <w:lang w:val="fr-FR" w:eastAsia="zh-CN"/>
        </w:rPr>
        <w:t xml:space="preserve">Conseils au développeur de projet </w:t>
      </w:r>
      <w:r w:rsidR="00D42863" w:rsidRPr="000E53A0">
        <w:rPr>
          <w:rFonts w:cs="Arial"/>
          <w:i/>
          <w:noProof/>
          <w:szCs w:val="20"/>
          <w:highlight w:val="yellow"/>
          <w:lang w:val="fr-FR" w:eastAsia="zh-CN"/>
        </w:rPr>
        <w:t xml:space="preserve">:  Le modèle suivant comprend un texte d'exemple pour aider à remplir ce modèle pour le projet en question </w:t>
      </w:r>
      <w:r w:rsidR="00ED405E" w:rsidRPr="000E53A0">
        <w:rPr>
          <w:rFonts w:cs="Arial"/>
          <w:i/>
          <w:noProof/>
          <w:szCs w:val="20"/>
          <w:highlight w:val="yellow"/>
          <w:lang w:val="fr-FR" w:eastAsia="zh-CN"/>
        </w:rPr>
        <w:t xml:space="preserve">et doit être modifié selon les besoins du projet en question. </w:t>
      </w:r>
      <w:r w:rsidR="00375887" w:rsidRPr="000E53A0">
        <w:rPr>
          <w:rFonts w:cs="Arial"/>
          <w:i/>
          <w:noProof/>
          <w:szCs w:val="20"/>
          <w:highlight w:val="yellow"/>
          <w:lang w:val="fr-FR" w:eastAsia="zh-CN"/>
        </w:rPr>
        <w:t xml:space="preserve">Le Secrétariat du FEM </w:t>
      </w:r>
      <w:r w:rsidR="008B3793" w:rsidRPr="000E53A0">
        <w:rPr>
          <w:rFonts w:cs="Arial"/>
          <w:i/>
          <w:noProof/>
          <w:szCs w:val="20"/>
          <w:highlight w:val="yellow"/>
          <w:lang w:val="fr-FR" w:eastAsia="zh-CN"/>
        </w:rPr>
        <w:t xml:space="preserve">examinera les termes de référence du personnel du projet dont une partie du salaire sera imputée aux composantes techniques </w:t>
      </w:r>
      <w:r w:rsidR="00ED4C89" w:rsidRPr="000E53A0">
        <w:rPr>
          <w:rFonts w:cs="Arial"/>
          <w:i/>
          <w:noProof/>
          <w:szCs w:val="20"/>
          <w:highlight w:val="yellow"/>
          <w:lang w:val="fr-FR" w:eastAsia="zh-CN"/>
        </w:rPr>
        <w:t xml:space="preserve">du budget du </w:t>
      </w:r>
      <w:r w:rsidR="00FC7217" w:rsidRPr="000E53A0">
        <w:rPr>
          <w:rFonts w:cs="Arial"/>
          <w:i/>
          <w:noProof/>
          <w:szCs w:val="20"/>
          <w:highlight w:val="yellow"/>
          <w:lang w:val="fr-FR" w:eastAsia="zh-CN"/>
        </w:rPr>
        <w:t xml:space="preserve">projet </w:t>
      </w:r>
      <w:r w:rsidR="008B3793" w:rsidRPr="000E53A0">
        <w:rPr>
          <w:rFonts w:cs="Arial"/>
          <w:i/>
          <w:noProof/>
          <w:szCs w:val="20"/>
          <w:highlight w:val="yellow"/>
          <w:lang w:val="fr-FR" w:eastAsia="zh-CN"/>
        </w:rPr>
        <w:t xml:space="preserve">afin de s'assurer que </w:t>
      </w:r>
      <w:r w:rsidR="00892228" w:rsidRPr="000E53A0">
        <w:rPr>
          <w:rFonts w:cs="Arial"/>
          <w:i/>
          <w:noProof/>
          <w:szCs w:val="20"/>
          <w:highlight w:val="yellow"/>
          <w:lang w:val="fr-FR" w:eastAsia="zh-CN"/>
        </w:rPr>
        <w:t xml:space="preserve">les tâches </w:t>
      </w:r>
      <w:r w:rsidR="008B3793" w:rsidRPr="000E53A0">
        <w:rPr>
          <w:rFonts w:cs="Arial"/>
          <w:i/>
          <w:noProof/>
          <w:szCs w:val="20"/>
          <w:highlight w:val="yellow"/>
          <w:lang w:val="fr-FR" w:eastAsia="zh-CN"/>
        </w:rPr>
        <w:t xml:space="preserve">techniques </w:t>
      </w:r>
      <w:r w:rsidR="00892228" w:rsidRPr="000E53A0">
        <w:rPr>
          <w:rFonts w:cs="Arial"/>
          <w:i/>
          <w:noProof/>
          <w:szCs w:val="20"/>
          <w:highlight w:val="yellow"/>
          <w:lang w:val="fr-FR" w:eastAsia="zh-CN"/>
        </w:rPr>
        <w:t>sont incluses dans les termes de référence.</w:t>
      </w:r>
    </w:p>
    <w:p w14:paraId="322B446F" w14:textId="77777777" w:rsidR="00D42863" w:rsidRPr="000E53A0" w:rsidRDefault="00D42863" w:rsidP="00D42863">
      <w:pPr>
        <w:rPr>
          <w:b/>
          <w:sz w:val="22"/>
          <w:szCs w:val="22"/>
          <w:lang w:val="fr-FR"/>
        </w:rPr>
      </w:pPr>
    </w:p>
    <w:tbl>
      <w:tblPr>
        <w:tblW w:w="14022" w:type="dxa"/>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3"/>
        <w:gridCol w:w="1440"/>
        <w:gridCol w:w="10619"/>
      </w:tblGrid>
      <w:tr w:rsidR="00D42863" w:rsidRPr="007B1761" w14:paraId="35498E44" w14:textId="77777777" w:rsidTr="00421FD8">
        <w:trPr>
          <w:tblHeader/>
        </w:trPr>
        <w:tc>
          <w:tcPr>
            <w:tcW w:w="1963" w:type="dxa"/>
            <w:tcBorders>
              <w:top w:val="single" w:sz="4" w:space="0" w:color="auto"/>
              <w:left w:val="single" w:sz="4" w:space="0" w:color="auto"/>
              <w:bottom w:val="single" w:sz="4" w:space="0" w:color="auto"/>
              <w:right w:val="single" w:sz="4" w:space="0" w:color="auto"/>
            </w:tcBorders>
            <w:shd w:val="clear" w:color="auto" w:fill="FDE9D9"/>
            <w:hideMark/>
          </w:tcPr>
          <w:p w14:paraId="40ED36C2" w14:textId="77777777" w:rsidR="00601D9B" w:rsidRDefault="000E53A0">
            <w:pPr>
              <w:rPr>
                <w:b/>
                <w:szCs w:val="20"/>
                <w:lang w:val="en-GB" w:eastAsia="ja-JP"/>
              </w:rPr>
            </w:pPr>
            <w:r w:rsidRPr="007B1761">
              <w:rPr>
                <w:b/>
                <w:szCs w:val="20"/>
                <w:lang w:val="en-GB" w:eastAsia="ja-JP"/>
              </w:rPr>
              <w:t>Consultant</w:t>
            </w:r>
          </w:p>
        </w:tc>
        <w:tc>
          <w:tcPr>
            <w:tcW w:w="1440" w:type="dxa"/>
            <w:tcBorders>
              <w:top w:val="single" w:sz="4" w:space="0" w:color="auto"/>
              <w:left w:val="single" w:sz="4" w:space="0" w:color="auto"/>
              <w:bottom w:val="single" w:sz="4" w:space="0" w:color="auto"/>
              <w:right w:val="single" w:sz="4" w:space="0" w:color="auto"/>
            </w:tcBorders>
            <w:shd w:val="clear" w:color="auto" w:fill="FDE9D9"/>
            <w:hideMark/>
          </w:tcPr>
          <w:p w14:paraId="675A818C" w14:textId="77777777" w:rsidR="00601D9B" w:rsidRDefault="000E53A0">
            <w:pPr>
              <w:rPr>
                <w:b/>
                <w:szCs w:val="20"/>
                <w:lang w:val="en-GB" w:eastAsia="ja-JP"/>
              </w:rPr>
            </w:pPr>
            <w:r w:rsidRPr="007B1761">
              <w:rPr>
                <w:b/>
                <w:szCs w:val="20"/>
                <w:lang w:val="en-GB" w:eastAsia="ja-JP"/>
              </w:rPr>
              <w:t>Entrée du temps</w:t>
            </w:r>
          </w:p>
        </w:tc>
        <w:tc>
          <w:tcPr>
            <w:tcW w:w="10619" w:type="dxa"/>
            <w:tcBorders>
              <w:top w:val="single" w:sz="4" w:space="0" w:color="auto"/>
              <w:left w:val="single" w:sz="4" w:space="0" w:color="auto"/>
              <w:bottom w:val="single" w:sz="4" w:space="0" w:color="auto"/>
              <w:right w:val="single" w:sz="4" w:space="0" w:color="auto"/>
            </w:tcBorders>
            <w:shd w:val="clear" w:color="auto" w:fill="FDE9D9"/>
            <w:hideMark/>
          </w:tcPr>
          <w:p w14:paraId="1628C63B" w14:textId="77777777" w:rsidR="00601D9B" w:rsidRDefault="000E53A0">
            <w:pPr>
              <w:rPr>
                <w:b/>
                <w:szCs w:val="20"/>
                <w:lang w:val="en-GB" w:eastAsia="ja-JP"/>
              </w:rPr>
            </w:pPr>
            <w:r w:rsidRPr="007B1761">
              <w:rPr>
                <w:b/>
                <w:szCs w:val="20"/>
                <w:lang w:val="en-GB" w:eastAsia="ja-JP"/>
              </w:rPr>
              <w:t>Tâches, entrées et sorties</w:t>
            </w:r>
          </w:p>
        </w:tc>
      </w:tr>
      <w:tr w:rsidR="00D42863" w:rsidRPr="000E53A0" w14:paraId="720363A7" w14:textId="77777777" w:rsidTr="00421FD8">
        <w:tc>
          <w:tcPr>
            <w:tcW w:w="14022" w:type="dxa"/>
            <w:gridSpan w:val="3"/>
            <w:tcBorders>
              <w:top w:val="single" w:sz="4" w:space="0" w:color="auto"/>
              <w:left w:val="single" w:sz="4" w:space="0" w:color="auto"/>
              <w:bottom w:val="single" w:sz="4" w:space="0" w:color="auto"/>
              <w:right w:val="single" w:sz="4" w:space="0" w:color="auto"/>
            </w:tcBorders>
            <w:shd w:val="clear" w:color="auto" w:fill="DAEEF3"/>
            <w:hideMark/>
          </w:tcPr>
          <w:p w14:paraId="61E38F75" w14:textId="77777777" w:rsidR="00601D9B" w:rsidRPr="000E53A0" w:rsidRDefault="000E53A0">
            <w:pPr>
              <w:jc w:val="center"/>
              <w:rPr>
                <w:i/>
                <w:szCs w:val="20"/>
                <w:lang w:val="fr-FR" w:eastAsia="ja-JP"/>
              </w:rPr>
            </w:pPr>
            <w:r w:rsidRPr="000E53A0">
              <w:rPr>
                <w:b/>
                <w:i/>
                <w:szCs w:val="20"/>
                <w:lang w:val="fr-FR" w:eastAsia="ja-JP"/>
              </w:rPr>
              <w:t>Pour la gestion de projet</w:t>
            </w:r>
          </w:p>
        </w:tc>
      </w:tr>
      <w:tr w:rsidR="00D42863" w:rsidRPr="007B1761" w14:paraId="7BA58828" w14:textId="77777777" w:rsidTr="00421FD8">
        <w:tc>
          <w:tcPr>
            <w:tcW w:w="14022" w:type="dxa"/>
            <w:gridSpan w:val="3"/>
            <w:tcBorders>
              <w:top w:val="single" w:sz="4" w:space="0" w:color="auto"/>
              <w:left w:val="single" w:sz="4" w:space="0" w:color="auto"/>
              <w:bottom w:val="single" w:sz="4" w:space="0" w:color="auto"/>
              <w:right w:val="single" w:sz="4" w:space="0" w:color="auto"/>
            </w:tcBorders>
            <w:shd w:val="clear" w:color="auto" w:fill="DAEEF3"/>
            <w:hideMark/>
          </w:tcPr>
          <w:p w14:paraId="0712E9F1" w14:textId="77777777" w:rsidR="00601D9B" w:rsidRDefault="000E53A0">
            <w:pPr>
              <w:rPr>
                <w:b/>
                <w:i/>
                <w:szCs w:val="20"/>
                <w:lang w:val="en-GB" w:eastAsia="ja-JP"/>
              </w:rPr>
            </w:pPr>
            <w:r w:rsidRPr="007B1761">
              <w:rPr>
                <w:b/>
                <w:i/>
                <w:szCs w:val="20"/>
                <w:lang w:val="en-GB" w:eastAsia="ja-JP"/>
              </w:rPr>
              <w:t>Contrats locaux / nationaux</w:t>
            </w:r>
          </w:p>
        </w:tc>
      </w:tr>
      <w:tr w:rsidR="00D42863" w:rsidRPr="000E53A0" w14:paraId="3AEA2A3B" w14:textId="77777777" w:rsidTr="00421FD8">
        <w:tc>
          <w:tcPr>
            <w:tcW w:w="1963" w:type="dxa"/>
            <w:tcBorders>
              <w:top w:val="single" w:sz="4" w:space="0" w:color="auto"/>
              <w:left w:val="single" w:sz="4" w:space="0" w:color="auto"/>
              <w:bottom w:val="single" w:sz="4" w:space="0" w:color="auto"/>
              <w:right w:val="single" w:sz="4" w:space="0" w:color="auto"/>
            </w:tcBorders>
          </w:tcPr>
          <w:p w14:paraId="18655CEC" w14:textId="77777777" w:rsidR="00601D9B" w:rsidRPr="000E53A0" w:rsidRDefault="000E53A0">
            <w:pPr>
              <w:rPr>
                <w:i/>
                <w:szCs w:val="20"/>
                <w:lang w:val="fr-FR" w:eastAsia="ja-JP"/>
              </w:rPr>
            </w:pPr>
            <w:r w:rsidRPr="000E53A0">
              <w:rPr>
                <w:i/>
                <w:szCs w:val="20"/>
                <w:lang w:val="fr-FR" w:eastAsia="ja-JP"/>
              </w:rPr>
              <w:t>Chef de projet/coordinateur</w:t>
            </w:r>
          </w:p>
          <w:p w14:paraId="03AA7CEA" w14:textId="77777777" w:rsidR="00D42863" w:rsidRPr="000E53A0" w:rsidRDefault="00D42863" w:rsidP="00421FD8">
            <w:pPr>
              <w:rPr>
                <w:i/>
                <w:szCs w:val="20"/>
                <w:lang w:val="fr-FR" w:eastAsia="ja-JP"/>
              </w:rPr>
            </w:pPr>
          </w:p>
          <w:p w14:paraId="3E86D2CF" w14:textId="77777777" w:rsidR="00601D9B" w:rsidRPr="000E53A0" w:rsidRDefault="000E53A0">
            <w:pPr>
              <w:rPr>
                <w:i/>
                <w:szCs w:val="20"/>
                <w:lang w:val="fr-FR" w:eastAsia="ja-JP"/>
              </w:rPr>
            </w:pPr>
            <w:r w:rsidRPr="000E53A0">
              <w:rPr>
                <w:i/>
                <w:szCs w:val="20"/>
                <w:lang w:val="fr-FR" w:eastAsia="ja-JP"/>
              </w:rPr>
              <w:t xml:space="preserve">Tarif : 1 200 $/semaine </w:t>
            </w:r>
          </w:p>
        </w:tc>
        <w:tc>
          <w:tcPr>
            <w:tcW w:w="1440" w:type="dxa"/>
            <w:tcBorders>
              <w:top w:val="single" w:sz="4" w:space="0" w:color="auto"/>
              <w:left w:val="single" w:sz="4" w:space="0" w:color="auto"/>
              <w:bottom w:val="single" w:sz="4" w:space="0" w:color="auto"/>
              <w:right w:val="single" w:sz="4" w:space="0" w:color="auto"/>
            </w:tcBorders>
            <w:hideMark/>
          </w:tcPr>
          <w:p w14:paraId="555212B5" w14:textId="77777777" w:rsidR="00601D9B" w:rsidRDefault="000E53A0">
            <w:pPr>
              <w:rPr>
                <w:i/>
                <w:szCs w:val="20"/>
                <w:lang w:val="en-GB" w:eastAsia="ja-JP"/>
              </w:rPr>
            </w:pPr>
            <w:r w:rsidRPr="007B1761">
              <w:rPr>
                <w:i/>
                <w:szCs w:val="20"/>
                <w:lang w:val="en-GB" w:eastAsia="ja-JP"/>
              </w:rPr>
              <w:t>43 semaines / plus de 5 ans</w:t>
            </w:r>
          </w:p>
        </w:tc>
        <w:tc>
          <w:tcPr>
            <w:tcW w:w="10619" w:type="dxa"/>
            <w:tcBorders>
              <w:top w:val="single" w:sz="4" w:space="0" w:color="auto"/>
              <w:left w:val="single" w:sz="4" w:space="0" w:color="auto"/>
              <w:bottom w:val="single" w:sz="4" w:space="0" w:color="auto"/>
              <w:right w:val="single" w:sz="4" w:space="0" w:color="auto"/>
            </w:tcBorders>
            <w:hideMark/>
          </w:tcPr>
          <w:p w14:paraId="48A49CD8" w14:textId="77777777" w:rsidR="00601D9B" w:rsidRPr="000E53A0" w:rsidRDefault="000E53A0">
            <w:pPr>
              <w:rPr>
                <w:i/>
                <w:szCs w:val="20"/>
                <w:lang w:val="fr-FR" w:eastAsia="ja-JP"/>
              </w:rPr>
            </w:pPr>
            <w:r w:rsidRPr="000E53A0">
              <w:rPr>
                <w:i/>
                <w:szCs w:val="20"/>
                <w:lang w:val="fr-FR" w:eastAsia="ja-JP"/>
              </w:rPr>
              <w:t xml:space="preserve">Le gestionnaire de projet (PM), en collaboration avec </w:t>
            </w:r>
            <w:r w:rsidR="0061631C" w:rsidRPr="000E53A0">
              <w:rPr>
                <w:i/>
                <w:szCs w:val="20"/>
                <w:lang w:val="fr-FR" w:eastAsia="ja-JP"/>
              </w:rPr>
              <w:t xml:space="preserve">le conseiller technique principal, sera </w:t>
            </w:r>
            <w:r w:rsidRPr="000E53A0">
              <w:rPr>
                <w:i/>
                <w:szCs w:val="20"/>
                <w:lang w:val="fr-FR" w:eastAsia="ja-JP"/>
              </w:rPr>
              <w:t xml:space="preserve">responsable de la gestion globale du projet, y compris la mobilisation de tous les intrants du projet, la supervision du personnel du projet, des consultants et des sous-traitants. </w:t>
            </w:r>
          </w:p>
          <w:p w14:paraId="6E21E44E" w14:textId="77777777" w:rsidR="00601D9B" w:rsidRDefault="000E53A0">
            <w:pPr>
              <w:rPr>
                <w:rFonts w:cs="Arial"/>
                <w:i/>
                <w:noProof/>
                <w:szCs w:val="20"/>
                <w:u w:val="single"/>
                <w:lang w:eastAsia="zh-CN"/>
              </w:rPr>
            </w:pPr>
            <w:r w:rsidRPr="008414CE">
              <w:rPr>
                <w:rFonts w:cs="Arial"/>
                <w:i/>
                <w:noProof/>
                <w:szCs w:val="20"/>
                <w:u w:val="single"/>
                <w:lang w:eastAsia="zh-CN"/>
              </w:rPr>
              <w:t>Fonctions et responsabilités</w:t>
            </w:r>
          </w:p>
          <w:p w14:paraId="25407C5F" w14:textId="77777777" w:rsidR="00601D9B" w:rsidRPr="000E53A0" w:rsidRDefault="000E53A0">
            <w:pPr>
              <w:pStyle w:val="Paragraphedeliste"/>
              <w:numPr>
                <w:ilvl w:val="0"/>
                <w:numId w:val="31"/>
              </w:numPr>
              <w:ind w:left="360"/>
              <w:rPr>
                <w:rFonts w:asciiTheme="minorHAnsi" w:hAnsiTheme="minorHAnsi" w:cstheme="minorHAnsi"/>
                <w:i/>
                <w:color w:val="000000"/>
                <w:sz w:val="20"/>
                <w:szCs w:val="20"/>
                <w:lang w:val="fr-FR"/>
              </w:rPr>
            </w:pPr>
            <w:r w:rsidRPr="000E53A0">
              <w:rPr>
                <w:rFonts w:asciiTheme="minorHAnsi" w:hAnsiTheme="minorHAnsi" w:cstheme="minorHAnsi"/>
                <w:i/>
                <w:color w:val="000000"/>
                <w:sz w:val="20"/>
                <w:szCs w:val="20"/>
                <w:lang w:val="fr-FR"/>
              </w:rPr>
              <w:t>Gérer la conduite générale du projet.</w:t>
            </w:r>
          </w:p>
          <w:p w14:paraId="35F0220D" w14:textId="77777777" w:rsidR="00601D9B" w:rsidRPr="000E53A0" w:rsidRDefault="000E53A0">
            <w:pPr>
              <w:pStyle w:val="Paragraphedeliste"/>
              <w:numPr>
                <w:ilvl w:val="0"/>
                <w:numId w:val="31"/>
              </w:numPr>
              <w:ind w:left="360"/>
              <w:rPr>
                <w:rFonts w:asciiTheme="minorHAnsi" w:hAnsiTheme="minorHAnsi" w:cstheme="minorHAnsi"/>
                <w:i/>
                <w:color w:val="000000"/>
                <w:sz w:val="20"/>
                <w:szCs w:val="20"/>
                <w:lang w:val="fr-FR"/>
              </w:rPr>
            </w:pPr>
            <w:r w:rsidRPr="000E53A0">
              <w:rPr>
                <w:rFonts w:asciiTheme="minorHAnsi" w:hAnsiTheme="minorHAnsi" w:cstheme="minorHAnsi"/>
                <w:i/>
                <w:color w:val="000000"/>
                <w:sz w:val="20"/>
                <w:szCs w:val="20"/>
                <w:lang w:val="fr-FR"/>
              </w:rPr>
              <w:t>Planifier les activités du projet et suivre les progrès par rapport au plan de travail approuvé.</w:t>
            </w:r>
          </w:p>
          <w:p w14:paraId="585728E2" w14:textId="77777777" w:rsidR="00601D9B" w:rsidRPr="000E53A0" w:rsidRDefault="000E53A0">
            <w:pPr>
              <w:pStyle w:val="Paragraphedeliste"/>
              <w:numPr>
                <w:ilvl w:val="0"/>
                <w:numId w:val="31"/>
              </w:numPr>
              <w:ind w:left="360"/>
              <w:rPr>
                <w:rFonts w:asciiTheme="minorHAnsi" w:hAnsiTheme="minorHAnsi" w:cstheme="minorHAnsi"/>
                <w:i/>
                <w:color w:val="000000"/>
                <w:sz w:val="20"/>
                <w:szCs w:val="20"/>
                <w:lang w:val="fr-FR"/>
              </w:rPr>
            </w:pPr>
            <w:r w:rsidRPr="000E53A0">
              <w:rPr>
                <w:rFonts w:asciiTheme="minorHAnsi" w:hAnsiTheme="minorHAnsi" w:cstheme="minorHAnsi"/>
                <w:i/>
                <w:color w:val="000000"/>
                <w:sz w:val="20"/>
                <w:szCs w:val="20"/>
                <w:lang w:val="fr-FR"/>
              </w:rPr>
              <w:t>Exécuter les activités en gérant le personnel, les biens et services, la formation et les subventions de faible valeur, y compris la rédaction des termes de référence et des spécifications de travail, et la supervision de tous les travaux des contractants.</w:t>
            </w:r>
          </w:p>
          <w:p w14:paraId="22C84FFA" w14:textId="77777777" w:rsidR="00601D9B" w:rsidRPr="000E53A0" w:rsidRDefault="000E53A0">
            <w:pPr>
              <w:pStyle w:val="Paragraphedeliste"/>
              <w:numPr>
                <w:ilvl w:val="0"/>
                <w:numId w:val="31"/>
              </w:numPr>
              <w:ind w:left="360"/>
              <w:rPr>
                <w:rFonts w:asciiTheme="minorHAnsi" w:hAnsiTheme="minorHAnsi" w:cstheme="minorHAnsi"/>
                <w:i/>
                <w:color w:val="000000"/>
                <w:sz w:val="20"/>
                <w:szCs w:val="20"/>
                <w:lang w:val="fr-FR"/>
              </w:rPr>
            </w:pPr>
            <w:r w:rsidRPr="000E53A0">
              <w:rPr>
                <w:rFonts w:asciiTheme="minorHAnsi" w:hAnsiTheme="minorHAnsi" w:cstheme="minorHAnsi"/>
                <w:i/>
                <w:color w:val="000000"/>
                <w:sz w:val="20"/>
                <w:szCs w:val="20"/>
                <w:lang w:val="fr-FR"/>
              </w:rPr>
              <w:t>Surveiller les événements comme déterminé dans le plan de surveillance du projet, et mettre à jour le plan si nécessaire.</w:t>
            </w:r>
          </w:p>
          <w:p w14:paraId="79B0F68B" w14:textId="77777777" w:rsidR="00601D9B" w:rsidRPr="000E53A0" w:rsidRDefault="000E53A0">
            <w:pPr>
              <w:pStyle w:val="Paragraphedeliste"/>
              <w:numPr>
                <w:ilvl w:val="0"/>
                <w:numId w:val="31"/>
              </w:numPr>
              <w:ind w:left="360"/>
              <w:rPr>
                <w:rFonts w:asciiTheme="minorHAnsi" w:hAnsiTheme="minorHAnsi" w:cstheme="minorHAnsi"/>
                <w:i/>
                <w:color w:val="000000"/>
                <w:sz w:val="20"/>
                <w:szCs w:val="20"/>
                <w:lang w:val="fr-FR"/>
              </w:rPr>
            </w:pPr>
            <w:r w:rsidRPr="000E53A0">
              <w:rPr>
                <w:rFonts w:asciiTheme="minorHAnsi" w:hAnsiTheme="minorHAnsi" w:cstheme="minorHAnsi"/>
                <w:i/>
                <w:color w:val="000000"/>
                <w:sz w:val="20"/>
                <w:szCs w:val="20"/>
                <w:lang w:val="fr-FR"/>
              </w:rPr>
              <w:t>Fournir un soutien pour la réalisation des évaluations requises par le PNUD, des contrôles ponctuels et des audits.</w:t>
            </w:r>
          </w:p>
          <w:p w14:paraId="14EF32B4" w14:textId="77777777" w:rsidR="00601D9B" w:rsidRPr="000E53A0" w:rsidRDefault="000E53A0">
            <w:pPr>
              <w:pStyle w:val="Paragraphedeliste"/>
              <w:numPr>
                <w:ilvl w:val="0"/>
                <w:numId w:val="31"/>
              </w:numPr>
              <w:ind w:left="360"/>
              <w:rPr>
                <w:rFonts w:asciiTheme="minorHAnsi" w:hAnsiTheme="minorHAnsi" w:cstheme="minorHAnsi"/>
                <w:i/>
                <w:color w:val="000000"/>
                <w:sz w:val="20"/>
                <w:szCs w:val="20"/>
                <w:lang w:val="fr-FR"/>
              </w:rPr>
            </w:pPr>
            <w:r w:rsidRPr="000E53A0">
              <w:rPr>
                <w:rFonts w:asciiTheme="minorHAnsi" w:hAnsiTheme="minorHAnsi" w:cstheme="minorHAnsi"/>
                <w:i/>
                <w:color w:val="000000"/>
                <w:sz w:val="20"/>
                <w:szCs w:val="20"/>
                <w:lang w:val="fr-FR"/>
              </w:rPr>
              <w:t>Gérer les demandes de mise à disposition des ressources financières du PNUD par le biais d'avances de fonds, de paiements directs ou de remboursements en utilisant le formulaire FACE.</w:t>
            </w:r>
          </w:p>
          <w:p w14:paraId="3778CEC6" w14:textId="77777777" w:rsidR="00601D9B" w:rsidRPr="000E53A0" w:rsidRDefault="000E53A0">
            <w:pPr>
              <w:pStyle w:val="Paragraphedeliste"/>
              <w:numPr>
                <w:ilvl w:val="0"/>
                <w:numId w:val="31"/>
              </w:numPr>
              <w:ind w:left="360"/>
              <w:rPr>
                <w:rFonts w:asciiTheme="minorHAnsi" w:hAnsiTheme="minorHAnsi" w:cstheme="minorHAnsi"/>
                <w:i/>
                <w:color w:val="000000"/>
                <w:sz w:val="20"/>
                <w:szCs w:val="20"/>
                <w:lang w:val="fr-FR"/>
              </w:rPr>
            </w:pPr>
            <w:r w:rsidRPr="000E53A0">
              <w:rPr>
                <w:rFonts w:asciiTheme="minorHAnsi" w:hAnsiTheme="minorHAnsi" w:cstheme="minorHAnsi"/>
                <w:i/>
                <w:color w:val="000000"/>
                <w:sz w:val="20"/>
                <w:szCs w:val="20"/>
                <w:lang w:val="fr-FR"/>
              </w:rPr>
              <w:t>Contrôler les ressources financières et la comptabilité pour assurer l'exactitude et la fiabilité des rapports financiers.</w:t>
            </w:r>
          </w:p>
          <w:p w14:paraId="30A1624A" w14:textId="77777777" w:rsidR="00601D9B" w:rsidRPr="000E53A0" w:rsidRDefault="000E53A0">
            <w:pPr>
              <w:pStyle w:val="Paragraphedeliste"/>
              <w:numPr>
                <w:ilvl w:val="0"/>
                <w:numId w:val="31"/>
              </w:numPr>
              <w:ind w:left="360"/>
              <w:rPr>
                <w:rFonts w:asciiTheme="minorHAnsi" w:hAnsiTheme="minorHAnsi" w:cstheme="minorHAnsi"/>
                <w:i/>
                <w:color w:val="000000"/>
                <w:sz w:val="20"/>
                <w:szCs w:val="20"/>
                <w:lang w:val="fr-FR"/>
              </w:rPr>
            </w:pPr>
            <w:r w:rsidRPr="000E53A0">
              <w:rPr>
                <w:rFonts w:asciiTheme="minorHAnsi" w:hAnsiTheme="minorHAnsi" w:cstheme="minorHAnsi"/>
                <w:i/>
                <w:color w:val="000000"/>
                <w:sz w:val="20"/>
                <w:szCs w:val="20"/>
                <w:lang w:val="fr-FR"/>
              </w:rPr>
              <w:t>Suivre les progrès, surveiller les écarts par rapport au plan et apporter des corrections de trajectoire si nécessaire, dans les limites des tolérances convenues par le conseil d'administration du projet, afin d'atteindre les résultats.</w:t>
            </w:r>
          </w:p>
          <w:p w14:paraId="3A447AFD" w14:textId="77777777" w:rsidR="00601D9B" w:rsidRPr="000E53A0" w:rsidRDefault="000E53A0">
            <w:pPr>
              <w:pStyle w:val="Paragraphedeliste"/>
              <w:numPr>
                <w:ilvl w:val="0"/>
                <w:numId w:val="31"/>
              </w:numPr>
              <w:ind w:left="360"/>
              <w:rPr>
                <w:rFonts w:asciiTheme="minorHAnsi" w:hAnsiTheme="minorHAnsi" w:cstheme="minorHAnsi"/>
                <w:i/>
                <w:color w:val="000000"/>
                <w:sz w:val="20"/>
                <w:szCs w:val="20"/>
                <w:lang w:val="fr-FR"/>
              </w:rPr>
            </w:pPr>
            <w:r w:rsidRPr="000E53A0">
              <w:rPr>
                <w:rFonts w:asciiTheme="minorHAnsi" w:hAnsiTheme="minorHAnsi" w:cstheme="minorHAnsi"/>
                <w:i/>
                <w:color w:val="000000"/>
                <w:sz w:val="20"/>
                <w:szCs w:val="20"/>
                <w:lang w:val="fr-FR"/>
              </w:rPr>
              <w:t>Veiller à ce que les changements soient contrôlés et les problèmes traités.</w:t>
            </w:r>
          </w:p>
          <w:p w14:paraId="702F0809" w14:textId="77777777" w:rsidR="00601D9B" w:rsidRPr="000E53A0" w:rsidRDefault="000E53A0">
            <w:pPr>
              <w:pStyle w:val="Paragraphedeliste"/>
              <w:numPr>
                <w:ilvl w:val="0"/>
                <w:numId w:val="31"/>
              </w:numPr>
              <w:ind w:left="360"/>
              <w:rPr>
                <w:rFonts w:asciiTheme="minorHAnsi" w:hAnsiTheme="minorHAnsi" w:cstheme="minorHAnsi"/>
                <w:i/>
                <w:color w:val="000000"/>
                <w:sz w:val="20"/>
                <w:szCs w:val="20"/>
                <w:lang w:val="fr-FR"/>
              </w:rPr>
            </w:pPr>
            <w:r w:rsidRPr="000E53A0">
              <w:rPr>
                <w:rFonts w:asciiTheme="minorHAnsi" w:hAnsiTheme="minorHAnsi" w:cstheme="minorHAnsi"/>
                <w:i/>
                <w:color w:val="000000"/>
                <w:sz w:val="20"/>
                <w:szCs w:val="20"/>
                <w:lang w:val="fr-FR"/>
              </w:rPr>
              <w:t>Effectuer des rapports réguliers sur l'état d'avancement du projet, comme convenu avec le conseil d'administration, y compris les mesures visant à relever les défis et les opportunités.</w:t>
            </w:r>
          </w:p>
          <w:p w14:paraId="57543016" w14:textId="77777777" w:rsidR="00601D9B" w:rsidRPr="000E53A0" w:rsidRDefault="000E53A0">
            <w:pPr>
              <w:pStyle w:val="Paragraphedeliste"/>
              <w:numPr>
                <w:ilvl w:val="0"/>
                <w:numId w:val="31"/>
              </w:numPr>
              <w:ind w:left="360"/>
              <w:rPr>
                <w:rFonts w:asciiTheme="minorHAnsi" w:hAnsiTheme="minorHAnsi" w:cstheme="minorHAnsi"/>
                <w:i/>
                <w:color w:val="000000"/>
                <w:sz w:val="20"/>
                <w:szCs w:val="20"/>
                <w:lang w:val="fr-FR"/>
              </w:rPr>
            </w:pPr>
            <w:r w:rsidRPr="000E53A0">
              <w:rPr>
                <w:rFonts w:asciiTheme="minorHAnsi" w:hAnsiTheme="minorHAnsi" w:cstheme="minorHAnsi"/>
                <w:i/>
                <w:color w:val="000000"/>
                <w:sz w:val="20"/>
                <w:szCs w:val="20"/>
                <w:lang w:val="fr-FR"/>
              </w:rPr>
              <w:t>Préparer et soumettre des rapports financiers au PNUD sur une base trimestrielle.</w:t>
            </w:r>
          </w:p>
          <w:p w14:paraId="53C5AEB5" w14:textId="77777777" w:rsidR="00601D9B" w:rsidRPr="000E53A0" w:rsidRDefault="000E53A0">
            <w:pPr>
              <w:pStyle w:val="Paragraphedeliste"/>
              <w:numPr>
                <w:ilvl w:val="0"/>
                <w:numId w:val="31"/>
              </w:numPr>
              <w:ind w:left="360"/>
              <w:jc w:val="both"/>
              <w:rPr>
                <w:rFonts w:ascii="Calibri" w:hAnsi="Calibri"/>
                <w:i/>
                <w:sz w:val="20"/>
                <w:szCs w:val="20"/>
                <w:lang w:val="fr-FR"/>
              </w:rPr>
            </w:pPr>
            <w:r w:rsidRPr="000E53A0">
              <w:rPr>
                <w:rFonts w:ascii="Calibri" w:hAnsi="Calibri"/>
                <w:i/>
                <w:sz w:val="20"/>
                <w:szCs w:val="20"/>
                <w:lang w:val="fr-FR"/>
              </w:rPr>
              <w:t>Gérer et surveiller les risques du projet - y compris les risques sociaux et environnementaux - initialement identifiés et soumettre les nouveaux risques au conseil du projet pour examen et décision sur les actions possibles si nécessaire ; mettre à jour le statut de ces risques en tenant le journal des risques du projet ;</w:t>
            </w:r>
          </w:p>
          <w:p w14:paraId="61CC331D" w14:textId="77777777" w:rsidR="00601D9B" w:rsidRPr="000E53A0" w:rsidRDefault="000E53A0">
            <w:pPr>
              <w:pStyle w:val="Paragraphedeliste"/>
              <w:numPr>
                <w:ilvl w:val="0"/>
                <w:numId w:val="31"/>
              </w:numPr>
              <w:ind w:left="360"/>
              <w:rPr>
                <w:rFonts w:asciiTheme="minorHAnsi" w:hAnsiTheme="minorHAnsi" w:cstheme="minorHAnsi"/>
                <w:i/>
                <w:color w:val="000000"/>
                <w:sz w:val="20"/>
                <w:szCs w:val="20"/>
                <w:lang w:val="fr-FR"/>
              </w:rPr>
            </w:pPr>
            <w:r w:rsidRPr="000E53A0">
              <w:rPr>
                <w:rFonts w:asciiTheme="minorHAnsi" w:hAnsiTheme="minorHAnsi" w:cstheme="minorHAnsi"/>
                <w:i/>
                <w:color w:val="000000"/>
                <w:sz w:val="20"/>
                <w:szCs w:val="20"/>
                <w:lang w:val="fr-FR"/>
              </w:rPr>
              <w:t>Capturer les leçons apprises pendant la mise en œuvre du projet.</w:t>
            </w:r>
          </w:p>
          <w:p w14:paraId="71D1C5CF" w14:textId="77777777" w:rsidR="00601D9B" w:rsidRPr="000E53A0" w:rsidRDefault="000E53A0">
            <w:pPr>
              <w:pStyle w:val="Paragraphedeliste"/>
              <w:numPr>
                <w:ilvl w:val="0"/>
                <w:numId w:val="31"/>
              </w:numPr>
              <w:ind w:left="360"/>
              <w:rPr>
                <w:rFonts w:asciiTheme="minorHAnsi" w:hAnsiTheme="minorHAnsi" w:cstheme="minorHAnsi"/>
                <w:i/>
                <w:color w:val="000000"/>
                <w:sz w:val="20"/>
                <w:szCs w:val="20"/>
                <w:lang w:val="fr-FR"/>
              </w:rPr>
            </w:pPr>
            <w:r w:rsidRPr="000E53A0">
              <w:rPr>
                <w:rFonts w:asciiTheme="minorHAnsi" w:hAnsiTheme="minorHAnsi" w:cstheme="minorHAnsi"/>
                <w:i/>
                <w:color w:val="000000"/>
                <w:sz w:val="20"/>
                <w:szCs w:val="20"/>
                <w:lang w:val="fr-FR"/>
              </w:rPr>
              <w:t>Préparer les révisions du plan de travail pluriannuel, le cas échéant, ainsi que les plans annuels et trimestriels, si nécessaire.</w:t>
            </w:r>
          </w:p>
          <w:p w14:paraId="179E9415" w14:textId="77777777" w:rsidR="00601D9B" w:rsidRPr="000E53A0" w:rsidRDefault="000E53A0">
            <w:pPr>
              <w:numPr>
                <w:ilvl w:val="0"/>
                <w:numId w:val="19"/>
              </w:numPr>
              <w:ind w:left="360"/>
              <w:rPr>
                <w:rFonts w:cs="Calibri"/>
                <w:i/>
                <w:szCs w:val="20"/>
                <w:lang w:val="fr-FR"/>
              </w:rPr>
            </w:pPr>
            <w:r w:rsidRPr="000E53A0">
              <w:rPr>
                <w:rFonts w:cs="Calibri"/>
                <w:i/>
                <w:szCs w:val="20"/>
                <w:lang w:val="fr-FR"/>
              </w:rPr>
              <w:lastRenderedPageBreak/>
              <w:t xml:space="preserve">Préparez le rapport de démarrage au plus tard un mois après l'atelier de démarrage. </w:t>
            </w:r>
          </w:p>
          <w:p w14:paraId="39A3A31A" w14:textId="77777777" w:rsidR="00601D9B" w:rsidRPr="000E53A0" w:rsidRDefault="000E53A0">
            <w:pPr>
              <w:numPr>
                <w:ilvl w:val="0"/>
                <w:numId w:val="19"/>
              </w:numPr>
              <w:ind w:left="360"/>
              <w:rPr>
                <w:rFonts w:cs="Calibri"/>
                <w:i/>
                <w:szCs w:val="20"/>
                <w:lang w:val="fr-FR"/>
              </w:rPr>
            </w:pPr>
            <w:r w:rsidRPr="000E53A0">
              <w:rPr>
                <w:rFonts w:cs="Calibri"/>
                <w:i/>
                <w:szCs w:val="20"/>
                <w:lang w:val="fr-FR"/>
              </w:rPr>
              <w:t xml:space="preserve">Veillez à ce que les indicateurs inclus dans le cadre de résultats du projet fassent l'objet d'un suivi annuel avant la date limite de soumission du rapport sur l'état d'avancement du projet (GEF PIR), de manière à ce que les progrès réalisés puissent être signalés dans ce rapport. </w:t>
            </w:r>
          </w:p>
          <w:p w14:paraId="55B4DC22" w14:textId="77777777" w:rsidR="00601D9B" w:rsidRPr="000E53A0" w:rsidRDefault="000E53A0">
            <w:pPr>
              <w:numPr>
                <w:ilvl w:val="0"/>
                <w:numId w:val="18"/>
              </w:numPr>
              <w:tabs>
                <w:tab w:val="clear" w:pos="720"/>
                <w:tab w:val="num" w:pos="360"/>
              </w:tabs>
              <w:ind w:left="360"/>
              <w:rPr>
                <w:i/>
                <w:lang w:val="fr-FR"/>
              </w:rPr>
            </w:pPr>
            <w:r w:rsidRPr="000E53A0">
              <w:rPr>
                <w:i/>
                <w:lang w:val="fr-FR"/>
              </w:rPr>
              <w:t>Préparer le PIR du FEM ;</w:t>
            </w:r>
          </w:p>
          <w:p w14:paraId="166DED54" w14:textId="77777777" w:rsidR="00601D9B" w:rsidRPr="000E53A0" w:rsidRDefault="000E53A0">
            <w:pPr>
              <w:pStyle w:val="Paragraphedeliste"/>
              <w:numPr>
                <w:ilvl w:val="0"/>
                <w:numId w:val="18"/>
              </w:numPr>
              <w:tabs>
                <w:tab w:val="clear" w:pos="720"/>
                <w:tab w:val="num" w:pos="360"/>
              </w:tabs>
              <w:ind w:left="360"/>
              <w:jc w:val="both"/>
              <w:rPr>
                <w:rFonts w:ascii="Calibri" w:hAnsi="Calibri"/>
                <w:i/>
                <w:sz w:val="20"/>
                <w:szCs w:val="20"/>
                <w:lang w:val="fr-FR"/>
              </w:rPr>
            </w:pPr>
            <w:r w:rsidRPr="000E53A0">
              <w:rPr>
                <w:rFonts w:ascii="Calibri" w:hAnsi="Calibri"/>
                <w:i/>
                <w:sz w:val="20"/>
                <w:szCs w:val="20"/>
                <w:lang w:val="fr-FR"/>
              </w:rPr>
              <w:t>Évaluer les modifications majeures et mineures du projet dans le cadre des paramètres fixés par le PNUD-FEM ;</w:t>
            </w:r>
          </w:p>
          <w:p w14:paraId="1236755A" w14:textId="77777777" w:rsidR="00601D9B" w:rsidRPr="000E53A0" w:rsidRDefault="000E53A0">
            <w:pPr>
              <w:pStyle w:val="Paragraphedeliste"/>
              <w:numPr>
                <w:ilvl w:val="0"/>
                <w:numId w:val="18"/>
              </w:numPr>
              <w:tabs>
                <w:tab w:val="clear" w:pos="720"/>
                <w:tab w:val="num" w:pos="360"/>
              </w:tabs>
              <w:ind w:left="360"/>
              <w:jc w:val="both"/>
              <w:rPr>
                <w:rFonts w:asciiTheme="minorHAnsi" w:hAnsiTheme="minorHAnsi"/>
                <w:i/>
                <w:sz w:val="20"/>
                <w:szCs w:val="20"/>
                <w:lang w:val="fr-FR"/>
              </w:rPr>
            </w:pPr>
            <w:r w:rsidRPr="000E53A0">
              <w:rPr>
                <w:rFonts w:asciiTheme="minorHAnsi" w:hAnsiTheme="minorHAnsi"/>
                <w:i/>
                <w:sz w:val="20"/>
                <w:szCs w:val="20"/>
                <w:lang w:val="fr-FR"/>
              </w:rPr>
              <w:t>Surveiller les plans de mise en œuvre, y compris le plan d'action pour l'égalité des sexes, le plan d'engagement des parties prenantes et tout plan de gestion environnementale et sociale ;</w:t>
            </w:r>
          </w:p>
          <w:p w14:paraId="4E40BC43" w14:textId="77777777" w:rsidR="00601D9B" w:rsidRPr="000E53A0" w:rsidRDefault="000E53A0">
            <w:pPr>
              <w:pStyle w:val="Paragraphedeliste"/>
              <w:numPr>
                <w:ilvl w:val="0"/>
                <w:numId w:val="18"/>
              </w:numPr>
              <w:tabs>
                <w:tab w:val="clear" w:pos="720"/>
                <w:tab w:val="num" w:pos="360"/>
              </w:tabs>
              <w:ind w:left="360"/>
              <w:jc w:val="both"/>
              <w:rPr>
                <w:rFonts w:asciiTheme="minorHAnsi" w:hAnsiTheme="minorHAnsi"/>
                <w:i/>
                <w:sz w:val="20"/>
                <w:szCs w:val="20"/>
                <w:lang w:val="fr-FR"/>
              </w:rPr>
            </w:pPr>
            <w:r w:rsidRPr="000E53A0">
              <w:rPr>
                <w:rFonts w:asciiTheme="minorHAnsi" w:hAnsiTheme="minorHAnsi"/>
                <w:i/>
                <w:sz w:val="20"/>
                <w:szCs w:val="20"/>
                <w:lang w:val="fr-FR"/>
              </w:rPr>
              <w:t>Contrôler et suivre les progrès réalisés par rapport aux indicateurs de base du FEM.</w:t>
            </w:r>
          </w:p>
          <w:p w14:paraId="24832385" w14:textId="77777777" w:rsidR="00601D9B" w:rsidRPr="000E53A0" w:rsidRDefault="000E53A0">
            <w:pPr>
              <w:pStyle w:val="Paragraphedeliste"/>
              <w:numPr>
                <w:ilvl w:val="0"/>
                <w:numId w:val="18"/>
              </w:numPr>
              <w:tabs>
                <w:tab w:val="clear" w:pos="720"/>
                <w:tab w:val="num" w:pos="360"/>
              </w:tabs>
              <w:ind w:left="360"/>
              <w:jc w:val="both"/>
              <w:rPr>
                <w:rFonts w:asciiTheme="minorHAnsi" w:hAnsiTheme="minorHAnsi"/>
                <w:i/>
                <w:sz w:val="20"/>
                <w:szCs w:val="20"/>
                <w:lang w:val="fr-FR"/>
              </w:rPr>
            </w:pPr>
            <w:r w:rsidRPr="000E53A0">
              <w:rPr>
                <w:rFonts w:asciiTheme="minorHAnsi" w:hAnsiTheme="minorHAnsi"/>
                <w:i/>
                <w:sz w:val="20"/>
                <w:szCs w:val="20"/>
                <w:lang w:val="fr-FR"/>
              </w:rPr>
              <w:t>Soutenir le processus de révision à mi-parcours et d'évaluation finale.</w:t>
            </w:r>
          </w:p>
          <w:p w14:paraId="55F65C3D" w14:textId="77777777" w:rsidR="00601D9B" w:rsidRPr="000E53A0" w:rsidRDefault="000E53A0">
            <w:pPr>
              <w:pStyle w:val="Paragraphedeliste"/>
              <w:numPr>
                <w:ilvl w:val="0"/>
                <w:numId w:val="18"/>
              </w:numPr>
              <w:tabs>
                <w:tab w:val="clear" w:pos="720"/>
                <w:tab w:val="num" w:pos="360"/>
              </w:tabs>
              <w:ind w:left="360"/>
              <w:jc w:val="both"/>
              <w:rPr>
                <w:rFonts w:asciiTheme="minorHAnsi" w:hAnsiTheme="minorHAnsi"/>
                <w:i/>
                <w:sz w:val="20"/>
                <w:szCs w:val="20"/>
                <w:lang w:val="fr-FR"/>
              </w:rPr>
            </w:pPr>
            <w:r w:rsidRPr="000E53A0">
              <w:rPr>
                <w:rFonts w:asciiTheme="minorHAnsi" w:hAnsiTheme="minorHAnsi"/>
                <w:i/>
                <w:sz w:val="20"/>
                <w:szCs w:val="20"/>
                <w:lang w:val="fr-FR"/>
              </w:rPr>
              <w:t>Ajouter des tâches techniques si nécessaire</w:t>
            </w:r>
          </w:p>
          <w:p w14:paraId="673D6F78" w14:textId="77777777" w:rsidR="008414CE" w:rsidRPr="000E53A0" w:rsidRDefault="008414CE" w:rsidP="00421FD8">
            <w:pPr>
              <w:rPr>
                <w:i/>
                <w:szCs w:val="20"/>
                <w:lang w:val="fr-FR" w:eastAsia="ja-JP"/>
              </w:rPr>
            </w:pPr>
          </w:p>
        </w:tc>
      </w:tr>
      <w:tr w:rsidR="00D42863" w:rsidRPr="000E53A0" w14:paraId="4D83B177" w14:textId="77777777" w:rsidTr="00421FD8">
        <w:tc>
          <w:tcPr>
            <w:tcW w:w="1963" w:type="dxa"/>
            <w:tcBorders>
              <w:top w:val="single" w:sz="4" w:space="0" w:color="auto"/>
              <w:left w:val="single" w:sz="4" w:space="0" w:color="auto"/>
              <w:bottom w:val="single" w:sz="4" w:space="0" w:color="auto"/>
              <w:right w:val="single" w:sz="4" w:space="0" w:color="auto"/>
            </w:tcBorders>
          </w:tcPr>
          <w:p w14:paraId="4462F8E4" w14:textId="77777777" w:rsidR="00601D9B" w:rsidRDefault="000E53A0">
            <w:pPr>
              <w:rPr>
                <w:i/>
                <w:szCs w:val="20"/>
              </w:rPr>
            </w:pPr>
            <w:r w:rsidRPr="00B31E75">
              <w:rPr>
                <w:i/>
                <w:szCs w:val="20"/>
              </w:rPr>
              <w:lastRenderedPageBreak/>
              <w:t>Assistant de projet</w:t>
            </w:r>
          </w:p>
          <w:p w14:paraId="23F32C67" w14:textId="77777777" w:rsidR="00D42863" w:rsidRPr="00B31E75" w:rsidRDefault="00D42863" w:rsidP="00707864">
            <w:pPr>
              <w:rPr>
                <w:i/>
                <w:szCs w:val="20"/>
                <w:lang w:val="en-GB" w:eastAsia="ja-JP"/>
              </w:rPr>
            </w:pPr>
          </w:p>
        </w:tc>
        <w:tc>
          <w:tcPr>
            <w:tcW w:w="1440" w:type="dxa"/>
            <w:tcBorders>
              <w:top w:val="single" w:sz="4" w:space="0" w:color="auto"/>
              <w:left w:val="single" w:sz="4" w:space="0" w:color="auto"/>
              <w:bottom w:val="single" w:sz="4" w:space="0" w:color="auto"/>
              <w:right w:val="single" w:sz="4" w:space="0" w:color="auto"/>
            </w:tcBorders>
          </w:tcPr>
          <w:p w14:paraId="42FB42A2" w14:textId="77777777" w:rsidR="00D42863" w:rsidRPr="00B31E75" w:rsidRDefault="00D42863" w:rsidP="00421FD8">
            <w:pPr>
              <w:rPr>
                <w:i/>
                <w:szCs w:val="20"/>
                <w:lang w:val="en-GB" w:eastAsia="ja-JP"/>
              </w:rPr>
            </w:pPr>
          </w:p>
        </w:tc>
        <w:tc>
          <w:tcPr>
            <w:tcW w:w="10619" w:type="dxa"/>
            <w:tcBorders>
              <w:top w:val="single" w:sz="4" w:space="0" w:color="auto"/>
              <w:left w:val="single" w:sz="4" w:space="0" w:color="auto"/>
              <w:bottom w:val="single" w:sz="4" w:space="0" w:color="auto"/>
              <w:right w:val="single" w:sz="4" w:space="0" w:color="auto"/>
            </w:tcBorders>
          </w:tcPr>
          <w:p w14:paraId="3C382B2D" w14:textId="77777777" w:rsidR="00601D9B" w:rsidRPr="000E53A0" w:rsidRDefault="000E53A0">
            <w:pPr>
              <w:rPr>
                <w:rFonts w:cs="Arial"/>
                <w:i/>
                <w:noProof/>
                <w:szCs w:val="20"/>
                <w:u w:val="single"/>
                <w:lang w:val="fr-FR" w:eastAsia="zh-CN"/>
              </w:rPr>
            </w:pPr>
            <w:r w:rsidRPr="000E53A0">
              <w:rPr>
                <w:rFonts w:cs="Arial"/>
                <w:i/>
                <w:noProof/>
                <w:szCs w:val="20"/>
                <w:u w:val="single"/>
                <w:lang w:val="fr-FR" w:eastAsia="zh-CN"/>
              </w:rPr>
              <w:t>Fonctions et responsabilités</w:t>
            </w:r>
          </w:p>
          <w:p w14:paraId="51DD2D85" w14:textId="77777777" w:rsidR="00601D9B" w:rsidRPr="000E53A0" w:rsidRDefault="000E53A0">
            <w:pPr>
              <w:rPr>
                <w:i/>
                <w:szCs w:val="20"/>
                <w:lang w:val="fr-FR"/>
              </w:rPr>
            </w:pPr>
            <w:r w:rsidRPr="000E53A0">
              <w:rPr>
                <w:i/>
                <w:szCs w:val="20"/>
                <w:lang w:val="fr-FR"/>
              </w:rPr>
              <w:t>Sous la direction et la supervision du chef de projet, l'assistant de projet effectuera les tâches suivantes :</w:t>
            </w:r>
          </w:p>
          <w:p w14:paraId="2D282ECB" w14:textId="77777777" w:rsidR="00601D9B" w:rsidRPr="000E53A0" w:rsidRDefault="000E53A0">
            <w:pPr>
              <w:numPr>
                <w:ilvl w:val="0"/>
                <w:numId w:val="11"/>
              </w:numPr>
              <w:spacing w:line="256" w:lineRule="auto"/>
              <w:rPr>
                <w:i/>
                <w:szCs w:val="20"/>
                <w:lang w:val="fr-FR"/>
              </w:rPr>
            </w:pPr>
            <w:r w:rsidRPr="000E53A0">
              <w:rPr>
                <w:i/>
                <w:szCs w:val="20"/>
                <w:lang w:val="fr-FR"/>
              </w:rPr>
              <w:t>Assister le chef de projet dans la gestion quotidienne et la supervision des activités du projet ;</w:t>
            </w:r>
          </w:p>
          <w:p w14:paraId="7997F5AA" w14:textId="77777777" w:rsidR="00601D9B" w:rsidRPr="000E53A0" w:rsidRDefault="000E53A0">
            <w:pPr>
              <w:numPr>
                <w:ilvl w:val="0"/>
                <w:numId w:val="11"/>
              </w:numPr>
              <w:spacing w:line="256" w:lineRule="auto"/>
              <w:rPr>
                <w:i/>
                <w:szCs w:val="20"/>
                <w:lang w:val="fr-FR"/>
              </w:rPr>
            </w:pPr>
            <w:r w:rsidRPr="000E53A0">
              <w:rPr>
                <w:i/>
                <w:szCs w:val="20"/>
                <w:lang w:val="fr-FR"/>
              </w:rPr>
              <w:t>Assister le responsable du suivi et de l'évaluation dans les questions liées au suivi et à l'évaluation et à la gestion des ressources en connaissances ;</w:t>
            </w:r>
          </w:p>
          <w:p w14:paraId="55B86561" w14:textId="77777777" w:rsidR="00601D9B" w:rsidRPr="000E53A0" w:rsidRDefault="000E53A0">
            <w:pPr>
              <w:numPr>
                <w:ilvl w:val="0"/>
                <w:numId w:val="11"/>
              </w:numPr>
              <w:spacing w:line="256" w:lineRule="auto"/>
              <w:rPr>
                <w:i/>
                <w:szCs w:val="20"/>
                <w:lang w:val="fr-FR"/>
              </w:rPr>
            </w:pPr>
            <w:r w:rsidRPr="000E53A0">
              <w:rPr>
                <w:i/>
                <w:szCs w:val="20"/>
                <w:lang w:val="fr-FR"/>
              </w:rPr>
              <w:t>Contribuer à la préparation des rapports d'activité ;</w:t>
            </w:r>
          </w:p>
          <w:p w14:paraId="1E16265D" w14:textId="77777777" w:rsidR="00601D9B" w:rsidRPr="000E53A0" w:rsidRDefault="000E53A0">
            <w:pPr>
              <w:numPr>
                <w:ilvl w:val="0"/>
                <w:numId w:val="11"/>
              </w:numPr>
              <w:spacing w:line="256" w:lineRule="auto"/>
              <w:rPr>
                <w:i/>
                <w:szCs w:val="20"/>
                <w:lang w:val="fr-FR"/>
              </w:rPr>
            </w:pPr>
            <w:r w:rsidRPr="000E53A0">
              <w:rPr>
                <w:i/>
                <w:szCs w:val="20"/>
                <w:lang w:val="fr-FR"/>
              </w:rPr>
              <w:t>S'assurer que toute la documentation du projet (rapports d'avancement, rapports de consultants et autres rapports techniques, procès-verbaux de réunions, etc.) est correctement conservée en copies papier et électronique dans un système de classement efficace et facilement accessible, pour le cas où le BP, le TAC, le PNUD, les consultants du projet et les autres membres du personnel de PMU InterLife en auraient besoin ;</w:t>
            </w:r>
          </w:p>
          <w:p w14:paraId="52CA7562" w14:textId="77777777" w:rsidR="00601D9B" w:rsidRPr="000E53A0" w:rsidRDefault="000E53A0">
            <w:pPr>
              <w:numPr>
                <w:ilvl w:val="0"/>
                <w:numId w:val="11"/>
              </w:numPr>
              <w:spacing w:line="256" w:lineRule="auto"/>
              <w:rPr>
                <w:i/>
                <w:szCs w:val="20"/>
                <w:lang w:val="fr-FR"/>
              </w:rPr>
            </w:pPr>
            <w:r w:rsidRPr="000E53A0">
              <w:rPr>
                <w:i/>
                <w:szCs w:val="20"/>
                <w:lang w:val="fr-FR"/>
              </w:rPr>
              <w:t>Fournir une assistance administrative et logistique liée à l'UGP.</w:t>
            </w:r>
          </w:p>
          <w:p w14:paraId="3C0601E6" w14:textId="77777777" w:rsidR="00D42863" w:rsidRPr="000E53A0" w:rsidRDefault="00D42863" w:rsidP="00421FD8">
            <w:pPr>
              <w:ind w:left="360"/>
              <w:contextualSpacing/>
              <w:rPr>
                <w:rFonts w:eastAsia="MS Mincho"/>
                <w:i/>
                <w:noProof/>
                <w:szCs w:val="20"/>
                <w:lang w:val="fr-FR" w:eastAsia="ja-JP"/>
              </w:rPr>
            </w:pPr>
          </w:p>
        </w:tc>
      </w:tr>
      <w:tr w:rsidR="00E10625" w:rsidRPr="000E53A0" w14:paraId="78E9F4D4" w14:textId="77777777" w:rsidTr="00421FD8">
        <w:tc>
          <w:tcPr>
            <w:tcW w:w="1963" w:type="dxa"/>
            <w:tcBorders>
              <w:top w:val="single" w:sz="4" w:space="0" w:color="auto"/>
              <w:left w:val="single" w:sz="4" w:space="0" w:color="auto"/>
              <w:bottom w:val="single" w:sz="4" w:space="0" w:color="auto"/>
              <w:right w:val="single" w:sz="4" w:space="0" w:color="auto"/>
            </w:tcBorders>
          </w:tcPr>
          <w:p w14:paraId="503C050F" w14:textId="77777777" w:rsidR="00601D9B" w:rsidRPr="000E53A0" w:rsidRDefault="000E53A0">
            <w:pPr>
              <w:rPr>
                <w:i/>
                <w:szCs w:val="20"/>
                <w:lang w:val="fr-FR"/>
              </w:rPr>
            </w:pPr>
            <w:r w:rsidRPr="000E53A0">
              <w:rPr>
                <w:i/>
                <w:szCs w:val="20"/>
                <w:lang w:val="fr-FR"/>
              </w:rPr>
              <w:t>Comptable de projet/assistant financier/agent financier</w:t>
            </w:r>
          </w:p>
          <w:p w14:paraId="299B00B2" w14:textId="77777777" w:rsidR="00E10625" w:rsidRPr="000E53A0" w:rsidRDefault="00E10625" w:rsidP="00421FD8">
            <w:pPr>
              <w:rPr>
                <w:i/>
                <w:szCs w:val="20"/>
                <w:lang w:val="fr-FR" w:eastAsia="ja-JP"/>
              </w:rPr>
            </w:pPr>
          </w:p>
        </w:tc>
        <w:tc>
          <w:tcPr>
            <w:tcW w:w="1440" w:type="dxa"/>
            <w:tcBorders>
              <w:top w:val="single" w:sz="4" w:space="0" w:color="auto"/>
              <w:left w:val="single" w:sz="4" w:space="0" w:color="auto"/>
              <w:bottom w:val="single" w:sz="4" w:space="0" w:color="auto"/>
              <w:right w:val="single" w:sz="4" w:space="0" w:color="auto"/>
            </w:tcBorders>
          </w:tcPr>
          <w:p w14:paraId="3A7663E3" w14:textId="77777777" w:rsidR="00E10625" w:rsidRPr="000E53A0" w:rsidRDefault="00E10625" w:rsidP="00421FD8">
            <w:pPr>
              <w:rPr>
                <w:i/>
                <w:szCs w:val="20"/>
                <w:lang w:val="fr-FR" w:eastAsia="ja-JP"/>
              </w:rPr>
            </w:pPr>
          </w:p>
        </w:tc>
        <w:tc>
          <w:tcPr>
            <w:tcW w:w="10619" w:type="dxa"/>
            <w:tcBorders>
              <w:top w:val="single" w:sz="4" w:space="0" w:color="auto"/>
              <w:left w:val="single" w:sz="4" w:space="0" w:color="auto"/>
              <w:bottom w:val="single" w:sz="4" w:space="0" w:color="auto"/>
              <w:right w:val="single" w:sz="4" w:space="0" w:color="auto"/>
            </w:tcBorders>
          </w:tcPr>
          <w:p w14:paraId="6AE2D048" w14:textId="77777777" w:rsidR="00601D9B" w:rsidRDefault="000E53A0">
            <w:pPr>
              <w:rPr>
                <w:rFonts w:cs="Arial"/>
                <w:i/>
                <w:noProof/>
                <w:szCs w:val="20"/>
                <w:u w:val="single"/>
                <w:lang w:eastAsia="zh-CN"/>
              </w:rPr>
            </w:pPr>
            <w:r w:rsidRPr="00B31E75">
              <w:rPr>
                <w:rFonts w:cs="Arial"/>
                <w:i/>
                <w:noProof/>
                <w:szCs w:val="20"/>
                <w:u w:val="single"/>
                <w:lang w:eastAsia="zh-CN"/>
              </w:rPr>
              <w:t>Fonctions et responsabilités</w:t>
            </w:r>
          </w:p>
          <w:p w14:paraId="1A5D4BAD" w14:textId="77777777" w:rsidR="00601D9B" w:rsidRPr="000E53A0" w:rsidRDefault="000E53A0">
            <w:pPr>
              <w:numPr>
                <w:ilvl w:val="0"/>
                <w:numId w:val="12"/>
              </w:numPr>
              <w:spacing w:line="256" w:lineRule="auto"/>
              <w:rPr>
                <w:i/>
                <w:szCs w:val="20"/>
                <w:lang w:val="fr-FR"/>
              </w:rPr>
            </w:pPr>
            <w:r w:rsidRPr="000E53A0">
              <w:rPr>
                <w:i/>
                <w:szCs w:val="20"/>
                <w:lang w:val="fr-FR"/>
              </w:rPr>
              <w:t>Tenir des registres des fonds et des dépenses du projet, et s'assurer que tous les documents financiers liés au projet sont bien tenus et facilement disponibles lorsque le gestionnaire de projet le demande ;</w:t>
            </w:r>
          </w:p>
          <w:p w14:paraId="082CE685" w14:textId="77777777" w:rsidR="00601D9B" w:rsidRPr="000E53A0" w:rsidRDefault="000E53A0">
            <w:pPr>
              <w:numPr>
                <w:ilvl w:val="0"/>
                <w:numId w:val="12"/>
              </w:numPr>
              <w:spacing w:line="256" w:lineRule="auto"/>
              <w:rPr>
                <w:i/>
                <w:szCs w:val="20"/>
                <w:lang w:val="fr-FR"/>
              </w:rPr>
            </w:pPr>
            <w:r w:rsidRPr="000E53A0">
              <w:rPr>
                <w:i/>
                <w:szCs w:val="20"/>
                <w:lang w:val="fr-FR"/>
              </w:rPr>
              <w:t>Examiner les dépenses du projet et s'assurer que les fonds du projet sont utilisés en conformité avec le document de projet et les règles et procédures financières du GdI ;</w:t>
            </w:r>
          </w:p>
          <w:p w14:paraId="3D943869" w14:textId="77777777" w:rsidR="00601D9B" w:rsidRPr="000E53A0" w:rsidRDefault="000E53A0">
            <w:pPr>
              <w:numPr>
                <w:ilvl w:val="0"/>
                <w:numId w:val="12"/>
              </w:numPr>
              <w:spacing w:line="256" w:lineRule="auto"/>
              <w:rPr>
                <w:i/>
                <w:szCs w:val="20"/>
                <w:lang w:val="fr-FR"/>
              </w:rPr>
            </w:pPr>
            <w:r w:rsidRPr="000E53A0">
              <w:rPr>
                <w:i/>
                <w:szCs w:val="20"/>
                <w:lang w:val="fr-FR"/>
              </w:rPr>
              <w:t>Valider et certifier les formulaires FACE avant de les soumettre au PNUD ;</w:t>
            </w:r>
          </w:p>
          <w:p w14:paraId="7A44E18B" w14:textId="77777777" w:rsidR="00601D9B" w:rsidRPr="000E53A0" w:rsidRDefault="000E53A0">
            <w:pPr>
              <w:numPr>
                <w:ilvl w:val="0"/>
                <w:numId w:val="12"/>
              </w:numPr>
              <w:spacing w:line="256" w:lineRule="auto"/>
              <w:rPr>
                <w:i/>
                <w:szCs w:val="20"/>
                <w:lang w:val="fr-FR"/>
              </w:rPr>
            </w:pPr>
            <w:r w:rsidRPr="000E53A0">
              <w:rPr>
                <w:i/>
                <w:szCs w:val="20"/>
                <w:lang w:val="fr-FR"/>
              </w:rPr>
              <w:lastRenderedPageBreak/>
              <w:t>Fournir les informations financières nécessaires, selon les besoins, pour les décisions de gestion du projet ;</w:t>
            </w:r>
          </w:p>
          <w:p w14:paraId="3F8D83B0" w14:textId="77777777" w:rsidR="00601D9B" w:rsidRPr="000E53A0" w:rsidRDefault="000E53A0">
            <w:pPr>
              <w:numPr>
                <w:ilvl w:val="0"/>
                <w:numId w:val="12"/>
              </w:numPr>
              <w:spacing w:line="256" w:lineRule="auto"/>
              <w:rPr>
                <w:i/>
                <w:szCs w:val="20"/>
                <w:lang w:val="fr-FR"/>
              </w:rPr>
            </w:pPr>
            <w:r w:rsidRPr="000E53A0">
              <w:rPr>
                <w:i/>
                <w:szCs w:val="20"/>
                <w:lang w:val="fr-FR"/>
              </w:rPr>
              <w:t>Fournir les informations financières nécessaires lors du ou des audits du projet ;</w:t>
            </w:r>
          </w:p>
          <w:p w14:paraId="3301C9E2" w14:textId="77777777" w:rsidR="00601D9B" w:rsidRPr="000E53A0" w:rsidRDefault="000E53A0">
            <w:pPr>
              <w:numPr>
                <w:ilvl w:val="0"/>
                <w:numId w:val="12"/>
              </w:numPr>
              <w:spacing w:line="256" w:lineRule="auto"/>
              <w:rPr>
                <w:i/>
                <w:szCs w:val="20"/>
                <w:lang w:val="fr-FR"/>
              </w:rPr>
            </w:pPr>
            <w:r w:rsidRPr="000E53A0">
              <w:rPr>
                <w:i/>
                <w:szCs w:val="20"/>
                <w:lang w:val="fr-FR"/>
              </w:rPr>
              <w:t>Examiner les budgets annuels et les rapports de dépenses des projets, et informer le chef de projet en cas de divergence ou de problème ;</w:t>
            </w:r>
          </w:p>
          <w:p w14:paraId="66AABFDC" w14:textId="77777777" w:rsidR="00601D9B" w:rsidRPr="000E53A0" w:rsidRDefault="000E53A0">
            <w:pPr>
              <w:numPr>
                <w:ilvl w:val="0"/>
                <w:numId w:val="12"/>
              </w:numPr>
              <w:spacing w:line="256" w:lineRule="auto"/>
              <w:rPr>
                <w:i/>
                <w:szCs w:val="20"/>
                <w:lang w:val="fr-FR"/>
              </w:rPr>
            </w:pPr>
            <w:r w:rsidRPr="000E53A0">
              <w:rPr>
                <w:i/>
                <w:szCs w:val="20"/>
                <w:lang w:val="fr-FR"/>
              </w:rPr>
              <w:t>Consolider les rapports d'avancement financier soumis par les parties responsables de la mise en œuvre des activités du projet ;</w:t>
            </w:r>
          </w:p>
          <w:p w14:paraId="3F8F562E" w14:textId="77777777" w:rsidR="00601D9B" w:rsidRPr="000E53A0" w:rsidRDefault="000E53A0">
            <w:pPr>
              <w:numPr>
                <w:ilvl w:val="0"/>
                <w:numId w:val="12"/>
              </w:numPr>
              <w:spacing w:line="256" w:lineRule="auto"/>
              <w:rPr>
                <w:i/>
                <w:szCs w:val="20"/>
                <w:lang w:val="fr-FR"/>
              </w:rPr>
            </w:pPr>
            <w:r w:rsidRPr="000E53A0">
              <w:rPr>
                <w:i/>
                <w:szCs w:val="20"/>
                <w:lang w:val="fr-FR"/>
              </w:rPr>
              <w:t xml:space="preserve">Assurer la liaison et le suivi avec les parties responsables de la mise en œuvre des activités du projet pour les questions liées aux fonds du projet et aux rapports d'avancement financier. </w:t>
            </w:r>
          </w:p>
        </w:tc>
      </w:tr>
      <w:tr w:rsidR="00D42863" w:rsidRPr="000E53A0" w14:paraId="54DE55EB" w14:textId="77777777" w:rsidTr="00421FD8">
        <w:trPr>
          <w:trHeight w:val="431"/>
        </w:trPr>
        <w:tc>
          <w:tcPr>
            <w:tcW w:w="14022" w:type="dxa"/>
            <w:gridSpan w:val="3"/>
            <w:tcBorders>
              <w:top w:val="single" w:sz="4" w:space="0" w:color="auto"/>
              <w:left w:val="single" w:sz="4" w:space="0" w:color="auto"/>
              <w:bottom w:val="single" w:sz="4" w:space="0" w:color="auto"/>
              <w:right w:val="single" w:sz="4" w:space="0" w:color="auto"/>
            </w:tcBorders>
            <w:shd w:val="clear" w:color="auto" w:fill="DAEEF3"/>
            <w:hideMark/>
          </w:tcPr>
          <w:p w14:paraId="42626C37" w14:textId="77777777" w:rsidR="00601D9B" w:rsidRPr="000E53A0" w:rsidRDefault="000E53A0">
            <w:pPr>
              <w:rPr>
                <w:b/>
                <w:i/>
                <w:szCs w:val="20"/>
                <w:lang w:val="fr-FR" w:eastAsia="ja-JP"/>
              </w:rPr>
            </w:pPr>
            <w:r w:rsidRPr="000E53A0">
              <w:rPr>
                <w:b/>
                <w:i/>
                <w:szCs w:val="20"/>
                <w:lang w:val="fr-FR" w:eastAsia="ja-JP"/>
              </w:rPr>
              <w:lastRenderedPageBreak/>
              <w:t>Contrats internationaux / régionaux et mondiaux</w:t>
            </w:r>
          </w:p>
        </w:tc>
      </w:tr>
      <w:tr w:rsidR="00D42863" w:rsidRPr="000E53A0" w14:paraId="2A6AA959" w14:textId="77777777" w:rsidTr="00421FD8">
        <w:trPr>
          <w:trHeight w:val="1128"/>
        </w:trPr>
        <w:tc>
          <w:tcPr>
            <w:tcW w:w="1963" w:type="dxa"/>
            <w:tcBorders>
              <w:top w:val="single" w:sz="4" w:space="0" w:color="auto"/>
              <w:left w:val="single" w:sz="4" w:space="0" w:color="auto"/>
              <w:bottom w:val="single" w:sz="4" w:space="0" w:color="auto"/>
              <w:right w:val="single" w:sz="4" w:space="0" w:color="auto"/>
            </w:tcBorders>
          </w:tcPr>
          <w:p w14:paraId="7092ED56" w14:textId="77777777" w:rsidR="00D42863" w:rsidRPr="000E53A0" w:rsidRDefault="00D42863" w:rsidP="00421FD8">
            <w:pPr>
              <w:rPr>
                <w:i/>
                <w:szCs w:val="20"/>
                <w:lang w:val="fr-FR" w:eastAsia="ja-JP"/>
              </w:rPr>
            </w:pPr>
          </w:p>
        </w:tc>
        <w:tc>
          <w:tcPr>
            <w:tcW w:w="1440" w:type="dxa"/>
            <w:tcBorders>
              <w:top w:val="single" w:sz="4" w:space="0" w:color="auto"/>
              <w:left w:val="single" w:sz="4" w:space="0" w:color="auto"/>
              <w:bottom w:val="single" w:sz="4" w:space="0" w:color="auto"/>
              <w:right w:val="single" w:sz="4" w:space="0" w:color="auto"/>
            </w:tcBorders>
          </w:tcPr>
          <w:p w14:paraId="4FA7FBB2" w14:textId="77777777" w:rsidR="00D42863" w:rsidRPr="000E53A0" w:rsidRDefault="00D42863" w:rsidP="00421FD8">
            <w:pPr>
              <w:rPr>
                <w:i/>
                <w:szCs w:val="20"/>
                <w:lang w:val="fr-FR" w:eastAsia="ja-JP"/>
              </w:rPr>
            </w:pPr>
          </w:p>
        </w:tc>
        <w:tc>
          <w:tcPr>
            <w:tcW w:w="10619" w:type="dxa"/>
            <w:tcBorders>
              <w:top w:val="single" w:sz="4" w:space="0" w:color="auto"/>
              <w:left w:val="single" w:sz="4" w:space="0" w:color="auto"/>
              <w:bottom w:val="single" w:sz="4" w:space="0" w:color="auto"/>
              <w:right w:val="single" w:sz="4" w:space="0" w:color="auto"/>
            </w:tcBorders>
          </w:tcPr>
          <w:p w14:paraId="7A6FB473" w14:textId="77777777" w:rsidR="00D42863" w:rsidRPr="000E53A0" w:rsidRDefault="00D42863" w:rsidP="00421FD8">
            <w:pPr>
              <w:rPr>
                <w:i/>
                <w:szCs w:val="20"/>
                <w:lang w:val="fr-FR" w:eastAsia="ja-JP"/>
              </w:rPr>
            </w:pPr>
          </w:p>
        </w:tc>
      </w:tr>
      <w:tr w:rsidR="00D42863" w:rsidRPr="007B1761" w14:paraId="774F2C47" w14:textId="77777777" w:rsidTr="00421FD8">
        <w:tc>
          <w:tcPr>
            <w:tcW w:w="14022" w:type="dxa"/>
            <w:gridSpan w:val="3"/>
            <w:tcBorders>
              <w:top w:val="single" w:sz="4" w:space="0" w:color="auto"/>
              <w:left w:val="single" w:sz="4" w:space="0" w:color="auto"/>
              <w:bottom w:val="single" w:sz="4" w:space="0" w:color="auto"/>
              <w:right w:val="single" w:sz="4" w:space="0" w:color="auto"/>
            </w:tcBorders>
            <w:shd w:val="clear" w:color="auto" w:fill="DAEEF3"/>
            <w:hideMark/>
          </w:tcPr>
          <w:p w14:paraId="58EF81B0" w14:textId="77777777" w:rsidR="00601D9B" w:rsidRDefault="000E53A0">
            <w:pPr>
              <w:jc w:val="center"/>
              <w:rPr>
                <w:i/>
                <w:szCs w:val="20"/>
                <w:lang w:val="en-GB" w:eastAsia="ja-JP"/>
              </w:rPr>
            </w:pPr>
            <w:r w:rsidRPr="007B1761">
              <w:rPr>
                <w:b/>
                <w:i/>
                <w:szCs w:val="20"/>
                <w:lang w:eastAsia="ja-JP"/>
              </w:rPr>
              <w:t>Pour l'assistance technique</w:t>
            </w:r>
          </w:p>
        </w:tc>
      </w:tr>
      <w:tr w:rsidR="00D42863" w:rsidRPr="007B1761" w14:paraId="692810D0" w14:textId="77777777" w:rsidTr="00421FD8">
        <w:tc>
          <w:tcPr>
            <w:tcW w:w="14022" w:type="dxa"/>
            <w:gridSpan w:val="3"/>
            <w:tcBorders>
              <w:top w:val="single" w:sz="4" w:space="0" w:color="auto"/>
              <w:left w:val="single" w:sz="4" w:space="0" w:color="auto"/>
              <w:bottom w:val="single" w:sz="4" w:space="0" w:color="auto"/>
              <w:right w:val="single" w:sz="4" w:space="0" w:color="auto"/>
            </w:tcBorders>
            <w:shd w:val="clear" w:color="auto" w:fill="DAEEF3"/>
            <w:hideMark/>
          </w:tcPr>
          <w:p w14:paraId="33629CD9" w14:textId="77777777" w:rsidR="00601D9B" w:rsidRDefault="000E53A0">
            <w:pPr>
              <w:jc w:val="center"/>
              <w:rPr>
                <w:b/>
                <w:i/>
                <w:szCs w:val="20"/>
                <w:lang w:eastAsia="ja-JP"/>
              </w:rPr>
            </w:pPr>
            <w:r w:rsidRPr="007B1761">
              <w:rPr>
                <w:b/>
                <w:i/>
                <w:szCs w:val="20"/>
                <w:lang w:eastAsia="ja-JP"/>
              </w:rPr>
              <w:t>Résultat 1</w:t>
            </w:r>
          </w:p>
        </w:tc>
      </w:tr>
      <w:tr w:rsidR="00D42863" w:rsidRPr="007B1761" w14:paraId="1B07D4F5" w14:textId="77777777" w:rsidTr="00421FD8">
        <w:tc>
          <w:tcPr>
            <w:tcW w:w="14022" w:type="dxa"/>
            <w:gridSpan w:val="3"/>
            <w:tcBorders>
              <w:top w:val="single" w:sz="4" w:space="0" w:color="auto"/>
              <w:left w:val="single" w:sz="4" w:space="0" w:color="auto"/>
              <w:bottom w:val="single" w:sz="4" w:space="0" w:color="auto"/>
              <w:right w:val="single" w:sz="4" w:space="0" w:color="auto"/>
            </w:tcBorders>
            <w:shd w:val="clear" w:color="auto" w:fill="DAEEF3"/>
            <w:hideMark/>
          </w:tcPr>
          <w:p w14:paraId="4119EF8D" w14:textId="77777777" w:rsidR="00601D9B" w:rsidRDefault="000E53A0">
            <w:pPr>
              <w:rPr>
                <w:b/>
                <w:i/>
                <w:szCs w:val="20"/>
                <w:lang w:eastAsia="ja-JP"/>
              </w:rPr>
            </w:pPr>
            <w:r w:rsidRPr="007B1761">
              <w:rPr>
                <w:b/>
                <w:i/>
                <w:szCs w:val="20"/>
                <w:lang w:val="en-GB" w:eastAsia="ja-JP"/>
              </w:rPr>
              <w:t>Contrats locaux / nationaux</w:t>
            </w:r>
          </w:p>
        </w:tc>
      </w:tr>
      <w:tr w:rsidR="00D42863" w:rsidRPr="000E53A0" w14:paraId="5079AC24" w14:textId="77777777" w:rsidTr="00421FD8">
        <w:tc>
          <w:tcPr>
            <w:tcW w:w="1963" w:type="dxa"/>
            <w:tcBorders>
              <w:top w:val="single" w:sz="4" w:space="0" w:color="auto"/>
              <w:left w:val="single" w:sz="4" w:space="0" w:color="auto"/>
              <w:bottom w:val="single" w:sz="4" w:space="0" w:color="auto"/>
              <w:right w:val="single" w:sz="4" w:space="0" w:color="auto"/>
            </w:tcBorders>
          </w:tcPr>
          <w:p w14:paraId="16818197" w14:textId="77777777" w:rsidR="00601D9B" w:rsidRPr="000E53A0" w:rsidRDefault="000E53A0">
            <w:pPr>
              <w:rPr>
                <w:i/>
                <w:szCs w:val="20"/>
                <w:lang w:val="fr-FR" w:eastAsia="ja-JP"/>
              </w:rPr>
            </w:pPr>
            <w:r w:rsidRPr="000E53A0">
              <w:rPr>
                <w:i/>
                <w:szCs w:val="20"/>
                <w:lang w:val="fr-FR" w:eastAsia="ja-JP"/>
              </w:rPr>
              <w:t>Spécialiste national du développement des capacités en matière d'aires protégées</w:t>
            </w:r>
          </w:p>
          <w:p w14:paraId="01553562" w14:textId="77777777" w:rsidR="00D42863" w:rsidRPr="000E53A0" w:rsidRDefault="00D42863" w:rsidP="00421FD8">
            <w:pPr>
              <w:rPr>
                <w:i/>
                <w:szCs w:val="20"/>
                <w:lang w:val="fr-FR" w:eastAsia="ja-JP"/>
              </w:rPr>
            </w:pPr>
          </w:p>
          <w:p w14:paraId="3CED9491" w14:textId="77777777" w:rsidR="00601D9B" w:rsidRDefault="000E53A0">
            <w:pPr>
              <w:rPr>
                <w:i/>
                <w:szCs w:val="20"/>
                <w:lang w:val="en-GB" w:eastAsia="ja-JP"/>
              </w:rPr>
            </w:pPr>
            <w:r w:rsidRPr="000E53A0">
              <w:rPr>
                <w:i/>
                <w:szCs w:val="20"/>
                <w:lang w:val="fr-FR" w:eastAsia="ja-JP"/>
              </w:rPr>
              <w:t xml:space="preserve"> </w:t>
            </w:r>
            <w:r w:rsidRPr="007B1761">
              <w:rPr>
                <w:i/>
                <w:szCs w:val="20"/>
                <w:lang w:val="en-GB" w:eastAsia="ja-JP"/>
              </w:rPr>
              <w:t>Tarif : 300 $/semaine</w:t>
            </w:r>
          </w:p>
        </w:tc>
        <w:tc>
          <w:tcPr>
            <w:tcW w:w="1440" w:type="dxa"/>
            <w:tcBorders>
              <w:top w:val="single" w:sz="4" w:space="0" w:color="auto"/>
              <w:left w:val="single" w:sz="4" w:space="0" w:color="auto"/>
              <w:bottom w:val="single" w:sz="4" w:space="0" w:color="auto"/>
              <w:right w:val="single" w:sz="4" w:space="0" w:color="auto"/>
            </w:tcBorders>
            <w:hideMark/>
          </w:tcPr>
          <w:p w14:paraId="01695FB7" w14:textId="77777777" w:rsidR="00601D9B" w:rsidRDefault="000E53A0">
            <w:pPr>
              <w:rPr>
                <w:i/>
                <w:szCs w:val="20"/>
                <w:lang w:val="en-GB" w:eastAsia="ja-JP"/>
              </w:rPr>
            </w:pPr>
            <w:r w:rsidRPr="007B1761">
              <w:rPr>
                <w:i/>
                <w:szCs w:val="20"/>
                <w:lang w:val="en-GB" w:eastAsia="ja-JP"/>
              </w:rPr>
              <w:t>80 semaines / plus de 5 ans</w:t>
            </w:r>
          </w:p>
        </w:tc>
        <w:tc>
          <w:tcPr>
            <w:tcW w:w="10619" w:type="dxa"/>
            <w:tcBorders>
              <w:top w:val="single" w:sz="4" w:space="0" w:color="auto"/>
              <w:left w:val="single" w:sz="4" w:space="0" w:color="auto"/>
              <w:bottom w:val="single" w:sz="4" w:space="0" w:color="auto"/>
              <w:right w:val="single" w:sz="4" w:space="0" w:color="auto"/>
            </w:tcBorders>
          </w:tcPr>
          <w:p w14:paraId="428990AD" w14:textId="77777777" w:rsidR="00601D9B" w:rsidRPr="000E53A0" w:rsidRDefault="000E53A0">
            <w:pPr>
              <w:rPr>
                <w:i/>
                <w:szCs w:val="20"/>
                <w:lang w:val="fr-FR" w:eastAsia="ja-JP"/>
              </w:rPr>
            </w:pPr>
            <w:r w:rsidRPr="000E53A0">
              <w:rPr>
                <w:i/>
                <w:szCs w:val="20"/>
                <w:lang w:val="fr-FR" w:eastAsia="ja-JP"/>
              </w:rPr>
              <w:t xml:space="preserve">Sous la supervision étroite du conseiller technique </w:t>
            </w:r>
            <w:r w:rsidR="0061631C" w:rsidRPr="000E53A0">
              <w:rPr>
                <w:i/>
                <w:szCs w:val="20"/>
                <w:lang w:val="fr-FR" w:eastAsia="ja-JP"/>
              </w:rPr>
              <w:t xml:space="preserve">principal </w:t>
            </w:r>
            <w:r w:rsidRPr="000E53A0">
              <w:rPr>
                <w:i/>
                <w:szCs w:val="20"/>
                <w:lang w:val="fr-FR" w:eastAsia="ja-JP"/>
              </w:rPr>
              <w:t>et du gestionnaire de projet (PM), le spécialiste du développement des capacités en matière d'aires protégées (PACDS) travaillera en étroite collaboration avec le conseiller en développement des capacités en matière d'aires protégées (PACDA) pour mener à bien le renforcement des capacités en matière d'aires protégées liées au projet dans le cadre des résultats 1.2 et 1.3 et soutenir un groupe de travail pour l'amélioration du renforcement des capacités en matière d'aires protégées et travailler avec ce groupe pour :</w:t>
            </w:r>
          </w:p>
          <w:p w14:paraId="3280023C" w14:textId="77777777" w:rsidR="00D42863" w:rsidRPr="000E53A0" w:rsidRDefault="00D42863" w:rsidP="00421FD8">
            <w:pPr>
              <w:rPr>
                <w:i/>
                <w:szCs w:val="20"/>
                <w:lang w:val="fr-FR" w:eastAsia="ja-JP"/>
              </w:rPr>
            </w:pPr>
          </w:p>
          <w:p w14:paraId="73E27E60" w14:textId="77777777" w:rsidR="00601D9B" w:rsidRPr="000E53A0" w:rsidRDefault="000E53A0">
            <w:pPr>
              <w:numPr>
                <w:ilvl w:val="0"/>
                <w:numId w:val="8"/>
              </w:numPr>
              <w:contextualSpacing/>
              <w:rPr>
                <w:rFonts w:eastAsia="MS Mincho"/>
                <w:i/>
                <w:noProof/>
                <w:szCs w:val="20"/>
                <w:lang w:val="fr-FR" w:eastAsia="ja-JP"/>
              </w:rPr>
            </w:pPr>
            <w:r w:rsidRPr="000E53A0">
              <w:rPr>
                <w:rFonts w:eastAsia="MS Mincho"/>
                <w:i/>
                <w:noProof/>
                <w:szCs w:val="20"/>
                <w:lang w:val="fr-FR" w:eastAsia="ja-JP"/>
              </w:rPr>
              <w:t>Contribuer à l'élaboration d'une stratégie de développement des capacités et d'un plan d'action visant à accroître l'efficacité de la gestion du système d'aires protégées.</w:t>
            </w:r>
          </w:p>
          <w:p w14:paraId="53172D1F" w14:textId="77777777" w:rsidR="00601D9B" w:rsidRPr="000E53A0" w:rsidRDefault="000E53A0">
            <w:pPr>
              <w:numPr>
                <w:ilvl w:val="0"/>
                <w:numId w:val="8"/>
              </w:numPr>
              <w:contextualSpacing/>
              <w:rPr>
                <w:rFonts w:eastAsia="MS Mincho"/>
                <w:i/>
                <w:noProof/>
                <w:szCs w:val="20"/>
                <w:lang w:val="fr-FR" w:eastAsia="ja-JP"/>
              </w:rPr>
            </w:pPr>
            <w:r w:rsidRPr="000E53A0">
              <w:rPr>
                <w:rFonts w:eastAsia="MS Mincho"/>
                <w:i/>
                <w:noProof/>
                <w:szCs w:val="20"/>
                <w:lang w:val="fr-FR" w:eastAsia="ja-JP"/>
              </w:rPr>
              <w:t>Coordonner la mise en place de normes de gestion des AP et d'un système de suivi des performances des AP et des individus pour les différentes catégories d'AP.</w:t>
            </w:r>
          </w:p>
          <w:p w14:paraId="3B2AEF08" w14:textId="77777777" w:rsidR="00601D9B" w:rsidRPr="000E53A0" w:rsidRDefault="000E53A0">
            <w:pPr>
              <w:numPr>
                <w:ilvl w:val="0"/>
                <w:numId w:val="8"/>
              </w:numPr>
              <w:contextualSpacing/>
              <w:rPr>
                <w:rFonts w:eastAsia="MS Mincho"/>
                <w:i/>
                <w:noProof/>
                <w:szCs w:val="20"/>
                <w:lang w:val="fr-FR" w:eastAsia="ja-JP"/>
              </w:rPr>
            </w:pPr>
            <w:r w:rsidRPr="000E53A0">
              <w:rPr>
                <w:rFonts w:eastAsia="MS Mincho"/>
                <w:i/>
                <w:noProof/>
                <w:szCs w:val="20"/>
                <w:lang w:val="fr-FR" w:eastAsia="ja-JP"/>
              </w:rPr>
              <w:t xml:space="preserve">Contribuer au développement d'un programme de formation pour améliorer les compétences focales </w:t>
            </w:r>
            <w:r w:rsidRPr="000E53A0">
              <w:rPr>
                <w:rFonts w:eastAsia="MS Mincho"/>
                <w:i/>
                <w:noProof/>
                <w:szCs w:val="20"/>
                <w:lang w:val="fr-FR" w:eastAsia="ja-JP"/>
              </w:rPr>
              <w:lastRenderedPageBreak/>
              <w:t>des gestionnaires et des praticiens des aires protégées de niveau supérieur et intermédiaire.</w:t>
            </w:r>
          </w:p>
          <w:p w14:paraId="7920C78A" w14:textId="77777777" w:rsidR="00601D9B" w:rsidRPr="000E53A0" w:rsidRDefault="000E53A0">
            <w:pPr>
              <w:numPr>
                <w:ilvl w:val="0"/>
                <w:numId w:val="8"/>
              </w:numPr>
              <w:contextualSpacing/>
              <w:rPr>
                <w:rFonts w:eastAsia="MS Mincho"/>
                <w:i/>
                <w:noProof/>
                <w:szCs w:val="20"/>
                <w:lang w:val="fr-FR" w:eastAsia="ja-JP"/>
              </w:rPr>
            </w:pPr>
            <w:r w:rsidRPr="000E53A0">
              <w:rPr>
                <w:rFonts w:eastAsia="MS Mincho"/>
                <w:i/>
                <w:noProof/>
                <w:szCs w:val="20"/>
                <w:lang w:val="fr-FR" w:eastAsia="ja-JP"/>
              </w:rPr>
              <w:t>Contribuer à l'identification de mécanismes d'incitation pour accroître la motivation du personnel de terrain.</w:t>
            </w:r>
          </w:p>
          <w:p w14:paraId="7993FDD4" w14:textId="77777777" w:rsidR="00601D9B" w:rsidRPr="000E53A0" w:rsidRDefault="000E53A0">
            <w:pPr>
              <w:numPr>
                <w:ilvl w:val="0"/>
                <w:numId w:val="8"/>
              </w:numPr>
              <w:contextualSpacing/>
              <w:rPr>
                <w:rFonts w:eastAsia="MS Mincho"/>
                <w:i/>
                <w:noProof/>
                <w:szCs w:val="20"/>
                <w:lang w:val="fr-FR" w:eastAsia="ja-JP"/>
              </w:rPr>
            </w:pPr>
            <w:r w:rsidRPr="000E53A0">
              <w:rPr>
                <w:rFonts w:eastAsia="MS Mincho"/>
                <w:i/>
                <w:noProof/>
                <w:szCs w:val="20"/>
                <w:lang w:val="fr-FR" w:eastAsia="ja-JP"/>
              </w:rPr>
              <w:t>Contribuer au développement et à l'institutionnalisation d'une structure et de méthodes de reporting modernisées.</w:t>
            </w:r>
          </w:p>
          <w:p w14:paraId="3D7DA23B" w14:textId="77777777" w:rsidR="00601D9B" w:rsidRPr="000E53A0" w:rsidRDefault="000E53A0">
            <w:pPr>
              <w:numPr>
                <w:ilvl w:val="0"/>
                <w:numId w:val="8"/>
              </w:numPr>
              <w:contextualSpacing/>
              <w:rPr>
                <w:rFonts w:eastAsia="MS Mincho"/>
                <w:i/>
                <w:noProof/>
                <w:szCs w:val="20"/>
                <w:lang w:val="fr-FR" w:eastAsia="ja-JP"/>
              </w:rPr>
            </w:pPr>
            <w:r w:rsidRPr="000E53A0">
              <w:rPr>
                <w:rFonts w:eastAsia="MS Mincho"/>
                <w:i/>
                <w:noProof/>
                <w:szCs w:val="20"/>
                <w:lang w:val="fr-FR" w:eastAsia="ja-JP"/>
              </w:rPr>
              <w:t>Contribuer à l'élaboration de protocoles d'application de la loi et de surveillance des habitats/biodiversité.</w:t>
            </w:r>
          </w:p>
          <w:p w14:paraId="17C580C9" w14:textId="77777777" w:rsidR="00601D9B" w:rsidRPr="000E53A0" w:rsidRDefault="000E53A0">
            <w:pPr>
              <w:numPr>
                <w:ilvl w:val="0"/>
                <w:numId w:val="8"/>
              </w:numPr>
              <w:contextualSpacing/>
              <w:rPr>
                <w:rFonts w:eastAsia="MS Mincho"/>
                <w:i/>
                <w:noProof/>
                <w:szCs w:val="20"/>
                <w:lang w:val="fr-FR" w:eastAsia="ja-JP"/>
              </w:rPr>
            </w:pPr>
            <w:r w:rsidRPr="000E53A0">
              <w:rPr>
                <w:rFonts w:eastAsia="MS Mincho"/>
                <w:i/>
                <w:noProof/>
                <w:szCs w:val="20"/>
                <w:lang w:val="fr-FR" w:eastAsia="ja-JP"/>
              </w:rPr>
              <w:t>Coordonner le développement et l'institutionnalisation d'un système d'information et de gestion des connaissances sur l'AP permettant de tirer des enseignements des activités des projets pilotes/individuels et de les étendre.</w:t>
            </w:r>
          </w:p>
          <w:p w14:paraId="0EEA6036" w14:textId="77777777" w:rsidR="00601D9B" w:rsidRPr="000E53A0" w:rsidRDefault="000E53A0">
            <w:pPr>
              <w:numPr>
                <w:ilvl w:val="0"/>
                <w:numId w:val="8"/>
              </w:numPr>
              <w:contextualSpacing/>
              <w:rPr>
                <w:rFonts w:eastAsia="MS Mincho"/>
                <w:i/>
                <w:noProof/>
                <w:szCs w:val="20"/>
                <w:lang w:val="fr-FR" w:eastAsia="ja-JP"/>
              </w:rPr>
            </w:pPr>
            <w:r w:rsidRPr="000E53A0">
              <w:rPr>
                <w:rFonts w:eastAsia="MS Mincho"/>
                <w:i/>
                <w:noProof/>
                <w:szCs w:val="20"/>
                <w:lang w:val="fr-FR" w:eastAsia="ja-JP"/>
              </w:rPr>
              <w:t>Coordonner l'élaboration de directives officielles pour l'engagement communautaire et la cogestion.</w:t>
            </w:r>
          </w:p>
        </w:tc>
      </w:tr>
      <w:tr w:rsidR="00B62841" w:rsidRPr="000E53A0" w14:paraId="7F6E652F" w14:textId="77777777" w:rsidTr="00763EFB">
        <w:tc>
          <w:tcPr>
            <w:tcW w:w="14022" w:type="dxa"/>
            <w:gridSpan w:val="3"/>
            <w:tcBorders>
              <w:top w:val="single" w:sz="4" w:space="0" w:color="auto"/>
              <w:left w:val="single" w:sz="4" w:space="0" w:color="auto"/>
              <w:bottom w:val="single" w:sz="4" w:space="0" w:color="auto"/>
              <w:right w:val="single" w:sz="4" w:space="0" w:color="auto"/>
            </w:tcBorders>
            <w:shd w:val="clear" w:color="auto" w:fill="DAEEF3"/>
            <w:hideMark/>
          </w:tcPr>
          <w:p w14:paraId="66CDC794" w14:textId="77777777" w:rsidR="00601D9B" w:rsidRPr="000E53A0" w:rsidRDefault="000E53A0">
            <w:pPr>
              <w:jc w:val="center"/>
              <w:rPr>
                <w:b/>
                <w:i/>
                <w:szCs w:val="20"/>
                <w:lang w:val="fr-FR" w:eastAsia="ja-JP"/>
              </w:rPr>
            </w:pPr>
            <w:r w:rsidRPr="000E53A0">
              <w:rPr>
                <w:b/>
                <w:i/>
                <w:szCs w:val="20"/>
                <w:lang w:val="fr-FR" w:eastAsia="ja-JP"/>
              </w:rPr>
              <w:lastRenderedPageBreak/>
              <w:t>Résultat 4 : KM et M&amp;E</w:t>
            </w:r>
          </w:p>
        </w:tc>
      </w:tr>
      <w:tr w:rsidR="00FB08FB" w:rsidRPr="000E53A0" w14:paraId="352A9E3A" w14:textId="77777777" w:rsidTr="00421FD8">
        <w:tc>
          <w:tcPr>
            <w:tcW w:w="1963" w:type="dxa"/>
            <w:tcBorders>
              <w:top w:val="single" w:sz="4" w:space="0" w:color="auto"/>
              <w:left w:val="single" w:sz="4" w:space="0" w:color="auto"/>
              <w:bottom w:val="single" w:sz="4" w:space="0" w:color="auto"/>
              <w:right w:val="single" w:sz="4" w:space="0" w:color="auto"/>
            </w:tcBorders>
          </w:tcPr>
          <w:p w14:paraId="492CB5E8" w14:textId="77777777" w:rsidR="00601D9B" w:rsidRPr="000E53A0" w:rsidRDefault="000E53A0">
            <w:pPr>
              <w:rPr>
                <w:i/>
                <w:szCs w:val="20"/>
                <w:lang w:val="fr-FR" w:eastAsia="ja-JP"/>
              </w:rPr>
            </w:pPr>
            <w:r w:rsidRPr="000E53A0">
              <w:rPr>
                <w:i/>
                <w:szCs w:val="20"/>
                <w:lang w:val="fr-FR" w:eastAsia="ja-JP"/>
              </w:rPr>
              <w:t>Responsable de l'égalité des sexes pour le projet</w:t>
            </w:r>
          </w:p>
        </w:tc>
        <w:tc>
          <w:tcPr>
            <w:tcW w:w="1440" w:type="dxa"/>
            <w:tcBorders>
              <w:top w:val="single" w:sz="4" w:space="0" w:color="auto"/>
              <w:left w:val="single" w:sz="4" w:space="0" w:color="auto"/>
              <w:bottom w:val="single" w:sz="4" w:space="0" w:color="auto"/>
              <w:right w:val="single" w:sz="4" w:space="0" w:color="auto"/>
            </w:tcBorders>
          </w:tcPr>
          <w:p w14:paraId="534B6C9B" w14:textId="77777777" w:rsidR="00FB08FB" w:rsidRPr="000E53A0" w:rsidRDefault="00FB08FB" w:rsidP="00FB08FB">
            <w:pPr>
              <w:rPr>
                <w:i/>
                <w:szCs w:val="20"/>
                <w:lang w:val="fr-FR" w:eastAsia="ja-JP"/>
              </w:rPr>
            </w:pPr>
          </w:p>
        </w:tc>
        <w:tc>
          <w:tcPr>
            <w:tcW w:w="10619" w:type="dxa"/>
            <w:tcBorders>
              <w:top w:val="single" w:sz="4" w:space="0" w:color="auto"/>
              <w:left w:val="single" w:sz="4" w:space="0" w:color="auto"/>
              <w:bottom w:val="single" w:sz="4" w:space="0" w:color="auto"/>
              <w:right w:val="single" w:sz="4" w:space="0" w:color="auto"/>
            </w:tcBorders>
          </w:tcPr>
          <w:p w14:paraId="0F9262A8" w14:textId="77777777" w:rsidR="00601D9B" w:rsidRDefault="000E53A0">
            <w:pPr>
              <w:rPr>
                <w:rFonts w:cs="Arial"/>
                <w:i/>
                <w:noProof/>
                <w:szCs w:val="20"/>
                <w:u w:val="single"/>
                <w:lang w:eastAsia="zh-CN"/>
              </w:rPr>
            </w:pPr>
            <w:r w:rsidRPr="00F266AB">
              <w:rPr>
                <w:rFonts w:cs="Arial"/>
                <w:i/>
                <w:noProof/>
                <w:szCs w:val="20"/>
                <w:u w:val="single"/>
                <w:lang w:eastAsia="zh-CN"/>
              </w:rPr>
              <w:t>Fonctions et responsabilités</w:t>
            </w:r>
          </w:p>
          <w:p w14:paraId="7DDF9388" w14:textId="77777777" w:rsidR="00601D9B" w:rsidRPr="000E53A0" w:rsidRDefault="000E53A0">
            <w:pPr>
              <w:numPr>
                <w:ilvl w:val="0"/>
                <w:numId w:val="10"/>
              </w:numPr>
              <w:spacing w:line="259" w:lineRule="auto"/>
              <w:rPr>
                <w:szCs w:val="20"/>
                <w:lang w:val="fr-FR"/>
              </w:rPr>
            </w:pPr>
            <w:r w:rsidRPr="000E53A0">
              <w:rPr>
                <w:szCs w:val="20"/>
                <w:lang w:val="fr-FR"/>
              </w:rPr>
              <w:t>Suivre les progrès de la mise en œuvre du plan d'action pour l'égalité des sexes du projet en veillant à ce que les objectifs soient pleinement atteints et que les exigences en matière de rapports soient respectées ;</w:t>
            </w:r>
          </w:p>
          <w:p w14:paraId="052BB3B5" w14:textId="77777777" w:rsidR="00601D9B" w:rsidRPr="000E53A0" w:rsidRDefault="000E53A0">
            <w:pPr>
              <w:numPr>
                <w:ilvl w:val="0"/>
                <w:numId w:val="10"/>
              </w:numPr>
              <w:spacing w:line="259" w:lineRule="auto"/>
              <w:rPr>
                <w:szCs w:val="20"/>
                <w:lang w:val="fr-FR"/>
              </w:rPr>
            </w:pPr>
            <w:r w:rsidRPr="000E53A0">
              <w:rPr>
                <w:szCs w:val="20"/>
                <w:lang w:val="fr-FR"/>
              </w:rPr>
              <w:t>Superviser/développer/coordonner la mise en œuvre de tous les travaux liés au genre ;</w:t>
            </w:r>
          </w:p>
          <w:p w14:paraId="7899DE6C" w14:textId="77777777" w:rsidR="00601D9B" w:rsidRPr="000E53A0" w:rsidRDefault="000E53A0">
            <w:pPr>
              <w:numPr>
                <w:ilvl w:val="0"/>
                <w:numId w:val="10"/>
              </w:numPr>
              <w:spacing w:line="259" w:lineRule="auto"/>
              <w:rPr>
                <w:szCs w:val="20"/>
                <w:lang w:val="fr-FR"/>
              </w:rPr>
            </w:pPr>
            <w:r w:rsidRPr="000E53A0">
              <w:rPr>
                <w:szCs w:val="20"/>
                <w:lang w:val="fr-FR"/>
              </w:rPr>
              <w:t>Révisez le plan d'action en faveur de l'égalité des sexes chaque année, et mettez à jour et révisez les plans de gestion correspondants si nécessaire ;</w:t>
            </w:r>
          </w:p>
          <w:p w14:paraId="41F6D3DD" w14:textId="77777777" w:rsidR="00601D9B" w:rsidRPr="000E53A0" w:rsidRDefault="000E53A0">
            <w:pPr>
              <w:numPr>
                <w:ilvl w:val="0"/>
                <w:numId w:val="10"/>
              </w:numPr>
              <w:spacing w:line="259" w:lineRule="auto"/>
              <w:rPr>
                <w:szCs w:val="20"/>
                <w:lang w:val="fr-FR"/>
              </w:rPr>
            </w:pPr>
            <w:r w:rsidRPr="000E53A0">
              <w:rPr>
                <w:szCs w:val="20"/>
                <w:lang w:val="fr-FR"/>
              </w:rPr>
              <w:t>Travailler avec le responsable du suivi et de l'évaluation et le responsable des garanties pour s'assurer que les rapports, le suivi et l'évaluation tiennent pleinement compte des questions de genre du projet ;</w:t>
            </w:r>
          </w:p>
        </w:tc>
      </w:tr>
      <w:tr w:rsidR="00FB08FB" w:rsidRPr="000E53A0" w14:paraId="73855286" w14:textId="77777777" w:rsidTr="00421FD8">
        <w:tc>
          <w:tcPr>
            <w:tcW w:w="1963" w:type="dxa"/>
            <w:tcBorders>
              <w:top w:val="single" w:sz="4" w:space="0" w:color="auto"/>
              <w:left w:val="single" w:sz="4" w:space="0" w:color="auto"/>
              <w:bottom w:val="single" w:sz="4" w:space="0" w:color="auto"/>
              <w:right w:val="single" w:sz="4" w:space="0" w:color="auto"/>
            </w:tcBorders>
          </w:tcPr>
          <w:p w14:paraId="3F04E1D9" w14:textId="77777777" w:rsidR="00601D9B" w:rsidRPr="000E53A0" w:rsidRDefault="000E53A0">
            <w:pPr>
              <w:rPr>
                <w:i/>
                <w:szCs w:val="20"/>
                <w:lang w:val="fr-FR"/>
              </w:rPr>
            </w:pPr>
            <w:r w:rsidRPr="000E53A0">
              <w:rPr>
                <w:i/>
                <w:szCs w:val="20"/>
                <w:lang w:val="fr-FR"/>
              </w:rPr>
              <w:t>Responsable du suivi et de l'évaluation des projets</w:t>
            </w:r>
          </w:p>
          <w:p w14:paraId="39592650" w14:textId="77777777" w:rsidR="00FB08FB" w:rsidRPr="000E53A0" w:rsidRDefault="00FB08FB" w:rsidP="00FB08FB">
            <w:pPr>
              <w:rPr>
                <w:i/>
                <w:szCs w:val="20"/>
                <w:lang w:val="fr-FR" w:eastAsia="ja-JP"/>
              </w:rPr>
            </w:pPr>
          </w:p>
        </w:tc>
        <w:tc>
          <w:tcPr>
            <w:tcW w:w="1440" w:type="dxa"/>
            <w:tcBorders>
              <w:top w:val="single" w:sz="4" w:space="0" w:color="auto"/>
              <w:left w:val="single" w:sz="4" w:space="0" w:color="auto"/>
              <w:bottom w:val="single" w:sz="4" w:space="0" w:color="auto"/>
              <w:right w:val="single" w:sz="4" w:space="0" w:color="auto"/>
            </w:tcBorders>
          </w:tcPr>
          <w:p w14:paraId="2C1F94CB" w14:textId="77777777" w:rsidR="00FB08FB" w:rsidRPr="000E53A0" w:rsidRDefault="00FB08FB" w:rsidP="00FB08FB">
            <w:pPr>
              <w:rPr>
                <w:i/>
                <w:szCs w:val="20"/>
                <w:lang w:val="fr-FR" w:eastAsia="ja-JP"/>
              </w:rPr>
            </w:pPr>
          </w:p>
        </w:tc>
        <w:tc>
          <w:tcPr>
            <w:tcW w:w="10619" w:type="dxa"/>
            <w:tcBorders>
              <w:top w:val="single" w:sz="4" w:space="0" w:color="auto"/>
              <w:left w:val="single" w:sz="4" w:space="0" w:color="auto"/>
              <w:bottom w:val="single" w:sz="4" w:space="0" w:color="auto"/>
              <w:right w:val="single" w:sz="4" w:space="0" w:color="auto"/>
            </w:tcBorders>
          </w:tcPr>
          <w:p w14:paraId="529BFF65" w14:textId="77777777" w:rsidR="00601D9B" w:rsidRDefault="000E53A0">
            <w:pPr>
              <w:rPr>
                <w:rFonts w:cs="Arial"/>
                <w:i/>
                <w:noProof/>
                <w:szCs w:val="20"/>
                <w:u w:val="single"/>
                <w:lang w:eastAsia="zh-CN"/>
              </w:rPr>
            </w:pPr>
            <w:r w:rsidRPr="00F266AB">
              <w:rPr>
                <w:rFonts w:cs="Arial"/>
                <w:i/>
                <w:noProof/>
                <w:szCs w:val="20"/>
                <w:u w:val="single"/>
                <w:lang w:eastAsia="zh-CN"/>
              </w:rPr>
              <w:t>Fonctions et responsabilités</w:t>
            </w:r>
          </w:p>
          <w:p w14:paraId="45A1A2C1" w14:textId="77777777" w:rsidR="00601D9B" w:rsidRPr="000E53A0" w:rsidRDefault="000E53A0">
            <w:pPr>
              <w:numPr>
                <w:ilvl w:val="0"/>
                <w:numId w:val="9"/>
              </w:numPr>
              <w:spacing w:line="259" w:lineRule="auto"/>
              <w:rPr>
                <w:i/>
                <w:szCs w:val="20"/>
                <w:lang w:val="fr-FR"/>
              </w:rPr>
            </w:pPr>
            <w:r w:rsidRPr="000E53A0">
              <w:rPr>
                <w:i/>
                <w:szCs w:val="20"/>
                <w:lang w:val="fr-FR"/>
              </w:rPr>
              <w:t>Suivre l'avancement du projet et participer à la production de rapports d'avancement en veillant à ce qu'ils répondent aux exigences et aux normes de rapport nécessaires ;</w:t>
            </w:r>
          </w:p>
          <w:p w14:paraId="64ED9084" w14:textId="77777777" w:rsidR="00601D9B" w:rsidRPr="000E53A0" w:rsidRDefault="000E53A0">
            <w:pPr>
              <w:numPr>
                <w:ilvl w:val="0"/>
                <w:numId w:val="9"/>
              </w:numPr>
              <w:spacing w:line="259" w:lineRule="auto"/>
              <w:rPr>
                <w:i/>
                <w:szCs w:val="20"/>
                <w:lang w:val="fr-FR"/>
              </w:rPr>
            </w:pPr>
            <w:r w:rsidRPr="000E53A0">
              <w:rPr>
                <w:i/>
                <w:szCs w:val="20"/>
                <w:lang w:val="fr-FR"/>
              </w:rPr>
              <w:t>S'assurer que le S&amp;E du projet répond aux exigences du gouvernement, du bureau de pays du PNUD et du PNUD-FEM ; développer des outils de S&amp;E spécifiques au projet, si nécessaire ;</w:t>
            </w:r>
          </w:p>
          <w:p w14:paraId="08CDFFF5" w14:textId="77777777" w:rsidR="00601D9B" w:rsidRPr="000E53A0" w:rsidRDefault="000E53A0">
            <w:pPr>
              <w:numPr>
                <w:ilvl w:val="0"/>
                <w:numId w:val="9"/>
              </w:numPr>
              <w:spacing w:line="259" w:lineRule="auto"/>
              <w:rPr>
                <w:i/>
                <w:szCs w:val="20"/>
                <w:lang w:val="fr-FR"/>
              </w:rPr>
            </w:pPr>
            <w:r w:rsidRPr="000E53A0">
              <w:rPr>
                <w:i/>
                <w:szCs w:val="20"/>
                <w:lang w:val="fr-FR"/>
              </w:rPr>
              <w:t>Superviser et assurer la mise en œuvre du plan de suivi et d'évaluation du projet, y compris l'évaluation périodique de la théorie du changement et du cadre des résultats du projet par rapport aux progrès et aux résultats réels et potentiels du projet ;</w:t>
            </w:r>
          </w:p>
          <w:p w14:paraId="61E111F9" w14:textId="77777777" w:rsidR="00601D9B" w:rsidRPr="000E53A0" w:rsidRDefault="000E53A0">
            <w:pPr>
              <w:numPr>
                <w:ilvl w:val="0"/>
                <w:numId w:val="9"/>
              </w:numPr>
              <w:spacing w:line="259" w:lineRule="auto"/>
              <w:rPr>
                <w:i/>
                <w:szCs w:val="20"/>
                <w:lang w:val="fr-FR"/>
              </w:rPr>
            </w:pPr>
            <w:r w:rsidRPr="000E53A0">
              <w:rPr>
                <w:i/>
                <w:szCs w:val="20"/>
                <w:lang w:val="fr-FR"/>
              </w:rPr>
              <w:lastRenderedPageBreak/>
              <w:t>Superviser/développer/coordonner la mise en œuvre du plan d'engagement des parties prenantes ;</w:t>
            </w:r>
          </w:p>
          <w:p w14:paraId="127B7199" w14:textId="77777777" w:rsidR="00601D9B" w:rsidRPr="000E53A0" w:rsidRDefault="000E53A0">
            <w:pPr>
              <w:numPr>
                <w:ilvl w:val="0"/>
                <w:numId w:val="9"/>
              </w:numPr>
              <w:spacing w:line="259" w:lineRule="auto"/>
              <w:rPr>
                <w:i/>
                <w:szCs w:val="20"/>
                <w:lang w:val="fr-FR"/>
              </w:rPr>
            </w:pPr>
            <w:r w:rsidRPr="000E53A0">
              <w:rPr>
                <w:i/>
                <w:szCs w:val="20"/>
                <w:lang w:val="fr-FR"/>
              </w:rPr>
              <w:t>Superviser et guider la conception des enquêtes/évaluations commandées pour le suivi et l'évaluation des résultats du projet ;</w:t>
            </w:r>
          </w:p>
          <w:p w14:paraId="24C1C2E4" w14:textId="77777777" w:rsidR="00601D9B" w:rsidRPr="000E53A0" w:rsidRDefault="000E53A0">
            <w:pPr>
              <w:numPr>
                <w:ilvl w:val="0"/>
                <w:numId w:val="9"/>
              </w:numPr>
              <w:spacing w:line="259" w:lineRule="auto"/>
              <w:rPr>
                <w:i/>
                <w:szCs w:val="20"/>
                <w:lang w:val="fr-FR"/>
              </w:rPr>
            </w:pPr>
            <w:r w:rsidRPr="000E53A0">
              <w:rPr>
                <w:i/>
                <w:szCs w:val="20"/>
                <w:lang w:val="fr-FR"/>
              </w:rPr>
              <w:t>Faciliter les évaluations à mi-parcours et terminales du projet, y compris les réponses de la direction ;</w:t>
            </w:r>
          </w:p>
          <w:p w14:paraId="385E632B" w14:textId="77777777" w:rsidR="00601D9B" w:rsidRPr="000E53A0" w:rsidRDefault="000E53A0">
            <w:pPr>
              <w:numPr>
                <w:ilvl w:val="0"/>
                <w:numId w:val="9"/>
              </w:numPr>
              <w:spacing w:line="259" w:lineRule="auto"/>
              <w:rPr>
                <w:i/>
                <w:szCs w:val="20"/>
                <w:lang w:val="fr-FR"/>
              </w:rPr>
            </w:pPr>
            <w:r w:rsidRPr="000E53A0">
              <w:rPr>
                <w:i/>
                <w:szCs w:val="20"/>
                <w:lang w:val="fr-FR"/>
              </w:rPr>
              <w:t>Faciliter les examens annuels du projet et produire des rapports analytiques à partir de ces examens annuels, y compris des produits d'apprentissage et d'autres produits de gestion des connaissances ;</w:t>
            </w:r>
          </w:p>
          <w:p w14:paraId="180F4742" w14:textId="77777777" w:rsidR="00601D9B" w:rsidRPr="000E53A0" w:rsidRDefault="000E53A0">
            <w:pPr>
              <w:numPr>
                <w:ilvl w:val="0"/>
                <w:numId w:val="9"/>
              </w:numPr>
              <w:spacing w:line="259" w:lineRule="auto"/>
              <w:rPr>
                <w:i/>
                <w:szCs w:val="20"/>
                <w:lang w:val="fr-FR"/>
              </w:rPr>
            </w:pPr>
            <w:r w:rsidRPr="000E53A0">
              <w:rPr>
                <w:i/>
                <w:szCs w:val="20"/>
                <w:lang w:val="fr-FR"/>
              </w:rPr>
              <w:t xml:space="preserve">Soutenir le suivi et l'évaluation des sites de projets et les missions d'apprentissage ; </w:t>
            </w:r>
          </w:p>
          <w:p w14:paraId="1D2D7244" w14:textId="77777777" w:rsidR="00601D9B" w:rsidRPr="000E53A0" w:rsidRDefault="000E53A0">
            <w:pPr>
              <w:numPr>
                <w:ilvl w:val="0"/>
                <w:numId w:val="9"/>
              </w:numPr>
              <w:spacing w:line="259" w:lineRule="auto"/>
              <w:rPr>
                <w:i/>
                <w:szCs w:val="20"/>
                <w:lang w:val="fr-FR"/>
              </w:rPr>
            </w:pPr>
            <w:r w:rsidRPr="000E53A0">
              <w:rPr>
                <w:i/>
                <w:szCs w:val="20"/>
                <w:lang w:val="fr-FR"/>
              </w:rPr>
              <w:t>Visiter les sites des projets selon les besoins pour évaluer l'avancement du projet sur le terrain et valider les rapports d'avancement écrits.</w:t>
            </w:r>
          </w:p>
        </w:tc>
      </w:tr>
      <w:tr w:rsidR="00A13E75" w:rsidRPr="007B1761" w14:paraId="2A7CE2A7" w14:textId="77777777" w:rsidTr="00763EFB">
        <w:tc>
          <w:tcPr>
            <w:tcW w:w="14022" w:type="dxa"/>
            <w:gridSpan w:val="3"/>
            <w:tcBorders>
              <w:top w:val="single" w:sz="4" w:space="0" w:color="auto"/>
              <w:left w:val="single" w:sz="4" w:space="0" w:color="auto"/>
              <w:bottom w:val="single" w:sz="4" w:space="0" w:color="auto"/>
              <w:right w:val="single" w:sz="4" w:space="0" w:color="auto"/>
            </w:tcBorders>
            <w:shd w:val="clear" w:color="auto" w:fill="DAEEF3"/>
            <w:hideMark/>
          </w:tcPr>
          <w:p w14:paraId="5CBBC4E1" w14:textId="77777777" w:rsidR="00601D9B" w:rsidRDefault="000E53A0">
            <w:pPr>
              <w:jc w:val="center"/>
              <w:rPr>
                <w:b/>
                <w:i/>
                <w:szCs w:val="20"/>
                <w:lang w:eastAsia="ja-JP"/>
              </w:rPr>
            </w:pPr>
            <w:r w:rsidRPr="007B1761">
              <w:rPr>
                <w:b/>
                <w:i/>
                <w:szCs w:val="20"/>
                <w:lang w:eastAsia="ja-JP"/>
              </w:rPr>
              <w:lastRenderedPageBreak/>
              <w:t xml:space="preserve">Résultat </w:t>
            </w:r>
          </w:p>
        </w:tc>
      </w:tr>
      <w:tr w:rsidR="00A13E75" w:rsidRPr="000E53A0" w14:paraId="000DB6B7" w14:textId="77777777" w:rsidTr="00421FD8">
        <w:tc>
          <w:tcPr>
            <w:tcW w:w="1963" w:type="dxa"/>
            <w:tcBorders>
              <w:top w:val="single" w:sz="4" w:space="0" w:color="auto"/>
              <w:left w:val="single" w:sz="4" w:space="0" w:color="auto"/>
              <w:bottom w:val="single" w:sz="4" w:space="0" w:color="auto"/>
              <w:right w:val="single" w:sz="4" w:space="0" w:color="auto"/>
            </w:tcBorders>
          </w:tcPr>
          <w:p w14:paraId="140FDE43" w14:textId="77777777" w:rsidR="00601D9B" w:rsidRDefault="000E53A0">
            <w:pPr>
              <w:rPr>
                <w:i/>
                <w:szCs w:val="20"/>
              </w:rPr>
            </w:pPr>
            <w:r w:rsidRPr="00A13E75">
              <w:rPr>
                <w:i/>
                <w:szCs w:val="20"/>
              </w:rPr>
              <w:t xml:space="preserve">Responsable des sauvegardes du projet </w:t>
            </w:r>
          </w:p>
          <w:p w14:paraId="3FCE6FA8" w14:textId="77777777" w:rsidR="00A13E75" w:rsidRPr="00A13E75" w:rsidRDefault="00A13E75" w:rsidP="00A13E75">
            <w:pPr>
              <w:rPr>
                <w:i/>
                <w:szCs w:val="20"/>
              </w:rPr>
            </w:pPr>
          </w:p>
        </w:tc>
        <w:tc>
          <w:tcPr>
            <w:tcW w:w="1440" w:type="dxa"/>
            <w:tcBorders>
              <w:top w:val="single" w:sz="4" w:space="0" w:color="auto"/>
              <w:left w:val="single" w:sz="4" w:space="0" w:color="auto"/>
              <w:bottom w:val="single" w:sz="4" w:space="0" w:color="auto"/>
              <w:right w:val="single" w:sz="4" w:space="0" w:color="auto"/>
            </w:tcBorders>
          </w:tcPr>
          <w:p w14:paraId="6D9E4629" w14:textId="77777777" w:rsidR="00A13E75" w:rsidRPr="00A13E75" w:rsidRDefault="00A13E75" w:rsidP="00A13E75">
            <w:pPr>
              <w:rPr>
                <w:i/>
                <w:szCs w:val="20"/>
                <w:lang w:val="en-GB" w:eastAsia="ja-JP"/>
              </w:rPr>
            </w:pPr>
          </w:p>
        </w:tc>
        <w:tc>
          <w:tcPr>
            <w:tcW w:w="10619" w:type="dxa"/>
            <w:tcBorders>
              <w:top w:val="single" w:sz="4" w:space="0" w:color="auto"/>
              <w:left w:val="single" w:sz="4" w:space="0" w:color="auto"/>
              <w:bottom w:val="single" w:sz="4" w:space="0" w:color="auto"/>
              <w:right w:val="single" w:sz="4" w:space="0" w:color="auto"/>
            </w:tcBorders>
          </w:tcPr>
          <w:p w14:paraId="6BF693B2" w14:textId="77777777" w:rsidR="00601D9B" w:rsidRDefault="000E53A0">
            <w:pPr>
              <w:rPr>
                <w:rFonts w:cs="Arial"/>
                <w:i/>
                <w:noProof/>
                <w:szCs w:val="20"/>
                <w:u w:val="single"/>
                <w:lang w:eastAsia="zh-CN"/>
              </w:rPr>
            </w:pPr>
            <w:r w:rsidRPr="00F266AB">
              <w:rPr>
                <w:rFonts w:cs="Arial"/>
                <w:i/>
                <w:noProof/>
                <w:szCs w:val="20"/>
                <w:u w:val="single"/>
                <w:lang w:eastAsia="zh-CN"/>
              </w:rPr>
              <w:t>Fonctions et responsabilités</w:t>
            </w:r>
          </w:p>
          <w:p w14:paraId="6D8CF6CB" w14:textId="77777777" w:rsidR="00601D9B" w:rsidRPr="000E53A0" w:rsidRDefault="000E53A0">
            <w:pPr>
              <w:numPr>
                <w:ilvl w:val="0"/>
                <w:numId w:val="10"/>
              </w:numPr>
              <w:spacing w:line="259" w:lineRule="auto"/>
              <w:rPr>
                <w:i/>
                <w:szCs w:val="20"/>
                <w:lang w:val="fr-FR"/>
              </w:rPr>
            </w:pPr>
            <w:r w:rsidRPr="000E53A0">
              <w:rPr>
                <w:i/>
                <w:szCs w:val="20"/>
                <w:lang w:val="fr-FR"/>
              </w:rPr>
              <w:t>Contrôler l'avancement du développement et de la mise en œuvre du projet ESMP/ESMF en s'assurant que la politique SES du PNUD est pleinement respectée et que les exigences en matière de rapports sont remplies ;</w:t>
            </w:r>
          </w:p>
          <w:p w14:paraId="53E4AF93" w14:textId="77777777" w:rsidR="00601D9B" w:rsidRPr="000E53A0" w:rsidRDefault="000E53A0">
            <w:pPr>
              <w:numPr>
                <w:ilvl w:val="0"/>
                <w:numId w:val="10"/>
              </w:numPr>
              <w:spacing w:line="259" w:lineRule="auto"/>
              <w:rPr>
                <w:i/>
                <w:szCs w:val="20"/>
                <w:lang w:val="fr-FR"/>
              </w:rPr>
            </w:pPr>
            <w:r w:rsidRPr="000E53A0">
              <w:rPr>
                <w:i/>
                <w:szCs w:val="20"/>
                <w:lang w:val="fr-FR"/>
              </w:rPr>
              <w:t>Superviser/développer/coordonner la mise en œuvre de tous les plans de sauvegarde ;</w:t>
            </w:r>
          </w:p>
          <w:p w14:paraId="07306E8D" w14:textId="77777777" w:rsidR="00601D9B" w:rsidRPr="000E53A0" w:rsidRDefault="000E53A0">
            <w:pPr>
              <w:numPr>
                <w:ilvl w:val="0"/>
                <w:numId w:val="10"/>
              </w:numPr>
              <w:spacing w:line="259" w:lineRule="auto"/>
              <w:rPr>
                <w:i/>
                <w:szCs w:val="20"/>
                <w:lang w:val="fr-FR"/>
              </w:rPr>
            </w:pPr>
            <w:r w:rsidRPr="000E53A0">
              <w:rPr>
                <w:i/>
                <w:szCs w:val="20"/>
                <w:lang w:val="fr-FR"/>
              </w:rPr>
              <w:t>Veiller à ce que les doléances sociales et environnementales soient gérées de manière efficace et transparente ;</w:t>
            </w:r>
          </w:p>
          <w:p w14:paraId="680DCA06" w14:textId="77777777" w:rsidR="00601D9B" w:rsidRPr="000E53A0" w:rsidRDefault="000E53A0">
            <w:pPr>
              <w:numPr>
                <w:ilvl w:val="0"/>
                <w:numId w:val="10"/>
              </w:numPr>
              <w:spacing w:line="259" w:lineRule="auto"/>
              <w:rPr>
                <w:i/>
                <w:szCs w:val="20"/>
                <w:lang w:val="fr-FR"/>
              </w:rPr>
            </w:pPr>
            <w:r w:rsidRPr="000E53A0">
              <w:rPr>
                <w:i/>
                <w:szCs w:val="20"/>
                <w:lang w:val="fr-FR"/>
              </w:rPr>
              <w:t>Revoir le SESP chaque année, et mettre à jour et réviser le registre des risques correspondant ; plans d'atténuation/de gestion si nécessaire ;</w:t>
            </w:r>
          </w:p>
          <w:p w14:paraId="740C27DC" w14:textId="77777777" w:rsidR="00601D9B" w:rsidRPr="000E53A0" w:rsidRDefault="000E53A0">
            <w:pPr>
              <w:numPr>
                <w:ilvl w:val="0"/>
                <w:numId w:val="10"/>
              </w:numPr>
              <w:spacing w:line="259" w:lineRule="auto"/>
              <w:rPr>
                <w:i/>
                <w:szCs w:val="20"/>
                <w:lang w:val="fr-FR"/>
              </w:rPr>
            </w:pPr>
            <w:r w:rsidRPr="000E53A0">
              <w:rPr>
                <w:i/>
                <w:szCs w:val="20"/>
                <w:lang w:val="fr-FR"/>
              </w:rPr>
              <w:t xml:space="preserve">Assurer une divulgation complète auprès des parties prenantes concernées ; </w:t>
            </w:r>
          </w:p>
          <w:p w14:paraId="11622167" w14:textId="77777777" w:rsidR="00601D9B" w:rsidRPr="000E53A0" w:rsidRDefault="000E53A0">
            <w:pPr>
              <w:numPr>
                <w:ilvl w:val="0"/>
                <w:numId w:val="10"/>
              </w:numPr>
              <w:spacing w:line="259" w:lineRule="auto"/>
              <w:rPr>
                <w:i/>
                <w:szCs w:val="20"/>
                <w:lang w:val="fr-FR"/>
              </w:rPr>
            </w:pPr>
            <w:r w:rsidRPr="000E53A0">
              <w:rPr>
                <w:i/>
                <w:szCs w:val="20"/>
                <w:lang w:val="fr-FR"/>
              </w:rPr>
              <w:t>S'assurer que les risques environnementaux et sociaux sont identifiés, évités, atténués et gérés tout au long de la mise en œuvre du projet ;</w:t>
            </w:r>
          </w:p>
          <w:p w14:paraId="7CA83745" w14:textId="77777777" w:rsidR="00601D9B" w:rsidRPr="000E53A0" w:rsidRDefault="000E53A0">
            <w:pPr>
              <w:numPr>
                <w:ilvl w:val="0"/>
                <w:numId w:val="10"/>
              </w:numPr>
              <w:spacing w:line="259" w:lineRule="auto"/>
              <w:rPr>
                <w:i/>
                <w:szCs w:val="20"/>
                <w:lang w:val="fr-FR"/>
              </w:rPr>
            </w:pPr>
            <w:r w:rsidRPr="000E53A0">
              <w:rPr>
                <w:i/>
                <w:szCs w:val="20"/>
                <w:lang w:val="fr-FR"/>
              </w:rPr>
              <w:t xml:space="preserve">Travailler avec le responsable du suivi et de l'évaluation pour s'assurer que les rapports, le suivi et l'évaluation tiennent pleinement compte des questions de sauvegarde du projet ; </w:t>
            </w:r>
            <w:r w:rsidR="00F03DBF" w:rsidRPr="000E53A0">
              <w:rPr>
                <w:i/>
                <w:szCs w:val="20"/>
                <w:lang w:val="fr-FR"/>
              </w:rPr>
              <w:t>nm</w:t>
            </w:r>
          </w:p>
          <w:p w14:paraId="5C5D3D83" w14:textId="77777777" w:rsidR="00A13E75" w:rsidRPr="000E53A0" w:rsidRDefault="00A13E75" w:rsidP="00A13E75">
            <w:pPr>
              <w:rPr>
                <w:rFonts w:cs="Arial"/>
                <w:i/>
                <w:noProof/>
                <w:szCs w:val="20"/>
                <w:u w:val="single"/>
                <w:lang w:val="fr-FR" w:eastAsia="zh-CN"/>
              </w:rPr>
            </w:pPr>
          </w:p>
        </w:tc>
      </w:tr>
      <w:tr w:rsidR="00A13E75" w:rsidRPr="000E53A0" w14:paraId="621ECA90" w14:textId="77777777" w:rsidTr="00421FD8">
        <w:trPr>
          <w:trHeight w:val="431"/>
        </w:trPr>
        <w:tc>
          <w:tcPr>
            <w:tcW w:w="14022" w:type="dxa"/>
            <w:gridSpan w:val="3"/>
            <w:tcBorders>
              <w:top w:val="single" w:sz="4" w:space="0" w:color="auto"/>
              <w:left w:val="single" w:sz="4" w:space="0" w:color="auto"/>
              <w:bottom w:val="single" w:sz="4" w:space="0" w:color="auto"/>
              <w:right w:val="single" w:sz="4" w:space="0" w:color="auto"/>
            </w:tcBorders>
            <w:shd w:val="clear" w:color="auto" w:fill="DAEEF3"/>
            <w:hideMark/>
          </w:tcPr>
          <w:p w14:paraId="29274214" w14:textId="77777777" w:rsidR="00601D9B" w:rsidRPr="000E53A0" w:rsidRDefault="000E53A0">
            <w:pPr>
              <w:rPr>
                <w:b/>
                <w:i/>
                <w:szCs w:val="20"/>
                <w:lang w:val="fr-FR" w:eastAsia="ja-JP"/>
              </w:rPr>
            </w:pPr>
            <w:r w:rsidRPr="000E53A0">
              <w:rPr>
                <w:b/>
                <w:i/>
                <w:szCs w:val="20"/>
                <w:lang w:val="fr-FR" w:eastAsia="ja-JP"/>
              </w:rPr>
              <w:t>Contrats internationaux / régionaux et mondiaux</w:t>
            </w:r>
          </w:p>
        </w:tc>
      </w:tr>
      <w:tr w:rsidR="00A13E75" w:rsidRPr="000E53A0" w14:paraId="5DE82E3D" w14:textId="77777777" w:rsidTr="00763EFB">
        <w:trPr>
          <w:trHeight w:val="1128"/>
        </w:trPr>
        <w:tc>
          <w:tcPr>
            <w:tcW w:w="1963" w:type="dxa"/>
            <w:tcBorders>
              <w:top w:val="single" w:sz="4" w:space="0" w:color="auto"/>
              <w:left w:val="single" w:sz="4" w:space="0" w:color="auto"/>
              <w:bottom w:val="single" w:sz="4" w:space="0" w:color="auto"/>
              <w:right w:val="single" w:sz="4" w:space="0" w:color="auto"/>
            </w:tcBorders>
            <w:vAlign w:val="center"/>
          </w:tcPr>
          <w:p w14:paraId="524DE0DC" w14:textId="77777777" w:rsidR="00601D9B" w:rsidRPr="000E53A0" w:rsidRDefault="000E53A0">
            <w:pPr>
              <w:rPr>
                <w:i/>
                <w:szCs w:val="20"/>
                <w:lang w:val="fr-FR" w:eastAsia="ja-JP"/>
              </w:rPr>
            </w:pPr>
            <w:r w:rsidRPr="000E53A0">
              <w:rPr>
                <w:i/>
                <w:szCs w:val="20"/>
                <w:lang w:val="fr-FR" w:eastAsia="ja-JP"/>
              </w:rPr>
              <w:lastRenderedPageBreak/>
              <w:t>Conseiller technique principal</w:t>
            </w:r>
          </w:p>
          <w:p w14:paraId="10B83D01" w14:textId="77777777" w:rsidR="00A13E75" w:rsidRPr="000E53A0" w:rsidRDefault="00A13E75" w:rsidP="00A13E75">
            <w:pPr>
              <w:rPr>
                <w:i/>
                <w:szCs w:val="20"/>
                <w:lang w:val="fr-FR" w:eastAsia="ja-JP"/>
              </w:rPr>
            </w:pPr>
          </w:p>
          <w:p w14:paraId="0709041E" w14:textId="77777777" w:rsidR="00601D9B" w:rsidRPr="000E53A0" w:rsidRDefault="000E53A0">
            <w:pPr>
              <w:rPr>
                <w:i/>
                <w:szCs w:val="20"/>
                <w:lang w:val="fr-FR" w:eastAsia="ja-JP"/>
              </w:rPr>
            </w:pPr>
            <w:r w:rsidRPr="000E53A0">
              <w:rPr>
                <w:i/>
                <w:szCs w:val="20"/>
                <w:lang w:val="fr-FR" w:eastAsia="ja-JP"/>
              </w:rPr>
              <w:t>Taux : 2 000 $/semaine</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FEFA193" w14:textId="77777777" w:rsidR="00601D9B" w:rsidRDefault="000E53A0">
            <w:pPr>
              <w:rPr>
                <w:i/>
                <w:szCs w:val="20"/>
                <w:lang w:val="en-GB" w:eastAsia="ja-JP"/>
              </w:rPr>
            </w:pPr>
            <w:r w:rsidRPr="007B1761">
              <w:rPr>
                <w:i/>
                <w:szCs w:val="20"/>
                <w:lang w:val="en-GB" w:eastAsia="ja-JP"/>
              </w:rPr>
              <w:t>20 semaines / plus de 5 ans</w:t>
            </w:r>
          </w:p>
        </w:tc>
        <w:tc>
          <w:tcPr>
            <w:tcW w:w="10619" w:type="dxa"/>
            <w:tcBorders>
              <w:top w:val="single" w:sz="4" w:space="0" w:color="auto"/>
              <w:left w:val="single" w:sz="4" w:space="0" w:color="auto"/>
              <w:bottom w:val="single" w:sz="4" w:space="0" w:color="auto"/>
              <w:right w:val="single" w:sz="4" w:space="0" w:color="auto"/>
            </w:tcBorders>
            <w:vAlign w:val="center"/>
          </w:tcPr>
          <w:p w14:paraId="27168AD3" w14:textId="77777777" w:rsidR="00601D9B" w:rsidRPr="000E53A0" w:rsidRDefault="000E53A0">
            <w:pPr>
              <w:rPr>
                <w:i/>
                <w:szCs w:val="20"/>
                <w:lang w:val="fr-FR" w:eastAsia="ja-JP"/>
              </w:rPr>
            </w:pPr>
            <w:r w:rsidRPr="000E53A0">
              <w:rPr>
                <w:i/>
                <w:szCs w:val="20"/>
                <w:lang w:val="fr-FR" w:eastAsia="ja-JP"/>
              </w:rPr>
              <w:t>Le conseiller technique principal sera chargé de fournir un soutien technique global et un appui à la gestion du projet.</w:t>
            </w:r>
          </w:p>
          <w:p w14:paraId="26D89566" w14:textId="77777777" w:rsidR="00A13E75" w:rsidRPr="000E53A0" w:rsidRDefault="00A13E75" w:rsidP="00A13E75">
            <w:pPr>
              <w:rPr>
                <w:i/>
                <w:szCs w:val="20"/>
                <w:lang w:val="fr-FR" w:eastAsia="ja-JP"/>
              </w:rPr>
            </w:pPr>
          </w:p>
        </w:tc>
      </w:tr>
      <w:tr w:rsidR="00A13E75" w:rsidRPr="000E53A0" w14:paraId="48AFD462" w14:textId="77777777" w:rsidTr="00421FD8">
        <w:tc>
          <w:tcPr>
            <w:tcW w:w="1963" w:type="dxa"/>
            <w:tcBorders>
              <w:top w:val="single" w:sz="4" w:space="0" w:color="auto"/>
              <w:left w:val="single" w:sz="4" w:space="0" w:color="auto"/>
              <w:bottom w:val="single" w:sz="4" w:space="0" w:color="auto"/>
              <w:right w:val="single" w:sz="4" w:space="0" w:color="auto"/>
            </w:tcBorders>
          </w:tcPr>
          <w:p w14:paraId="2F42BF3D" w14:textId="77777777" w:rsidR="00601D9B" w:rsidRPr="000E53A0" w:rsidRDefault="000E53A0">
            <w:pPr>
              <w:rPr>
                <w:i/>
                <w:szCs w:val="20"/>
                <w:lang w:val="fr-FR" w:eastAsia="ja-JP"/>
              </w:rPr>
            </w:pPr>
            <w:r w:rsidRPr="000E53A0">
              <w:rPr>
                <w:i/>
                <w:szCs w:val="20"/>
                <w:lang w:val="fr-FR" w:eastAsia="ja-JP"/>
              </w:rPr>
              <w:t xml:space="preserve">Conseiller en stratégie internationale pour l'AP et la biodiversité </w:t>
            </w:r>
          </w:p>
          <w:p w14:paraId="2EAF6246" w14:textId="77777777" w:rsidR="00A13E75" w:rsidRPr="000E53A0" w:rsidRDefault="00A13E75" w:rsidP="00A13E75">
            <w:pPr>
              <w:rPr>
                <w:i/>
                <w:szCs w:val="20"/>
                <w:lang w:val="fr-FR" w:eastAsia="ja-JP"/>
              </w:rPr>
            </w:pPr>
          </w:p>
          <w:p w14:paraId="1959EC7A" w14:textId="77777777" w:rsidR="00601D9B" w:rsidRDefault="000E53A0">
            <w:pPr>
              <w:rPr>
                <w:i/>
                <w:szCs w:val="20"/>
                <w:lang w:val="en-GB" w:eastAsia="ja-JP"/>
              </w:rPr>
            </w:pPr>
            <w:r w:rsidRPr="007B1761">
              <w:rPr>
                <w:i/>
                <w:szCs w:val="20"/>
                <w:lang w:val="en-GB" w:eastAsia="ja-JP"/>
              </w:rPr>
              <w:t>Taux : 2 000 $/semaine</w:t>
            </w:r>
          </w:p>
        </w:tc>
        <w:tc>
          <w:tcPr>
            <w:tcW w:w="1440" w:type="dxa"/>
            <w:tcBorders>
              <w:top w:val="single" w:sz="4" w:space="0" w:color="auto"/>
              <w:left w:val="single" w:sz="4" w:space="0" w:color="auto"/>
              <w:bottom w:val="single" w:sz="4" w:space="0" w:color="auto"/>
              <w:right w:val="single" w:sz="4" w:space="0" w:color="auto"/>
            </w:tcBorders>
            <w:hideMark/>
          </w:tcPr>
          <w:p w14:paraId="29D1BE04" w14:textId="77777777" w:rsidR="00601D9B" w:rsidRDefault="000E53A0">
            <w:pPr>
              <w:rPr>
                <w:i/>
                <w:szCs w:val="20"/>
                <w:lang w:val="en-GB" w:eastAsia="ja-JP"/>
              </w:rPr>
            </w:pPr>
            <w:r w:rsidRPr="007B1761">
              <w:rPr>
                <w:i/>
                <w:szCs w:val="20"/>
                <w:lang w:val="en-GB" w:eastAsia="ja-JP"/>
              </w:rPr>
              <w:t>25 semaines / plus de 5 ans</w:t>
            </w:r>
          </w:p>
        </w:tc>
        <w:tc>
          <w:tcPr>
            <w:tcW w:w="10619" w:type="dxa"/>
            <w:tcBorders>
              <w:top w:val="single" w:sz="4" w:space="0" w:color="auto"/>
              <w:left w:val="single" w:sz="4" w:space="0" w:color="auto"/>
              <w:bottom w:val="single" w:sz="4" w:space="0" w:color="auto"/>
              <w:right w:val="single" w:sz="4" w:space="0" w:color="auto"/>
            </w:tcBorders>
          </w:tcPr>
          <w:p w14:paraId="6E73740B" w14:textId="77777777" w:rsidR="00601D9B" w:rsidRPr="000E53A0" w:rsidRDefault="000E53A0">
            <w:pPr>
              <w:rPr>
                <w:i/>
                <w:szCs w:val="20"/>
                <w:lang w:val="fr-FR" w:eastAsia="ja-JP"/>
              </w:rPr>
            </w:pPr>
            <w:r w:rsidRPr="000E53A0">
              <w:rPr>
                <w:i/>
                <w:szCs w:val="20"/>
                <w:lang w:val="fr-FR" w:eastAsia="ja-JP"/>
              </w:rPr>
              <w:t xml:space="preserve">En étroite coordination avec le gestionnaire de projet (PM), le conseiller international en matière d'aires protégées et de biodiversité (PABA) fournira une perspective internationale, une orientation stratégique et des contributions techniques à la mise en œuvre des activités dans le cadre des résultats 1.1 à 1.6, y compris les suivants : </w:t>
            </w:r>
          </w:p>
          <w:p w14:paraId="5E37CCF8" w14:textId="77777777" w:rsidR="00A13E75" w:rsidRPr="000E53A0" w:rsidRDefault="00A13E75" w:rsidP="00A13E75">
            <w:pPr>
              <w:rPr>
                <w:i/>
                <w:szCs w:val="20"/>
                <w:lang w:val="fr-FR" w:eastAsia="ja-JP"/>
              </w:rPr>
            </w:pPr>
          </w:p>
          <w:p w14:paraId="1DBF336B" w14:textId="77777777" w:rsidR="00601D9B" w:rsidRPr="000E53A0" w:rsidRDefault="000E53A0">
            <w:pPr>
              <w:numPr>
                <w:ilvl w:val="0"/>
                <w:numId w:val="8"/>
              </w:numPr>
              <w:rPr>
                <w:i/>
                <w:szCs w:val="20"/>
                <w:lang w:val="fr-FR" w:eastAsia="ja-JP"/>
              </w:rPr>
            </w:pPr>
            <w:r w:rsidRPr="000E53A0">
              <w:rPr>
                <w:i/>
                <w:szCs w:val="20"/>
                <w:lang w:val="fr-FR" w:eastAsia="ja-JP"/>
              </w:rPr>
              <w:t>Pour le produit 1.1, le PABA coordonnera et fournira des conseils techniques aux spécialistes internationaux et nationaux de la politique, participera au processus d'examen de la politique et fournira des contributions aux recommandations politiques pour renforcer le système national d'AP.</w:t>
            </w:r>
          </w:p>
          <w:p w14:paraId="4B2443DF" w14:textId="77777777" w:rsidR="00A13E75" w:rsidRPr="000E53A0" w:rsidRDefault="00A13E75" w:rsidP="00A13E75">
            <w:pPr>
              <w:rPr>
                <w:i/>
                <w:szCs w:val="20"/>
                <w:lang w:val="fr-FR" w:eastAsia="ja-JP"/>
              </w:rPr>
            </w:pPr>
          </w:p>
          <w:p w14:paraId="494C9E19" w14:textId="77777777" w:rsidR="00601D9B" w:rsidRPr="000E53A0" w:rsidRDefault="000E53A0">
            <w:pPr>
              <w:numPr>
                <w:ilvl w:val="0"/>
                <w:numId w:val="8"/>
              </w:numPr>
              <w:rPr>
                <w:i/>
                <w:szCs w:val="20"/>
                <w:lang w:val="fr-FR" w:eastAsia="ja-JP"/>
              </w:rPr>
            </w:pPr>
            <w:r w:rsidRPr="000E53A0">
              <w:rPr>
                <w:i/>
                <w:szCs w:val="20"/>
                <w:lang w:val="fr-FR" w:eastAsia="ja-JP"/>
              </w:rPr>
              <w:t>Pour le produit 1.2, le PABA coordonnera et fournira des conseils techniques aux spécialistes internationaux et nationaux du renforcement des capacités en ce qui concerne la stratégie de renforcement des capacités et le plan d'action pour accroître l'efficacité de la gestion du système d'aires protégées ; le développement de normes de gestion des aires protégées et d'un système de suivi des performances ; le développement et l'institutionnalisation d'un système modernisé d'établissement de rapports sur les aires protégées ; le développement de protocoles d'application de la loi et de suivi de l'habitat et de la biodiversité ; et le développement et l'institutionnalisation d'un système de gestion des informations et des connaissances sur les aires protégées.</w:t>
            </w:r>
          </w:p>
          <w:p w14:paraId="1B5A07FD" w14:textId="77777777" w:rsidR="00A13E75" w:rsidRPr="000E53A0" w:rsidRDefault="00A13E75" w:rsidP="00A13E75">
            <w:pPr>
              <w:rPr>
                <w:i/>
                <w:szCs w:val="20"/>
                <w:lang w:val="fr-FR" w:eastAsia="ja-JP"/>
              </w:rPr>
            </w:pPr>
          </w:p>
          <w:p w14:paraId="67F145C1" w14:textId="77777777" w:rsidR="00601D9B" w:rsidRPr="000E53A0" w:rsidRDefault="000E53A0">
            <w:pPr>
              <w:numPr>
                <w:ilvl w:val="0"/>
                <w:numId w:val="8"/>
              </w:numPr>
              <w:rPr>
                <w:i/>
                <w:szCs w:val="20"/>
                <w:lang w:val="fr-FR" w:eastAsia="ja-JP"/>
              </w:rPr>
            </w:pPr>
            <w:r w:rsidRPr="000E53A0">
              <w:rPr>
                <w:i/>
                <w:szCs w:val="20"/>
                <w:lang w:val="fr-FR" w:eastAsia="ja-JP"/>
              </w:rPr>
              <w:t>Pour le résultat 1.3, le PABA fournira des conseils techniques aux spécialistes internationaux et nationaux du renforcement des capacités, et fournira des conseils et des contributions à l'élaboration et à la mise en œuvre d'un programme de formation pour améliorer les compétences focales des gestionnaires et des praticiens des zones protégées de niveau supérieur et intermédiaire.</w:t>
            </w:r>
          </w:p>
          <w:p w14:paraId="2E0DFCF1" w14:textId="77777777" w:rsidR="00A13E75" w:rsidRPr="000E53A0" w:rsidRDefault="00A13E75" w:rsidP="00A13E75">
            <w:pPr>
              <w:rPr>
                <w:i/>
                <w:szCs w:val="20"/>
                <w:lang w:val="fr-FR" w:eastAsia="ja-JP"/>
              </w:rPr>
            </w:pPr>
          </w:p>
          <w:p w14:paraId="69AD7EBE" w14:textId="77777777" w:rsidR="00601D9B" w:rsidRPr="000E53A0" w:rsidRDefault="000E53A0">
            <w:pPr>
              <w:numPr>
                <w:ilvl w:val="0"/>
                <w:numId w:val="8"/>
              </w:numPr>
              <w:rPr>
                <w:i/>
                <w:szCs w:val="20"/>
                <w:lang w:val="fr-FR" w:eastAsia="ja-JP"/>
              </w:rPr>
            </w:pPr>
            <w:r w:rsidRPr="000E53A0">
              <w:rPr>
                <w:i/>
                <w:szCs w:val="20"/>
                <w:lang w:val="fr-FR" w:eastAsia="ja-JP"/>
              </w:rPr>
              <w:t xml:space="preserve">Pour le résultat 1.4, le PABA coordonnera et fournira des conseils techniques aux experts internationaux et nationaux en financement durable concernant le développement d'une stratégie de </w:t>
            </w:r>
            <w:r w:rsidRPr="000E53A0">
              <w:rPr>
                <w:i/>
                <w:szCs w:val="20"/>
                <w:lang w:val="fr-FR" w:eastAsia="ja-JP"/>
              </w:rPr>
              <w:lastRenderedPageBreak/>
              <w:t xml:space="preserve">financement durable pour le système des aires protégées, le renforcement des capacités pour la mise en œuvre de la stratégie, le développement d'une série d'études pour informer les politiques et les plans de financement durable, et l'intégration des préoccupations du système des aires protégées dans le développement du programme REDD+. </w:t>
            </w:r>
          </w:p>
          <w:p w14:paraId="3FE42D05" w14:textId="77777777" w:rsidR="00A13E75" w:rsidRPr="000E53A0" w:rsidRDefault="00A13E75" w:rsidP="00A13E75">
            <w:pPr>
              <w:rPr>
                <w:i/>
                <w:szCs w:val="20"/>
                <w:lang w:val="fr-FR" w:eastAsia="ja-JP"/>
              </w:rPr>
            </w:pPr>
          </w:p>
          <w:p w14:paraId="2F9FE52B" w14:textId="77777777" w:rsidR="00601D9B" w:rsidRPr="000E53A0" w:rsidRDefault="000E53A0">
            <w:pPr>
              <w:numPr>
                <w:ilvl w:val="0"/>
                <w:numId w:val="8"/>
              </w:numPr>
              <w:rPr>
                <w:i/>
                <w:szCs w:val="20"/>
                <w:lang w:val="fr-FR" w:eastAsia="ja-JP"/>
              </w:rPr>
            </w:pPr>
            <w:r w:rsidRPr="000E53A0">
              <w:rPr>
                <w:i/>
                <w:szCs w:val="20"/>
                <w:lang w:val="fr-FR" w:eastAsia="ja-JP"/>
              </w:rPr>
              <w:t xml:space="preserve">Pour le résultat 1.5, le PABA coordonnera et fournira des conseils techniques à la conservation internationale et nationale du paysage concernant la sensibilisation et le renforcement des connaissances pour l'État, la région et les unités de gouvernement local dans l'État de Kachin et la région de Sagaing sur la valeur des AP ; et la mise en œuvre d'une campagne de marketing social liée au travail cofinancé de la stratégie de communication nationale de WCS.  </w:t>
            </w:r>
          </w:p>
          <w:p w14:paraId="24277FFC" w14:textId="77777777" w:rsidR="00A13E75" w:rsidRPr="000E53A0" w:rsidRDefault="00A13E75" w:rsidP="00A13E75">
            <w:pPr>
              <w:pStyle w:val="Paragraphedeliste"/>
              <w:rPr>
                <w:rFonts w:ascii="Calibri" w:hAnsi="Calibri"/>
                <w:i/>
                <w:sz w:val="20"/>
                <w:szCs w:val="20"/>
                <w:lang w:val="fr-FR" w:eastAsia="ja-JP"/>
              </w:rPr>
            </w:pPr>
          </w:p>
          <w:p w14:paraId="1A65A677" w14:textId="77777777" w:rsidR="00601D9B" w:rsidRPr="000E53A0" w:rsidRDefault="000E53A0">
            <w:pPr>
              <w:numPr>
                <w:ilvl w:val="0"/>
                <w:numId w:val="8"/>
              </w:numPr>
              <w:rPr>
                <w:i/>
                <w:szCs w:val="20"/>
                <w:lang w:val="fr-FR" w:eastAsia="ja-JP"/>
              </w:rPr>
            </w:pPr>
            <w:r w:rsidRPr="000E53A0">
              <w:rPr>
                <w:i/>
                <w:szCs w:val="20"/>
                <w:lang w:val="fr-FR" w:eastAsia="ja-JP"/>
              </w:rPr>
              <w:t>Pour le résultat 1.6, le PABA fournira des conseils techniques et un soutien au PABS national, au NWCD et à d'autres parties prenantes pour la mise en œuvre des recommandations de l'analyse des lacunes des aires protégées ; il coordonnera les plans pour les enquêtes biologiques et sociales de base pour les zones de valeur de conservation ; et il facilitera un processus coopératif pour identifier les zones potentielles pour la création d'aires protégées.</w:t>
            </w:r>
          </w:p>
        </w:tc>
      </w:tr>
    </w:tbl>
    <w:p w14:paraId="1C739370" w14:textId="77777777" w:rsidR="00EA1F5A" w:rsidRPr="000E53A0" w:rsidRDefault="00D42863">
      <w:pPr>
        <w:rPr>
          <w:rFonts w:ascii="Arial Narrow" w:hAnsi="Arial Narrow"/>
          <w:b/>
          <w:bCs/>
          <w:lang w:val="fr-FR"/>
        </w:rPr>
      </w:pPr>
      <w:r w:rsidRPr="000E53A0">
        <w:rPr>
          <w:lang w:val="fr-FR"/>
        </w:rPr>
        <w:lastRenderedPageBreak/>
        <w:br w:type="page"/>
      </w:r>
    </w:p>
    <w:p w14:paraId="18EBEF61" w14:textId="77777777" w:rsidR="00601D9B" w:rsidRPr="000E53A0" w:rsidRDefault="000E53A0">
      <w:pPr>
        <w:pStyle w:val="Titre2"/>
        <w:ind w:left="0"/>
        <w:rPr>
          <w:rFonts w:ascii="Calibri" w:hAnsi="Calibri"/>
          <w:szCs w:val="22"/>
          <w:lang w:val="fr-FR"/>
        </w:rPr>
      </w:pPr>
      <w:bookmarkStart w:id="83" w:name="_Toc46749096"/>
      <w:r w:rsidRPr="000E53A0">
        <w:rPr>
          <w:rFonts w:ascii="Calibri" w:hAnsi="Calibri"/>
          <w:szCs w:val="22"/>
          <w:lang w:val="fr-FR"/>
        </w:rPr>
        <w:lastRenderedPageBreak/>
        <w:t xml:space="preserve">Annexe </w:t>
      </w:r>
      <w:r w:rsidR="008223E5" w:rsidRPr="000E53A0">
        <w:rPr>
          <w:rFonts w:ascii="Calibri" w:hAnsi="Calibri"/>
          <w:szCs w:val="22"/>
          <w:lang w:val="fr-FR"/>
        </w:rPr>
        <w:t xml:space="preserve">9 </w:t>
      </w:r>
      <w:r w:rsidRPr="000E53A0">
        <w:rPr>
          <w:rFonts w:ascii="Calibri" w:hAnsi="Calibri"/>
          <w:szCs w:val="22"/>
          <w:lang w:val="fr-FR"/>
        </w:rPr>
        <w:t xml:space="preserve">: </w:t>
      </w:r>
      <w:commentRangeStart w:id="84"/>
      <w:r w:rsidRPr="000E53A0">
        <w:rPr>
          <w:rFonts w:ascii="Calibri" w:hAnsi="Calibri"/>
          <w:szCs w:val="22"/>
          <w:lang w:val="fr-FR"/>
        </w:rPr>
        <w:t xml:space="preserve">Plan d'engagement des parties prenantes </w:t>
      </w:r>
      <w:bookmarkEnd w:id="83"/>
      <w:commentRangeEnd w:id="84"/>
      <w:r w:rsidR="007B4208">
        <w:rPr>
          <w:rStyle w:val="Marquedecommentaire"/>
          <w:rFonts w:ascii="Times New Roman" w:hAnsi="Times New Roman"/>
          <w:b w:val="0"/>
          <w:bCs w:val="0"/>
        </w:rPr>
        <w:commentReference w:id="84"/>
      </w:r>
    </w:p>
    <w:p w14:paraId="2E4B1EDA" w14:textId="77777777" w:rsidR="00601D9B" w:rsidRPr="000E53A0" w:rsidRDefault="000E53A0">
      <w:pPr>
        <w:rPr>
          <w:i/>
          <w:szCs w:val="20"/>
          <w:lang w:val="fr-FR"/>
        </w:rPr>
      </w:pPr>
      <w:r w:rsidRPr="000E53A0">
        <w:rPr>
          <w:b/>
          <w:i/>
          <w:szCs w:val="20"/>
          <w:highlight w:val="yellow"/>
          <w:lang w:val="fr-FR"/>
        </w:rPr>
        <w:t xml:space="preserve">Conseils au développeur de projet </w:t>
      </w:r>
      <w:r w:rsidRPr="000E53A0">
        <w:rPr>
          <w:i/>
          <w:szCs w:val="20"/>
          <w:highlight w:val="yellow"/>
          <w:lang w:val="fr-FR"/>
        </w:rPr>
        <w:t xml:space="preserve">:  La portée et les détails du plan d'engagement des parties prenantes varieront en fonction de la nature du projet, du nombre de parties prenantes et de l'impact potentiel du projet et de ses risques. Veuillez vous référer aux </w:t>
      </w:r>
      <w:hyperlink r:id="rId45" w:history="1">
        <w:r w:rsidRPr="000E53A0">
          <w:rPr>
            <w:rStyle w:val="Lienhypertexte"/>
            <w:i/>
            <w:szCs w:val="20"/>
            <w:highlight w:val="yellow"/>
            <w:lang w:val="fr-FR"/>
          </w:rPr>
          <w:t xml:space="preserve">Directives du FEM sur la mise en œuvre de la politique d'implication des parties prenantes. </w:t>
        </w:r>
      </w:hyperlink>
      <w:r w:rsidRPr="000E53A0">
        <w:rPr>
          <w:i/>
          <w:szCs w:val="20"/>
          <w:highlight w:val="yellow"/>
          <w:lang w:val="fr-FR"/>
        </w:rPr>
        <w:t xml:space="preserve">Des conseils supplémentaires sont disponibles dans le cadre des </w:t>
      </w:r>
      <w:hyperlink r:id="rId46" w:history="1">
        <w:r w:rsidRPr="000E53A0">
          <w:rPr>
            <w:rStyle w:val="Lienhypertexte"/>
            <w:i/>
            <w:szCs w:val="20"/>
            <w:highlight w:val="yellow"/>
            <w:lang w:val="fr-FR"/>
          </w:rPr>
          <w:t>normes sociales et environnementales du PNUD</w:t>
        </w:r>
      </w:hyperlink>
      <w:r w:rsidRPr="000E53A0">
        <w:rPr>
          <w:i/>
          <w:szCs w:val="20"/>
          <w:highlight w:val="yellow"/>
          <w:lang w:val="fr-FR"/>
        </w:rPr>
        <w:t xml:space="preserve">. </w:t>
      </w:r>
    </w:p>
    <w:p w14:paraId="12EB5708" w14:textId="77777777" w:rsidR="00EA1F5A" w:rsidRPr="000E53A0" w:rsidRDefault="00EA1F5A" w:rsidP="00EA1F5A">
      <w:pPr>
        <w:rPr>
          <w:lang w:val="fr-FR"/>
        </w:rPr>
      </w:pPr>
    </w:p>
    <w:p w14:paraId="69768C78" w14:textId="77777777" w:rsidR="00601D9B" w:rsidRPr="000E53A0" w:rsidRDefault="000E53A0">
      <w:pPr>
        <w:rPr>
          <w:i/>
          <w:highlight w:val="yellow"/>
          <w:lang w:val="fr-FR"/>
        </w:rPr>
      </w:pPr>
      <w:r w:rsidRPr="000E53A0">
        <w:rPr>
          <w:i/>
          <w:highlight w:val="yellow"/>
          <w:lang w:val="fr-FR"/>
        </w:rPr>
        <w:t xml:space="preserve">Le plan d'engagement des parties prenantes doit comprendre les éléments minimaux suivants et doit être mis à la disposition du public sous une forme et dans une langue appropriées aux parties prenantes concernées et diffusé de manière proactive auprès d'elles : </w:t>
      </w:r>
    </w:p>
    <w:p w14:paraId="03F7CB23" w14:textId="77777777" w:rsidR="00601D9B" w:rsidRPr="000E53A0" w:rsidRDefault="000E53A0">
      <w:pPr>
        <w:pStyle w:val="Paragraphedeliste"/>
        <w:numPr>
          <w:ilvl w:val="0"/>
          <w:numId w:val="32"/>
        </w:numPr>
        <w:rPr>
          <w:rFonts w:asciiTheme="minorHAnsi" w:hAnsiTheme="minorHAnsi" w:cstheme="minorHAnsi"/>
          <w:i/>
          <w:sz w:val="20"/>
          <w:szCs w:val="20"/>
          <w:highlight w:val="yellow"/>
          <w:lang w:val="fr-FR"/>
        </w:rPr>
      </w:pPr>
      <w:r w:rsidRPr="000E53A0">
        <w:rPr>
          <w:rFonts w:asciiTheme="minorHAnsi" w:hAnsiTheme="minorHAnsi" w:cstheme="minorHAnsi"/>
          <w:i/>
          <w:sz w:val="20"/>
          <w:szCs w:val="20"/>
          <w:highlight w:val="yellow"/>
          <w:lang w:val="fr-FR"/>
        </w:rPr>
        <w:t xml:space="preserve">Participation du public pendant l'élaboration du projet </w:t>
      </w:r>
    </w:p>
    <w:p w14:paraId="5438B4A3" w14:textId="77777777" w:rsidR="00601D9B" w:rsidRPr="000E53A0" w:rsidRDefault="000E53A0">
      <w:pPr>
        <w:pStyle w:val="Paragraphedeliste"/>
        <w:numPr>
          <w:ilvl w:val="0"/>
          <w:numId w:val="32"/>
        </w:numPr>
        <w:rPr>
          <w:rFonts w:asciiTheme="minorHAnsi" w:hAnsiTheme="minorHAnsi" w:cstheme="minorHAnsi"/>
          <w:i/>
          <w:sz w:val="20"/>
          <w:szCs w:val="20"/>
          <w:highlight w:val="yellow"/>
          <w:lang w:val="fr-FR"/>
        </w:rPr>
      </w:pPr>
      <w:r w:rsidRPr="000E53A0">
        <w:rPr>
          <w:rFonts w:asciiTheme="minorHAnsi" w:hAnsiTheme="minorHAnsi" w:cstheme="minorHAnsi"/>
          <w:i/>
          <w:sz w:val="20"/>
          <w:szCs w:val="20"/>
          <w:highlight w:val="yellow"/>
          <w:lang w:val="fr-FR"/>
        </w:rPr>
        <w:t xml:space="preserve">Les parties prenantes, leurs intérêts pertinents et la raison pour laquelle elles sont incluses. </w:t>
      </w:r>
    </w:p>
    <w:p w14:paraId="1E76B087" w14:textId="77777777" w:rsidR="00601D9B" w:rsidRPr="000E53A0" w:rsidRDefault="000E53A0">
      <w:pPr>
        <w:pStyle w:val="Paragraphedeliste"/>
        <w:numPr>
          <w:ilvl w:val="0"/>
          <w:numId w:val="32"/>
        </w:numPr>
        <w:rPr>
          <w:rFonts w:asciiTheme="minorHAnsi" w:hAnsiTheme="minorHAnsi" w:cstheme="minorHAnsi"/>
          <w:i/>
          <w:sz w:val="20"/>
          <w:szCs w:val="20"/>
          <w:highlight w:val="yellow"/>
          <w:lang w:val="fr-FR"/>
        </w:rPr>
      </w:pPr>
      <w:r w:rsidRPr="000E53A0">
        <w:rPr>
          <w:rFonts w:asciiTheme="minorHAnsi" w:hAnsiTheme="minorHAnsi" w:cstheme="minorHAnsi"/>
          <w:i/>
          <w:sz w:val="20"/>
          <w:szCs w:val="20"/>
          <w:highlight w:val="yellow"/>
          <w:lang w:val="fr-FR"/>
        </w:rPr>
        <w:t xml:space="preserve">Les étapes et les actions pour réaliser une consultation significative et une participation inclusive, y compris la diffusion de l'information. </w:t>
      </w:r>
    </w:p>
    <w:p w14:paraId="4A5EE051" w14:textId="77777777" w:rsidR="00601D9B" w:rsidRPr="000E53A0" w:rsidRDefault="000E53A0">
      <w:pPr>
        <w:pStyle w:val="Paragraphedeliste"/>
        <w:numPr>
          <w:ilvl w:val="0"/>
          <w:numId w:val="32"/>
        </w:numPr>
        <w:rPr>
          <w:rFonts w:asciiTheme="minorHAnsi" w:hAnsiTheme="minorHAnsi" w:cstheme="minorHAnsi"/>
          <w:i/>
          <w:sz w:val="20"/>
          <w:szCs w:val="20"/>
          <w:highlight w:val="yellow"/>
          <w:lang w:val="fr-FR"/>
        </w:rPr>
      </w:pPr>
      <w:r w:rsidRPr="000E53A0">
        <w:rPr>
          <w:rFonts w:asciiTheme="minorHAnsi" w:hAnsiTheme="minorHAnsi" w:cstheme="minorHAnsi"/>
          <w:i/>
          <w:sz w:val="20"/>
          <w:szCs w:val="20"/>
          <w:highlight w:val="yellow"/>
          <w:lang w:val="fr-FR"/>
        </w:rPr>
        <w:t xml:space="preserve">Rôles et responsabilités pour la mise en œuvre du plan </w:t>
      </w:r>
    </w:p>
    <w:p w14:paraId="34D062E3" w14:textId="77777777" w:rsidR="00601D9B" w:rsidRPr="000E53A0" w:rsidRDefault="000E53A0">
      <w:pPr>
        <w:pStyle w:val="Paragraphedeliste"/>
        <w:numPr>
          <w:ilvl w:val="0"/>
          <w:numId w:val="32"/>
        </w:numPr>
        <w:rPr>
          <w:rFonts w:asciiTheme="minorHAnsi" w:hAnsiTheme="minorHAnsi" w:cstheme="minorHAnsi"/>
          <w:i/>
          <w:sz w:val="20"/>
          <w:szCs w:val="20"/>
          <w:highlight w:val="yellow"/>
          <w:lang w:val="fr-FR"/>
        </w:rPr>
      </w:pPr>
      <w:r w:rsidRPr="000E53A0">
        <w:rPr>
          <w:rFonts w:asciiTheme="minorHAnsi" w:hAnsiTheme="minorHAnsi" w:cstheme="minorHAnsi"/>
          <w:i/>
          <w:sz w:val="20"/>
          <w:szCs w:val="20"/>
          <w:highlight w:val="yellow"/>
          <w:lang w:val="fr-FR"/>
        </w:rPr>
        <w:t>Le calendrier de l'engagement tout au long du cycle du projet</w:t>
      </w:r>
    </w:p>
    <w:p w14:paraId="396E61AD" w14:textId="77777777" w:rsidR="00601D9B" w:rsidRPr="000E53A0" w:rsidRDefault="000E53A0">
      <w:pPr>
        <w:pStyle w:val="Paragraphedeliste"/>
        <w:numPr>
          <w:ilvl w:val="0"/>
          <w:numId w:val="32"/>
        </w:numPr>
        <w:rPr>
          <w:rFonts w:asciiTheme="minorHAnsi" w:hAnsiTheme="minorHAnsi" w:cstheme="minorHAnsi"/>
          <w:i/>
          <w:sz w:val="20"/>
          <w:szCs w:val="20"/>
          <w:highlight w:val="yellow"/>
          <w:lang w:val="fr-FR"/>
        </w:rPr>
      </w:pPr>
      <w:r w:rsidRPr="000E53A0">
        <w:rPr>
          <w:rFonts w:asciiTheme="minorHAnsi" w:hAnsiTheme="minorHAnsi" w:cstheme="minorHAnsi"/>
          <w:i/>
          <w:sz w:val="20"/>
          <w:szCs w:val="20"/>
          <w:highlight w:val="yellow"/>
          <w:lang w:val="fr-FR"/>
        </w:rPr>
        <w:t xml:space="preserve">Le budget pour l'engagement des parties prenantes tout au long du cycle du projet et, le cas échéant, pour le renforcement des capacités nécessaires à cet engagement. </w:t>
      </w:r>
    </w:p>
    <w:p w14:paraId="5AA60110" w14:textId="77777777" w:rsidR="00601D9B" w:rsidRPr="000E53A0" w:rsidRDefault="000E53A0">
      <w:pPr>
        <w:pStyle w:val="Paragraphedeliste"/>
        <w:numPr>
          <w:ilvl w:val="0"/>
          <w:numId w:val="32"/>
        </w:numPr>
        <w:rPr>
          <w:rFonts w:asciiTheme="minorHAnsi" w:hAnsiTheme="minorHAnsi" w:cstheme="minorHAnsi"/>
          <w:i/>
          <w:sz w:val="20"/>
          <w:szCs w:val="20"/>
          <w:highlight w:val="yellow"/>
          <w:lang w:val="fr-FR"/>
        </w:rPr>
      </w:pPr>
      <w:r w:rsidRPr="000E53A0">
        <w:rPr>
          <w:rFonts w:asciiTheme="minorHAnsi" w:hAnsiTheme="minorHAnsi" w:cstheme="minorHAnsi"/>
          <w:i/>
          <w:sz w:val="20"/>
          <w:szCs w:val="20"/>
          <w:highlight w:val="yellow"/>
          <w:lang w:val="fr-FR"/>
        </w:rPr>
        <w:t>Les indicateurs clés de l'engagement des parties prenantes pendant la mise en œuvre du projet, et les mesures qui seront prises pour suivre et rendre compte des progrès et des problèmes qui se posent.</w:t>
      </w:r>
    </w:p>
    <w:p w14:paraId="2D83AD23" w14:textId="77777777" w:rsidR="00601D9B" w:rsidRPr="000E53A0" w:rsidRDefault="000E53A0">
      <w:pPr>
        <w:rPr>
          <w:rFonts w:cs="Calibri"/>
          <w:b/>
          <w:bCs/>
          <w:szCs w:val="20"/>
          <w:lang w:val="fr-FR"/>
        </w:rPr>
      </w:pPr>
      <w:r w:rsidRPr="000E53A0">
        <w:rPr>
          <w:i/>
          <w:highlight w:val="yellow"/>
          <w:lang w:val="fr-FR"/>
        </w:rPr>
        <w:t xml:space="preserve">Si le consentement libre, préalable et éclairé (CLPE) est requis pour des activités spécifiques du projet, indiquez comment cela sera abordé.  </w:t>
      </w:r>
    </w:p>
    <w:p w14:paraId="2F95E7E4" w14:textId="77777777" w:rsidR="00EA1F5A" w:rsidRPr="000E53A0" w:rsidRDefault="00EA1F5A" w:rsidP="00EA1F5A">
      <w:pPr>
        <w:rPr>
          <w:rFonts w:cs="Calibri"/>
          <w:b/>
          <w:bCs/>
          <w:szCs w:val="20"/>
          <w:lang w:val="fr-FR"/>
        </w:rPr>
      </w:pPr>
      <w:r w:rsidRPr="000E53A0">
        <w:rPr>
          <w:rFonts w:cs="Calibri"/>
          <w:szCs w:val="20"/>
          <w:lang w:val="fr-FR"/>
        </w:rPr>
        <w:br w:type="page"/>
      </w:r>
    </w:p>
    <w:p w14:paraId="24EDD6F1" w14:textId="77777777" w:rsidR="00601D9B" w:rsidRPr="000E53A0" w:rsidRDefault="000E53A0">
      <w:pPr>
        <w:pStyle w:val="Titre2"/>
        <w:ind w:left="0"/>
        <w:rPr>
          <w:rFonts w:asciiTheme="minorHAnsi" w:hAnsiTheme="minorHAnsi" w:cstheme="minorHAnsi"/>
          <w:sz w:val="22"/>
          <w:szCs w:val="22"/>
          <w:lang w:val="fr-FR"/>
        </w:rPr>
      </w:pPr>
      <w:bookmarkStart w:id="85" w:name="_Toc46749097"/>
      <w:r w:rsidRPr="000E53A0">
        <w:rPr>
          <w:rFonts w:asciiTheme="minorHAnsi" w:hAnsiTheme="minorHAnsi" w:cstheme="minorHAnsi"/>
          <w:sz w:val="22"/>
          <w:szCs w:val="22"/>
          <w:lang w:val="fr-FR"/>
        </w:rPr>
        <w:lastRenderedPageBreak/>
        <w:t xml:space="preserve">Annexe </w:t>
      </w:r>
      <w:r w:rsidR="008223E5" w:rsidRPr="000E53A0">
        <w:rPr>
          <w:rFonts w:asciiTheme="minorHAnsi" w:hAnsiTheme="minorHAnsi" w:cstheme="minorHAnsi"/>
          <w:sz w:val="22"/>
          <w:szCs w:val="22"/>
          <w:lang w:val="fr-FR"/>
        </w:rPr>
        <w:t xml:space="preserve">10 </w:t>
      </w:r>
      <w:r w:rsidRPr="000E53A0">
        <w:rPr>
          <w:rFonts w:asciiTheme="minorHAnsi" w:hAnsiTheme="minorHAnsi" w:cstheme="minorHAnsi"/>
          <w:sz w:val="22"/>
          <w:szCs w:val="22"/>
          <w:lang w:val="fr-FR"/>
        </w:rPr>
        <w:t xml:space="preserve">: </w:t>
      </w:r>
      <w:r w:rsidR="00714748" w:rsidRPr="000E53A0">
        <w:rPr>
          <w:rFonts w:asciiTheme="minorHAnsi" w:hAnsiTheme="minorHAnsi" w:cstheme="minorHAnsi"/>
          <w:sz w:val="22"/>
          <w:szCs w:val="22"/>
          <w:lang w:val="fr-FR"/>
        </w:rPr>
        <w:t xml:space="preserve">Cadre de gestion environnementale et sociale (CGES) </w:t>
      </w:r>
      <w:r w:rsidR="00C13BA9" w:rsidRPr="000E53A0">
        <w:rPr>
          <w:rFonts w:asciiTheme="minorHAnsi" w:hAnsiTheme="minorHAnsi" w:cstheme="minorHAnsi"/>
          <w:sz w:val="22"/>
          <w:szCs w:val="22"/>
          <w:lang w:val="fr-FR"/>
        </w:rPr>
        <w:t xml:space="preserve">et autres cadres/plans de SES </w:t>
      </w:r>
      <w:r w:rsidR="00714748" w:rsidRPr="000E53A0">
        <w:rPr>
          <w:rFonts w:asciiTheme="minorHAnsi" w:hAnsiTheme="minorHAnsi" w:cstheme="minorHAnsi"/>
          <w:sz w:val="22"/>
          <w:szCs w:val="22"/>
          <w:lang w:val="fr-FR"/>
        </w:rPr>
        <w:t xml:space="preserve">si </w:t>
      </w:r>
      <w:commentRangeStart w:id="86"/>
      <w:r w:rsidR="00714748" w:rsidRPr="000E53A0">
        <w:rPr>
          <w:rFonts w:asciiTheme="minorHAnsi" w:hAnsiTheme="minorHAnsi" w:cstheme="minorHAnsi"/>
          <w:sz w:val="22"/>
          <w:szCs w:val="22"/>
          <w:lang w:val="fr-FR"/>
        </w:rPr>
        <w:t xml:space="preserve">nécessaire. </w:t>
      </w:r>
      <w:bookmarkEnd w:id="85"/>
      <w:commentRangeEnd w:id="86"/>
      <w:r w:rsidR="007B4208">
        <w:rPr>
          <w:rStyle w:val="Marquedecommentaire"/>
          <w:rFonts w:ascii="Times New Roman" w:hAnsi="Times New Roman"/>
          <w:b w:val="0"/>
          <w:bCs w:val="0"/>
        </w:rPr>
        <w:commentReference w:id="86"/>
      </w:r>
    </w:p>
    <w:p w14:paraId="535BAF78" w14:textId="77777777" w:rsidR="00601D9B" w:rsidRPr="000E53A0" w:rsidRDefault="000E53A0">
      <w:pPr>
        <w:pStyle w:val="Titre2"/>
        <w:ind w:left="0"/>
        <w:rPr>
          <w:rFonts w:asciiTheme="minorHAnsi" w:hAnsiTheme="minorHAnsi" w:cstheme="minorHAnsi"/>
          <w:sz w:val="22"/>
          <w:szCs w:val="22"/>
          <w:lang w:val="fr-FR"/>
        </w:rPr>
      </w:pPr>
      <w:bookmarkStart w:id="87" w:name="_Toc46749098"/>
      <w:r w:rsidRPr="000E53A0">
        <w:rPr>
          <w:rFonts w:asciiTheme="minorHAnsi" w:hAnsiTheme="minorHAnsi" w:cstheme="minorHAnsi"/>
          <w:sz w:val="22"/>
          <w:szCs w:val="22"/>
          <w:lang w:val="fr-FR"/>
        </w:rPr>
        <w:t xml:space="preserve">Annexe </w:t>
      </w:r>
      <w:r w:rsidR="008223E5" w:rsidRPr="000E53A0">
        <w:rPr>
          <w:rFonts w:asciiTheme="minorHAnsi" w:hAnsiTheme="minorHAnsi" w:cstheme="minorHAnsi"/>
          <w:sz w:val="22"/>
          <w:szCs w:val="22"/>
          <w:lang w:val="fr-FR"/>
        </w:rPr>
        <w:t xml:space="preserve">11 </w:t>
      </w:r>
      <w:r w:rsidRPr="000E53A0">
        <w:rPr>
          <w:rFonts w:asciiTheme="minorHAnsi" w:hAnsiTheme="minorHAnsi" w:cstheme="minorHAnsi"/>
          <w:sz w:val="22"/>
          <w:szCs w:val="22"/>
          <w:lang w:val="fr-FR"/>
        </w:rPr>
        <w:t xml:space="preserve">: </w:t>
      </w:r>
      <w:r w:rsidR="00714748" w:rsidRPr="000E53A0">
        <w:rPr>
          <w:rFonts w:asciiTheme="minorHAnsi" w:hAnsiTheme="minorHAnsi" w:cstheme="minorHAnsi"/>
          <w:sz w:val="22"/>
          <w:szCs w:val="22"/>
          <w:lang w:val="fr-FR"/>
        </w:rPr>
        <w:t xml:space="preserve">Analyse de genre et </w:t>
      </w:r>
      <w:commentRangeStart w:id="88"/>
      <w:r w:rsidR="00714748" w:rsidRPr="000E53A0">
        <w:rPr>
          <w:rFonts w:asciiTheme="minorHAnsi" w:hAnsiTheme="minorHAnsi" w:cstheme="minorHAnsi"/>
          <w:sz w:val="22"/>
          <w:szCs w:val="22"/>
          <w:lang w:val="fr-FR"/>
        </w:rPr>
        <w:t xml:space="preserve">plan d'action de genre </w:t>
      </w:r>
      <w:bookmarkEnd w:id="87"/>
      <w:commentRangeEnd w:id="88"/>
      <w:r w:rsidR="007B4208">
        <w:rPr>
          <w:rStyle w:val="Marquedecommentaire"/>
          <w:rFonts w:ascii="Times New Roman" w:hAnsi="Times New Roman"/>
          <w:b w:val="0"/>
          <w:bCs w:val="0"/>
        </w:rPr>
        <w:commentReference w:id="88"/>
      </w:r>
    </w:p>
    <w:p w14:paraId="7F677937" w14:textId="77777777" w:rsidR="00601D9B" w:rsidRPr="000E53A0" w:rsidRDefault="000E53A0">
      <w:pPr>
        <w:pStyle w:val="Titre2"/>
        <w:ind w:left="0"/>
        <w:rPr>
          <w:rFonts w:asciiTheme="minorHAnsi" w:hAnsiTheme="minorHAnsi" w:cstheme="minorHAnsi"/>
          <w:sz w:val="22"/>
          <w:szCs w:val="22"/>
          <w:lang w:val="fr-FR"/>
        </w:rPr>
      </w:pPr>
      <w:bookmarkStart w:id="89" w:name="_Toc46749099"/>
      <w:r w:rsidRPr="000E53A0">
        <w:rPr>
          <w:rFonts w:asciiTheme="minorHAnsi" w:hAnsiTheme="minorHAnsi" w:cstheme="minorHAnsi"/>
          <w:sz w:val="22"/>
          <w:szCs w:val="22"/>
          <w:lang w:val="fr-FR"/>
        </w:rPr>
        <w:t xml:space="preserve">Annexe </w:t>
      </w:r>
      <w:r w:rsidR="008223E5" w:rsidRPr="000E53A0">
        <w:rPr>
          <w:rFonts w:asciiTheme="minorHAnsi" w:hAnsiTheme="minorHAnsi" w:cstheme="minorHAnsi"/>
          <w:sz w:val="22"/>
          <w:szCs w:val="22"/>
          <w:lang w:val="fr-FR"/>
        </w:rPr>
        <w:t xml:space="preserve">12 </w:t>
      </w:r>
      <w:r w:rsidRPr="000E53A0">
        <w:rPr>
          <w:rFonts w:asciiTheme="minorHAnsi" w:hAnsiTheme="minorHAnsi" w:cstheme="minorHAnsi"/>
          <w:sz w:val="22"/>
          <w:szCs w:val="22"/>
          <w:lang w:val="fr-FR"/>
        </w:rPr>
        <w:t xml:space="preserve">: </w:t>
      </w:r>
      <w:r w:rsidR="00714748" w:rsidRPr="000E53A0">
        <w:rPr>
          <w:rFonts w:asciiTheme="minorHAnsi" w:hAnsiTheme="minorHAnsi" w:cstheme="minorHAnsi"/>
          <w:sz w:val="22"/>
          <w:szCs w:val="22"/>
          <w:lang w:val="fr-FR"/>
        </w:rPr>
        <w:t>Plan de passation de marchés</w:t>
      </w:r>
      <w:bookmarkEnd w:id="89"/>
      <w:commentRangeStart w:id="90"/>
      <w:commentRangeEnd w:id="90"/>
      <w:r w:rsidR="007B4208">
        <w:rPr>
          <w:rStyle w:val="Marquedecommentaire"/>
          <w:rFonts w:ascii="Times New Roman" w:hAnsi="Times New Roman"/>
          <w:b w:val="0"/>
          <w:bCs w:val="0"/>
        </w:rPr>
        <w:commentReference w:id="90"/>
      </w:r>
    </w:p>
    <w:p w14:paraId="3FA21F07" w14:textId="77777777" w:rsidR="00601D9B" w:rsidRPr="000E53A0" w:rsidRDefault="000E53A0">
      <w:pPr>
        <w:pStyle w:val="bodybullets"/>
        <w:ind w:left="360"/>
        <w:rPr>
          <w:lang w:val="fr-FR"/>
        </w:rPr>
      </w:pPr>
      <w:bookmarkStart w:id="91" w:name="_Toc46749100"/>
      <w:r w:rsidRPr="000E53A0">
        <w:rPr>
          <w:rStyle w:val="Titre2Car"/>
          <w:rFonts w:asciiTheme="minorHAnsi" w:hAnsiTheme="minorHAnsi" w:cstheme="minorHAnsi"/>
          <w:i w:val="0"/>
          <w:iCs w:val="0"/>
          <w:sz w:val="22"/>
          <w:szCs w:val="22"/>
          <w:lang w:val="fr-FR"/>
        </w:rPr>
        <w:t xml:space="preserve">Annexe </w:t>
      </w:r>
      <w:r w:rsidR="008223E5" w:rsidRPr="000E53A0">
        <w:rPr>
          <w:rStyle w:val="Titre2Car"/>
          <w:rFonts w:asciiTheme="minorHAnsi" w:hAnsiTheme="minorHAnsi" w:cstheme="minorHAnsi"/>
          <w:i w:val="0"/>
          <w:iCs w:val="0"/>
          <w:sz w:val="22"/>
          <w:szCs w:val="22"/>
          <w:lang w:val="fr-FR"/>
        </w:rPr>
        <w:t xml:space="preserve">13 </w:t>
      </w:r>
      <w:r w:rsidRPr="000E53A0">
        <w:rPr>
          <w:rStyle w:val="Titre2Car"/>
          <w:rFonts w:asciiTheme="minorHAnsi" w:hAnsiTheme="minorHAnsi" w:cstheme="minorHAnsi"/>
          <w:i w:val="0"/>
          <w:iCs w:val="0"/>
          <w:sz w:val="22"/>
          <w:szCs w:val="22"/>
          <w:lang w:val="fr-FR"/>
        </w:rPr>
        <w:t xml:space="preserve">: </w:t>
      </w:r>
      <w:r w:rsidR="00714748" w:rsidRPr="000E53A0">
        <w:rPr>
          <w:rStyle w:val="Titre2Car"/>
          <w:rFonts w:asciiTheme="minorHAnsi" w:hAnsiTheme="minorHAnsi" w:cstheme="minorHAnsi"/>
          <w:i w:val="0"/>
          <w:iCs w:val="0"/>
          <w:sz w:val="22"/>
          <w:szCs w:val="22"/>
          <w:lang w:val="fr-FR"/>
        </w:rPr>
        <w:t>annexes</w:t>
      </w:r>
      <w:bookmarkEnd w:id="91"/>
      <w:commentRangeStart w:id="92"/>
      <w:commentRangeEnd w:id="92"/>
      <w:r w:rsidR="007B4208">
        <w:rPr>
          <w:rStyle w:val="Marquedecommentaire"/>
          <w:lang w:eastAsia="en-GB"/>
        </w:rPr>
        <w:commentReference w:id="92"/>
      </w:r>
      <w:r w:rsidR="00714748" w:rsidRPr="000E53A0">
        <w:rPr>
          <w:lang w:val="fr-FR"/>
        </w:rPr>
        <w:t xml:space="preserve"> </w:t>
      </w:r>
      <w:r w:rsidR="00714748" w:rsidRPr="000E53A0">
        <w:rPr>
          <w:rStyle w:val="Titre2Car"/>
          <w:rFonts w:asciiTheme="minorHAnsi" w:hAnsiTheme="minorHAnsi" w:cstheme="minorHAnsi"/>
          <w:i w:val="0"/>
          <w:iCs w:val="0"/>
          <w:sz w:val="22"/>
          <w:szCs w:val="22"/>
          <w:lang w:val="fr-FR"/>
        </w:rPr>
        <w:t xml:space="preserve">spécifiques au domaine d'intervention du FEM </w:t>
      </w:r>
      <w:r w:rsidR="00714748" w:rsidRPr="000E53A0">
        <w:rPr>
          <w:lang w:val="fr-FR"/>
        </w:rPr>
        <w:t xml:space="preserve">(par exemple, METT, calculs de GES, profil du paysage cible, étude de faisabilité, autres rapports techniques). </w:t>
      </w:r>
    </w:p>
    <w:p w14:paraId="498D26AF" w14:textId="77777777" w:rsidR="00601D9B" w:rsidRPr="000E53A0" w:rsidRDefault="000E53A0">
      <w:pPr>
        <w:pStyle w:val="bodybullets"/>
        <w:ind w:left="360"/>
        <w:rPr>
          <w:lang w:val="fr-FR"/>
        </w:rPr>
      </w:pPr>
      <w:bookmarkStart w:id="93" w:name="_Toc46749101"/>
      <w:r w:rsidRPr="000E53A0">
        <w:rPr>
          <w:rStyle w:val="Titre2Car"/>
          <w:rFonts w:asciiTheme="minorHAnsi" w:hAnsiTheme="minorHAnsi" w:cstheme="minorHAnsi"/>
          <w:i w:val="0"/>
          <w:iCs w:val="0"/>
          <w:sz w:val="22"/>
          <w:szCs w:val="22"/>
          <w:lang w:val="fr-FR"/>
        </w:rPr>
        <w:t xml:space="preserve">Annexe </w:t>
      </w:r>
      <w:r w:rsidR="008223E5" w:rsidRPr="000E53A0">
        <w:rPr>
          <w:rStyle w:val="Titre2Car"/>
          <w:rFonts w:asciiTheme="minorHAnsi" w:hAnsiTheme="minorHAnsi" w:cstheme="minorHAnsi"/>
          <w:i w:val="0"/>
          <w:iCs w:val="0"/>
          <w:sz w:val="22"/>
          <w:szCs w:val="22"/>
          <w:lang w:val="fr-FR"/>
        </w:rPr>
        <w:t xml:space="preserve">14 </w:t>
      </w:r>
      <w:r w:rsidRPr="000E53A0">
        <w:rPr>
          <w:rStyle w:val="Titre2Car"/>
          <w:rFonts w:asciiTheme="minorHAnsi" w:hAnsiTheme="minorHAnsi" w:cstheme="minorHAnsi"/>
          <w:i w:val="0"/>
          <w:iCs w:val="0"/>
          <w:sz w:val="22"/>
          <w:szCs w:val="22"/>
          <w:lang w:val="fr-FR"/>
        </w:rPr>
        <w:t xml:space="preserve">: </w:t>
      </w:r>
      <w:r w:rsidR="00714748" w:rsidRPr="000E53A0">
        <w:rPr>
          <w:rStyle w:val="Titre2Car"/>
          <w:rFonts w:asciiTheme="minorHAnsi" w:hAnsiTheme="minorHAnsi" w:cstheme="minorHAnsi"/>
          <w:i w:val="0"/>
          <w:iCs w:val="0"/>
          <w:sz w:val="22"/>
          <w:szCs w:val="22"/>
          <w:lang w:val="fr-FR"/>
        </w:rPr>
        <w:t xml:space="preserve">Accords supplémentaires </w:t>
      </w:r>
      <w:bookmarkEnd w:id="93"/>
      <w:r w:rsidR="00714748" w:rsidRPr="000E53A0">
        <w:rPr>
          <w:lang w:val="fr-FR"/>
        </w:rPr>
        <w:t xml:space="preserve">: tels que des accords de partage des coûts, des </w:t>
      </w:r>
      <w:commentRangeStart w:id="94"/>
      <w:commentRangeEnd w:id="94"/>
      <w:r w:rsidR="007B4208">
        <w:rPr>
          <w:rStyle w:val="Marquedecommentaire"/>
          <w:lang w:eastAsia="en-GB"/>
        </w:rPr>
        <w:commentReference w:id="94"/>
      </w:r>
      <w:r w:rsidR="00714748" w:rsidRPr="000E53A0">
        <w:rPr>
          <w:lang w:val="fr-FR"/>
        </w:rPr>
        <w:t>accords de coopération de projet signés avec des ONG (où l'ONG est désignée comme "entité d'exécution"), des lettres d'engagements financiers, etc.</w:t>
      </w:r>
    </w:p>
    <w:p w14:paraId="4711EAEE" w14:textId="77777777" w:rsidR="00711D58" w:rsidRPr="000E53A0" w:rsidRDefault="00711D58" w:rsidP="002367DC">
      <w:pPr>
        <w:pStyle w:val="Titre2"/>
        <w:tabs>
          <w:tab w:val="left" w:pos="1740"/>
        </w:tabs>
        <w:ind w:left="0"/>
        <w:rPr>
          <w:rFonts w:ascii="Calibri" w:hAnsi="Calibri"/>
          <w:szCs w:val="22"/>
          <w:lang w:val="fr-FR"/>
        </w:rPr>
      </w:pPr>
      <w:r w:rsidRPr="000E53A0">
        <w:rPr>
          <w:rFonts w:ascii="Calibri" w:hAnsi="Calibri"/>
          <w:szCs w:val="22"/>
          <w:lang w:val="fr-FR"/>
        </w:rPr>
        <w:br/>
      </w:r>
    </w:p>
    <w:p w14:paraId="156E80C2" w14:textId="77777777" w:rsidR="00711D58" w:rsidRPr="000E53A0" w:rsidRDefault="00711D58">
      <w:pPr>
        <w:rPr>
          <w:b/>
          <w:bCs/>
          <w:szCs w:val="22"/>
          <w:lang w:val="fr-FR"/>
        </w:rPr>
      </w:pPr>
      <w:r w:rsidRPr="000E53A0">
        <w:rPr>
          <w:szCs w:val="22"/>
          <w:lang w:val="fr-FR"/>
        </w:rPr>
        <w:br w:type="page"/>
      </w:r>
    </w:p>
    <w:p w14:paraId="4B4E5337" w14:textId="77777777" w:rsidR="00601D9B" w:rsidRPr="000E53A0" w:rsidRDefault="000E53A0">
      <w:pPr>
        <w:pStyle w:val="Titre2"/>
        <w:tabs>
          <w:tab w:val="left" w:pos="1740"/>
        </w:tabs>
        <w:ind w:left="0"/>
        <w:rPr>
          <w:rFonts w:ascii="Calibri" w:hAnsi="Calibri"/>
          <w:szCs w:val="22"/>
          <w:lang w:val="fr-FR"/>
        </w:rPr>
      </w:pPr>
      <w:bookmarkStart w:id="95" w:name="_Toc46749102"/>
      <w:r w:rsidRPr="000E53A0">
        <w:rPr>
          <w:rFonts w:ascii="Calibri" w:hAnsi="Calibri"/>
          <w:szCs w:val="22"/>
          <w:lang w:val="fr-FR"/>
        </w:rPr>
        <w:lastRenderedPageBreak/>
        <w:t xml:space="preserve">Annexe </w:t>
      </w:r>
      <w:r w:rsidR="00C13BA9" w:rsidRPr="000E53A0">
        <w:rPr>
          <w:rFonts w:ascii="Calibri" w:hAnsi="Calibri"/>
          <w:szCs w:val="22"/>
          <w:lang w:val="fr-FR"/>
        </w:rPr>
        <w:t xml:space="preserve">15 </w:t>
      </w:r>
      <w:r w:rsidRPr="000E53A0">
        <w:rPr>
          <w:rFonts w:ascii="Calibri" w:hAnsi="Calibri"/>
          <w:szCs w:val="22"/>
          <w:lang w:val="fr-FR"/>
        </w:rPr>
        <w:t>: Indicateurs de base du</w:t>
      </w:r>
      <w:commentRangeStart w:id="96"/>
      <w:r w:rsidRPr="000E53A0">
        <w:rPr>
          <w:rFonts w:ascii="Calibri" w:hAnsi="Calibri"/>
          <w:szCs w:val="22"/>
          <w:lang w:val="fr-FR"/>
        </w:rPr>
        <w:t xml:space="preserve"> FEM </w:t>
      </w:r>
      <w:bookmarkEnd w:id="95"/>
      <w:commentRangeEnd w:id="96"/>
      <w:r w:rsidR="007B4208">
        <w:rPr>
          <w:rStyle w:val="Marquedecommentaire"/>
          <w:rFonts w:ascii="Times New Roman" w:hAnsi="Times New Roman"/>
          <w:b w:val="0"/>
          <w:bCs w:val="0"/>
        </w:rPr>
        <w:commentReference w:id="96"/>
      </w:r>
    </w:p>
    <w:p w14:paraId="16DB3C6D" w14:textId="77777777" w:rsidR="00601D9B" w:rsidRPr="000E53A0" w:rsidRDefault="000E53A0">
      <w:pPr>
        <w:rPr>
          <w:i/>
          <w:highlight w:val="yellow"/>
          <w:lang w:val="fr-FR"/>
        </w:rPr>
      </w:pPr>
      <w:r w:rsidRPr="000E53A0">
        <w:rPr>
          <w:b/>
          <w:i/>
          <w:highlight w:val="yellow"/>
          <w:lang w:val="fr-FR"/>
        </w:rPr>
        <w:t xml:space="preserve">Conseils au développeur de projet </w:t>
      </w:r>
      <w:r w:rsidRPr="000E53A0">
        <w:rPr>
          <w:i/>
          <w:highlight w:val="yellow"/>
          <w:lang w:val="fr-FR"/>
        </w:rPr>
        <w:t>: Veuillez remplir ces tableaux comme il convient</w:t>
      </w:r>
      <w:r w:rsidR="007B496D" w:rsidRPr="000E53A0">
        <w:rPr>
          <w:i/>
          <w:highlight w:val="yellow"/>
          <w:lang w:val="fr-FR"/>
        </w:rPr>
        <w:t>, en notant que tous les projets sont censés fournir des données pour l'indicateur de base 11 (bénéficiaires directs ; premier indicateur du cadre de résultats) au minimum. Toutefois, s'il est conclu qu'aucun indicateur n'est pertinent pour le projet, une explication doit être fournie (pour demander une dérogation exceptionnelle au GEFSec)</w:t>
      </w:r>
      <w:r w:rsidRPr="000E53A0">
        <w:rPr>
          <w:i/>
          <w:highlight w:val="yellow"/>
          <w:lang w:val="fr-FR"/>
        </w:rPr>
        <w:t xml:space="preserve">. </w:t>
      </w:r>
    </w:p>
    <w:p w14:paraId="73A9D419" w14:textId="77777777" w:rsidR="00601D9B" w:rsidRPr="000E53A0" w:rsidRDefault="000E53A0">
      <w:pPr>
        <w:rPr>
          <w:i/>
          <w:highlight w:val="yellow"/>
          <w:lang w:val="fr-FR"/>
        </w:rPr>
      </w:pPr>
      <w:r w:rsidRPr="000E53A0">
        <w:rPr>
          <w:i/>
          <w:highlight w:val="yellow"/>
          <w:lang w:val="fr-FR"/>
        </w:rPr>
        <w:t xml:space="preserve">Tout changement dans la sélection des indicateurs (y compris les sous-indicateurs) de l'étape PIF et/ou tout changement important dans les chiffres de l'étape PIF doivent être approuvés par le CRT. </w:t>
      </w:r>
    </w:p>
    <w:p w14:paraId="553AAD41" w14:textId="77777777" w:rsidR="00601D9B" w:rsidRPr="000E53A0" w:rsidRDefault="000E53A0">
      <w:pPr>
        <w:rPr>
          <w:rFonts w:eastAsia="Calibri"/>
          <w:i/>
          <w:szCs w:val="20"/>
          <w:highlight w:val="yellow"/>
          <w:lang w:val="fr-FR"/>
        </w:rPr>
      </w:pPr>
      <w:r w:rsidRPr="000E53A0">
        <w:rPr>
          <w:i/>
          <w:highlight w:val="yellow"/>
          <w:lang w:val="fr-FR"/>
        </w:rPr>
        <w:t xml:space="preserve">Cette annexe doit être complétée avant la </w:t>
      </w:r>
      <w:r w:rsidR="00004A84" w:rsidRPr="000E53A0">
        <w:rPr>
          <w:i/>
          <w:highlight w:val="yellow"/>
          <w:lang w:val="fr-FR"/>
        </w:rPr>
        <w:t xml:space="preserve">date limite de </w:t>
      </w:r>
      <w:r w:rsidRPr="000E53A0">
        <w:rPr>
          <w:i/>
          <w:highlight w:val="yellow"/>
          <w:lang w:val="fr-FR"/>
        </w:rPr>
        <w:t>soumission</w:t>
      </w:r>
      <w:r w:rsidR="00004A84" w:rsidRPr="000E53A0">
        <w:rPr>
          <w:i/>
          <w:highlight w:val="yellow"/>
          <w:lang w:val="fr-FR"/>
        </w:rPr>
        <w:t xml:space="preserve">, </w:t>
      </w:r>
      <w:r w:rsidRPr="000E53A0">
        <w:rPr>
          <w:i/>
          <w:highlight w:val="yellow"/>
          <w:lang w:val="fr-FR"/>
        </w:rPr>
        <w:t xml:space="preserve">mais il n'est pas nécessaire de l'inclure dans le ProDoc soumis au FEM car ces données doivent être saisies manuellement dans le portail du FEM. Les </w:t>
      </w:r>
      <w:r w:rsidR="000C7202" w:rsidRPr="000E53A0">
        <w:rPr>
          <w:rFonts w:eastAsia="Calibri"/>
          <w:i/>
          <w:szCs w:val="20"/>
          <w:highlight w:val="yellow"/>
          <w:lang w:val="fr-FR"/>
        </w:rPr>
        <w:t xml:space="preserve">METT supplémentaires, si nécessaire, doivent être préparés dans le </w:t>
      </w:r>
      <w:hyperlink r:id="rId47" w:history="1">
        <w:r w:rsidR="000C7202" w:rsidRPr="000E53A0">
          <w:rPr>
            <w:rFonts w:eastAsia="Calibri"/>
            <w:i/>
            <w:color w:val="0000FF"/>
            <w:szCs w:val="20"/>
            <w:highlight w:val="yellow"/>
            <w:u w:val="single"/>
            <w:lang w:val="fr-FR"/>
          </w:rPr>
          <w:t xml:space="preserve">modèle Excel GEF-7 </w:t>
        </w:r>
      </w:hyperlink>
      <w:r w:rsidR="002E76B5" w:rsidRPr="000E53A0">
        <w:rPr>
          <w:rFonts w:eastAsia="Calibri"/>
          <w:i/>
          <w:szCs w:val="20"/>
          <w:highlight w:val="yellow"/>
          <w:lang w:val="fr-FR"/>
        </w:rPr>
        <w:t xml:space="preserve">et ne doivent pas être inclus dans le ProDoc </w:t>
      </w:r>
      <w:r w:rsidR="00027A6B" w:rsidRPr="000E53A0">
        <w:rPr>
          <w:rFonts w:eastAsia="Calibri"/>
          <w:i/>
          <w:szCs w:val="20"/>
          <w:highlight w:val="yellow"/>
          <w:lang w:val="fr-FR"/>
        </w:rPr>
        <w:t>mais joints en tant que document séparé.</w:t>
      </w:r>
    </w:p>
    <w:p w14:paraId="47157F4A" w14:textId="77777777" w:rsidR="00601D9B" w:rsidRPr="000E53A0" w:rsidRDefault="000E53A0">
      <w:pPr>
        <w:rPr>
          <w:rFonts w:eastAsia="Calibri"/>
          <w:i/>
          <w:szCs w:val="20"/>
          <w:lang w:val="fr-FR"/>
        </w:rPr>
      </w:pPr>
      <w:r w:rsidRPr="000E53A0">
        <w:rPr>
          <w:rFonts w:eastAsia="Calibri"/>
          <w:i/>
          <w:szCs w:val="20"/>
          <w:highlight w:val="yellow"/>
          <w:lang w:val="fr-FR"/>
        </w:rPr>
        <w:t xml:space="preserve">Il existe une feuille de calcul des indicateurs de base distincte pour les projets du FPMA/SCCF. </w:t>
      </w:r>
    </w:p>
    <w:p w14:paraId="1EC10A35" w14:textId="77777777" w:rsidR="002367DC" w:rsidRPr="000E53A0" w:rsidRDefault="002367DC" w:rsidP="002367DC">
      <w:pPr>
        <w:rPr>
          <w:b/>
          <w:szCs w:val="22"/>
          <w:highlight w:val="magenta"/>
          <w:lang w:val="fr-FR"/>
        </w:rPr>
      </w:pPr>
    </w:p>
    <w:tbl>
      <w:tblPr>
        <w:tblStyle w:val="TableGrid1"/>
        <w:tblW w:w="0" w:type="auto"/>
        <w:tblLook w:val="04A0" w:firstRow="1" w:lastRow="0" w:firstColumn="1" w:lastColumn="0" w:noHBand="0" w:noVBand="1"/>
      </w:tblPr>
      <w:tblGrid>
        <w:gridCol w:w="1298"/>
        <w:gridCol w:w="933"/>
        <w:gridCol w:w="904"/>
        <w:gridCol w:w="16"/>
        <w:gridCol w:w="16"/>
        <w:gridCol w:w="874"/>
        <w:gridCol w:w="1315"/>
        <w:gridCol w:w="8"/>
        <w:gridCol w:w="1459"/>
        <w:gridCol w:w="18"/>
        <w:gridCol w:w="1306"/>
        <w:gridCol w:w="1287"/>
      </w:tblGrid>
      <w:tr w:rsidR="007F5638" w:rsidRPr="007F5638" w14:paraId="4CBFBF9D" w14:textId="77777777" w:rsidTr="001A7B9D">
        <w:tc>
          <w:tcPr>
            <w:tcW w:w="1298" w:type="dxa"/>
            <w:shd w:val="clear" w:color="auto" w:fill="D9D9D9" w:themeFill="background1" w:themeFillShade="D9"/>
          </w:tcPr>
          <w:p w14:paraId="6EB1624D" w14:textId="77777777" w:rsidR="00601D9B" w:rsidRDefault="000E53A0">
            <w:pPr>
              <w:rPr>
                <w:rFonts w:cstheme="minorHAnsi"/>
                <w:b/>
                <w:sz w:val="18"/>
                <w:szCs w:val="18"/>
              </w:rPr>
            </w:pPr>
            <w:r w:rsidRPr="007F5638">
              <w:rPr>
                <w:rFonts w:cstheme="minorHAnsi"/>
                <w:b/>
                <w:sz w:val="18"/>
                <w:szCs w:val="18"/>
              </w:rPr>
              <w:t>Indicateur de base 1</w:t>
            </w:r>
          </w:p>
        </w:tc>
        <w:tc>
          <w:tcPr>
            <w:tcW w:w="6787" w:type="dxa"/>
            <w:gridSpan w:val="10"/>
            <w:shd w:val="clear" w:color="auto" w:fill="D9D9D9" w:themeFill="background1" w:themeFillShade="D9"/>
          </w:tcPr>
          <w:p w14:paraId="26151604" w14:textId="77777777" w:rsidR="00601D9B" w:rsidRPr="000E53A0" w:rsidRDefault="000E53A0">
            <w:pPr>
              <w:rPr>
                <w:rFonts w:cstheme="minorHAnsi"/>
                <w:b/>
                <w:sz w:val="18"/>
                <w:szCs w:val="18"/>
                <w:lang w:val="fr-FR"/>
              </w:rPr>
            </w:pPr>
            <w:r w:rsidRPr="000E53A0">
              <w:rPr>
                <w:rFonts w:cstheme="minorHAnsi"/>
                <w:b/>
                <w:sz w:val="18"/>
                <w:szCs w:val="18"/>
                <w:lang w:val="fr-FR"/>
              </w:rPr>
              <w:t>Zones protégées terrestres créées ou faisant l'objet d'une gestion améliorée en vue de leur conservation et de leur utilisation durable</w:t>
            </w:r>
          </w:p>
        </w:tc>
        <w:tc>
          <w:tcPr>
            <w:tcW w:w="1287" w:type="dxa"/>
            <w:shd w:val="clear" w:color="auto" w:fill="D9D9D9" w:themeFill="background1" w:themeFillShade="D9"/>
          </w:tcPr>
          <w:p w14:paraId="11FA5C9D" w14:textId="77777777" w:rsidR="00601D9B" w:rsidRDefault="000E53A0">
            <w:pPr>
              <w:jc w:val="right"/>
              <w:rPr>
                <w:rFonts w:cstheme="minorHAnsi"/>
                <w:b/>
                <w:sz w:val="18"/>
                <w:szCs w:val="18"/>
              </w:rPr>
            </w:pPr>
            <w:r w:rsidRPr="007F5638">
              <w:rPr>
                <w:rFonts w:cstheme="minorHAnsi"/>
                <w:b/>
                <w:i/>
                <w:color w:val="000000"/>
                <w:sz w:val="18"/>
                <w:szCs w:val="18"/>
              </w:rPr>
              <w:fldChar w:fldCharType="begin">
                <w:ffData>
                  <w:name w:val="F_GEB_BD_target"/>
                  <w:enabled/>
                  <w:calcOnExit w:val="0"/>
                  <w:textInput>
                    <w:default w:val="(Hectares)"/>
                  </w:textInput>
                </w:ffData>
              </w:fldChar>
            </w:r>
            <w:bookmarkStart w:id="97" w:name="F_GEB_BD_target"/>
            <w:r w:rsidRPr="007F5638">
              <w:rPr>
                <w:rFonts w:cstheme="minorHAnsi"/>
                <w:b/>
                <w:i/>
                <w:color w:val="000000"/>
                <w:sz w:val="18"/>
                <w:szCs w:val="18"/>
              </w:rPr>
              <w:instrText xml:space="preserve"> FORMTEXT </w:instrText>
            </w:r>
            <w:r w:rsidRPr="007F5638">
              <w:rPr>
                <w:rFonts w:cstheme="minorHAnsi"/>
                <w:b/>
                <w:i/>
                <w:color w:val="000000"/>
                <w:sz w:val="18"/>
                <w:szCs w:val="18"/>
              </w:rPr>
            </w:r>
            <w:r w:rsidRPr="007F5638">
              <w:rPr>
                <w:rFonts w:cstheme="minorHAnsi"/>
                <w:b/>
                <w:i/>
                <w:color w:val="000000"/>
                <w:sz w:val="18"/>
                <w:szCs w:val="18"/>
              </w:rPr>
              <w:fldChar w:fldCharType="separate"/>
            </w:r>
            <w:r w:rsidRPr="007F5638">
              <w:rPr>
                <w:rFonts w:cstheme="minorHAnsi"/>
                <w:b/>
                <w:i/>
                <w:noProof/>
                <w:color w:val="000000"/>
                <w:sz w:val="18"/>
                <w:szCs w:val="18"/>
              </w:rPr>
              <w:t xml:space="preserve">(Hectares) </w:t>
            </w:r>
            <w:r w:rsidRPr="007F5638">
              <w:rPr>
                <w:rFonts w:cstheme="minorHAnsi"/>
                <w:b/>
                <w:i/>
                <w:color w:val="000000"/>
                <w:sz w:val="18"/>
                <w:szCs w:val="18"/>
              </w:rPr>
              <w:fldChar w:fldCharType="end"/>
            </w:r>
            <w:bookmarkEnd w:id="97"/>
          </w:p>
        </w:tc>
      </w:tr>
      <w:tr w:rsidR="007F5638" w:rsidRPr="007F5638" w14:paraId="6B23C942" w14:textId="77777777" w:rsidTr="001A7B9D">
        <w:tc>
          <w:tcPr>
            <w:tcW w:w="1298" w:type="dxa"/>
            <w:shd w:val="clear" w:color="auto" w:fill="auto"/>
          </w:tcPr>
          <w:p w14:paraId="7326B5EF" w14:textId="77777777" w:rsidR="007F5638" w:rsidRPr="007F5638" w:rsidRDefault="007F5638" w:rsidP="007F5638">
            <w:pPr>
              <w:rPr>
                <w:rFonts w:cstheme="minorHAnsi"/>
                <w:sz w:val="18"/>
                <w:szCs w:val="18"/>
              </w:rPr>
            </w:pPr>
          </w:p>
        </w:tc>
        <w:tc>
          <w:tcPr>
            <w:tcW w:w="2681" w:type="dxa"/>
            <w:gridSpan w:val="5"/>
            <w:shd w:val="clear" w:color="auto" w:fill="auto"/>
          </w:tcPr>
          <w:p w14:paraId="2F1E921A" w14:textId="77777777" w:rsidR="007F5638" w:rsidRPr="007F5638" w:rsidRDefault="007F5638" w:rsidP="007F5638">
            <w:pPr>
              <w:rPr>
                <w:rFonts w:cstheme="minorHAnsi"/>
                <w:sz w:val="18"/>
                <w:szCs w:val="18"/>
              </w:rPr>
            </w:pPr>
          </w:p>
        </w:tc>
        <w:tc>
          <w:tcPr>
            <w:tcW w:w="5393" w:type="dxa"/>
            <w:gridSpan w:val="6"/>
            <w:shd w:val="clear" w:color="auto" w:fill="F2F2F2" w:themeFill="background1" w:themeFillShade="F2"/>
          </w:tcPr>
          <w:p w14:paraId="42D7C816" w14:textId="77777777" w:rsidR="00601D9B" w:rsidRDefault="000E53A0">
            <w:pPr>
              <w:jc w:val="center"/>
              <w:rPr>
                <w:rFonts w:cstheme="minorHAnsi"/>
                <w:i/>
                <w:color w:val="000000"/>
                <w:sz w:val="18"/>
                <w:szCs w:val="18"/>
              </w:rPr>
            </w:pPr>
            <w:r w:rsidRPr="007F5638">
              <w:rPr>
                <w:rFonts w:cstheme="minorHAnsi"/>
                <w:i/>
                <w:color w:val="000000"/>
                <w:sz w:val="18"/>
                <w:szCs w:val="18"/>
              </w:rPr>
              <w:t>Hectares (1.1+1.2)</w:t>
            </w:r>
          </w:p>
        </w:tc>
      </w:tr>
      <w:tr w:rsidR="007F5638" w:rsidRPr="007F5638" w14:paraId="175E4E1C" w14:textId="77777777" w:rsidTr="001A7B9D">
        <w:tc>
          <w:tcPr>
            <w:tcW w:w="1298" w:type="dxa"/>
            <w:shd w:val="clear" w:color="auto" w:fill="auto"/>
          </w:tcPr>
          <w:p w14:paraId="56ECDDF0" w14:textId="77777777" w:rsidR="007F5638" w:rsidRPr="007F5638" w:rsidRDefault="007F5638" w:rsidP="007F5638">
            <w:pPr>
              <w:rPr>
                <w:rFonts w:cstheme="minorHAnsi"/>
                <w:sz w:val="18"/>
                <w:szCs w:val="18"/>
              </w:rPr>
            </w:pPr>
          </w:p>
        </w:tc>
        <w:tc>
          <w:tcPr>
            <w:tcW w:w="2681" w:type="dxa"/>
            <w:gridSpan w:val="5"/>
            <w:shd w:val="clear" w:color="auto" w:fill="auto"/>
          </w:tcPr>
          <w:p w14:paraId="580B2EDB" w14:textId="77777777" w:rsidR="007F5638" w:rsidRPr="007F5638" w:rsidRDefault="007F5638" w:rsidP="007F5638">
            <w:pPr>
              <w:rPr>
                <w:rFonts w:cstheme="minorHAnsi"/>
                <w:sz w:val="18"/>
                <w:szCs w:val="18"/>
              </w:rPr>
            </w:pPr>
          </w:p>
        </w:tc>
        <w:tc>
          <w:tcPr>
            <w:tcW w:w="2800" w:type="dxa"/>
            <w:gridSpan w:val="4"/>
            <w:shd w:val="clear" w:color="auto" w:fill="F2F2F2" w:themeFill="background1" w:themeFillShade="F2"/>
          </w:tcPr>
          <w:p w14:paraId="40116C43" w14:textId="77777777" w:rsidR="00601D9B" w:rsidRDefault="000E53A0">
            <w:pPr>
              <w:jc w:val="center"/>
              <w:rPr>
                <w:rFonts w:cstheme="minorHAnsi"/>
                <w:i/>
                <w:color w:val="000000"/>
                <w:sz w:val="18"/>
                <w:szCs w:val="18"/>
              </w:rPr>
            </w:pPr>
            <w:r w:rsidRPr="007F5638">
              <w:rPr>
                <w:rFonts w:cstheme="minorHAnsi"/>
                <w:i/>
                <w:color w:val="000000"/>
                <w:sz w:val="18"/>
                <w:szCs w:val="18"/>
              </w:rPr>
              <w:t>Attendu</w:t>
            </w:r>
          </w:p>
        </w:tc>
        <w:tc>
          <w:tcPr>
            <w:tcW w:w="2593" w:type="dxa"/>
            <w:gridSpan w:val="2"/>
            <w:shd w:val="clear" w:color="auto" w:fill="F2F2F2" w:themeFill="background1" w:themeFillShade="F2"/>
          </w:tcPr>
          <w:p w14:paraId="777324F9" w14:textId="77777777" w:rsidR="00601D9B" w:rsidRDefault="000E53A0">
            <w:pPr>
              <w:jc w:val="center"/>
              <w:rPr>
                <w:rFonts w:cstheme="minorHAnsi"/>
                <w:i/>
                <w:color w:val="000000"/>
                <w:sz w:val="18"/>
                <w:szCs w:val="18"/>
              </w:rPr>
            </w:pPr>
            <w:r w:rsidRPr="007F5638">
              <w:rPr>
                <w:rFonts w:cstheme="minorHAnsi"/>
                <w:sz w:val="18"/>
                <w:szCs w:val="18"/>
              </w:rPr>
              <w:t>Réalisé</w:t>
            </w:r>
          </w:p>
        </w:tc>
      </w:tr>
      <w:tr w:rsidR="007F5638" w:rsidRPr="007F5638" w14:paraId="7FF9C4B8" w14:textId="77777777" w:rsidTr="001A7B9D">
        <w:tc>
          <w:tcPr>
            <w:tcW w:w="1298" w:type="dxa"/>
            <w:shd w:val="clear" w:color="auto" w:fill="auto"/>
          </w:tcPr>
          <w:p w14:paraId="17E74025" w14:textId="77777777" w:rsidR="007F5638" w:rsidRPr="007F5638" w:rsidRDefault="007F5638" w:rsidP="007F5638">
            <w:pPr>
              <w:rPr>
                <w:rFonts w:cstheme="minorHAnsi"/>
                <w:sz w:val="18"/>
                <w:szCs w:val="18"/>
              </w:rPr>
            </w:pPr>
          </w:p>
        </w:tc>
        <w:tc>
          <w:tcPr>
            <w:tcW w:w="2681" w:type="dxa"/>
            <w:gridSpan w:val="5"/>
            <w:shd w:val="clear" w:color="auto" w:fill="auto"/>
          </w:tcPr>
          <w:p w14:paraId="1D949938" w14:textId="77777777" w:rsidR="007F5638" w:rsidRPr="007F5638" w:rsidRDefault="007F5638" w:rsidP="007F5638">
            <w:pPr>
              <w:rPr>
                <w:rFonts w:cstheme="minorHAnsi"/>
                <w:sz w:val="18"/>
                <w:szCs w:val="18"/>
              </w:rPr>
            </w:pPr>
          </w:p>
        </w:tc>
        <w:tc>
          <w:tcPr>
            <w:tcW w:w="1323" w:type="dxa"/>
            <w:gridSpan w:val="2"/>
            <w:shd w:val="clear" w:color="auto" w:fill="F2F2F2" w:themeFill="background1" w:themeFillShade="F2"/>
          </w:tcPr>
          <w:p w14:paraId="68C6C1A6" w14:textId="77777777" w:rsidR="00601D9B" w:rsidRDefault="000E53A0">
            <w:pPr>
              <w:jc w:val="center"/>
              <w:rPr>
                <w:rFonts w:cstheme="minorHAnsi"/>
                <w:sz w:val="18"/>
                <w:szCs w:val="18"/>
              </w:rPr>
            </w:pPr>
            <w:r w:rsidRPr="007F5638">
              <w:rPr>
                <w:rFonts w:cstheme="minorHAnsi"/>
                <w:sz w:val="18"/>
                <w:szCs w:val="18"/>
              </w:rPr>
              <w:t>Étape du FIP</w:t>
            </w:r>
          </w:p>
        </w:tc>
        <w:tc>
          <w:tcPr>
            <w:tcW w:w="1477" w:type="dxa"/>
            <w:gridSpan w:val="2"/>
            <w:shd w:val="clear" w:color="auto" w:fill="F2F2F2" w:themeFill="background1" w:themeFillShade="F2"/>
          </w:tcPr>
          <w:p w14:paraId="2BFFE203" w14:textId="77777777" w:rsidR="00601D9B" w:rsidRDefault="000E53A0">
            <w:pPr>
              <w:jc w:val="center"/>
              <w:rPr>
                <w:rFonts w:cstheme="minorHAnsi"/>
                <w:sz w:val="18"/>
                <w:szCs w:val="18"/>
              </w:rPr>
            </w:pPr>
            <w:r w:rsidRPr="007F5638">
              <w:rPr>
                <w:rFonts w:cstheme="minorHAnsi"/>
                <w:sz w:val="18"/>
                <w:szCs w:val="18"/>
              </w:rPr>
              <w:t>Endossement</w:t>
            </w:r>
          </w:p>
        </w:tc>
        <w:tc>
          <w:tcPr>
            <w:tcW w:w="1306" w:type="dxa"/>
            <w:shd w:val="clear" w:color="auto" w:fill="F2F2F2" w:themeFill="background1" w:themeFillShade="F2"/>
          </w:tcPr>
          <w:p w14:paraId="128E455D" w14:textId="77777777" w:rsidR="00601D9B" w:rsidRDefault="000E53A0">
            <w:pPr>
              <w:jc w:val="center"/>
              <w:rPr>
                <w:rFonts w:cstheme="minorHAnsi"/>
                <w:sz w:val="18"/>
                <w:szCs w:val="18"/>
              </w:rPr>
            </w:pPr>
            <w:r w:rsidRPr="007F5638">
              <w:rPr>
                <w:rFonts w:cstheme="minorHAnsi"/>
                <w:sz w:val="18"/>
                <w:szCs w:val="18"/>
              </w:rPr>
              <w:t>MTR</w:t>
            </w:r>
          </w:p>
        </w:tc>
        <w:tc>
          <w:tcPr>
            <w:tcW w:w="1287" w:type="dxa"/>
            <w:shd w:val="clear" w:color="auto" w:fill="F2F2F2" w:themeFill="background1" w:themeFillShade="F2"/>
          </w:tcPr>
          <w:p w14:paraId="7707C411" w14:textId="77777777" w:rsidR="00601D9B" w:rsidRDefault="000E53A0">
            <w:pPr>
              <w:jc w:val="center"/>
              <w:rPr>
                <w:rFonts w:cstheme="minorHAnsi"/>
                <w:i/>
                <w:color w:val="000000"/>
                <w:sz w:val="18"/>
                <w:szCs w:val="18"/>
              </w:rPr>
            </w:pPr>
            <w:r w:rsidRPr="007F5638">
              <w:rPr>
                <w:rFonts w:cstheme="minorHAnsi"/>
                <w:sz w:val="18"/>
                <w:szCs w:val="18"/>
              </w:rPr>
              <w:t>TE</w:t>
            </w:r>
          </w:p>
        </w:tc>
      </w:tr>
      <w:tr w:rsidR="007F5638" w:rsidRPr="007F5638" w14:paraId="6A5314F6" w14:textId="77777777" w:rsidTr="001A7B9D">
        <w:tc>
          <w:tcPr>
            <w:tcW w:w="1298" w:type="dxa"/>
            <w:shd w:val="clear" w:color="auto" w:fill="auto"/>
          </w:tcPr>
          <w:p w14:paraId="2BFCD37C" w14:textId="77777777" w:rsidR="007F5638" w:rsidRPr="007F5638" w:rsidRDefault="007F5638" w:rsidP="007F5638">
            <w:pPr>
              <w:rPr>
                <w:rFonts w:cstheme="minorHAnsi"/>
                <w:sz w:val="18"/>
                <w:szCs w:val="18"/>
              </w:rPr>
            </w:pPr>
          </w:p>
        </w:tc>
        <w:tc>
          <w:tcPr>
            <w:tcW w:w="2681" w:type="dxa"/>
            <w:gridSpan w:val="5"/>
            <w:shd w:val="clear" w:color="auto" w:fill="auto"/>
          </w:tcPr>
          <w:p w14:paraId="1D4A13A4" w14:textId="77777777" w:rsidR="007F5638" w:rsidRPr="007F5638" w:rsidRDefault="007F5638" w:rsidP="007F5638">
            <w:pPr>
              <w:rPr>
                <w:rFonts w:cstheme="minorHAnsi"/>
                <w:sz w:val="18"/>
                <w:szCs w:val="18"/>
              </w:rPr>
            </w:pPr>
          </w:p>
        </w:tc>
        <w:tc>
          <w:tcPr>
            <w:tcW w:w="1323" w:type="dxa"/>
            <w:gridSpan w:val="2"/>
            <w:shd w:val="clear" w:color="auto" w:fill="F2F2F2" w:themeFill="background1" w:themeFillShade="F2"/>
          </w:tcPr>
          <w:p w14:paraId="3DE03B04"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477" w:type="dxa"/>
            <w:gridSpan w:val="2"/>
            <w:shd w:val="clear" w:color="auto" w:fill="F2F2F2" w:themeFill="background1" w:themeFillShade="F2"/>
          </w:tcPr>
          <w:p w14:paraId="5E44EA62"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306" w:type="dxa"/>
            <w:shd w:val="clear" w:color="auto" w:fill="F2F2F2" w:themeFill="background1" w:themeFillShade="F2"/>
          </w:tcPr>
          <w:p w14:paraId="14E09AF4"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287" w:type="dxa"/>
            <w:shd w:val="clear" w:color="auto" w:fill="F2F2F2" w:themeFill="background1" w:themeFillShade="F2"/>
          </w:tcPr>
          <w:p w14:paraId="07A544F5" w14:textId="77777777" w:rsidR="00601D9B" w:rsidRDefault="000E53A0">
            <w:pPr>
              <w:jc w:val="right"/>
              <w:rPr>
                <w:rFonts w:cstheme="minorHAnsi"/>
                <w:i/>
                <w:color w:val="000000"/>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r>
      <w:tr w:rsidR="007F5638" w:rsidRPr="007F5638" w14:paraId="2A88D641" w14:textId="77777777" w:rsidTr="001A7B9D">
        <w:tc>
          <w:tcPr>
            <w:tcW w:w="1298" w:type="dxa"/>
            <w:shd w:val="clear" w:color="auto" w:fill="BFBFBF" w:themeFill="background1" w:themeFillShade="BF"/>
          </w:tcPr>
          <w:p w14:paraId="105816C8" w14:textId="77777777" w:rsidR="00601D9B" w:rsidRDefault="000E53A0">
            <w:pPr>
              <w:rPr>
                <w:rFonts w:cstheme="minorHAnsi"/>
                <w:sz w:val="18"/>
                <w:szCs w:val="18"/>
              </w:rPr>
            </w:pPr>
            <w:r w:rsidRPr="007F5638">
              <w:rPr>
                <w:rFonts w:cstheme="minorHAnsi"/>
                <w:sz w:val="18"/>
                <w:szCs w:val="18"/>
              </w:rPr>
              <w:t>Indicateur 1.1</w:t>
            </w:r>
          </w:p>
        </w:tc>
        <w:tc>
          <w:tcPr>
            <w:tcW w:w="6787" w:type="dxa"/>
            <w:gridSpan w:val="10"/>
            <w:shd w:val="clear" w:color="auto" w:fill="BFBFBF" w:themeFill="background1" w:themeFillShade="BF"/>
          </w:tcPr>
          <w:p w14:paraId="1E6EC256" w14:textId="77777777" w:rsidR="00601D9B" w:rsidRPr="000E53A0" w:rsidRDefault="000E53A0">
            <w:pPr>
              <w:rPr>
                <w:rFonts w:cstheme="minorHAnsi"/>
                <w:sz w:val="18"/>
                <w:szCs w:val="18"/>
                <w:lang w:val="fr-FR"/>
              </w:rPr>
            </w:pPr>
            <w:r w:rsidRPr="000E53A0">
              <w:rPr>
                <w:rFonts w:cstheme="minorHAnsi"/>
                <w:sz w:val="18"/>
                <w:szCs w:val="18"/>
                <w:lang w:val="fr-FR"/>
              </w:rPr>
              <w:t>Zones protégées terrestres nouvellement créées</w:t>
            </w:r>
          </w:p>
        </w:tc>
        <w:tc>
          <w:tcPr>
            <w:tcW w:w="1287" w:type="dxa"/>
            <w:shd w:val="clear" w:color="auto" w:fill="BFBFBF" w:themeFill="background1" w:themeFillShade="BF"/>
          </w:tcPr>
          <w:p w14:paraId="1A222241"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r>
      <w:tr w:rsidR="007F5638" w:rsidRPr="007F5638" w14:paraId="374BCE5C" w14:textId="77777777" w:rsidTr="001A7B9D">
        <w:trPr>
          <w:trHeight w:val="125"/>
        </w:trPr>
        <w:tc>
          <w:tcPr>
            <w:tcW w:w="1298" w:type="dxa"/>
            <w:vMerge w:val="restart"/>
            <w:vAlign w:val="center"/>
          </w:tcPr>
          <w:p w14:paraId="5E904FC2" w14:textId="77777777" w:rsidR="00601D9B" w:rsidRPr="000E53A0" w:rsidRDefault="000E53A0">
            <w:pPr>
              <w:rPr>
                <w:rFonts w:cstheme="minorHAnsi"/>
                <w:sz w:val="18"/>
                <w:szCs w:val="18"/>
                <w:lang w:val="fr-FR"/>
              </w:rPr>
            </w:pPr>
            <w:r w:rsidRPr="000E53A0">
              <w:rPr>
                <w:rFonts w:cstheme="minorHAnsi"/>
                <w:sz w:val="18"/>
                <w:szCs w:val="18"/>
                <w:lang w:val="fr-FR"/>
              </w:rPr>
              <w:t>Nom de la zone protégée</w:t>
            </w:r>
          </w:p>
        </w:tc>
        <w:tc>
          <w:tcPr>
            <w:tcW w:w="933" w:type="dxa"/>
            <w:vMerge w:val="restart"/>
            <w:vAlign w:val="center"/>
          </w:tcPr>
          <w:p w14:paraId="61509EA4" w14:textId="77777777" w:rsidR="00601D9B" w:rsidRDefault="000E53A0">
            <w:pPr>
              <w:rPr>
                <w:rFonts w:cstheme="minorHAnsi"/>
                <w:sz w:val="18"/>
                <w:szCs w:val="18"/>
              </w:rPr>
            </w:pPr>
            <w:r w:rsidRPr="007F5638">
              <w:rPr>
                <w:rFonts w:cstheme="minorHAnsi"/>
                <w:sz w:val="18"/>
                <w:szCs w:val="18"/>
              </w:rPr>
              <w:t>ID WDPA</w:t>
            </w:r>
          </w:p>
        </w:tc>
        <w:tc>
          <w:tcPr>
            <w:tcW w:w="1748" w:type="dxa"/>
            <w:gridSpan w:val="4"/>
            <w:vMerge w:val="restart"/>
            <w:vAlign w:val="center"/>
          </w:tcPr>
          <w:p w14:paraId="6CE2D942" w14:textId="77777777" w:rsidR="00601D9B" w:rsidRDefault="000E53A0">
            <w:pPr>
              <w:rPr>
                <w:rFonts w:cstheme="minorHAnsi"/>
                <w:sz w:val="18"/>
                <w:szCs w:val="18"/>
              </w:rPr>
            </w:pPr>
            <w:r w:rsidRPr="007F5638">
              <w:rPr>
                <w:rFonts w:cstheme="minorHAnsi"/>
                <w:sz w:val="18"/>
                <w:szCs w:val="18"/>
              </w:rPr>
              <w:t>Catégorie UICN</w:t>
            </w:r>
          </w:p>
        </w:tc>
        <w:tc>
          <w:tcPr>
            <w:tcW w:w="5393" w:type="dxa"/>
            <w:gridSpan w:val="6"/>
          </w:tcPr>
          <w:p w14:paraId="55B5B774" w14:textId="77777777" w:rsidR="00601D9B" w:rsidRDefault="000E53A0">
            <w:pPr>
              <w:jc w:val="center"/>
              <w:rPr>
                <w:rFonts w:cstheme="minorHAnsi"/>
                <w:sz w:val="18"/>
                <w:szCs w:val="18"/>
              </w:rPr>
            </w:pPr>
            <w:r w:rsidRPr="007F5638">
              <w:rPr>
                <w:rFonts w:cstheme="minorHAnsi"/>
                <w:sz w:val="18"/>
                <w:szCs w:val="18"/>
              </w:rPr>
              <w:t>Hectares</w:t>
            </w:r>
          </w:p>
        </w:tc>
      </w:tr>
      <w:tr w:rsidR="007F5638" w:rsidRPr="007F5638" w14:paraId="1E27C10B" w14:textId="77777777" w:rsidTr="001A7B9D">
        <w:trPr>
          <w:trHeight w:val="58"/>
        </w:trPr>
        <w:tc>
          <w:tcPr>
            <w:tcW w:w="1298" w:type="dxa"/>
            <w:vMerge/>
          </w:tcPr>
          <w:p w14:paraId="72386481" w14:textId="77777777" w:rsidR="007F5638" w:rsidRPr="007F5638" w:rsidRDefault="007F5638" w:rsidP="007F5638">
            <w:pPr>
              <w:rPr>
                <w:rFonts w:cstheme="minorHAnsi"/>
                <w:sz w:val="18"/>
                <w:szCs w:val="18"/>
              </w:rPr>
            </w:pPr>
          </w:p>
        </w:tc>
        <w:tc>
          <w:tcPr>
            <w:tcW w:w="933" w:type="dxa"/>
            <w:vMerge/>
          </w:tcPr>
          <w:p w14:paraId="787494D5" w14:textId="77777777" w:rsidR="007F5638" w:rsidRPr="007F5638" w:rsidRDefault="007F5638" w:rsidP="007F5638">
            <w:pPr>
              <w:rPr>
                <w:rFonts w:cstheme="minorHAnsi"/>
                <w:sz w:val="18"/>
                <w:szCs w:val="18"/>
              </w:rPr>
            </w:pPr>
          </w:p>
        </w:tc>
        <w:tc>
          <w:tcPr>
            <w:tcW w:w="1748" w:type="dxa"/>
            <w:gridSpan w:val="4"/>
            <w:vMerge/>
          </w:tcPr>
          <w:p w14:paraId="2B7EA5D8" w14:textId="77777777" w:rsidR="007F5638" w:rsidRPr="007F5638" w:rsidRDefault="007F5638" w:rsidP="007F5638">
            <w:pPr>
              <w:rPr>
                <w:rFonts w:cstheme="minorHAnsi"/>
                <w:sz w:val="18"/>
                <w:szCs w:val="18"/>
              </w:rPr>
            </w:pPr>
          </w:p>
        </w:tc>
        <w:tc>
          <w:tcPr>
            <w:tcW w:w="2800" w:type="dxa"/>
            <w:gridSpan w:val="4"/>
          </w:tcPr>
          <w:p w14:paraId="34AD09B0" w14:textId="77777777" w:rsidR="00601D9B" w:rsidRDefault="000E53A0">
            <w:pPr>
              <w:jc w:val="center"/>
              <w:rPr>
                <w:rFonts w:cstheme="minorHAnsi"/>
                <w:sz w:val="18"/>
                <w:szCs w:val="18"/>
              </w:rPr>
            </w:pPr>
            <w:r w:rsidRPr="007F5638">
              <w:rPr>
                <w:rFonts w:cstheme="minorHAnsi"/>
                <w:sz w:val="18"/>
                <w:szCs w:val="18"/>
              </w:rPr>
              <w:t>Attendu</w:t>
            </w:r>
          </w:p>
        </w:tc>
        <w:tc>
          <w:tcPr>
            <w:tcW w:w="2593" w:type="dxa"/>
            <w:gridSpan w:val="2"/>
          </w:tcPr>
          <w:p w14:paraId="6D5983F2" w14:textId="77777777" w:rsidR="00601D9B" w:rsidRDefault="000E53A0">
            <w:pPr>
              <w:jc w:val="center"/>
              <w:rPr>
                <w:rFonts w:cstheme="minorHAnsi"/>
                <w:sz w:val="18"/>
                <w:szCs w:val="18"/>
              </w:rPr>
            </w:pPr>
            <w:r w:rsidRPr="007F5638">
              <w:rPr>
                <w:rFonts w:cstheme="minorHAnsi"/>
                <w:sz w:val="18"/>
                <w:szCs w:val="18"/>
              </w:rPr>
              <w:t>Réalisé</w:t>
            </w:r>
          </w:p>
        </w:tc>
      </w:tr>
      <w:tr w:rsidR="007F5638" w:rsidRPr="007F5638" w14:paraId="12FEB363" w14:textId="77777777" w:rsidTr="001A7B9D">
        <w:trPr>
          <w:trHeight w:val="58"/>
        </w:trPr>
        <w:tc>
          <w:tcPr>
            <w:tcW w:w="1298" w:type="dxa"/>
            <w:vMerge/>
          </w:tcPr>
          <w:p w14:paraId="76258CA6" w14:textId="77777777" w:rsidR="007F5638" w:rsidRPr="007F5638" w:rsidRDefault="007F5638" w:rsidP="007F5638">
            <w:pPr>
              <w:rPr>
                <w:rFonts w:cstheme="minorHAnsi"/>
                <w:sz w:val="18"/>
                <w:szCs w:val="18"/>
              </w:rPr>
            </w:pPr>
          </w:p>
        </w:tc>
        <w:tc>
          <w:tcPr>
            <w:tcW w:w="933" w:type="dxa"/>
            <w:vMerge/>
          </w:tcPr>
          <w:p w14:paraId="1991AB5A" w14:textId="77777777" w:rsidR="007F5638" w:rsidRPr="007F5638" w:rsidRDefault="007F5638" w:rsidP="007F5638">
            <w:pPr>
              <w:rPr>
                <w:rFonts w:cstheme="minorHAnsi"/>
                <w:sz w:val="18"/>
                <w:szCs w:val="18"/>
              </w:rPr>
            </w:pPr>
          </w:p>
        </w:tc>
        <w:tc>
          <w:tcPr>
            <w:tcW w:w="1748" w:type="dxa"/>
            <w:gridSpan w:val="4"/>
            <w:vMerge/>
          </w:tcPr>
          <w:p w14:paraId="046756AB" w14:textId="77777777" w:rsidR="007F5638" w:rsidRPr="007F5638" w:rsidRDefault="007F5638" w:rsidP="007F5638">
            <w:pPr>
              <w:rPr>
                <w:rFonts w:cstheme="minorHAnsi"/>
                <w:sz w:val="18"/>
                <w:szCs w:val="18"/>
              </w:rPr>
            </w:pPr>
          </w:p>
        </w:tc>
        <w:tc>
          <w:tcPr>
            <w:tcW w:w="1323" w:type="dxa"/>
            <w:gridSpan w:val="2"/>
          </w:tcPr>
          <w:p w14:paraId="0B748FBA" w14:textId="77777777" w:rsidR="00601D9B" w:rsidRDefault="000E53A0">
            <w:pPr>
              <w:jc w:val="center"/>
              <w:rPr>
                <w:rFonts w:cstheme="minorHAnsi"/>
                <w:sz w:val="18"/>
                <w:szCs w:val="18"/>
              </w:rPr>
            </w:pPr>
            <w:r w:rsidRPr="007F5638">
              <w:rPr>
                <w:rFonts w:cstheme="minorHAnsi"/>
                <w:sz w:val="18"/>
                <w:szCs w:val="18"/>
              </w:rPr>
              <w:t>Étape du FIP</w:t>
            </w:r>
          </w:p>
        </w:tc>
        <w:tc>
          <w:tcPr>
            <w:tcW w:w="1477" w:type="dxa"/>
            <w:gridSpan w:val="2"/>
          </w:tcPr>
          <w:p w14:paraId="11BA8F7D" w14:textId="77777777" w:rsidR="00601D9B" w:rsidRDefault="000E53A0">
            <w:pPr>
              <w:jc w:val="center"/>
              <w:rPr>
                <w:rFonts w:cstheme="minorHAnsi"/>
                <w:sz w:val="18"/>
                <w:szCs w:val="18"/>
              </w:rPr>
            </w:pPr>
            <w:r w:rsidRPr="007F5638">
              <w:rPr>
                <w:rFonts w:cstheme="minorHAnsi"/>
                <w:sz w:val="18"/>
                <w:szCs w:val="18"/>
              </w:rPr>
              <w:t>Endossement</w:t>
            </w:r>
          </w:p>
        </w:tc>
        <w:tc>
          <w:tcPr>
            <w:tcW w:w="1306" w:type="dxa"/>
          </w:tcPr>
          <w:p w14:paraId="3D1F7BBD" w14:textId="77777777" w:rsidR="00601D9B" w:rsidRDefault="000E53A0">
            <w:pPr>
              <w:jc w:val="center"/>
              <w:rPr>
                <w:rFonts w:cstheme="minorHAnsi"/>
                <w:sz w:val="18"/>
                <w:szCs w:val="18"/>
              </w:rPr>
            </w:pPr>
            <w:r w:rsidRPr="007F5638">
              <w:rPr>
                <w:rFonts w:cstheme="minorHAnsi"/>
                <w:sz w:val="18"/>
                <w:szCs w:val="18"/>
              </w:rPr>
              <w:t>MTR</w:t>
            </w:r>
          </w:p>
        </w:tc>
        <w:tc>
          <w:tcPr>
            <w:tcW w:w="1287" w:type="dxa"/>
          </w:tcPr>
          <w:p w14:paraId="7BDAC684" w14:textId="77777777" w:rsidR="00601D9B" w:rsidRDefault="000E53A0">
            <w:pPr>
              <w:jc w:val="center"/>
              <w:rPr>
                <w:rFonts w:cstheme="minorHAnsi"/>
                <w:sz w:val="18"/>
                <w:szCs w:val="18"/>
              </w:rPr>
            </w:pPr>
            <w:r w:rsidRPr="007F5638">
              <w:rPr>
                <w:rFonts w:cstheme="minorHAnsi"/>
                <w:sz w:val="18"/>
                <w:szCs w:val="18"/>
              </w:rPr>
              <w:t>TE</w:t>
            </w:r>
          </w:p>
        </w:tc>
      </w:tr>
      <w:tr w:rsidR="007F5638" w:rsidRPr="007F5638" w14:paraId="068736E9" w14:textId="77777777" w:rsidTr="001A7B9D">
        <w:trPr>
          <w:trHeight w:val="125"/>
        </w:trPr>
        <w:tc>
          <w:tcPr>
            <w:tcW w:w="1298" w:type="dxa"/>
          </w:tcPr>
          <w:p w14:paraId="50349323"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933" w:type="dxa"/>
          </w:tcPr>
          <w:p w14:paraId="0BFD8C12"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748" w:type="dxa"/>
            <w:gridSpan w:val="4"/>
          </w:tcPr>
          <w:p w14:paraId="18F346AA" w14:textId="77777777" w:rsidR="00601D9B" w:rsidRDefault="000E53A0">
            <w:pPr>
              <w:jc w:val="right"/>
              <w:rPr>
                <w:rFonts w:cstheme="minorHAnsi"/>
                <w:sz w:val="18"/>
                <w:szCs w:val="18"/>
              </w:rPr>
            </w:pPr>
            <w:r w:rsidRPr="007F5638">
              <w:rPr>
                <w:rFonts w:cstheme="minorHAnsi"/>
                <w:color w:val="000000"/>
                <w:sz w:val="18"/>
                <w:szCs w:val="18"/>
              </w:rPr>
              <w:fldChar w:fldCharType="begin">
                <w:ffData>
                  <w:name w:val="PPG_fa_01"/>
                  <w:enabled/>
                  <w:calcOnExit w:val="0"/>
                  <w:ddList>
                    <w:listEntry w:val="(select)"/>
                    <w:listEntry w:val="Ia Strict Nature Reserve"/>
                    <w:listEntry w:val="Ib Wilderness Area"/>
                    <w:listEntry w:val="II National Park"/>
                    <w:listEntry w:val="III Natural Monument or Feature"/>
                    <w:listEntry w:val="IV Habitat/Species Management Area"/>
                    <w:listEntry w:val="V Protected Landscape/Seascape"/>
                    <w:listEntry w:val="VI PA with sustainable use of natural resources"/>
                  </w:ddList>
                </w:ffData>
              </w:fldChar>
            </w:r>
            <w:bookmarkStart w:id="98" w:name="PPG_fa_01"/>
            <w:r w:rsidRPr="007F5638">
              <w:rPr>
                <w:rFonts w:cstheme="minorHAnsi"/>
                <w:color w:val="000000"/>
                <w:sz w:val="18"/>
                <w:szCs w:val="18"/>
              </w:rPr>
              <w:instrText xml:space="preserve"> FORMDROPDOWN </w:instrText>
            </w:r>
            <w:r w:rsidR="00B330C0">
              <w:rPr>
                <w:rFonts w:cstheme="minorHAnsi"/>
                <w:color w:val="000000"/>
                <w:sz w:val="18"/>
                <w:szCs w:val="18"/>
              </w:rPr>
            </w:r>
            <w:r w:rsidR="00B330C0">
              <w:rPr>
                <w:rFonts w:cstheme="minorHAnsi"/>
                <w:color w:val="000000"/>
                <w:sz w:val="18"/>
                <w:szCs w:val="18"/>
              </w:rPr>
              <w:fldChar w:fldCharType="separate"/>
            </w:r>
            <w:r w:rsidRPr="007F5638">
              <w:rPr>
                <w:rFonts w:cstheme="minorHAnsi"/>
                <w:color w:val="000000"/>
                <w:sz w:val="18"/>
                <w:szCs w:val="18"/>
              </w:rPr>
              <w:fldChar w:fldCharType="end"/>
            </w:r>
            <w:bookmarkEnd w:id="98"/>
            <w:r w:rsidRPr="007F5638">
              <w:rPr>
                <w:rFonts w:cstheme="minorHAnsi"/>
                <w:color w:val="000000"/>
                <w:sz w:val="18"/>
                <w:szCs w:val="18"/>
              </w:rPr>
              <w:t xml:space="preserve">  </w:t>
            </w:r>
          </w:p>
        </w:tc>
        <w:tc>
          <w:tcPr>
            <w:tcW w:w="1323" w:type="dxa"/>
            <w:gridSpan w:val="2"/>
          </w:tcPr>
          <w:p w14:paraId="47EA9D1B"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477" w:type="dxa"/>
            <w:gridSpan w:val="2"/>
          </w:tcPr>
          <w:p w14:paraId="0E99FB3D"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306" w:type="dxa"/>
          </w:tcPr>
          <w:p w14:paraId="44481240"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287" w:type="dxa"/>
          </w:tcPr>
          <w:p w14:paraId="1BF0F8D8"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r>
      <w:tr w:rsidR="007F5638" w:rsidRPr="007F5638" w14:paraId="6E59A0B7" w14:textId="77777777" w:rsidTr="001A7B9D">
        <w:tc>
          <w:tcPr>
            <w:tcW w:w="1298" w:type="dxa"/>
          </w:tcPr>
          <w:p w14:paraId="0C524437"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933" w:type="dxa"/>
          </w:tcPr>
          <w:p w14:paraId="4B0FB4F7"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748" w:type="dxa"/>
            <w:gridSpan w:val="4"/>
          </w:tcPr>
          <w:p w14:paraId="349E5068" w14:textId="77777777" w:rsidR="00601D9B" w:rsidRDefault="000E53A0">
            <w:pPr>
              <w:jc w:val="right"/>
              <w:rPr>
                <w:rFonts w:cstheme="minorHAnsi"/>
                <w:sz w:val="18"/>
                <w:szCs w:val="18"/>
              </w:rPr>
            </w:pPr>
            <w:r w:rsidRPr="007F5638">
              <w:rPr>
                <w:rFonts w:cstheme="minorHAnsi"/>
                <w:color w:val="000000"/>
                <w:sz w:val="18"/>
                <w:szCs w:val="18"/>
              </w:rPr>
              <w:fldChar w:fldCharType="begin">
                <w:ffData>
                  <w:name w:val="PPG_fa_01"/>
                  <w:enabled/>
                  <w:calcOnExit w:val="0"/>
                  <w:ddList>
                    <w:listEntry w:val="(select)"/>
                    <w:listEntry w:val="Ia Strict Nature Reserve"/>
                    <w:listEntry w:val="Ib Wilderness Area"/>
                    <w:listEntry w:val="II National Park"/>
                    <w:listEntry w:val="III Natural Monument or Feature"/>
                    <w:listEntry w:val="IV Habitat/Species Management Area"/>
                    <w:listEntry w:val="V Protected Landscape/Seascape"/>
                    <w:listEntry w:val="VI PA with sustainable use of natural resources"/>
                  </w:ddList>
                </w:ffData>
              </w:fldChar>
            </w:r>
            <w:r w:rsidRPr="007F5638">
              <w:rPr>
                <w:rFonts w:cstheme="minorHAnsi"/>
                <w:color w:val="000000"/>
                <w:sz w:val="18"/>
                <w:szCs w:val="18"/>
              </w:rPr>
              <w:instrText xml:space="preserve"> FORMDROPDOWN </w:instrText>
            </w:r>
            <w:r w:rsidR="00B330C0">
              <w:rPr>
                <w:rFonts w:cstheme="minorHAnsi"/>
                <w:color w:val="000000"/>
                <w:sz w:val="18"/>
                <w:szCs w:val="18"/>
              </w:rPr>
            </w:r>
            <w:r w:rsidR="00B330C0">
              <w:rPr>
                <w:rFonts w:cstheme="minorHAnsi"/>
                <w:color w:val="000000"/>
                <w:sz w:val="18"/>
                <w:szCs w:val="18"/>
              </w:rPr>
              <w:fldChar w:fldCharType="separate"/>
            </w:r>
            <w:r w:rsidRPr="007F5638">
              <w:rPr>
                <w:rFonts w:cstheme="minorHAnsi"/>
                <w:color w:val="000000"/>
                <w:sz w:val="18"/>
                <w:szCs w:val="18"/>
              </w:rPr>
              <w:fldChar w:fldCharType="end"/>
            </w:r>
            <w:r w:rsidRPr="007F5638">
              <w:rPr>
                <w:rFonts w:cstheme="minorHAnsi"/>
                <w:color w:val="000000"/>
                <w:sz w:val="18"/>
                <w:szCs w:val="18"/>
              </w:rPr>
              <w:t xml:space="preserve">  </w:t>
            </w:r>
          </w:p>
        </w:tc>
        <w:tc>
          <w:tcPr>
            <w:tcW w:w="1323" w:type="dxa"/>
            <w:gridSpan w:val="2"/>
          </w:tcPr>
          <w:p w14:paraId="387F761B"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477" w:type="dxa"/>
            <w:gridSpan w:val="2"/>
          </w:tcPr>
          <w:p w14:paraId="0CE2B8DD"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306" w:type="dxa"/>
          </w:tcPr>
          <w:p w14:paraId="70DA9B99"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287" w:type="dxa"/>
          </w:tcPr>
          <w:p w14:paraId="0D9027F5"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r>
      <w:tr w:rsidR="007F5638" w:rsidRPr="007F5638" w14:paraId="5619775C" w14:textId="77777777" w:rsidTr="001A7B9D">
        <w:tc>
          <w:tcPr>
            <w:tcW w:w="1298" w:type="dxa"/>
          </w:tcPr>
          <w:p w14:paraId="7F778DF4" w14:textId="77777777" w:rsidR="007F5638" w:rsidRPr="007F5638" w:rsidRDefault="007F5638" w:rsidP="007F5638">
            <w:pPr>
              <w:rPr>
                <w:rFonts w:cstheme="minorHAnsi"/>
                <w:sz w:val="18"/>
                <w:szCs w:val="18"/>
              </w:rPr>
            </w:pPr>
          </w:p>
        </w:tc>
        <w:tc>
          <w:tcPr>
            <w:tcW w:w="933" w:type="dxa"/>
          </w:tcPr>
          <w:p w14:paraId="288DC50D" w14:textId="77777777" w:rsidR="007F5638" w:rsidRPr="007F5638" w:rsidRDefault="007F5638" w:rsidP="007F5638">
            <w:pPr>
              <w:rPr>
                <w:rFonts w:cstheme="minorHAnsi"/>
                <w:sz w:val="18"/>
                <w:szCs w:val="18"/>
              </w:rPr>
            </w:pPr>
          </w:p>
        </w:tc>
        <w:tc>
          <w:tcPr>
            <w:tcW w:w="1748" w:type="dxa"/>
            <w:gridSpan w:val="4"/>
          </w:tcPr>
          <w:p w14:paraId="61CD3D7E" w14:textId="77777777" w:rsidR="00601D9B" w:rsidRDefault="000E53A0">
            <w:pPr>
              <w:jc w:val="right"/>
              <w:rPr>
                <w:rFonts w:cstheme="minorHAnsi"/>
                <w:sz w:val="18"/>
                <w:szCs w:val="18"/>
              </w:rPr>
            </w:pPr>
            <w:r w:rsidRPr="007F5638">
              <w:rPr>
                <w:rFonts w:cstheme="minorHAnsi"/>
                <w:sz w:val="18"/>
                <w:szCs w:val="18"/>
              </w:rPr>
              <w:t>Somme</w:t>
            </w:r>
          </w:p>
        </w:tc>
        <w:tc>
          <w:tcPr>
            <w:tcW w:w="1323" w:type="dxa"/>
            <w:gridSpan w:val="2"/>
          </w:tcPr>
          <w:p w14:paraId="19BCE657"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477" w:type="dxa"/>
            <w:gridSpan w:val="2"/>
          </w:tcPr>
          <w:p w14:paraId="7EDD49BB"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306" w:type="dxa"/>
          </w:tcPr>
          <w:p w14:paraId="0A6278A2"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287" w:type="dxa"/>
          </w:tcPr>
          <w:p w14:paraId="7EBA8F54"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r>
      <w:tr w:rsidR="007F5638" w:rsidRPr="007F5638" w14:paraId="334148EB" w14:textId="77777777" w:rsidTr="001A7B9D">
        <w:tc>
          <w:tcPr>
            <w:tcW w:w="1298" w:type="dxa"/>
            <w:shd w:val="clear" w:color="auto" w:fill="BFBFBF" w:themeFill="background1" w:themeFillShade="BF"/>
          </w:tcPr>
          <w:p w14:paraId="2A04E95A" w14:textId="77777777" w:rsidR="00601D9B" w:rsidRDefault="000E53A0">
            <w:pPr>
              <w:rPr>
                <w:rFonts w:cstheme="minorHAnsi"/>
                <w:sz w:val="18"/>
                <w:szCs w:val="18"/>
              </w:rPr>
            </w:pPr>
            <w:r w:rsidRPr="007F5638">
              <w:rPr>
                <w:rFonts w:cstheme="minorHAnsi"/>
                <w:sz w:val="18"/>
                <w:szCs w:val="18"/>
              </w:rPr>
              <w:t>Indicateur 1.2</w:t>
            </w:r>
          </w:p>
        </w:tc>
        <w:tc>
          <w:tcPr>
            <w:tcW w:w="6787" w:type="dxa"/>
            <w:gridSpan w:val="10"/>
            <w:shd w:val="clear" w:color="auto" w:fill="BFBFBF" w:themeFill="background1" w:themeFillShade="BF"/>
          </w:tcPr>
          <w:p w14:paraId="1978EEE0" w14:textId="77777777" w:rsidR="00601D9B" w:rsidRPr="000E53A0" w:rsidRDefault="000E53A0">
            <w:pPr>
              <w:rPr>
                <w:rFonts w:cstheme="minorHAnsi"/>
                <w:sz w:val="18"/>
                <w:szCs w:val="18"/>
                <w:lang w:val="fr-FR"/>
              </w:rPr>
            </w:pPr>
            <w:r w:rsidRPr="000E53A0">
              <w:rPr>
                <w:rFonts w:cstheme="minorHAnsi"/>
                <w:sz w:val="18"/>
                <w:szCs w:val="18"/>
                <w:lang w:val="fr-FR"/>
              </w:rPr>
              <w:t>Zones protégées terrestres dont l'efficacité de gestion a été améliorée</w:t>
            </w:r>
          </w:p>
        </w:tc>
        <w:tc>
          <w:tcPr>
            <w:tcW w:w="1287" w:type="dxa"/>
            <w:shd w:val="clear" w:color="auto" w:fill="BFBFBF" w:themeFill="background1" w:themeFillShade="BF"/>
          </w:tcPr>
          <w:p w14:paraId="4F70BE4C"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r>
      <w:tr w:rsidR="007F5638" w:rsidRPr="007F5638" w14:paraId="7BA9D9C0" w14:textId="77777777" w:rsidTr="001A7B9D">
        <w:trPr>
          <w:trHeight w:val="125"/>
        </w:trPr>
        <w:tc>
          <w:tcPr>
            <w:tcW w:w="1298" w:type="dxa"/>
            <w:vMerge w:val="restart"/>
            <w:vAlign w:val="center"/>
          </w:tcPr>
          <w:p w14:paraId="6A973B02" w14:textId="77777777" w:rsidR="00601D9B" w:rsidRPr="000E53A0" w:rsidRDefault="000E53A0">
            <w:pPr>
              <w:rPr>
                <w:rFonts w:cstheme="minorHAnsi"/>
                <w:sz w:val="18"/>
                <w:szCs w:val="18"/>
                <w:lang w:val="fr-FR"/>
              </w:rPr>
            </w:pPr>
            <w:r w:rsidRPr="000E53A0">
              <w:rPr>
                <w:rFonts w:cstheme="minorHAnsi"/>
                <w:sz w:val="18"/>
                <w:szCs w:val="18"/>
                <w:lang w:val="fr-FR"/>
              </w:rPr>
              <w:t>Nom de la zone protégée</w:t>
            </w:r>
          </w:p>
        </w:tc>
        <w:tc>
          <w:tcPr>
            <w:tcW w:w="933" w:type="dxa"/>
            <w:vMerge w:val="restart"/>
            <w:vAlign w:val="center"/>
          </w:tcPr>
          <w:p w14:paraId="46BF9B2F" w14:textId="77777777" w:rsidR="00601D9B" w:rsidRDefault="000E53A0">
            <w:pPr>
              <w:rPr>
                <w:rFonts w:cstheme="minorHAnsi"/>
                <w:sz w:val="18"/>
                <w:szCs w:val="18"/>
              </w:rPr>
            </w:pPr>
            <w:r w:rsidRPr="007F5638">
              <w:rPr>
                <w:rFonts w:cstheme="minorHAnsi"/>
                <w:sz w:val="18"/>
                <w:szCs w:val="18"/>
              </w:rPr>
              <w:t>ID WDPA</w:t>
            </w:r>
          </w:p>
        </w:tc>
        <w:tc>
          <w:tcPr>
            <w:tcW w:w="858" w:type="dxa"/>
            <w:gridSpan w:val="2"/>
            <w:vMerge w:val="restart"/>
            <w:vAlign w:val="center"/>
          </w:tcPr>
          <w:p w14:paraId="3FB143A6" w14:textId="77777777" w:rsidR="00601D9B" w:rsidRDefault="000E53A0">
            <w:pPr>
              <w:rPr>
                <w:rFonts w:cstheme="minorHAnsi"/>
                <w:sz w:val="18"/>
                <w:szCs w:val="18"/>
              </w:rPr>
            </w:pPr>
            <w:r w:rsidRPr="007F5638">
              <w:rPr>
                <w:rFonts w:cstheme="minorHAnsi"/>
                <w:sz w:val="18"/>
                <w:szCs w:val="18"/>
              </w:rPr>
              <w:t>Catégorie UICN</w:t>
            </w:r>
          </w:p>
        </w:tc>
        <w:tc>
          <w:tcPr>
            <w:tcW w:w="890" w:type="dxa"/>
            <w:gridSpan w:val="2"/>
            <w:vMerge w:val="restart"/>
            <w:vAlign w:val="center"/>
          </w:tcPr>
          <w:p w14:paraId="0E7D0E86" w14:textId="77777777" w:rsidR="00601D9B" w:rsidRDefault="000E53A0">
            <w:pPr>
              <w:rPr>
                <w:rFonts w:cstheme="minorHAnsi"/>
                <w:sz w:val="18"/>
                <w:szCs w:val="18"/>
              </w:rPr>
            </w:pPr>
            <w:r w:rsidRPr="007F5638">
              <w:rPr>
                <w:rFonts w:cstheme="minorHAnsi"/>
                <w:sz w:val="18"/>
                <w:szCs w:val="18"/>
              </w:rPr>
              <w:t>Hectares</w:t>
            </w:r>
          </w:p>
        </w:tc>
        <w:tc>
          <w:tcPr>
            <w:tcW w:w="5393" w:type="dxa"/>
            <w:gridSpan w:val="6"/>
          </w:tcPr>
          <w:p w14:paraId="6EA2EEA3" w14:textId="77777777" w:rsidR="00601D9B" w:rsidRDefault="000E53A0">
            <w:pPr>
              <w:jc w:val="center"/>
              <w:rPr>
                <w:rFonts w:cstheme="minorHAnsi"/>
                <w:sz w:val="18"/>
                <w:szCs w:val="18"/>
              </w:rPr>
            </w:pPr>
            <w:r w:rsidRPr="007F5638">
              <w:rPr>
                <w:rFonts w:cstheme="minorHAnsi"/>
                <w:sz w:val="18"/>
                <w:szCs w:val="18"/>
              </w:rPr>
              <w:t xml:space="preserve">Score METT </w:t>
            </w:r>
          </w:p>
        </w:tc>
      </w:tr>
      <w:tr w:rsidR="007F5638" w:rsidRPr="007F5638" w14:paraId="30377A65" w14:textId="77777777" w:rsidTr="001A7B9D">
        <w:trPr>
          <w:trHeight w:val="58"/>
        </w:trPr>
        <w:tc>
          <w:tcPr>
            <w:tcW w:w="1298" w:type="dxa"/>
            <w:vMerge/>
          </w:tcPr>
          <w:p w14:paraId="3E138260" w14:textId="77777777" w:rsidR="007F5638" w:rsidRPr="007F5638" w:rsidRDefault="007F5638" w:rsidP="007F5638">
            <w:pPr>
              <w:rPr>
                <w:rFonts w:cstheme="minorHAnsi"/>
                <w:sz w:val="18"/>
                <w:szCs w:val="18"/>
              </w:rPr>
            </w:pPr>
          </w:p>
        </w:tc>
        <w:tc>
          <w:tcPr>
            <w:tcW w:w="933" w:type="dxa"/>
            <w:vMerge/>
          </w:tcPr>
          <w:p w14:paraId="0D7D7ECF" w14:textId="77777777" w:rsidR="007F5638" w:rsidRPr="007F5638" w:rsidRDefault="007F5638" w:rsidP="007F5638">
            <w:pPr>
              <w:rPr>
                <w:rFonts w:cstheme="minorHAnsi"/>
                <w:sz w:val="18"/>
                <w:szCs w:val="18"/>
              </w:rPr>
            </w:pPr>
          </w:p>
        </w:tc>
        <w:tc>
          <w:tcPr>
            <w:tcW w:w="858" w:type="dxa"/>
            <w:gridSpan w:val="2"/>
            <w:vMerge/>
          </w:tcPr>
          <w:p w14:paraId="22768E30" w14:textId="77777777" w:rsidR="007F5638" w:rsidRPr="007F5638" w:rsidRDefault="007F5638" w:rsidP="007F5638">
            <w:pPr>
              <w:rPr>
                <w:rFonts w:cstheme="minorHAnsi"/>
                <w:sz w:val="18"/>
                <w:szCs w:val="18"/>
              </w:rPr>
            </w:pPr>
          </w:p>
        </w:tc>
        <w:tc>
          <w:tcPr>
            <w:tcW w:w="890" w:type="dxa"/>
            <w:gridSpan w:val="2"/>
            <w:vMerge/>
          </w:tcPr>
          <w:p w14:paraId="393989C0" w14:textId="77777777" w:rsidR="007F5638" w:rsidRPr="007F5638" w:rsidRDefault="007F5638" w:rsidP="007F5638">
            <w:pPr>
              <w:rPr>
                <w:rFonts w:cstheme="minorHAnsi"/>
                <w:sz w:val="18"/>
                <w:szCs w:val="18"/>
              </w:rPr>
            </w:pPr>
          </w:p>
        </w:tc>
        <w:tc>
          <w:tcPr>
            <w:tcW w:w="2800" w:type="dxa"/>
            <w:gridSpan w:val="4"/>
          </w:tcPr>
          <w:p w14:paraId="6F665B12" w14:textId="77777777" w:rsidR="00601D9B" w:rsidRDefault="000E53A0">
            <w:pPr>
              <w:jc w:val="center"/>
              <w:rPr>
                <w:rFonts w:cstheme="minorHAnsi"/>
                <w:sz w:val="18"/>
                <w:szCs w:val="18"/>
              </w:rPr>
            </w:pPr>
            <w:r w:rsidRPr="007F5638">
              <w:rPr>
                <w:rFonts w:cstheme="minorHAnsi"/>
                <w:sz w:val="18"/>
                <w:szCs w:val="18"/>
              </w:rPr>
              <w:t>Ligne de base</w:t>
            </w:r>
          </w:p>
        </w:tc>
        <w:tc>
          <w:tcPr>
            <w:tcW w:w="2593" w:type="dxa"/>
            <w:gridSpan w:val="2"/>
          </w:tcPr>
          <w:p w14:paraId="44C0B6F4" w14:textId="77777777" w:rsidR="00601D9B" w:rsidRDefault="000E53A0">
            <w:pPr>
              <w:jc w:val="center"/>
              <w:rPr>
                <w:rFonts w:cstheme="minorHAnsi"/>
                <w:sz w:val="18"/>
                <w:szCs w:val="18"/>
              </w:rPr>
            </w:pPr>
            <w:r w:rsidRPr="007F5638">
              <w:rPr>
                <w:rFonts w:cstheme="minorHAnsi"/>
                <w:sz w:val="18"/>
                <w:szCs w:val="18"/>
              </w:rPr>
              <w:t>Réalisé</w:t>
            </w:r>
          </w:p>
        </w:tc>
      </w:tr>
      <w:tr w:rsidR="007F5638" w:rsidRPr="007F5638" w14:paraId="0004AEBB" w14:textId="77777777" w:rsidTr="001A7B9D">
        <w:trPr>
          <w:trHeight w:val="58"/>
        </w:trPr>
        <w:tc>
          <w:tcPr>
            <w:tcW w:w="1298" w:type="dxa"/>
            <w:vMerge/>
          </w:tcPr>
          <w:p w14:paraId="5B5F40AB" w14:textId="77777777" w:rsidR="007F5638" w:rsidRPr="007F5638" w:rsidRDefault="007F5638" w:rsidP="007F5638">
            <w:pPr>
              <w:rPr>
                <w:rFonts w:cstheme="minorHAnsi"/>
                <w:sz w:val="18"/>
                <w:szCs w:val="18"/>
              </w:rPr>
            </w:pPr>
          </w:p>
        </w:tc>
        <w:tc>
          <w:tcPr>
            <w:tcW w:w="933" w:type="dxa"/>
            <w:vMerge/>
          </w:tcPr>
          <w:p w14:paraId="7040C100" w14:textId="77777777" w:rsidR="007F5638" w:rsidRPr="007F5638" w:rsidRDefault="007F5638" w:rsidP="007F5638">
            <w:pPr>
              <w:rPr>
                <w:rFonts w:cstheme="minorHAnsi"/>
                <w:sz w:val="18"/>
                <w:szCs w:val="18"/>
              </w:rPr>
            </w:pPr>
          </w:p>
        </w:tc>
        <w:tc>
          <w:tcPr>
            <w:tcW w:w="858" w:type="dxa"/>
            <w:gridSpan w:val="2"/>
            <w:vMerge/>
          </w:tcPr>
          <w:p w14:paraId="7F3917E1" w14:textId="77777777" w:rsidR="007F5638" w:rsidRPr="007F5638" w:rsidRDefault="007F5638" w:rsidP="007F5638">
            <w:pPr>
              <w:rPr>
                <w:rFonts w:cstheme="minorHAnsi"/>
                <w:sz w:val="18"/>
                <w:szCs w:val="18"/>
              </w:rPr>
            </w:pPr>
          </w:p>
        </w:tc>
        <w:tc>
          <w:tcPr>
            <w:tcW w:w="890" w:type="dxa"/>
            <w:gridSpan w:val="2"/>
            <w:vMerge/>
          </w:tcPr>
          <w:p w14:paraId="4C560EBF" w14:textId="77777777" w:rsidR="007F5638" w:rsidRPr="007F5638" w:rsidRDefault="007F5638" w:rsidP="007F5638">
            <w:pPr>
              <w:rPr>
                <w:rFonts w:cstheme="minorHAnsi"/>
                <w:sz w:val="18"/>
                <w:szCs w:val="18"/>
              </w:rPr>
            </w:pPr>
          </w:p>
        </w:tc>
        <w:tc>
          <w:tcPr>
            <w:tcW w:w="1323" w:type="dxa"/>
            <w:gridSpan w:val="2"/>
          </w:tcPr>
          <w:p w14:paraId="1C80808B" w14:textId="77777777" w:rsidR="007F5638" w:rsidRPr="007F5638" w:rsidRDefault="007F5638" w:rsidP="007F5638">
            <w:pPr>
              <w:jc w:val="center"/>
              <w:rPr>
                <w:rFonts w:cstheme="minorHAnsi"/>
                <w:sz w:val="18"/>
                <w:szCs w:val="18"/>
              </w:rPr>
            </w:pPr>
          </w:p>
        </w:tc>
        <w:tc>
          <w:tcPr>
            <w:tcW w:w="1477" w:type="dxa"/>
            <w:gridSpan w:val="2"/>
          </w:tcPr>
          <w:p w14:paraId="08D00F18" w14:textId="77777777" w:rsidR="00601D9B" w:rsidRDefault="000E53A0">
            <w:pPr>
              <w:jc w:val="center"/>
              <w:rPr>
                <w:rFonts w:cstheme="minorHAnsi"/>
                <w:sz w:val="18"/>
                <w:szCs w:val="18"/>
              </w:rPr>
            </w:pPr>
            <w:r w:rsidRPr="007F5638">
              <w:rPr>
                <w:rFonts w:cstheme="minorHAnsi"/>
                <w:sz w:val="18"/>
                <w:szCs w:val="18"/>
              </w:rPr>
              <w:t>Endossement</w:t>
            </w:r>
          </w:p>
        </w:tc>
        <w:tc>
          <w:tcPr>
            <w:tcW w:w="1306" w:type="dxa"/>
          </w:tcPr>
          <w:p w14:paraId="30DFC0D8" w14:textId="77777777" w:rsidR="00601D9B" w:rsidRDefault="000E53A0">
            <w:pPr>
              <w:jc w:val="center"/>
              <w:rPr>
                <w:rFonts w:cstheme="minorHAnsi"/>
                <w:sz w:val="18"/>
                <w:szCs w:val="18"/>
              </w:rPr>
            </w:pPr>
            <w:r w:rsidRPr="007F5638">
              <w:rPr>
                <w:rFonts w:cstheme="minorHAnsi"/>
                <w:sz w:val="18"/>
                <w:szCs w:val="18"/>
              </w:rPr>
              <w:t>MTR</w:t>
            </w:r>
          </w:p>
        </w:tc>
        <w:tc>
          <w:tcPr>
            <w:tcW w:w="1287" w:type="dxa"/>
          </w:tcPr>
          <w:p w14:paraId="12F5EFFE" w14:textId="77777777" w:rsidR="00601D9B" w:rsidRDefault="000E53A0">
            <w:pPr>
              <w:jc w:val="center"/>
              <w:rPr>
                <w:rFonts w:cstheme="minorHAnsi"/>
                <w:sz w:val="18"/>
                <w:szCs w:val="18"/>
              </w:rPr>
            </w:pPr>
            <w:r w:rsidRPr="007F5638">
              <w:rPr>
                <w:rFonts w:cstheme="minorHAnsi"/>
                <w:sz w:val="18"/>
                <w:szCs w:val="18"/>
              </w:rPr>
              <w:t>TE</w:t>
            </w:r>
          </w:p>
        </w:tc>
      </w:tr>
      <w:tr w:rsidR="007F5638" w:rsidRPr="007F5638" w14:paraId="7C2E7513" w14:textId="77777777" w:rsidTr="001A7B9D">
        <w:tc>
          <w:tcPr>
            <w:tcW w:w="1298" w:type="dxa"/>
          </w:tcPr>
          <w:p w14:paraId="4EAFEC09"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933" w:type="dxa"/>
          </w:tcPr>
          <w:p w14:paraId="4DFF06A3"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842" w:type="dxa"/>
          </w:tcPr>
          <w:p w14:paraId="4BAE7C19" w14:textId="77777777" w:rsidR="00601D9B" w:rsidRDefault="000E53A0">
            <w:pPr>
              <w:jc w:val="right"/>
              <w:rPr>
                <w:rFonts w:cstheme="minorHAnsi"/>
                <w:sz w:val="18"/>
                <w:szCs w:val="18"/>
              </w:rPr>
            </w:pPr>
            <w:r w:rsidRPr="007F5638">
              <w:rPr>
                <w:rFonts w:cstheme="minorHAnsi"/>
                <w:color w:val="000000"/>
                <w:sz w:val="18"/>
                <w:szCs w:val="18"/>
              </w:rPr>
              <w:fldChar w:fldCharType="begin">
                <w:ffData>
                  <w:name w:val=""/>
                  <w:enabled/>
                  <w:calcOnExit w:val="0"/>
                  <w:ddList>
                    <w:listEntry w:val="(select)"/>
                    <w:listEntry w:val="Ia Strict Nature Reserve"/>
                    <w:listEntry w:val="Ib Wilderness Area"/>
                    <w:listEntry w:val="II National Park"/>
                    <w:listEntry w:val="III Natural Monument or Feature"/>
                    <w:listEntry w:val="IV Habitat/Species Management Area"/>
                    <w:listEntry w:val="V Protected Landscape/Seascape"/>
                    <w:listEntry w:val="VI PA with sustainable use of natural resources"/>
                    <w:listEntry w:val="Other"/>
                  </w:ddList>
                </w:ffData>
              </w:fldChar>
            </w:r>
            <w:r w:rsidRPr="007F5638">
              <w:rPr>
                <w:rFonts w:cstheme="minorHAnsi"/>
                <w:color w:val="000000"/>
                <w:sz w:val="18"/>
                <w:szCs w:val="18"/>
              </w:rPr>
              <w:instrText xml:space="preserve"> FORMDROPDOWN </w:instrText>
            </w:r>
            <w:r w:rsidR="00B330C0">
              <w:rPr>
                <w:rFonts w:cstheme="minorHAnsi"/>
                <w:color w:val="000000"/>
                <w:sz w:val="18"/>
                <w:szCs w:val="18"/>
              </w:rPr>
            </w:r>
            <w:r w:rsidR="00B330C0">
              <w:rPr>
                <w:rFonts w:cstheme="minorHAnsi"/>
                <w:color w:val="000000"/>
                <w:sz w:val="18"/>
                <w:szCs w:val="18"/>
              </w:rPr>
              <w:fldChar w:fldCharType="separate"/>
            </w:r>
            <w:r w:rsidRPr="007F5638">
              <w:rPr>
                <w:rFonts w:cstheme="minorHAnsi"/>
                <w:color w:val="000000"/>
                <w:sz w:val="18"/>
                <w:szCs w:val="18"/>
              </w:rPr>
              <w:fldChar w:fldCharType="end"/>
            </w:r>
            <w:r w:rsidRPr="007F5638">
              <w:rPr>
                <w:rFonts w:cstheme="minorHAnsi"/>
                <w:color w:val="000000"/>
                <w:sz w:val="18"/>
                <w:szCs w:val="18"/>
              </w:rPr>
              <w:t xml:space="preserve">  </w:t>
            </w:r>
          </w:p>
        </w:tc>
        <w:tc>
          <w:tcPr>
            <w:tcW w:w="906" w:type="dxa"/>
            <w:gridSpan w:val="3"/>
          </w:tcPr>
          <w:p w14:paraId="7FDB9F99"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323" w:type="dxa"/>
            <w:gridSpan w:val="2"/>
          </w:tcPr>
          <w:p w14:paraId="2786AC97" w14:textId="77777777" w:rsidR="007F5638" w:rsidRPr="007F5638" w:rsidRDefault="007F5638" w:rsidP="007F5638">
            <w:pPr>
              <w:jc w:val="right"/>
              <w:rPr>
                <w:rFonts w:cstheme="minorHAnsi"/>
                <w:sz w:val="18"/>
                <w:szCs w:val="18"/>
              </w:rPr>
            </w:pPr>
          </w:p>
        </w:tc>
        <w:tc>
          <w:tcPr>
            <w:tcW w:w="1477" w:type="dxa"/>
            <w:gridSpan w:val="2"/>
          </w:tcPr>
          <w:p w14:paraId="7497E801"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306" w:type="dxa"/>
          </w:tcPr>
          <w:p w14:paraId="02AC75B0"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287" w:type="dxa"/>
          </w:tcPr>
          <w:p w14:paraId="2D2B9637"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r>
      <w:tr w:rsidR="007F5638" w:rsidRPr="007F5638" w14:paraId="0A8BB479" w14:textId="77777777" w:rsidTr="001A7B9D">
        <w:tc>
          <w:tcPr>
            <w:tcW w:w="1298" w:type="dxa"/>
          </w:tcPr>
          <w:p w14:paraId="1D4E5A7B"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933" w:type="dxa"/>
          </w:tcPr>
          <w:p w14:paraId="61F1EED5"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842" w:type="dxa"/>
          </w:tcPr>
          <w:p w14:paraId="19644C87" w14:textId="77777777" w:rsidR="00601D9B" w:rsidRDefault="000E53A0">
            <w:pPr>
              <w:jc w:val="right"/>
              <w:rPr>
                <w:rFonts w:cstheme="minorHAnsi"/>
                <w:sz w:val="18"/>
                <w:szCs w:val="18"/>
              </w:rPr>
            </w:pPr>
            <w:r w:rsidRPr="007F5638">
              <w:rPr>
                <w:rFonts w:cstheme="minorHAnsi"/>
                <w:color w:val="000000"/>
                <w:sz w:val="18"/>
                <w:szCs w:val="18"/>
              </w:rPr>
              <w:fldChar w:fldCharType="begin">
                <w:ffData>
                  <w:name w:val=""/>
                  <w:enabled/>
                  <w:calcOnExit w:val="0"/>
                  <w:ddList>
                    <w:listEntry w:val="(select)"/>
                    <w:listEntry w:val="Ia Strict Nature Reserve"/>
                    <w:listEntry w:val="Ib Wilderness Area"/>
                    <w:listEntry w:val="II National Park"/>
                    <w:listEntry w:val="III Natural Monument or Feature"/>
                    <w:listEntry w:val="IV Habitat/Species Management Area"/>
                    <w:listEntry w:val="V Protected Landscape/Seascape"/>
                    <w:listEntry w:val="VI PA with sustainable use of natural resources"/>
                    <w:listEntry w:val="Other"/>
                  </w:ddList>
                </w:ffData>
              </w:fldChar>
            </w:r>
            <w:r w:rsidRPr="007F5638">
              <w:rPr>
                <w:rFonts w:cstheme="minorHAnsi"/>
                <w:color w:val="000000"/>
                <w:sz w:val="18"/>
                <w:szCs w:val="18"/>
              </w:rPr>
              <w:instrText xml:space="preserve"> FORMDROPDOWN </w:instrText>
            </w:r>
            <w:r w:rsidR="00B330C0">
              <w:rPr>
                <w:rFonts w:cstheme="minorHAnsi"/>
                <w:color w:val="000000"/>
                <w:sz w:val="18"/>
                <w:szCs w:val="18"/>
              </w:rPr>
            </w:r>
            <w:r w:rsidR="00B330C0">
              <w:rPr>
                <w:rFonts w:cstheme="minorHAnsi"/>
                <w:color w:val="000000"/>
                <w:sz w:val="18"/>
                <w:szCs w:val="18"/>
              </w:rPr>
              <w:fldChar w:fldCharType="separate"/>
            </w:r>
            <w:r w:rsidRPr="007F5638">
              <w:rPr>
                <w:rFonts w:cstheme="minorHAnsi"/>
                <w:color w:val="000000"/>
                <w:sz w:val="18"/>
                <w:szCs w:val="18"/>
              </w:rPr>
              <w:fldChar w:fldCharType="end"/>
            </w:r>
            <w:r w:rsidRPr="007F5638">
              <w:rPr>
                <w:rFonts w:cstheme="minorHAnsi"/>
                <w:color w:val="000000"/>
                <w:sz w:val="18"/>
                <w:szCs w:val="18"/>
              </w:rPr>
              <w:t xml:space="preserve">  </w:t>
            </w:r>
          </w:p>
        </w:tc>
        <w:tc>
          <w:tcPr>
            <w:tcW w:w="906" w:type="dxa"/>
            <w:gridSpan w:val="3"/>
          </w:tcPr>
          <w:p w14:paraId="37D8A724"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323" w:type="dxa"/>
            <w:gridSpan w:val="2"/>
          </w:tcPr>
          <w:p w14:paraId="0D90F097" w14:textId="77777777" w:rsidR="007F5638" w:rsidRPr="007F5638" w:rsidRDefault="007F5638" w:rsidP="007F5638">
            <w:pPr>
              <w:jc w:val="right"/>
              <w:rPr>
                <w:rFonts w:cstheme="minorHAnsi"/>
                <w:sz w:val="18"/>
                <w:szCs w:val="18"/>
              </w:rPr>
            </w:pPr>
          </w:p>
        </w:tc>
        <w:tc>
          <w:tcPr>
            <w:tcW w:w="1477" w:type="dxa"/>
            <w:gridSpan w:val="2"/>
          </w:tcPr>
          <w:p w14:paraId="0C6A8289"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306" w:type="dxa"/>
          </w:tcPr>
          <w:p w14:paraId="6D1E85A7"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287" w:type="dxa"/>
          </w:tcPr>
          <w:p w14:paraId="46FA473C"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r>
      <w:tr w:rsidR="007F5638" w:rsidRPr="007F5638" w14:paraId="13EA7BB8" w14:textId="77777777" w:rsidTr="001A7B9D">
        <w:tc>
          <w:tcPr>
            <w:tcW w:w="1298" w:type="dxa"/>
          </w:tcPr>
          <w:p w14:paraId="2C973A1C" w14:textId="77777777" w:rsidR="007F5638" w:rsidRPr="007F5638" w:rsidRDefault="007F5638" w:rsidP="007F5638">
            <w:pPr>
              <w:rPr>
                <w:rFonts w:cstheme="minorHAnsi"/>
                <w:sz w:val="18"/>
                <w:szCs w:val="18"/>
              </w:rPr>
            </w:pPr>
          </w:p>
        </w:tc>
        <w:tc>
          <w:tcPr>
            <w:tcW w:w="933" w:type="dxa"/>
          </w:tcPr>
          <w:p w14:paraId="409D07D5" w14:textId="77777777" w:rsidR="007F5638" w:rsidRPr="007F5638" w:rsidRDefault="007F5638" w:rsidP="007F5638">
            <w:pPr>
              <w:rPr>
                <w:rFonts w:cstheme="minorHAnsi"/>
                <w:sz w:val="18"/>
                <w:szCs w:val="18"/>
              </w:rPr>
            </w:pPr>
          </w:p>
        </w:tc>
        <w:tc>
          <w:tcPr>
            <w:tcW w:w="842" w:type="dxa"/>
          </w:tcPr>
          <w:p w14:paraId="6342510A" w14:textId="77777777" w:rsidR="00601D9B" w:rsidRDefault="000E53A0">
            <w:pPr>
              <w:rPr>
                <w:rFonts w:cstheme="minorHAnsi"/>
                <w:sz w:val="18"/>
                <w:szCs w:val="18"/>
              </w:rPr>
            </w:pPr>
            <w:r w:rsidRPr="007F5638">
              <w:rPr>
                <w:rFonts w:cstheme="minorHAnsi"/>
                <w:sz w:val="18"/>
                <w:szCs w:val="18"/>
              </w:rPr>
              <w:t>Somme</w:t>
            </w:r>
          </w:p>
        </w:tc>
        <w:tc>
          <w:tcPr>
            <w:tcW w:w="906" w:type="dxa"/>
            <w:gridSpan w:val="3"/>
          </w:tcPr>
          <w:p w14:paraId="022BE499"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323" w:type="dxa"/>
            <w:gridSpan w:val="2"/>
          </w:tcPr>
          <w:p w14:paraId="68ED6DA3" w14:textId="77777777" w:rsidR="007F5638" w:rsidRPr="007F5638" w:rsidRDefault="007F5638" w:rsidP="007F5638">
            <w:pPr>
              <w:jc w:val="right"/>
              <w:rPr>
                <w:rFonts w:cstheme="minorHAnsi"/>
                <w:sz w:val="18"/>
                <w:szCs w:val="18"/>
              </w:rPr>
            </w:pPr>
          </w:p>
        </w:tc>
        <w:tc>
          <w:tcPr>
            <w:tcW w:w="1477" w:type="dxa"/>
            <w:gridSpan w:val="2"/>
          </w:tcPr>
          <w:p w14:paraId="7793FEEC" w14:textId="77777777" w:rsidR="007F5638" w:rsidRPr="007F5638" w:rsidRDefault="007F5638" w:rsidP="007F5638">
            <w:pPr>
              <w:jc w:val="right"/>
              <w:rPr>
                <w:rFonts w:cstheme="minorHAnsi"/>
                <w:sz w:val="18"/>
                <w:szCs w:val="18"/>
              </w:rPr>
            </w:pPr>
          </w:p>
        </w:tc>
        <w:tc>
          <w:tcPr>
            <w:tcW w:w="1306" w:type="dxa"/>
          </w:tcPr>
          <w:p w14:paraId="03A7AC7C" w14:textId="77777777" w:rsidR="007F5638" w:rsidRPr="007F5638" w:rsidRDefault="007F5638" w:rsidP="007F5638">
            <w:pPr>
              <w:jc w:val="right"/>
              <w:rPr>
                <w:rFonts w:cstheme="minorHAnsi"/>
                <w:sz w:val="18"/>
                <w:szCs w:val="18"/>
              </w:rPr>
            </w:pPr>
          </w:p>
        </w:tc>
        <w:tc>
          <w:tcPr>
            <w:tcW w:w="1287" w:type="dxa"/>
          </w:tcPr>
          <w:p w14:paraId="5290B131" w14:textId="77777777" w:rsidR="007F5638" w:rsidRPr="007F5638" w:rsidRDefault="007F5638" w:rsidP="007F5638">
            <w:pPr>
              <w:jc w:val="right"/>
              <w:rPr>
                <w:rFonts w:cstheme="minorHAnsi"/>
                <w:sz w:val="18"/>
                <w:szCs w:val="18"/>
              </w:rPr>
            </w:pPr>
          </w:p>
        </w:tc>
      </w:tr>
      <w:tr w:rsidR="007F5638" w:rsidRPr="007F5638" w14:paraId="3FB8DF46" w14:textId="77777777" w:rsidTr="001A7B9D">
        <w:tc>
          <w:tcPr>
            <w:tcW w:w="1298" w:type="dxa"/>
            <w:shd w:val="clear" w:color="auto" w:fill="D9D9D9" w:themeFill="background1" w:themeFillShade="D9"/>
          </w:tcPr>
          <w:p w14:paraId="2599104C" w14:textId="77777777" w:rsidR="00601D9B" w:rsidRDefault="000E53A0">
            <w:pPr>
              <w:rPr>
                <w:rFonts w:cstheme="minorHAnsi"/>
                <w:b/>
                <w:sz w:val="18"/>
                <w:szCs w:val="18"/>
              </w:rPr>
            </w:pPr>
            <w:r w:rsidRPr="007F5638">
              <w:rPr>
                <w:rFonts w:cstheme="minorHAnsi"/>
                <w:b/>
                <w:sz w:val="18"/>
                <w:szCs w:val="18"/>
              </w:rPr>
              <w:t>Indicateur de base 2</w:t>
            </w:r>
          </w:p>
        </w:tc>
        <w:tc>
          <w:tcPr>
            <w:tcW w:w="6787" w:type="dxa"/>
            <w:gridSpan w:val="10"/>
            <w:shd w:val="clear" w:color="auto" w:fill="D9D9D9" w:themeFill="background1" w:themeFillShade="D9"/>
          </w:tcPr>
          <w:p w14:paraId="7C12EDE6" w14:textId="77777777" w:rsidR="00601D9B" w:rsidRPr="000E53A0" w:rsidRDefault="000E53A0">
            <w:pPr>
              <w:rPr>
                <w:rFonts w:cstheme="minorHAnsi"/>
                <w:b/>
                <w:sz w:val="18"/>
                <w:szCs w:val="18"/>
                <w:lang w:val="fr-FR"/>
              </w:rPr>
            </w:pPr>
            <w:r w:rsidRPr="000E53A0">
              <w:rPr>
                <w:rFonts w:cstheme="minorHAnsi"/>
                <w:b/>
                <w:sz w:val="18"/>
                <w:szCs w:val="18"/>
                <w:lang w:val="fr-FR"/>
              </w:rPr>
              <w:t>Création ou amélioration de la gestion des zones marines protégées en vue de leur conservation et de leur utilisation durable</w:t>
            </w:r>
          </w:p>
        </w:tc>
        <w:tc>
          <w:tcPr>
            <w:tcW w:w="1287" w:type="dxa"/>
            <w:shd w:val="clear" w:color="auto" w:fill="D9D9D9" w:themeFill="background1" w:themeFillShade="D9"/>
          </w:tcPr>
          <w:p w14:paraId="7D3D9CE4" w14:textId="77777777" w:rsidR="00601D9B" w:rsidRDefault="000E53A0">
            <w:pPr>
              <w:jc w:val="right"/>
              <w:rPr>
                <w:rFonts w:cstheme="minorHAnsi"/>
                <w:b/>
                <w:sz w:val="18"/>
                <w:szCs w:val="18"/>
              </w:rPr>
            </w:pPr>
            <w:r w:rsidRPr="007F5638">
              <w:rPr>
                <w:rFonts w:cstheme="minorHAnsi"/>
                <w:b/>
                <w:i/>
                <w:color w:val="000000"/>
                <w:sz w:val="18"/>
                <w:szCs w:val="18"/>
              </w:rPr>
              <w:fldChar w:fldCharType="begin">
                <w:ffData>
                  <w:name w:val="F_GEB_BD_target"/>
                  <w:enabled/>
                  <w:calcOnExit w:val="0"/>
                  <w:textInput>
                    <w:default w:val="(Hectares)"/>
                  </w:textInput>
                </w:ffData>
              </w:fldChar>
            </w:r>
            <w:r w:rsidRPr="007F5638">
              <w:rPr>
                <w:rFonts w:cstheme="minorHAnsi"/>
                <w:b/>
                <w:i/>
                <w:color w:val="000000"/>
                <w:sz w:val="18"/>
                <w:szCs w:val="18"/>
              </w:rPr>
              <w:instrText xml:space="preserve"> FORMTEXT </w:instrText>
            </w:r>
            <w:r w:rsidRPr="007F5638">
              <w:rPr>
                <w:rFonts w:cstheme="minorHAnsi"/>
                <w:b/>
                <w:i/>
                <w:color w:val="000000"/>
                <w:sz w:val="18"/>
                <w:szCs w:val="18"/>
              </w:rPr>
            </w:r>
            <w:r w:rsidRPr="007F5638">
              <w:rPr>
                <w:rFonts w:cstheme="minorHAnsi"/>
                <w:b/>
                <w:i/>
                <w:color w:val="000000"/>
                <w:sz w:val="18"/>
                <w:szCs w:val="18"/>
              </w:rPr>
              <w:fldChar w:fldCharType="separate"/>
            </w:r>
            <w:r w:rsidRPr="007F5638">
              <w:rPr>
                <w:rFonts w:cstheme="minorHAnsi"/>
                <w:b/>
                <w:i/>
                <w:noProof/>
                <w:color w:val="000000"/>
                <w:sz w:val="18"/>
                <w:szCs w:val="18"/>
              </w:rPr>
              <w:t>(Hectares)</w:t>
            </w:r>
            <w:r w:rsidRPr="007F5638">
              <w:rPr>
                <w:rFonts w:cstheme="minorHAnsi"/>
                <w:b/>
                <w:i/>
                <w:color w:val="000000"/>
                <w:sz w:val="18"/>
                <w:szCs w:val="18"/>
              </w:rPr>
              <w:fldChar w:fldCharType="end"/>
            </w:r>
          </w:p>
        </w:tc>
      </w:tr>
      <w:tr w:rsidR="007F5638" w:rsidRPr="007F5638" w14:paraId="0628EF06" w14:textId="77777777" w:rsidTr="001A7B9D">
        <w:tc>
          <w:tcPr>
            <w:tcW w:w="1298" w:type="dxa"/>
            <w:shd w:val="clear" w:color="auto" w:fill="auto"/>
          </w:tcPr>
          <w:p w14:paraId="325A516E" w14:textId="77777777" w:rsidR="007F5638" w:rsidRPr="007F5638" w:rsidRDefault="007F5638" w:rsidP="007F5638">
            <w:pPr>
              <w:rPr>
                <w:rFonts w:cstheme="minorHAnsi"/>
                <w:sz w:val="18"/>
                <w:szCs w:val="18"/>
              </w:rPr>
            </w:pPr>
          </w:p>
        </w:tc>
        <w:tc>
          <w:tcPr>
            <w:tcW w:w="2681" w:type="dxa"/>
            <w:gridSpan w:val="5"/>
            <w:shd w:val="clear" w:color="auto" w:fill="auto"/>
          </w:tcPr>
          <w:p w14:paraId="4DF2AA00" w14:textId="77777777" w:rsidR="007F5638" w:rsidRPr="007F5638" w:rsidRDefault="007F5638" w:rsidP="007F5638">
            <w:pPr>
              <w:rPr>
                <w:rFonts w:cstheme="minorHAnsi"/>
                <w:sz w:val="18"/>
                <w:szCs w:val="18"/>
              </w:rPr>
            </w:pPr>
          </w:p>
        </w:tc>
        <w:tc>
          <w:tcPr>
            <w:tcW w:w="5393" w:type="dxa"/>
            <w:gridSpan w:val="6"/>
            <w:shd w:val="clear" w:color="auto" w:fill="F2F2F2" w:themeFill="background1" w:themeFillShade="F2"/>
          </w:tcPr>
          <w:p w14:paraId="71708EF3" w14:textId="77777777" w:rsidR="00601D9B" w:rsidRDefault="000E53A0">
            <w:pPr>
              <w:jc w:val="center"/>
              <w:rPr>
                <w:rFonts w:cstheme="minorHAnsi"/>
                <w:color w:val="000000"/>
                <w:sz w:val="18"/>
                <w:szCs w:val="18"/>
              </w:rPr>
            </w:pPr>
            <w:r w:rsidRPr="007F5638">
              <w:rPr>
                <w:rFonts w:cstheme="minorHAnsi"/>
                <w:color w:val="000000"/>
                <w:sz w:val="18"/>
                <w:szCs w:val="18"/>
              </w:rPr>
              <w:t>Hectares (2.1+2.2)</w:t>
            </w:r>
          </w:p>
        </w:tc>
      </w:tr>
      <w:tr w:rsidR="007F5638" w:rsidRPr="007F5638" w14:paraId="41015832" w14:textId="77777777" w:rsidTr="001A7B9D">
        <w:tc>
          <w:tcPr>
            <w:tcW w:w="1298" w:type="dxa"/>
            <w:shd w:val="clear" w:color="auto" w:fill="auto"/>
          </w:tcPr>
          <w:p w14:paraId="6B667EA3" w14:textId="77777777" w:rsidR="007F5638" w:rsidRPr="007F5638" w:rsidRDefault="007F5638" w:rsidP="007F5638">
            <w:pPr>
              <w:rPr>
                <w:rFonts w:cstheme="minorHAnsi"/>
                <w:sz w:val="18"/>
                <w:szCs w:val="18"/>
              </w:rPr>
            </w:pPr>
          </w:p>
        </w:tc>
        <w:tc>
          <w:tcPr>
            <w:tcW w:w="2681" w:type="dxa"/>
            <w:gridSpan w:val="5"/>
            <w:shd w:val="clear" w:color="auto" w:fill="auto"/>
          </w:tcPr>
          <w:p w14:paraId="56151BAA" w14:textId="77777777" w:rsidR="007F5638" w:rsidRPr="007F5638" w:rsidRDefault="007F5638" w:rsidP="007F5638">
            <w:pPr>
              <w:rPr>
                <w:rFonts w:cstheme="minorHAnsi"/>
                <w:sz w:val="18"/>
                <w:szCs w:val="18"/>
              </w:rPr>
            </w:pPr>
          </w:p>
        </w:tc>
        <w:tc>
          <w:tcPr>
            <w:tcW w:w="2800" w:type="dxa"/>
            <w:gridSpan w:val="4"/>
            <w:shd w:val="clear" w:color="auto" w:fill="F2F2F2" w:themeFill="background1" w:themeFillShade="F2"/>
          </w:tcPr>
          <w:p w14:paraId="02D32AB1" w14:textId="77777777" w:rsidR="00601D9B" w:rsidRDefault="000E53A0">
            <w:pPr>
              <w:jc w:val="center"/>
              <w:rPr>
                <w:rFonts w:cstheme="minorHAnsi"/>
                <w:sz w:val="18"/>
                <w:szCs w:val="18"/>
              </w:rPr>
            </w:pPr>
            <w:r w:rsidRPr="007F5638">
              <w:rPr>
                <w:rFonts w:cstheme="minorHAnsi"/>
                <w:color w:val="000000"/>
                <w:sz w:val="18"/>
                <w:szCs w:val="18"/>
              </w:rPr>
              <w:t>Attendu</w:t>
            </w:r>
          </w:p>
        </w:tc>
        <w:tc>
          <w:tcPr>
            <w:tcW w:w="2593" w:type="dxa"/>
            <w:gridSpan w:val="2"/>
            <w:shd w:val="clear" w:color="auto" w:fill="F2F2F2" w:themeFill="background1" w:themeFillShade="F2"/>
          </w:tcPr>
          <w:p w14:paraId="7A198B49" w14:textId="77777777" w:rsidR="00601D9B" w:rsidRDefault="000E53A0">
            <w:pPr>
              <w:jc w:val="center"/>
              <w:rPr>
                <w:rFonts w:cstheme="minorHAnsi"/>
                <w:color w:val="000000"/>
                <w:sz w:val="18"/>
                <w:szCs w:val="18"/>
              </w:rPr>
            </w:pPr>
            <w:r w:rsidRPr="007F5638">
              <w:rPr>
                <w:rFonts w:cstheme="minorHAnsi"/>
                <w:color w:val="000000"/>
                <w:sz w:val="18"/>
                <w:szCs w:val="18"/>
              </w:rPr>
              <w:t>Réalisé</w:t>
            </w:r>
          </w:p>
        </w:tc>
      </w:tr>
      <w:tr w:rsidR="007F5638" w:rsidRPr="007F5638" w14:paraId="33F272E2" w14:textId="77777777" w:rsidTr="001A7B9D">
        <w:tc>
          <w:tcPr>
            <w:tcW w:w="1298" w:type="dxa"/>
            <w:shd w:val="clear" w:color="auto" w:fill="auto"/>
          </w:tcPr>
          <w:p w14:paraId="6BA15D7D" w14:textId="77777777" w:rsidR="007F5638" w:rsidRPr="007F5638" w:rsidRDefault="007F5638" w:rsidP="007F5638">
            <w:pPr>
              <w:rPr>
                <w:rFonts w:cstheme="minorHAnsi"/>
                <w:sz w:val="18"/>
                <w:szCs w:val="18"/>
              </w:rPr>
            </w:pPr>
          </w:p>
        </w:tc>
        <w:tc>
          <w:tcPr>
            <w:tcW w:w="2681" w:type="dxa"/>
            <w:gridSpan w:val="5"/>
            <w:shd w:val="clear" w:color="auto" w:fill="auto"/>
          </w:tcPr>
          <w:p w14:paraId="288C70C2" w14:textId="77777777" w:rsidR="007F5638" w:rsidRPr="007F5638" w:rsidRDefault="007F5638" w:rsidP="007F5638">
            <w:pPr>
              <w:rPr>
                <w:rFonts w:cstheme="minorHAnsi"/>
                <w:sz w:val="18"/>
                <w:szCs w:val="18"/>
              </w:rPr>
            </w:pPr>
          </w:p>
        </w:tc>
        <w:tc>
          <w:tcPr>
            <w:tcW w:w="1315" w:type="dxa"/>
            <w:shd w:val="clear" w:color="auto" w:fill="F2F2F2" w:themeFill="background1" w:themeFillShade="F2"/>
          </w:tcPr>
          <w:p w14:paraId="2ECE8F21" w14:textId="77777777" w:rsidR="00601D9B" w:rsidRDefault="000E53A0">
            <w:pPr>
              <w:jc w:val="center"/>
              <w:rPr>
                <w:rFonts w:cstheme="minorHAnsi"/>
                <w:sz w:val="18"/>
                <w:szCs w:val="18"/>
              </w:rPr>
            </w:pPr>
            <w:r w:rsidRPr="007F5638">
              <w:rPr>
                <w:rFonts w:cstheme="minorHAnsi"/>
                <w:sz w:val="18"/>
                <w:szCs w:val="18"/>
              </w:rPr>
              <w:t>Étape du FIP</w:t>
            </w:r>
          </w:p>
        </w:tc>
        <w:tc>
          <w:tcPr>
            <w:tcW w:w="1485" w:type="dxa"/>
            <w:gridSpan w:val="3"/>
            <w:shd w:val="clear" w:color="auto" w:fill="F2F2F2" w:themeFill="background1" w:themeFillShade="F2"/>
          </w:tcPr>
          <w:p w14:paraId="4555B7DC" w14:textId="77777777" w:rsidR="00601D9B" w:rsidRDefault="000E53A0">
            <w:pPr>
              <w:jc w:val="center"/>
              <w:rPr>
                <w:rFonts w:cstheme="minorHAnsi"/>
                <w:sz w:val="18"/>
                <w:szCs w:val="18"/>
              </w:rPr>
            </w:pPr>
            <w:r w:rsidRPr="007F5638">
              <w:rPr>
                <w:rFonts w:cstheme="minorHAnsi"/>
                <w:sz w:val="18"/>
                <w:szCs w:val="18"/>
              </w:rPr>
              <w:t xml:space="preserve">Endossement </w:t>
            </w:r>
          </w:p>
        </w:tc>
        <w:tc>
          <w:tcPr>
            <w:tcW w:w="1306" w:type="dxa"/>
            <w:shd w:val="clear" w:color="auto" w:fill="F2F2F2" w:themeFill="background1" w:themeFillShade="F2"/>
          </w:tcPr>
          <w:p w14:paraId="047B48B8" w14:textId="77777777" w:rsidR="00601D9B" w:rsidRDefault="000E53A0">
            <w:pPr>
              <w:jc w:val="center"/>
              <w:rPr>
                <w:rFonts w:cstheme="minorHAnsi"/>
                <w:sz w:val="18"/>
                <w:szCs w:val="18"/>
              </w:rPr>
            </w:pPr>
            <w:r w:rsidRPr="007F5638">
              <w:rPr>
                <w:rFonts w:cstheme="minorHAnsi"/>
                <w:sz w:val="18"/>
                <w:szCs w:val="18"/>
              </w:rPr>
              <w:t>MTR</w:t>
            </w:r>
          </w:p>
        </w:tc>
        <w:tc>
          <w:tcPr>
            <w:tcW w:w="1287" w:type="dxa"/>
            <w:shd w:val="clear" w:color="auto" w:fill="F2F2F2" w:themeFill="background1" w:themeFillShade="F2"/>
          </w:tcPr>
          <w:p w14:paraId="08A16D80" w14:textId="77777777" w:rsidR="00601D9B" w:rsidRDefault="000E53A0">
            <w:pPr>
              <w:jc w:val="center"/>
              <w:rPr>
                <w:rFonts w:cstheme="minorHAnsi"/>
                <w:i/>
                <w:color w:val="000000"/>
                <w:sz w:val="18"/>
                <w:szCs w:val="18"/>
              </w:rPr>
            </w:pPr>
            <w:r w:rsidRPr="007F5638">
              <w:rPr>
                <w:rFonts w:cstheme="minorHAnsi"/>
                <w:i/>
                <w:color w:val="000000"/>
                <w:sz w:val="18"/>
                <w:szCs w:val="18"/>
              </w:rPr>
              <w:t>TE</w:t>
            </w:r>
          </w:p>
        </w:tc>
      </w:tr>
      <w:tr w:rsidR="007F5638" w:rsidRPr="007F5638" w14:paraId="53CB4DBD" w14:textId="77777777" w:rsidTr="001A7B9D">
        <w:tc>
          <w:tcPr>
            <w:tcW w:w="1298" w:type="dxa"/>
            <w:shd w:val="clear" w:color="auto" w:fill="auto"/>
          </w:tcPr>
          <w:p w14:paraId="772E2875" w14:textId="77777777" w:rsidR="007F5638" w:rsidRPr="007F5638" w:rsidRDefault="007F5638" w:rsidP="007F5638">
            <w:pPr>
              <w:rPr>
                <w:rFonts w:cstheme="minorHAnsi"/>
                <w:sz w:val="18"/>
                <w:szCs w:val="18"/>
              </w:rPr>
            </w:pPr>
          </w:p>
        </w:tc>
        <w:tc>
          <w:tcPr>
            <w:tcW w:w="2681" w:type="dxa"/>
            <w:gridSpan w:val="5"/>
            <w:shd w:val="clear" w:color="auto" w:fill="auto"/>
          </w:tcPr>
          <w:p w14:paraId="40D300F9" w14:textId="77777777" w:rsidR="007F5638" w:rsidRPr="007F5638" w:rsidRDefault="007F5638" w:rsidP="007F5638">
            <w:pPr>
              <w:rPr>
                <w:rFonts w:cstheme="minorHAnsi"/>
                <w:sz w:val="18"/>
                <w:szCs w:val="18"/>
              </w:rPr>
            </w:pPr>
          </w:p>
        </w:tc>
        <w:tc>
          <w:tcPr>
            <w:tcW w:w="1315" w:type="dxa"/>
            <w:shd w:val="clear" w:color="auto" w:fill="F2F2F2" w:themeFill="background1" w:themeFillShade="F2"/>
          </w:tcPr>
          <w:p w14:paraId="79D91CA8"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485" w:type="dxa"/>
            <w:gridSpan w:val="3"/>
            <w:shd w:val="clear" w:color="auto" w:fill="F2F2F2" w:themeFill="background1" w:themeFillShade="F2"/>
          </w:tcPr>
          <w:p w14:paraId="192D4ED2"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306" w:type="dxa"/>
            <w:shd w:val="clear" w:color="auto" w:fill="F2F2F2" w:themeFill="background1" w:themeFillShade="F2"/>
          </w:tcPr>
          <w:p w14:paraId="7A359671"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287" w:type="dxa"/>
            <w:shd w:val="clear" w:color="auto" w:fill="F2F2F2" w:themeFill="background1" w:themeFillShade="F2"/>
          </w:tcPr>
          <w:p w14:paraId="74D96A2E" w14:textId="77777777" w:rsidR="00601D9B" w:rsidRDefault="000E53A0">
            <w:pPr>
              <w:jc w:val="right"/>
              <w:rPr>
                <w:rFonts w:cstheme="minorHAnsi"/>
                <w:i/>
                <w:color w:val="000000"/>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r>
      <w:tr w:rsidR="007F5638" w:rsidRPr="007F5638" w14:paraId="723D1DF4" w14:textId="77777777" w:rsidTr="001A7B9D">
        <w:tc>
          <w:tcPr>
            <w:tcW w:w="1298" w:type="dxa"/>
            <w:shd w:val="clear" w:color="auto" w:fill="BFBFBF" w:themeFill="background1" w:themeFillShade="BF"/>
          </w:tcPr>
          <w:p w14:paraId="39721C35" w14:textId="77777777" w:rsidR="00601D9B" w:rsidRDefault="000E53A0">
            <w:pPr>
              <w:rPr>
                <w:rFonts w:cstheme="minorHAnsi"/>
                <w:sz w:val="18"/>
                <w:szCs w:val="18"/>
              </w:rPr>
            </w:pPr>
            <w:r w:rsidRPr="007F5638">
              <w:rPr>
                <w:rFonts w:cstheme="minorHAnsi"/>
                <w:sz w:val="18"/>
                <w:szCs w:val="18"/>
              </w:rPr>
              <w:t>Indicateur 2.1</w:t>
            </w:r>
          </w:p>
        </w:tc>
        <w:tc>
          <w:tcPr>
            <w:tcW w:w="6787" w:type="dxa"/>
            <w:gridSpan w:val="10"/>
            <w:shd w:val="clear" w:color="auto" w:fill="BFBFBF" w:themeFill="background1" w:themeFillShade="BF"/>
          </w:tcPr>
          <w:p w14:paraId="69B10135" w14:textId="77777777" w:rsidR="00601D9B" w:rsidRPr="000E53A0" w:rsidRDefault="000E53A0">
            <w:pPr>
              <w:rPr>
                <w:rFonts w:cstheme="minorHAnsi"/>
                <w:sz w:val="18"/>
                <w:szCs w:val="18"/>
                <w:lang w:val="fr-FR"/>
              </w:rPr>
            </w:pPr>
            <w:r w:rsidRPr="000E53A0">
              <w:rPr>
                <w:rFonts w:cstheme="minorHAnsi"/>
                <w:sz w:val="18"/>
                <w:szCs w:val="18"/>
                <w:lang w:val="fr-FR"/>
              </w:rPr>
              <w:t>Zones marines protégées nouvellement créées</w:t>
            </w:r>
          </w:p>
        </w:tc>
        <w:tc>
          <w:tcPr>
            <w:tcW w:w="1287" w:type="dxa"/>
            <w:shd w:val="clear" w:color="auto" w:fill="BFBFBF" w:themeFill="background1" w:themeFillShade="BF"/>
          </w:tcPr>
          <w:p w14:paraId="468833EE"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r>
      <w:tr w:rsidR="007F5638" w:rsidRPr="007F5638" w14:paraId="1E455B33" w14:textId="77777777" w:rsidTr="001A7B9D">
        <w:trPr>
          <w:trHeight w:val="125"/>
        </w:trPr>
        <w:tc>
          <w:tcPr>
            <w:tcW w:w="1298" w:type="dxa"/>
            <w:vMerge w:val="restart"/>
            <w:vAlign w:val="center"/>
          </w:tcPr>
          <w:p w14:paraId="2DB31A72" w14:textId="77777777" w:rsidR="00601D9B" w:rsidRPr="000E53A0" w:rsidRDefault="000E53A0">
            <w:pPr>
              <w:rPr>
                <w:rFonts w:cstheme="minorHAnsi"/>
                <w:sz w:val="18"/>
                <w:szCs w:val="18"/>
                <w:lang w:val="fr-FR"/>
              </w:rPr>
            </w:pPr>
            <w:r w:rsidRPr="000E53A0">
              <w:rPr>
                <w:rFonts w:cstheme="minorHAnsi"/>
                <w:sz w:val="18"/>
                <w:szCs w:val="18"/>
                <w:lang w:val="fr-FR"/>
              </w:rPr>
              <w:lastRenderedPageBreak/>
              <w:t>Nom de la zone protégée</w:t>
            </w:r>
          </w:p>
        </w:tc>
        <w:tc>
          <w:tcPr>
            <w:tcW w:w="933" w:type="dxa"/>
            <w:vMerge w:val="restart"/>
            <w:vAlign w:val="center"/>
          </w:tcPr>
          <w:p w14:paraId="4B0A442E" w14:textId="77777777" w:rsidR="00601D9B" w:rsidRDefault="000E53A0">
            <w:pPr>
              <w:rPr>
                <w:rFonts w:cstheme="minorHAnsi"/>
                <w:sz w:val="18"/>
                <w:szCs w:val="18"/>
              </w:rPr>
            </w:pPr>
            <w:r w:rsidRPr="007F5638">
              <w:rPr>
                <w:rFonts w:cstheme="minorHAnsi"/>
                <w:sz w:val="18"/>
                <w:szCs w:val="18"/>
              </w:rPr>
              <w:t>ID WDPA</w:t>
            </w:r>
          </w:p>
        </w:tc>
        <w:tc>
          <w:tcPr>
            <w:tcW w:w="1748" w:type="dxa"/>
            <w:gridSpan w:val="4"/>
            <w:vMerge w:val="restart"/>
            <w:vAlign w:val="center"/>
          </w:tcPr>
          <w:p w14:paraId="63E67E76" w14:textId="77777777" w:rsidR="00601D9B" w:rsidRDefault="000E53A0">
            <w:pPr>
              <w:rPr>
                <w:rFonts w:cstheme="minorHAnsi"/>
                <w:sz w:val="18"/>
                <w:szCs w:val="18"/>
              </w:rPr>
            </w:pPr>
            <w:r w:rsidRPr="007F5638">
              <w:rPr>
                <w:rFonts w:cstheme="minorHAnsi"/>
                <w:sz w:val="18"/>
                <w:szCs w:val="18"/>
              </w:rPr>
              <w:t>Catégorie UICN</w:t>
            </w:r>
          </w:p>
        </w:tc>
        <w:tc>
          <w:tcPr>
            <w:tcW w:w="5393" w:type="dxa"/>
            <w:gridSpan w:val="6"/>
          </w:tcPr>
          <w:p w14:paraId="1C8E6856" w14:textId="77777777" w:rsidR="00601D9B" w:rsidRDefault="000E53A0">
            <w:pPr>
              <w:jc w:val="center"/>
              <w:rPr>
                <w:rFonts w:cstheme="minorHAnsi"/>
                <w:sz w:val="18"/>
                <w:szCs w:val="18"/>
              </w:rPr>
            </w:pPr>
            <w:r w:rsidRPr="007F5638">
              <w:rPr>
                <w:rFonts w:cstheme="minorHAnsi"/>
                <w:sz w:val="18"/>
                <w:szCs w:val="18"/>
              </w:rPr>
              <w:t>Hectares</w:t>
            </w:r>
          </w:p>
        </w:tc>
      </w:tr>
      <w:tr w:rsidR="007F5638" w:rsidRPr="007F5638" w14:paraId="3A578108" w14:textId="77777777" w:rsidTr="001A7B9D">
        <w:trPr>
          <w:trHeight w:val="58"/>
        </w:trPr>
        <w:tc>
          <w:tcPr>
            <w:tcW w:w="1298" w:type="dxa"/>
            <w:vMerge/>
          </w:tcPr>
          <w:p w14:paraId="65C87098" w14:textId="77777777" w:rsidR="007F5638" w:rsidRPr="007F5638" w:rsidRDefault="007F5638" w:rsidP="007F5638">
            <w:pPr>
              <w:rPr>
                <w:rFonts w:cstheme="minorHAnsi"/>
                <w:sz w:val="18"/>
                <w:szCs w:val="18"/>
              </w:rPr>
            </w:pPr>
          </w:p>
        </w:tc>
        <w:tc>
          <w:tcPr>
            <w:tcW w:w="933" w:type="dxa"/>
            <w:vMerge/>
          </w:tcPr>
          <w:p w14:paraId="5594527B" w14:textId="77777777" w:rsidR="007F5638" w:rsidRPr="007F5638" w:rsidRDefault="007F5638" w:rsidP="007F5638">
            <w:pPr>
              <w:rPr>
                <w:rFonts w:cstheme="minorHAnsi"/>
                <w:sz w:val="18"/>
                <w:szCs w:val="18"/>
              </w:rPr>
            </w:pPr>
          </w:p>
        </w:tc>
        <w:tc>
          <w:tcPr>
            <w:tcW w:w="1748" w:type="dxa"/>
            <w:gridSpan w:val="4"/>
            <w:vMerge/>
          </w:tcPr>
          <w:p w14:paraId="362D1BAA" w14:textId="77777777" w:rsidR="007F5638" w:rsidRPr="007F5638" w:rsidRDefault="007F5638" w:rsidP="007F5638">
            <w:pPr>
              <w:rPr>
                <w:rFonts w:cstheme="minorHAnsi"/>
                <w:sz w:val="18"/>
                <w:szCs w:val="18"/>
              </w:rPr>
            </w:pPr>
          </w:p>
        </w:tc>
        <w:tc>
          <w:tcPr>
            <w:tcW w:w="2800" w:type="dxa"/>
            <w:gridSpan w:val="4"/>
          </w:tcPr>
          <w:p w14:paraId="7B8B2092" w14:textId="77777777" w:rsidR="00601D9B" w:rsidRDefault="000E53A0">
            <w:pPr>
              <w:jc w:val="center"/>
              <w:rPr>
                <w:rFonts w:cstheme="minorHAnsi"/>
                <w:sz w:val="18"/>
                <w:szCs w:val="18"/>
              </w:rPr>
            </w:pPr>
            <w:r w:rsidRPr="007F5638">
              <w:rPr>
                <w:rFonts w:cstheme="minorHAnsi"/>
                <w:sz w:val="18"/>
                <w:szCs w:val="18"/>
              </w:rPr>
              <w:t>Attendu</w:t>
            </w:r>
          </w:p>
        </w:tc>
        <w:tc>
          <w:tcPr>
            <w:tcW w:w="2593" w:type="dxa"/>
            <w:gridSpan w:val="2"/>
          </w:tcPr>
          <w:p w14:paraId="236D7CBF" w14:textId="77777777" w:rsidR="00601D9B" w:rsidRDefault="000E53A0">
            <w:pPr>
              <w:jc w:val="center"/>
              <w:rPr>
                <w:rFonts w:cstheme="minorHAnsi"/>
                <w:sz w:val="18"/>
                <w:szCs w:val="18"/>
              </w:rPr>
            </w:pPr>
            <w:r w:rsidRPr="007F5638">
              <w:rPr>
                <w:rFonts w:cstheme="minorHAnsi"/>
                <w:sz w:val="18"/>
                <w:szCs w:val="18"/>
              </w:rPr>
              <w:t>Réalisé</w:t>
            </w:r>
          </w:p>
        </w:tc>
      </w:tr>
      <w:tr w:rsidR="007F5638" w:rsidRPr="007F5638" w14:paraId="7A563938" w14:textId="77777777" w:rsidTr="001A7B9D">
        <w:trPr>
          <w:trHeight w:val="71"/>
        </w:trPr>
        <w:tc>
          <w:tcPr>
            <w:tcW w:w="1298" w:type="dxa"/>
            <w:vMerge/>
          </w:tcPr>
          <w:p w14:paraId="49FDDAFC" w14:textId="77777777" w:rsidR="007F5638" w:rsidRPr="007F5638" w:rsidRDefault="007F5638" w:rsidP="007F5638">
            <w:pPr>
              <w:rPr>
                <w:rFonts w:cstheme="minorHAnsi"/>
                <w:sz w:val="18"/>
                <w:szCs w:val="18"/>
              </w:rPr>
            </w:pPr>
          </w:p>
        </w:tc>
        <w:tc>
          <w:tcPr>
            <w:tcW w:w="933" w:type="dxa"/>
            <w:vMerge/>
          </w:tcPr>
          <w:p w14:paraId="2AC6CF8A" w14:textId="77777777" w:rsidR="007F5638" w:rsidRPr="007F5638" w:rsidRDefault="007F5638" w:rsidP="007F5638">
            <w:pPr>
              <w:rPr>
                <w:rFonts w:cstheme="minorHAnsi"/>
                <w:sz w:val="18"/>
                <w:szCs w:val="18"/>
              </w:rPr>
            </w:pPr>
          </w:p>
        </w:tc>
        <w:tc>
          <w:tcPr>
            <w:tcW w:w="1748" w:type="dxa"/>
            <w:gridSpan w:val="4"/>
            <w:vMerge/>
          </w:tcPr>
          <w:p w14:paraId="28149A61" w14:textId="77777777" w:rsidR="007F5638" w:rsidRPr="007F5638" w:rsidRDefault="007F5638" w:rsidP="007F5638">
            <w:pPr>
              <w:rPr>
                <w:rFonts w:cstheme="minorHAnsi"/>
                <w:sz w:val="18"/>
                <w:szCs w:val="18"/>
              </w:rPr>
            </w:pPr>
          </w:p>
        </w:tc>
        <w:tc>
          <w:tcPr>
            <w:tcW w:w="1323" w:type="dxa"/>
            <w:gridSpan w:val="2"/>
          </w:tcPr>
          <w:p w14:paraId="39734C63" w14:textId="77777777" w:rsidR="00601D9B" w:rsidRDefault="000E53A0">
            <w:pPr>
              <w:jc w:val="center"/>
              <w:rPr>
                <w:rFonts w:cstheme="minorHAnsi"/>
                <w:sz w:val="18"/>
                <w:szCs w:val="18"/>
              </w:rPr>
            </w:pPr>
            <w:r w:rsidRPr="007F5638">
              <w:rPr>
                <w:rFonts w:cstheme="minorHAnsi"/>
                <w:sz w:val="18"/>
                <w:szCs w:val="18"/>
              </w:rPr>
              <w:t>Étape du FIP</w:t>
            </w:r>
          </w:p>
        </w:tc>
        <w:tc>
          <w:tcPr>
            <w:tcW w:w="1477" w:type="dxa"/>
            <w:gridSpan w:val="2"/>
          </w:tcPr>
          <w:p w14:paraId="174640F1" w14:textId="77777777" w:rsidR="00601D9B" w:rsidRDefault="000E53A0">
            <w:pPr>
              <w:jc w:val="center"/>
              <w:rPr>
                <w:rFonts w:cstheme="minorHAnsi"/>
                <w:sz w:val="18"/>
                <w:szCs w:val="18"/>
              </w:rPr>
            </w:pPr>
            <w:r w:rsidRPr="007F5638">
              <w:rPr>
                <w:rFonts w:cstheme="minorHAnsi"/>
                <w:sz w:val="18"/>
                <w:szCs w:val="18"/>
              </w:rPr>
              <w:t>Endossement</w:t>
            </w:r>
          </w:p>
        </w:tc>
        <w:tc>
          <w:tcPr>
            <w:tcW w:w="1306" w:type="dxa"/>
          </w:tcPr>
          <w:p w14:paraId="7D362242" w14:textId="77777777" w:rsidR="00601D9B" w:rsidRDefault="000E53A0">
            <w:pPr>
              <w:jc w:val="center"/>
              <w:rPr>
                <w:rFonts w:cstheme="minorHAnsi"/>
                <w:sz w:val="18"/>
                <w:szCs w:val="18"/>
              </w:rPr>
            </w:pPr>
            <w:r w:rsidRPr="007F5638">
              <w:rPr>
                <w:rFonts w:cstheme="minorHAnsi"/>
                <w:sz w:val="18"/>
                <w:szCs w:val="18"/>
              </w:rPr>
              <w:t>MTR</w:t>
            </w:r>
          </w:p>
        </w:tc>
        <w:tc>
          <w:tcPr>
            <w:tcW w:w="1287" w:type="dxa"/>
          </w:tcPr>
          <w:p w14:paraId="20CD2D79" w14:textId="77777777" w:rsidR="00601D9B" w:rsidRDefault="000E53A0">
            <w:pPr>
              <w:jc w:val="center"/>
              <w:rPr>
                <w:rFonts w:cstheme="minorHAnsi"/>
                <w:sz w:val="18"/>
                <w:szCs w:val="18"/>
              </w:rPr>
            </w:pPr>
            <w:r w:rsidRPr="007F5638">
              <w:rPr>
                <w:rFonts w:cstheme="minorHAnsi"/>
                <w:sz w:val="18"/>
                <w:szCs w:val="18"/>
              </w:rPr>
              <w:t>TE</w:t>
            </w:r>
          </w:p>
        </w:tc>
      </w:tr>
      <w:tr w:rsidR="007F5638" w:rsidRPr="007F5638" w14:paraId="556D636E" w14:textId="77777777" w:rsidTr="001A7B9D">
        <w:tc>
          <w:tcPr>
            <w:tcW w:w="1298" w:type="dxa"/>
          </w:tcPr>
          <w:p w14:paraId="58DE175F"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933" w:type="dxa"/>
          </w:tcPr>
          <w:p w14:paraId="5B33856E"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748" w:type="dxa"/>
            <w:gridSpan w:val="4"/>
          </w:tcPr>
          <w:p w14:paraId="6292B8B5" w14:textId="77777777" w:rsidR="00601D9B" w:rsidRDefault="000E53A0">
            <w:pPr>
              <w:jc w:val="right"/>
              <w:rPr>
                <w:rFonts w:cstheme="minorHAnsi"/>
                <w:sz w:val="18"/>
                <w:szCs w:val="18"/>
              </w:rPr>
            </w:pPr>
            <w:r w:rsidRPr="007F5638">
              <w:rPr>
                <w:rFonts w:cstheme="minorHAnsi"/>
                <w:color w:val="000000"/>
                <w:sz w:val="18"/>
                <w:szCs w:val="18"/>
              </w:rPr>
              <w:fldChar w:fldCharType="begin">
                <w:ffData>
                  <w:name w:val=""/>
                  <w:enabled/>
                  <w:calcOnExit w:val="0"/>
                  <w:ddList>
                    <w:listEntry w:val="(select)"/>
                    <w:listEntry w:val="Ia Strict Nature Reserve"/>
                    <w:listEntry w:val="Ib Wilderness Area"/>
                    <w:listEntry w:val="II National Park"/>
                    <w:listEntry w:val="III Natural Monument or Feature"/>
                    <w:listEntry w:val="IV Habitat/Species Management Area"/>
                    <w:listEntry w:val="V Protected Landscape/Seascape"/>
                    <w:listEntry w:val="VI PA with sustainable use of natural resources"/>
                    <w:listEntry w:val="Other"/>
                  </w:ddList>
                </w:ffData>
              </w:fldChar>
            </w:r>
            <w:r w:rsidRPr="007F5638">
              <w:rPr>
                <w:rFonts w:cstheme="minorHAnsi"/>
                <w:color w:val="000000"/>
                <w:sz w:val="18"/>
                <w:szCs w:val="18"/>
              </w:rPr>
              <w:instrText xml:space="preserve"> FORMDROPDOWN </w:instrText>
            </w:r>
            <w:r w:rsidR="00B330C0">
              <w:rPr>
                <w:rFonts w:cstheme="minorHAnsi"/>
                <w:color w:val="000000"/>
                <w:sz w:val="18"/>
                <w:szCs w:val="18"/>
              </w:rPr>
            </w:r>
            <w:r w:rsidR="00B330C0">
              <w:rPr>
                <w:rFonts w:cstheme="minorHAnsi"/>
                <w:color w:val="000000"/>
                <w:sz w:val="18"/>
                <w:szCs w:val="18"/>
              </w:rPr>
              <w:fldChar w:fldCharType="separate"/>
            </w:r>
            <w:r w:rsidRPr="007F5638">
              <w:rPr>
                <w:rFonts w:cstheme="minorHAnsi"/>
                <w:color w:val="000000"/>
                <w:sz w:val="18"/>
                <w:szCs w:val="18"/>
              </w:rPr>
              <w:fldChar w:fldCharType="end"/>
            </w:r>
            <w:r w:rsidRPr="007F5638">
              <w:rPr>
                <w:rFonts w:cstheme="minorHAnsi"/>
                <w:color w:val="000000"/>
                <w:sz w:val="18"/>
                <w:szCs w:val="18"/>
              </w:rPr>
              <w:t xml:space="preserve">  </w:t>
            </w:r>
          </w:p>
        </w:tc>
        <w:tc>
          <w:tcPr>
            <w:tcW w:w="1323" w:type="dxa"/>
            <w:gridSpan w:val="2"/>
          </w:tcPr>
          <w:p w14:paraId="31C4D93D"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477" w:type="dxa"/>
            <w:gridSpan w:val="2"/>
          </w:tcPr>
          <w:p w14:paraId="67CEB8B2"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306" w:type="dxa"/>
          </w:tcPr>
          <w:p w14:paraId="00908612"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287" w:type="dxa"/>
          </w:tcPr>
          <w:p w14:paraId="43740840"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r>
      <w:tr w:rsidR="007F5638" w:rsidRPr="007F5638" w14:paraId="1FF09B7A" w14:textId="77777777" w:rsidTr="001A7B9D">
        <w:tc>
          <w:tcPr>
            <w:tcW w:w="1298" w:type="dxa"/>
          </w:tcPr>
          <w:p w14:paraId="608C52A5"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933" w:type="dxa"/>
          </w:tcPr>
          <w:p w14:paraId="024B5C10"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748" w:type="dxa"/>
            <w:gridSpan w:val="4"/>
          </w:tcPr>
          <w:p w14:paraId="2017764E" w14:textId="77777777" w:rsidR="00601D9B" w:rsidRDefault="000E53A0">
            <w:pPr>
              <w:jc w:val="right"/>
              <w:rPr>
                <w:rFonts w:cstheme="minorHAnsi"/>
                <w:sz w:val="18"/>
                <w:szCs w:val="18"/>
              </w:rPr>
            </w:pPr>
            <w:r w:rsidRPr="007F5638">
              <w:rPr>
                <w:rFonts w:cstheme="minorHAnsi"/>
                <w:color w:val="000000"/>
                <w:sz w:val="18"/>
                <w:szCs w:val="18"/>
              </w:rPr>
              <w:fldChar w:fldCharType="begin">
                <w:ffData>
                  <w:name w:val=""/>
                  <w:enabled/>
                  <w:calcOnExit w:val="0"/>
                  <w:ddList>
                    <w:listEntry w:val="(select)"/>
                    <w:listEntry w:val="Ia Strict Nature Reserve"/>
                    <w:listEntry w:val="Ib Wilderness Area"/>
                    <w:listEntry w:val="II National Park"/>
                    <w:listEntry w:val="III Natural Monument or Feature"/>
                    <w:listEntry w:val="IV Habitat/Species Management Area"/>
                    <w:listEntry w:val="V Protected Landscape/Seascape"/>
                    <w:listEntry w:val="VI PA with sustainable use of natural resources"/>
                    <w:listEntry w:val="Other"/>
                  </w:ddList>
                </w:ffData>
              </w:fldChar>
            </w:r>
            <w:r w:rsidRPr="007F5638">
              <w:rPr>
                <w:rFonts w:cstheme="minorHAnsi"/>
                <w:color w:val="000000"/>
                <w:sz w:val="18"/>
                <w:szCs w:val="18"/>
              </w:rPr>
              <w:instrText xml:space="preserve"> FORMDROPDOWN </w:instrText>
            </w:r>
            <w:r w:rsidR="00B330C0">
              <w:rPr>
                <w:rFonts w:cstheme="minorHAnsi"/>
                <w:color w:val="000000"/>
                <w:sz w:val="18"/>
                <w:szCs w:val="18"/>
              </w:rPr>
            </w:r>
            <w:r w:rsidR="00B330C0">
              <w:rPr>
                <w:rFonts w:cstheme="minorHAnsi"/>
                <w:color w:val="000000"/>
                <w:sz w:val="18"/>
                <w:szCs w:val="18"/>
              </w:rPr>
              <w:fldChar w:fldCharType="separate"/>
            </w:r>
            <w:r w:rsidRPr="007F5638">
              <w:rPr>
                <w:rFonts w:cstheme="minorHAnsi"/>
                <w:color w:val="000000"/>
                <w:sz w:val="18"/>
                <w:szCs w:val="18"/>
              </w:rPr>
              <w:fldChar w:fldCharType="end"/>
            </w:r>
            <w:r w:rsidRPr="007F5638">
              <w:rPr>
                <w:rFonts w:cstheme="minorHAnsi"/>
                <w:color w:val="000000"/>
                <w:sz w:val="18"/>
                <w:szCs w:val="18"/>
              </w:rPr>
              <w:t xml:space="preserve">  </w:t>
            </w:r>
          </w:p>
        </w:tc>
        <w:tc>
          <w:tcPr>
            <w:tcW w:w="1323" w:type="dxa"/>
            <w:gridSpan w:val="2"/>
          </w:tcPr>
          <w:p w14:paraId="3F22536C"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477" w:type="dxa"/>
            <w:gridSpan w:val="2"/>
          </w:tcPr>
          <w:p w14:paraId="22E732D9"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306" w:type="dxa"/>
          </w:tcPr>
          <w:p w14:paraId="1A9675CB"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287" w:type="dxa"/>
          </w:tcPr>
          <w:p w14:paraId="1931A0C0"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r>
      <w:tr w:rsidR="007F5638" w:rsidRPr="007F5638" w14:paraId="5744EE0B" w14:textId="77777777" w:rsidTr="001A7B9D">
        <w:tc>
          <w:tcPr>
            <w:tcW w:w="1298" w:type="dxa"/>
          </w:tcPr>
          <w:p w14:paraId="6C8953DC" w14:textId="77777777" w:rsidR="007F5638" w:rsidRPr="007F5638" w:rsidRDefault="007F5638" w:rsidP="007F5638">
            <w:pPr>
              <w:jc w:val="right"/>
              <w:rPr>
                <w:rFonts w:cstheme="minorHAnsi"/>
                <w:sz w:val="18"/>
                <w:szCs w:val="18"/>
              </w:rPr>
            </w:pPr>
          </w:p>
        </w:tc>
        <w:tc>
          <w:tcPr>
            <w:tcW w:w="933" w:type="dxa"/>
          </w:tcPr>
          <w:p w14:paraId="6B631621" w14:textId="77777777" w:rsidR="007F5638" w:rsidRPr="007F5638" w:rsidRDefault="007F5638" w:rsidP="007F5638">
            <w:pPr>
              <w:jc w:val="right"/>
              <w:rPr>
                <w:rFonts w:cstheme="minorHAnsi"/>
                <w:sz w:val="18"/>
                <w:szCs w:val="18"/>
              </w:rPr>
            </w:pPr>
          </w:p>
        </w:tc>
        <w:tc>
          <w:tcPr>
            <w:tcW w:w="1748" w:type="dxa"/>
            <w:gridSpan w:val="4"/>
          </w:tcPr>
          <w:p w14:paraId="5354EFE4" w14:textId="77777777" w:rsidR="00601D9B" w:rsidRDefault="000E53A0">
            <w:pPr>
              <w:jc w:val="right"/>
              <w:rPr>
                <w:rFonts w:cstheme="minorHAnsi"/>
                <w:sz w:val="18"/>
                <w:szCs w:val="18"/>
              </w:rPr>
            </w:pPr>
            <w:r w:rsidRPr="007F5638">
              <w:rPr>
                <w:rFonts w:cstheme="minorHAnsi"/>
                <w:color w:val="000000"/>
                <w:sz w:val="18"/>
                <w:szCs w:val="18"/>
              </w:rPr>
              <w:t xml:space="preserve">Somme  </w:t>
            </w:r>
          </w:p>
        </w:tc>
        <w:tc>
          <w:tcPr>
            <w:tcW w:w="1323" w:type="dxa"/>
            <w:gridSpan w:val="2"/>
          </w:tcPr>
          <w:p w14:paraId="7C83DA10"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477" w:type="dxa"/>
            <w:gridSpan w:val="2"/>
          </w:tcPr>
          <w:p w14:paraId="695188A7"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306" w:type="dxa"/>
          </w:tcPr>
          <w:p w14:paraId="77F45DC9"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287" w:type="dxa"/>
          </w:tcPr>
          <w:p w14:paraId="74BED02B"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r>
      <w:tr w:rsidR="007F5638" w:rsidRPr="007F5638" w14:paraId="3CB4E7BF" w14:textId="77777777" w:rsidTr="001A7B9D">
        <w:tc>
          <w:tcPr>
            <w:tcW w:w="1298" w:type="dxa"/>
            <w:shd w:val="clear" w:color="auto" w:fill="BFBFBF" w:themeFill="background1" w:themeFillShade="BF"/>
          </w:tcPr>
          <w:p w14:paraId="0A6CEF8B" w14:textId="77777777" w:rsidR="00601D9B" w:rsidRDefault="000E53A0">
            <w:pPr>
              <w:rPr>
                <w:rFonts w:cstheme="minorHAnsi"/>
                <w:sz w:val="18"/>
                <w:szCs w:val="18"/>
              </w:rPr>
            </w:pPr>
            <w:r w:rsidRPr="007F5638">
              <w:rPr>
                <w:rFonts w:cstheme="minorHAnsi"/>
                <w:sz w:val="18"/>
                <w:szCs w:val="18"/>
              </w:rPr>
              <w:t>Indicateur 2.2</w:t>
            </w:r>
          </w:p>
        </w:tc>
        <w:tc>
          <w:tcPr>
            <w:tcW w:w="6787" w:type="dxa"/>
            <w:gridSpan w:val="10"/>
            <w:shd w:val="clear" w:color="auto" w:fill="BFBFBF" w:themeFill="background1" w:themeFillShade="BF"/>
          </w:tcPr>
          <w:p w14:paraId="102E6F48" w14:textId="77777777" w:rsidR="00601D9B" w:rsidRPr="000E53A0" w:rsidRDefault="000E53A0">
            <w:pPr>
              <w:rPr>
                <w:rFonts w:cstheme="minorHAnsi"/>
                <w:sz w:val="18"/>
                <w:szCs w:val="18"/>
                <w:lang w:val="fr-FR"/>
              </w:rPr>
            </w:pPr>
            <w:r w:rsidRPr="000E53A0">
              <w:rPr>
                <w:rFonts w:cstheme="minorHAnsi"/>
                <w:sz w:val="18"/>
                <w:szCs w:val="18"/>
                <w:lang w:val="fr-FR"/>
              </w:rPr>
              <w:t>Des zones marines protégées dont la gestion est plus efficace</w:t>
            </w:r>
          </w:p>
        </w:tc>
        <w:tc>
          <w:tcPr>
            <w:tcW w:w="1287" w:type="dxa"/>
            <w:shd w:val="clear" w:color="auto" w:fill="BFBFBF" w:themeFill="background1" w:themeFillShade="BF"/>
          </w:tcPr>
          <w:p w14:paraId="606FD114"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r>
      <w:tr w:rsidR="007F5638" w:rsidRPr="007F5638" w14:paraId="084D52AC" w14:textId="77777777" w:rsidTr="001A7B9D">
        <w:trPr>
          <w:trHeight w:val="125"/>
        </w:trPr>
        <w:tc>
          <w:tcPr>
            <w:tcW w:w="1298" w:type="dxa"/>
            <w:vMerge w:val="restart"/>
            <w:vAlign w:val="center"/>
          </w:tcPr>
          <w:p w14:paraId="032B716B" w14:textId="77777777" w:rsidR="00601D9B" w:rsidRPr="000E53A0" w:rsidRDefault="000E53A0">
            <w:pPr>
              <w:rPr>
                <w:rFonts w:cstheme="minorHAnsi"/>
                <w:sz w:val="18"/>
                <w:szCs w:val="18"/>
                <w:lang w:val="fr-FR"/>
              </w:rPr>
            </w:pPr>
            <w:r w:rsidRPr="000E53A0">
              <w:rPr>
                <w:rFonts w:cstheme="minorHAnsi"/>
                <w:sz w:val="18"/>
                <w:szCs w:val="18"/>
                <w:lang w:val="fr-FR"/>
              </w:rPr>
              <w:t>Nom de la zone protégée</w:t>
            </w:r>
          </w:p>
        </w:tc>
        <w:tc>
          <w:tcPr>
            <w:tcW w:w="933" w:type="dxa"/>
            <w:vMerge w:val="restart"/>
            <w:vAlign w:val="center"/>
          </w:tcPr>
          <w:p w14:paraId="34AABFFB" w14:textId="77777777" w:rsidR="00601D9B" w:rsidRDefault="000E53A0">
            <w:pPr>
              <w:rPr>
                <w:rFonts w:cstheme="minorHAnsi"/>
                <w:sz w:val="18"/>
                <w:szCs w:val="18"/>
              </w:rPr>
            </w:pPr>
            <w:r w:rsidRPr="007F5638">
              <w:rPr>
                <w:rFonts w:cstheme="minorHAnsi"/>
                <w:sz w:val="18"/>
                <w:szCs w:val="18"/>
              </w:rPr>
              <w:t>ID WDPA</w:t>
            </w:r>
          </w:p>
        </w:tc>
        <w:tc>
          <w:tcPr>
            <w:tcW w:w="874" w:type="dxa"/>
            <w:gridSpan w:val="3"/>
            <w:vMerge w:val="restart"/>
            <w:vAlign w:val="center"/>
          </w:tcPr>
          <w:p w14:paraId="1593DD2D" w14:textId="77777777" w:rsidR="00601D9B" w:rsidRDefault="000E53A0">
            <w:pPr>
              <w:rPr>
                <w:rFonts w:cstheme="minorHAnsi"/>
                <w:sz w:val="18"/>
                <w:szCs w:val="18"/>
              </w:rPr>
            </w:pPr>
            <w:r w:rsidRPr="007F5638">
              <w:rPr>
                <w:rFonts w:cstheme="minorHAnsi"/>
                <w:sz w:val="18"/>
                <w:szCs w:val="18"/>
              </w:rPr>
              <w:t>Catégorie UICN</w:t>
            </w:r>
          </w:p>
        </w:tc>
        <w:tc>
          <w:tcPr>
            <w:tcW w:w="874" w:type="dxa"/>
            <w:vMerge w:val="restart"/>
            <w:vAlign w:val="center"/>
          </w:tcPr>
          <w:p w14:paraId="6498BB6C" w14:textId="77777777" w:rsidR="00601D9B" w:rsidRDefault="000E53A0">
            <w:pPr>
              <w:rPr>
                <w:rFonts w:cstheme="minorHAnsi"/>
                <w:sz w:val="18"/>
                <w:szCs w:val="18"/>
              </w:rPr>
            </w:pPr>
            <w:r w:rsidRPr="007F5638">
              <w:rPr>
                <w:rFonts w:cstheme="minorHAnsi"/>
                <w:sz w:val="18"/>
                <w:szCs w:val="18"/>
              </w:rPr>
              <w:t>Hectares</w:t>
            </w:r>
          </w:p>
        </w:tc>
        <w:tc>
          <w:tcPr>
            <w:tcW w:w="5393" w:type="dxa"/>
            <w:gridSpan w:val="6"/>
          </w:tcPr>
          <w:p w14:paraId="525B014A" w14:textId="77777777" w:rsidR="00601D9B" w:rsidRDefault="000E53A0">
            <w:pPr>
              <w:jc w:val="center"/>
              <w:rPr>
                <w:rFonts w:cstheme="minorHAnsi"/>
                <w:sz w:val="18"/>
                <w:szCs w:val="18"/>
              </w:rPr>
            </w:pPr>
            <w:r w:rsidRPr="007F5638">
              <w:rPr>
                <w:rFonts w:cstheme="minorHAnsi"/>
                <w:sz w:val="18"/>
                <w:szCs w:val="18"/>
              </w:rPr>
              <w:t xml:space="preserve">Score METT </w:t>
            </w:r>
          </w:p>
        </w:tc>
      </w:tr>
      <w:tr w:rsidR="007F5638" w:rsidRPr="007F5638" w14:paraId="2FAD43CE" w14:textId="77777777" w:rsidTr="001A7B9D">
        <w:trPr>
          <w:trHeight w:val="58"/>
        </w:trPr>
        <w:tc>
          <w:tcPr>
            <w:tcW w:w="1298" w:type="dxa"/>
            <w:vMerge/>
          </w:tcPr>
          <w:p w14:paraId="19693B59" w14:textId="77777777" w:rsidR="007F5638" w:rsidRPr="007F5638" w:rsidRDefault="007F5638" w:rsidP="007F5638">
            <w:pPr>
              <w:rPr>
                <w:rFonts w:cstheme="minorHAnsi"/>
                <w:sz w:val="18"/>
                <w:szCs w:val="18"/>
              </w:rPr>
            </w:pPr>
          </w:p>
        </w:tc>
        <w:tc>
          <w:tcPr>
            <w:tcW w:w="933" w:type="dxa"/>
            <w:vMerge/>
          </w:tcPr>
          <w:p w14:paraId="751674E9" w14:textId="77777777" w:rsidR="007F5638" w:rsidRPr="007F5638" w:rsidRDefault="007F5638" w:rsidP="007F5638">
            <w:pPr>
              <w:rPr>
                <w:rFonts w:cstheme="minorHAnsi"/>
                <w:sz w:val="18"/>
                <w:szCs w:val="18"/>
              </w:rPr>
            </w:pPr>
          </w:p>
        </w:tc>
        <w:tc>
          <w:tcPr>
            <w:tcW w:w="874" w:type="dxa"/>
            <w:gridSpan w:val="3"/>
            <w:vMerge/>
          </w:tcPr>
          <w:p w14:paraId="798FF598" w14:textId="77777777" w:rsidR="007F5638" w:rsidRPr="007F5638" w:rsidRDefault="007F5638" w:rsidP="007F5638">
            <w:pPr>
              <w:rPr>
                <w:rFonts w:cstheme="minorHAnsi"/>
                <w:sz w:val="18"/>
                <w:szCs w:val="18"/>
              </w:rPr>
            </w:pPr>
          </w:p>
        </w:tc>
        <w:tc>
          <w:tcPr>
            <w:tcW w:w="874" w:type="dxa"/>
            <w:vMerge/>
          </w:tcPr>
          <w:p w14:paraId="22CDB83D" w14:textId="77777777" w:rsidR="007F5638" w:rsidRPr="007F5638" w:rsidRDefault="007F5638" w:rsidP="007F5638">
            <w:pPr>
              <w:rPr>
                <w:rFonts w:cstheme="minorHAnsi"/>
                <w:sz w:val="18"/>
                <w:szCs w:val="18"/>
              </w:rPr>
            </w:pPr>
          </w:p>
        </w:tc>
        <w:tc>
          <w:tcPr>
            <w:tcW w:w="2800" w:type="dxa"/>
            <w:gridSpan w:val="4"/>
          </w:tcPr>
          <w:p w14:paraId="4921C4EA" w14:textId="77777777" w:rsidR="00601D9B" w:rsidRDefault="000E53A0">
            <w:pPr>
              <w:jc w:val="center"/>
              <w:rPr>
                <w:rFonts w:cstheme="minorHAnsi"/>
                <w:sz w:val="18"/>
                <w:szCs w:val="18"/>
              </w:rPr>
            </w:pPr>
            <w:r w:rsidRPr="007F5638">
              <w:rPr>
                <w:rFonts w:cstheme="minorHAnsi"/>
                <w:sz w:val="18"/>
                <w:szCs w:val="18"/>
              </w:rPr>
              <w:t>Ligne de base</w:t>
            </w:r>
          </w:p>
        </w:tc>
        <w:tc>
          <w:tcPr>
            <w:tcW w:w="2593" w:type="dxa"/>
            <w:gridSpan w:val="2"/>
          </w:tcPr>
          <w:p w14:paraId="2F8C2D29" w14:textId="77777777" w:rsidR="00601D9B" w:rsidRDefault="000E53A0">
            <w:pPr>
              <w:jc w:val="center"/>
              <w:rPr>
                <w:rFonts w:cstheme="minorHAnsi"/>
                <w:sz w:val="18"/>
                <w:szCs w:val="18"/>
              </w:rPr>
            </w:pPr>
            <w:r w:rsidRPr="007F5638">
              <w:rPr>
                <w:rFonts w:cstheme="minorHAnsi"/>
                <w:sz w:val="18"/>
                <w:szCs w:val="18"/>
              </w:rPr>
              <w:t>Réalisé</w:t>
            </w:r>
          </w:p>
        </w:tc>
      </w:tr>
      <w:tr w:rsidR="007F5638" w:rsidRPr="007F5638" w14:paraId="7BD1BEE7" w14:textId="77777777" w:rsidTr="001A7B9D">
        <w:trPr>
          <w:trHeight w:val="188"/>
        </w:trPr>
        <w:tc>
          <w:tcPr>
            <w:tcW w:w="1298" w:type="dxa"/>
            <w:vMerge/>
          </w:tcPr>
          <w:p w14:paraId="250EFB5F" w14:textId="77777777" w:rsidR="007F5638" w:rsidRPr="007F5638" w:rsidRDefault="007F5638" w:rsidP="007F5638">
            <w:pPr>
              <w:rPr>
                <w:rFonts w:cstheme="minorHAnsi"/>
                <w:sz w:val="18"/>
                <w:szCs w:val="18"/>
              </w:rPr>
            </w:pPr>
          </w:p>
        </w:tc>
        <w:tc>
          <w:tcPr>
            <w:tcW w:w="933" w:type="dxa"/>
            <w:vMerge/>
          </w:tcPr>
          <w:p w14:paraId="4ACE3491" w14:textId="77777777" w:rsidR="007F5638" w:rsidRPr="007F5638" w:rsidRDefault="007F5638" w:rsidP="007F5638">
            <w:pPr>
              <w:rPr>
                <w:rFonts w:cstheme="minorHAnsi"/>
                <w:sz w:val="18"/>
                <w:szCs w:val="18"/>
              </w:rPr>
            </w:pPr>
          </w:p>
        </w:tc>
        <w:tc>
          <w:tcPr>
            <w:tcW w:w="874" w:type="dxa"/>
            <w:gridSpan w:val="3"/>
            <w:vMerge/>
          </w:tcPr>
          <w:p w14:paraId="63C37C56" w14:textId="77777777" w:rsidR="007F5638" w:rsidRPr="007F5638" w:rsidRDefault="007F5638" w:rsidP="007F5638">
            <w:pPr>
              <w:rPr>
                <w:rFonts w:cstheme="minorHAnsi"/>
                <w:sz w:val="18"/>
                <w:szCs w:val="18"/>
              </w:rPr>
            </w:pPr>
          </w:p>
        </w:tc>
        <w:tc>
          <w:tcPr>
            <w:tcW w:w="874" w:type="dxa"/>
            <w:vMerge/>
          </w:tcPr>
          <w:p w14:paraId="5D85CB07" w14:textId="77777777" w:rsidR="007F5638" w:rsidRPr="007F5638" w:rsidRDefault="007F5638" w:rsidP="007F5638">
            <w:pPr>
              <w:rPr>
                <w:rFonts w:cstheme="minorHAnsi"/>
                <w:sz w:val="18"/>
                <w:szCs w:val="18"/>
              </w:rPr>
            </w:pPr>
          </w:p>
        </w:tc>
        <w:tc>
          <w:tcPr>
            <w:tcW w:w="1323" w:type="dxa"/>
            <w:gridSpan w:val="2"/>
          </w:tcPr>
          <w:p w14:paraId="70CAB8F0" w14:textId="77777777" w:rsidR="00601D9B" w:rsidRDefault="000E53A0">
            <w:pPr>
              <w:jc w:val="center"/>
              <w:rPr>
                <w:rFonts w:cstheme="minorHAnsi"/>
                <w:sz w:val="18"/>
                <w:szCs w:val="18"/>
              </w:rPr>
            </w:pPr>
            <w:r w:rsidRPr="007F5638">
              <w:rPr>
                <w:rFonts w:cstheme="minorHAnsi"/>
                <w:sz w:val="18"/>
                <w:szCs w:val="18"/>
              </w:rPr>
              <w:t>Étape du FIP</w:t>
            </w:r>
          </w:p>
        </w:tc>
        <w:tc>
          <w:tcPr>
            <w:tcW w:w="1477" w:type="dxa"/>
            <w:gridSpan w:val="2"/>
          </w:tcPr>
          <w:p w14:paraId="2C25B085" w14:textId="77777777" w:rsidR="00601D9B" w:rsidRDefault="000E53A0">
            <w:pPr>
              <w:jc w:val="center"/>
              <w:rPr>
                <w:rFonts w:cstheme="minorHAnsi"/>
                <w:sz w:val="18"/>
                <w:szCs w:val="18"/>
              </w:rPr>
            </w:pPr>
            <w:r w:rsidRPr="007F5638">
              <w:rPr>
                <w:rFonts w:cstheme="minorHAnsi"/>
                <w:sz w:val="18"/>
                <w:szCs w:val="18"/>
              </w:rPr>
              <w:t>Endossement</w:t>
            </w:r>
          </w:p>
        </w:tc>
        <w:tc>
          <w:tcPr>
            <w:tcW w:w="1306" w:type="dxa"/>
          </w:tcPr>
          <w:p w14:paraId="3CF1B65C" w14:textId="77777777" w:rsidR="00601D9B" w:rsidRDefault="000E53A0">
            <w:pPr>
              <w:jc w:val="center"/>
              <w:rPr>
                <w:rFonts w:cstheme="minorHAnsi"/>
                <w:sz w:val="18"/>
                <w:szCs w:val="18"/>
              </w:rPr>
            </w:pPr>
            <w:r w:rsidRPr="007F5638">
              <w:rPr>
                <w:rFonts w:cstheme="minorHAnsi"/>
                <w:sz w:val="18"/>
                <w:szCs w:val="18"/>
              </w:rPr>
              <w:t>MTR</w:t>
            </w:r>
          </w:p>
        </w:tc>
        <w:tc>
          <w:tcPr>
            <w:tcW w:w="1287" w:type="dxa"/>
          </w:tcPr>
          <w:p w14:paraId="1FEDAB4F" w14:textId="77777777" w:rsidR="00601D9B" w:rsidRDefault="000E53A0">
            <w:pPr>
              <w:jc w:val="center"/>
              <w:rPr>
                <w:rFonts w:cstheme="minorHAnsi"/>
                <w:sz w:val="18"/>
                <w:szCs w:val="18"/>
              </w:rPr>
            </w:pPr>
            <w:r w:rsidRPr="007F5638">
              <w:rPr>
                <w:rFonts w:cstheme="minorHAnsi"/>
                <w:sz w:val="18"/>
                <w:szCs w:val="18"/>
              </w:rPr>
              <w:t>TE</w:t>
            </w:r>
          </w:p>
        </w:tc>
      </w:tr>
      <w:tr w:rsidR="007F5638" w:rsidRPr="007F5638" w14:paraId="6A9D4984" w14:textId="77777777" w:rsidTr="001A7B9D">
        <w:tc>
          <w:tcPr>
            <w:tcW w:w="1298" w:type="dxa"/>
          </w:tcPr>
          <w:p w14:paraId="38958F84"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933" w:type="dxa"/>
          </w:tcPr>
          <w:p w14:paraId="5CAF8E7F"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874" w:type="dxa"/>
            <w:gridSpan w:val="3"/>
          </w:tcPr>
          <w:p w14:paraId="55FA8C48" w14:textId="77777777" w:rsidR="00601D9B" w:rsidRDefault="000E53A0">
            <w:pPr>
              <w:jc w:val="right"/>
              <w:rPr>
                <w:rFonts w:cstheme="minorHAnsi"/>
                <w:sz w:val="18"/>
                <w:szCs w:val="18"/>
              </w:rPr>
            </w:pPr>
            <w:r w:rsidRPr="007F5638">
              <w:rPr>
                <w:rFonts w:cstheme="minorHAnsi"/>
                <w:color w:val="000000"/>
                <w:sz w:val="18"/>
                <w:szCs w:val="18"/>
              </w:rPr>
              <w:fldChar w:fldCharType="begin">
                <w:ffData>
                  <w:name w:val=""/>
                  <w:enabled/>
                  <w:calcOnExit w:val="0"/>
                  <w:ddList>
                    <w:listEntry w:val="(select)"/>
                    <w:listEntry w:val="Ia Strict Nature Reserve"/>
                    <w:listEntry w:val="Ib Wilderness Area"/>
                    <w:listEntry w:val="II National Park"/>
                    <w:listEntry w:val="III Natural Monument or Feature"/>
                    <w:listEntry w:val="IV Habitat/Species Management Area"/>
                    <w:listEntry w:val="V Protected Landscape/Seascape"/>
                    <w:listEntry w:val="VI PA with sustainable use of natural resources"/>
                    <w:listEntry w:val="Other"/>
                  </w:ddList>
                </w:ffData>
              </w:fldChar>
            </w:r>
            <w:r w:rsidRPr="007F5638">
              <w:rPr>
                <w:rFonts w:cstheme="minorHAnsi"/>
                <w:color w:val="000000"/>
                <w:sz w:val="18"/>
                <w:szCs w:val="18"/>
              </w:rPr>
              <w:instrText xml:space="preserve"> FORMDROPDOWN </w:instrText>
            </w:r>
            <w:r w:rsidR="00B330C0">
              <w:rPr>
                <w:rFonts w:cstheme="minorHAnsi"/>
                <w:color w:val="000000"/>
                <w:sz w:val="18"/>
                <w:szCs w:val="18"/>
              </w:rPr>
            </w:r>
            <w:r w:rsidR="00B330C0">
              <w:rPr>
                <w:rFonts w:cstheme="minorHAnsi"/>
                <w:color w:val="000000"/>
                <w:sz w:val="18"/>
                <w:szCs w:val="18"/>
              </w:rPr>
              <w:fldChar w:fldCharType="separate"/>
            </w:r>
            <w:r w:rsidRPr="007F5638">
              <w:rPr>
                <w:rFonts w:cstheme="minorHAnsi"/>
                <w:color w:val="000000"/>
                <w:sz w:val="18"/>
                <w:szCs w:val="18"/>
              </w:rPr>
              <w:fldChar w:fldCharType="end"/>
            </w:r>
            <w:r w:rsidRPr="007F5638">
              <w:rPr>
                <w:rFonts w:cstheme="minorHAnsi"/>
                <w:color w:val="000000"/>
                <w:sz w:val="18"/>
                <w:szCs w:val="18"/>
              </w:rPr>
              <w:t xml:space="preserve">  </w:t>
            </w:r>
          </w:p>
        </w:tc>
        <w:tc>
          <w:tcPr>
            <w:tcW w:w="874" w:type="dxa"/>
          </w:tcPr>
          <w:p w14:paraId="07E48073"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323" w:type="dxa"/>
            <w:gridSpan w:val="2"/>
          </w:tcPr>
          <w:p w14:paraId="64206A88" w14:textId="77777777" w:rsidR="007F5638" w:rsidRPr="007F5638" w:rsidRDefault="007F5638" w:rsidP="007F5638">
            <w:pPr>
              <w:jc w:val="right"/>
              <w:rPr>
                <w:rFonts w:cstheme="minorHAnsi"/>
                <w:sz w:val="18"/>
                <w:szCs w:val="18"/>
              </w:rPr>
            </w:pPr>
          </w:p>
        </w:tc>
        <w:tc>
          <w:tcPr>
            <w:tcW w:w="1477" w:type="dxa"/>
            <w:gridSpan w:val="2"/>
          </w:tcPr>
          <w:p w14:paraId="4AA3CA6F"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306" w:type="dxa"/>
          </w:tcPr>
          <w:p w14:paraId="0899D4CD"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287" w:type="dxa"/>
          </w:tcPr>
          <w:p w14:paraId="10857319"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r>
      <w:tr w:rsidR="007F5638" w:rsidRPr="007F5638" w14:paraId="685678C3" w14:textId="77777777" w:rsidTr="001A7B9D">
        <w:tc>
          <w:tcPr>
            <w:tcW w:w="1298" w:type="dxa"/>
          </w:tcPr>
          <w:p w14:paraId="2F1A3913"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933" w:type="dxa"/>
          </w:tcPr>
          <w:p w14:paraId="1C0C6BDD"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874" w:type="dxa"/>
            <w:gridSpan w:val="3"/>
          </w:tcPr>
          <w:p w14:paraId="2392CE96" w14:textId="77777777" w:rsidR="00601D9B" w:rsidRDefault="000E53A0">
            <w:pPr>
              <w:jc w:val="right"/>
              <w:rPr>
                <w:rFonts w:cstheme="minorHAnsi"/>
                <w:sz w:val="18"/>
                <w:szCs w:val="18"/>
              </w:rPr>
            </w:pPr>
            <w:r w:rsidRPr="007F5638">
              <w:rPr>
                <w:rFonts w:cstheme="minorHAnsi"/>
                <w:color w:val="000000"/>
                <w:sz w:val="18"/>
                <w:szCs w:val="18"/>
              </w:rPr>
              <w:fldChar w:fldCharType="begin">
                <w:ffData>
                  <w:name w:val=""/>
                  <w:enabled/>
                  <w:calcOnExit w:val="0"/>
                  <w:ddList>
                    <w:listEntry w:val="(select)"/>
                    <w:listEntry w:val="Ia Strict Nature Reserve"/>
                    <w:listEntry w:val="Ib Wilderness Area"/>
                    <w:listEntry w:val="II National Park"/>
                    <w:listEntry w:val="III Natural Monument or Feature"/>
                    <w:listEntry w:val="IV Habitat/Species Management Area"/>
                    <w:listEntry w:val="V Protected Landscape/Seascape"/>
                    <w:listEntry w:val="VI PA with sustainable use of natural resources"/>
                    <w:listEntry w:val="Other"/>
                  </w:ddList>
                </w:ffData>
              </w:fldChar>
            </w:r>
            <w:r w:rsidRPr="007F5638">
              <w:rPr>
                <w:rFonts w:cstheme="minorHAnsi"/>
                <w:color w:val="000000"/>
                <w:sz w:val="18"/>
                <w:szCs w:val="18"/>
              </w:rPr>
              <w:instrText xml:space="preserve"> FORMDROPDOWN </w:instrText>
            </w:r>
            <w:r w:rsidR="00B330C0">
              <w:rPr>
                <w:rFonts w:cstheme="minorHAnsi"/>
                <w:color w:val="000000"/>
                <w:sz w:val="18"/>
                <w:szCs w:val="18"/>
              </w:rPr>
            </w:r>
            <w:r w:rsidR="00B330C0">
              <w:rPr>
                <w:rFonts w:cstheme="minorHAnsi"/>
                <w:color w:val="000000"/>
                <w:sz w:val="18"/>
                <w:szCs w:val="18"/>
              </w:rPr>
              <w:fldChar w:fldCharType="separate"/>
            </w:r>
            <w:r w:rsidRPr="007F5638">
              <w:rPr>
                <w:rFonts w:cstheme="minorHAnsi"/>
                <w:color w:val="000000"/>
                <w:sz w:val="18"/>
                <w:szCs w:val="18"/>
              </w:rPr>
              <w:fldChar w:fldCharType="end"/>
            </w:r>
            <w:r w:rsidRPr="007F5638">
              <w:rPr>
                <w:rFonts w:cstheme="minorHAnsi"/>
                <w:color w:val="000000"/>
                <w:sz w:val="18"/>
                <w:szCs w:val="18"/>
              </w:rPr>
              <w:t xml:space="preserve">  </w:t>
            </w:r>
          </w:p>
        </w:tc>
        <w:tc>
          <w:tcPr>
            <w:tcW w:w="874" w:type="dxa"/>
          </w:tcPr>
          <w:p w14:paraId="520C070A"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323" w:type="dxa"/>
            <w:gridSpan w:val="2"/>
          </w:tcPr>
          <w:p w14:paraId="3276ED77" w14:textId="77777777" w:rsidR="007F5638" w:rsidRPr="007F5638" w:rsidRDefault="007F5638" w:rsidP="007F5638">
            <w:pPr>
              <w:jc w:val="right"/>
              <w:rPr>
                <w:rFonts w:cstheme="minorHAnsi"/>
                <w:sz w:val="18"/>
                <w:szCs w:val="18"/>
              </w:rPr>
            </w:pPr>
          </w:p>
        </w:tc>
        <w:tc>
          <w:tcPr>
            <w:tcW w:w="1477" w:type="dxa"/>
            <w:gridSpan w:val="2"/>
          </w:tcPr>
          <w:p w14:paraId="1780B81D"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306" w:type="dxa"/>
          </w:tcPr>
          <w:p w14:paraId="4023E7C2"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287" w:type="dxa"/>
          </w:tcPr>
          <w:p w14:paraId="3C7ED24C"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r>
      <w:tr w:rsidR="007F5638" w:rsidRPr="007F5638" w14:paraId="19A619F7" w14:textId="77777777" w:rsidTr="001A7B9D">
        <w:tc>
          <w:tcPr>
            <w:tcW w:w="1298" w:type="dxa"/>
          </w:tcPr>
          <w:p w14:paraId="5863B1CC" w14:textId="77777777" w:rsidR="007F5638" w:rsidRPr="007F5638" w:rsidRDefault="007F5638" w:rsidP="007F5638">
            <w:pPr>
              <w:jc w:val="right"/>
              <w:rPr>
                <w:rFonts w:cstheme="minorHAnsi"/>
                <w:i/>
                <w:color w:val="000000"/>
                <w:sz w:val="18"/>
                <w:szCs w:val="18"/>
              </w:rPr>
            </w:pPr>
          </w:p>
        </w:tc>
        <w:tc>
          <w:tcPr>
            <w:tcW w:w="933" w:type="dxa"/>
          </w:tcPr>
          <w:p w14:paraId="03A8BA9A" w14:textId="77777777" w:rsidR="007F5638" w:rsidRPr="007F5638" w:rsidRDefault="007F5638" w:rsidP="007F5638">
            <w:pPr>
              <w:jc w:val="right"/>
              <w:rPr>
                <w:rFonts w:cstheme="minorHAnsi"/>
                <w:i/>
                <w:color w:val="000000"/>
                <w:sz w:val="18"/>
                <w:szCs w:val="18"/>
              </w:rPr>
            </w:pPr>
          </w:p>
        </w:tc>
        <w:tc>
          <w:tcPr>
            <w:tcW w:w="874" w:type="dxa"/>
            <w:gridSpan w:val="3"/>
          </w:tcPr>
          <w:p w14:paraId="7B0B511A" w14:textId="77777777" w:rsidR="00601D9B" w:rsidRDefault="000E53A0">
            <w:pPr>
              <w:jc w:val="right"/>
              <w:rPr>
                <w:rFonts w:cstheme="minorHAnsi"/>
                <w:color w:val="000000"/>
                <w:sz w:val="18"/>
                <w:szCs w:val="18"/>
              </w:rPr>
            </w:pPr>
            <w:r w:rsidRPr="007F5638">
              <w:rPr>
                <w:rFonts w:cstheme="minorHAnsi"/>
                <w:color w:val="000000"/>
                <w:sz w:val="18"/>
                <w:szCs w:val="18"/>
              </w:rPr>
              <w:t>Somme</w:t>
            </w:r>
          </w:p>
        </w:tc>
        <w:tc>
          <w:tcPr>
            <w:tcW w:w="874" w:type="dxa"/>
          </w:tcPr>
          <w:p w14:paraId="7C334442" w14:textId="77777777" w:rsidR="00601D9B" w:rsidRDefault="000E53A0">
            <w:pPr>
              <w:jc w:val="right"/>
              <w:rPr>
                <w:rFonts w:cstheme="minorHAnsi"/>
                <w:color w:val="000000"/>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323" w:type="dxa"/>
            <w:gridSpan w:val="2"/>
          </w:tcPr>
          <w:p w14:paraId="55CE94E2" w14:textId="77777777" w:rsidR="007F5638" w:rsidRPr="007F5638" w:rsidRDefault="007F5638" w:rsidP="007F5638">
            <w:pPr>
              <w:jc w:val="right"/>
              <w:rPr>
                <w:rFonts w:cstheme="minorHAnsi"/>
                <w:i/>
                <w:color w:val="000000"/>
                <w:sz w:val="18"/>
                <w:szCs w:val="18"/>
              </w:rPr>
            </w:pPr>
          </w:p>
        </w:tc>
        <w:tc>
          <w:tcPr>
            <w:tcW w:w="1477" w:type="dxa"/>
            <w:gridSpan w:val="2"/>
          </w:tcPr>
          <w:p w14:paraId="71327425" w14:textId="77777777" w:rsidR="007F5638" w:rsidRPr="007F5638" w:rsidRDefault="007F5638" w:rsidP="007F5638">
            <w:pPr>
              <w:jc w:val="right"/>
              <w:rPr>
                <w:rFonts w:cstheme="minorHAnsi"/>
                <w:i/>
                <w:color w:val="000000"/>
                <w:sz w:val="18"/>
                <w:szCs w:val="18"/>
              </w:rPr>
            </w:pPr>
          </w:p>
        </w:tc>
        <w:tc>
          <w:tcPr>
            <w:tcW w:w="1306" w:type="dxa"/>
          </w:tcPr>
          <w:p w14:paraId="379EABAC" w14:textId="77777777" w:rsidR="007F5638" w:rsidRPr="007F5638" w:rsidRDefault="007F5638" w:rsidP="007F5638">
            <w:pPr>
              <w:jc w:val="right"/>
              <w:rPr>
                <w:rFonts w:cstheme="minorHAnsi"/>
                <w:i/>
                <w:color w:val="000000"/>
                <w:sz w:val="18"/>
                <w:szCs w:val="18"/>
              </w:rPr>
            </w:pPr>
          </w:p>
        </w:tc>
        <w:tc>
          <w:tcPr>
            <w:tcW w:w="1287" w:type="dxa"/>
          </w:tcPr>
          <w:p w14:paraId="5D2CC59E" w14:textId="77777777" w:rsidR="007F5638" w:rsidRPr="007F5638" w:rsidRDefault="007F5638" w:rsidP="007F5638">
            <w:pPr>
              <w:jc w:val="right"/>
              <w:rPr>
                <w:rFonts w:cstheme="minorHAnsi"/>
                <w:i/>
                <w:color w:val="000000"/>
                <w:sz w:val="18"/>
                <w:szCs w:val="18"/>
              </w:rPr>
            </w:pPr>
          </w:p>
        </w:tc>
      </w:tr>
      <w:tr w:rsidR="007F5638" w:rsidRPr="007F5638" w14:paraId="5B41FCFC" w14:textId="77777777" w:rsidTr="001A7B9D">
        <w:tc>
          <w:tcPr>
            <w:tcW w:w="1298" w:type="dxa"/>
            <w:shd w:val="clear" w:color="auto" w:fill="D9D9D9" w:themeFill="background1" w:themeFillShade="D9"/>
          </w:tcPr>
          <w:p w14:paraId="143ECADC" w14:textId="77777777" w:rsidR="00601D9B" w:rsidRDefault="000E53A0">
            <w:pPr>
              <w:rPr>
                <w:rFonts w:cstheme="minorHAnsi"/>
                <w:b/>
                <w:sz w:val="18"/>
                <w:szCs w:val="18"/>
              </w:rPr>
            </w:pPr>
            <w:r w:rsidRPr="007F5638">
              <w:rPr>
                <w:rFonts w:cstheme="minorHAnsi"/>
                <w:b/>
                <w:sz w:val="18"/>
                <w:szCs w:val="18"/>
              </w:rPr>
              <w:t>Indicateur de base 3</w:t>
            </w:r>
          </w:p>
        </w:tc>
        <w:tc>
          <w:tcPr>
            <w:tcW w:w="6787" w:type="dxa"/>
            <w:gridSpan w:val="10"/>
            <w:shd w:val="clear" w:color="auto" w:fill="D9D9D9" w:themeFill="background1" w:themeFillShade="D9"/>
          </w:tcPr>
          <w:p w14:paraId="47F92141" w14:textId="77777777" w:rsidR="00601D9B" w:rsidRDefault="000E53A0">
            <w:pPr>
              <w:rPr>
                <w:rFonts w:cstheme="minorHAnsi"/>
                <w:b/>
                <w:sz w:val="18"/>
                <w:szCs w:val="18"/>
              </w:rPr>
            </w:pPr>
            <w:r w:rsidRPr="007F5638">
              <w:rPr>
                <w:rFonts w:cstheme="minorHAnsi"/>
                <w:b/>
                <w:sz w:val="18"/>
                <w:szCs w:val="18"/>
              </w:rPr>
              <w:t>Superficie des terres restaurées</w:t>
            </w:r>
          </w:p>
        </w:tc>
        <w:tc>
          <w:tcPr>
            <w:tcW w:w="1287" w:type="dxa"/>
            <w:shd w:val="clear" w:color="auto" w:fill="D9D9D9" w:themeFill="background1" w:themeFillShade="D9"/>
          </w:tcPr>
          <w:p w14:paraId="3B7D9175" w14:textId="77777777" w:rsidR="00601D9B" w:rsidRDefault="000E53A0">
            <w:pPr>
              <w:jc w:val="right"/>
              <w:rPr>
                <w:rFonts w:cstheme="minorHAnsi"/>
                <w:b/>
                <w:sz w:val="18"/>
                <w:szCs w:val="18"/>
              </w:rPr>
            </w:pPr>
            <w:r w:rsidRPr="007F5638">
              <w:rPr>
                <w:rFonts w:cstheme="minorHAnsi"/>
                <w:b/>
                <w:i/>
                <w:color w:val="000000"/>
                <w:sz w:val="18"/>
                <w:szCs w:val="18"/>
              </w:rPr>
              <w:fldChar w:fldCharType="begin">
                <w:ffData>
                  <w:name w:val="F_GEB_BD_target"/>
                  <w:enabled/>
                  <w:calcOnExit w:val="0"/>
                  <w:textInput>
                    <w:default w:val="(Hectares)"/>
                  </w:textInput>
                </w:ffData>
              </w:fldChar>
            </w:r>
            <w:r w:rsidRPr="007F5638">
              <w:rPr>
                <w:rFonts w:cstheme="minorHAnsi"/>
                <w:b/>
                <w:i/>
                <w:color w:val="000000"/>
                <w:sz w:val="18"/>
                <w:szCs w:val="18"/>
              </w:rPr>
              <w:instrText xml:space="preserve"> FORMTEXT </w:instrText>
            </w:r>
            <w:r w:rsidRPr="007F5638">
              <w:rPr>
                <w:rFonts w:cstheme="minorHAnsi"/>
                <w:b/>
                <w:i/>
                <w:color w:val="000000"/>
                <w:sz w:val="18"/>
                <w:szCs w:val="18"/>
              </w:rPr>
            </w:r>
            <w:r w:rsidRPr="007F5638">
              <w:rPr>
                <w:rFonts w:cstheme="minorHAnsi"/>
                <w:b/>
                <w:i/>
                <w:color w:val="000000"/>
                <w:sz w:val="18"/>
                <w:szCs w:val="18"/>
              </w:rPr>
              <w:fldChar w:fldCharType="separate"/>
            </w:r>
            <w:r w:rsidRPr="007F5638">
              <w:rPr>
                <w:rFonts w:cstheme="minorHAnsi"/>
                <w:b/>
                <w:i/>
                <w:noProof/>
                <w:color w:val="000000"/>
                <w:sz w:val="18"/>
                <w:szCs w:val="18"/>
              </w:rPr>
              <w:t>(Hectares)</w:t>
            </w:r>
            <w:r w:rsidRPr="007F5638">
              <w:rPr>
                <w:rFonts w:cstheme="minorHAnsi"/>
                <w:b/>
                <w:i/>
                <w:color w:val="000000"/>
                <w:sz w:val="18"/>
                <w:szCs w:val="18"/>
              </w:rPr>
              <w:fldChar w:fldCharType="end"/>
            </w:r>
          </w:p>
        </w:tc>
      </w:tr>
      <w:tr w:rsidR="007F5638" w:rsidRPr="007F5638" w14:paraId="34812023" w14:textId="77777777" w:rsidTr="001A7B9D">
        <w:tc>
          <w:tcPr>
            <w:tcW w:w="1298" w:type="dxa"/>
            <w:shd w:val="clear" w:color="auto" w:fill="auto"/>
          </w:tcPr>
          <w:p w14:paraId="0D933454" w14:textId="77777777" w:rsidR="007F5638" w:rsidRPr="007F5638" w:rsidRDefault="007F5638" w:rsidP="007F5638">
            <w:pPr>
              <w:rPr>
                <w:rFonts w:cstheme="minorHAnsi"/>
                <w:sz w:val="18"/>
                <w:szCs w:val="18"/>
              </w:rPr>
            </w:pPr>
          </w:p>
        </w:tc>
        <w:tc>
          <w:tcPr>
            <w:tcW w:w="2681" w:type="dxa"/>
            <w:gridSpan w:val="5"/>
            <w:shd w:val="clear" w:color="auto" w:fill="auto"/>
          </w:tcPr>
          <w:p w14:paraId="634B39C1" w14:textId="77777777" w:rsidR="007F5638" w:rsidRPr="007F5638" w:rsidRDefault="007F5638" w:rsidP="007F5638">
            <w:pPr>
              <w:rPr>
                <w:rFonts w:cstheme="minorHAnsi"/>
                <w:sz w:val="18"/>
                <w:szCs w:val="18"/>
              </w:rPr>
            </w:pPr>
          </w:p>
        </w:tc>
        <w:tc>
          <w:tcPr>
            <w:tcW w:w="5393" w:type="dxa"/>
            <w:gridSpan w:val="6"/>
            <w:shd w:val="clear" w:color="auto" w:fill="F2F2F2" w:themeFill="background1" w:themeFillShade="F2"/>
          </w:tcPr>
          <w:p w14:paraId="57F386A4" w14:textId="77777777" w:rsidR="00601D9B" w:rsidRDefault="000E53A0">
            <w:pPr>
              <w:jc w:val="center"/>
              <w:rPr>
                <w:rFonts w:cstheme="minorHAnsi"/>
                <w:color w:val="000000"/>
                <w:sz w:val="18"/>
                <w:szCs w:val="18"/>
              </w:rPr>
            </w:pPr>
            <w:r w:rsidRPr="007F5638">
              <w:rPr>
                <w:rFonts w:cstheme="minorHAnsi"/>
                <w:color w:val="000000"/>
                <w:sz w:val="18"/>
                <w:szCs w:val="18"/>
              </w:rPr>
              <w:t>Hectares (3.1+3.2+3.3+3.4)</w:t>
            </w:r>
          </w:p>
        </w:tc>
      </w:tr>
      <w:tr w:rsidR="007F5638" w:rsidRPr="007F5638" w14:paraId="67E9622B" w14:textId="77777777" w:rsidTr="001A7B9D">
        <w:tc>
          <w:tcPr>
            <w:tcW w:w="1298" w:type="dxa"/>
            <w:shd w:val="clear" w:color="auto" w:fill="auto"/>
          </w:tcPr>
          <w:p w14:paraId="58BAC165" w14:textId="77777777" w:rsidR="007F5638" w:rsidRPr="007F5638" w:rsidRDefault="007F5638" w:rsidP="007F5638">
            <w:pPr>
              <w:rPr>
                <w:rFonts w:cstheme="minorHAnsi"/>
                <w:sz w:val="18"/>
                <w:szCs w:val="18"/>
              </w:rPr>
            </w:pPr>
          </w:p>
        </w:tc>
        <w:tc>
          <w:tcPr>
            <w:tcW w:w="2681" w:type="dxa"/>
            <w:gridSpan w:val="5"/>
            <w:shd w:val="clear" w:color="auto" w:fill="auto"/>
          </w:tcPr>
          <w:p w14:paraId="0F9A2200" w14:textId="77777777" w:rsidR="007F5638" w:rsidRPr="007F5638" w:rsidRDefault="007F5638" w:rsidP="007F5638">
            <w:pPr>
              <w:rPr>
                <w:rFonts w:cstheme="minorHAnsi"/>
                <w:sz w:val="18"/>
                <w:szCs w:val="18"/>
              </w:rPr>
            </w:pPr>
          </w:p>
        </w:tc>
        <w:tc>
          <w:tcPr>
            <w:tcW w:w="2800" w:type="dxa"/>
            <w:gridSpan w:val="4"/>
            <w:shd w:val="clear" w:color="auto" w:fill="F2F2F2" w:themeFill="background1" w:themeFillShade="F2"/>
          </w:tcPr>
          <w:p w14:paraId="27171977" w14:textId="77777777" w:rsidR="00601D9B" w:rsidRDefault="000E53A0">
            <w:pPr>
              <w:jc w:val="center"/>
              <w:rPr>
                <w:rFonts w:cstheme="minorHAnsi"/>
                <w:sz w:val="18"/>
                <w:szCs w:val="18"/>
              </w:rPr>
            </w:pPr>
            <w:r w:rsidRPr="007F5638">
              <w:rPr>
                <w:rFonts w:cstheme="minorHAnsi"/>
                <w:color w:val="000000"/>
                <w:sz w:val="18"/>
                <w:szCs w:val="18"/>
              </w:rPr>
              <w:t>Attendu</w:t>
            </w:r>
          </w:p>
        </w:tc>
        <w:tc>
          <w:tcPr>
            <w:tcW w:w="2593" w:type="dxa"/>
            <w:gridSpan w:val="2"/>
            <w:shd w:val="clear" w:color="auto" w:fill="F2F2F2" w:themeFill="background1" w:themeFillShade="F2"/>
          </w:tcPr>
          <w:p w14:paraId="3C38BE4D" w14:textId="77777777" w:rsidR="00601D9B" w:rsidRDefault="000E53A0">
            <w:pPr>
              <w:jc w:val="center"/>
              <w:rPr>
                <w:rFonts w:cstheme="minorHAnsi"/>
                <w:color w:val="000000"/>
                <w:sz w:val="18"/>
                <w:szCs w:val="18"/>
              </w:rPr>
            </w:pPr>
            <w:r w:rsidRPr="007F5638">
              <w:rPr>
                <w:rFonts w:cstheme="minorHAnsi"/>
                <w:color w:val="000000"/>
                <w:sz w:val="18"/>
                <w:szCs w:val="18"/>
              </w:rPr>
              <w:t>Réalisé</w:t>
            </w:r>
          </w:p>
        </w:tc>
      </w:tr>
      <w:tr w:rsidR="007F5638" w:rsidRPr="007F5638" w14:paraId="3E1EFCAE" w14:textId="77777777" w:rsidTr="001A7B9D">
        <w:tc>
          <w:tcPr>
            <w:tcW w:w="1298" w:type="dxa"/>
            <w:shd w:val="clear" w:color="auto" w:fill="auto"/>
          </w:tcPr>
          <w:p w14:paraId="7F67EF6C" w14:textId="77777777" w:rsidR="007F5638" w:rsidRPr="007F5638" w:rsidRDefault="007F5638" w:rsidP="007F5638">
            <w:pPr>
              <w:rPr>
                <w:rFonts w:cstheme="minorHAnsi"/>
                <w:sz w:val="18"/>
                <w:szCs w:val="18"/>
              </w:rPr>
            </w:pPr>
          </w:p>
        </w:tc>
        <w:tc>
          <w:tcPr>
            <w:tcW w:w="2681" w:type="dxa"/>
            <w:gridSpan w:val="5"/>
            <w:shd w:val="clear" w:color="auto" w:fill="auto"/>
          </w:tcPr>
          <w:p w14:paraId="51590057" w14:textId="77777777" w:rsidR="007F5638" w:rsidRPr="007F5638" w:rsidRDefault="007F5638" w:rsidP="007F5638">
            <w:pPr>
              <w:rPr>
                <w:rFonts w:cstheme="minorHAnsi"/>
                <w:sz w:val="18"/>
                <w:szCs w:val="18"/>
              </w:rPr>
            </w:pPr>
          </w:p>
        </w:tc>
        <w:tc>
          <w:tcPr>
            <w:tcW w:w="1323" w:type="dxa"/>
            <w:gridSpan w:val="2"/>
            <w:shd w:val="clear" w:color="auto" w:fill="F2F2F2" w:themeFill="background1" w:themeFillShade="F2"/>
          </w:tcPr>
          <w:p w14:paraId="5E6ED80E" w14:textId="77777777" w:rsidR="00601D9B" w:rsidRDefault="000E53A0">
            <w:pPr>
              <w:jc w:val="center"/>
              <w:rPr>
                <w:rFonts w:cstheme="minorHAnsi"/>
                <w:sz w:val="18"/>
                <w:szCs w:val="18"/>
              </w:rPr>
            </w:pPr>
            <w:r w:rsidRPr="007F5638">
              <w:rPr>
                <w:rFonts w:cstheme="minorHAnsi"/>
                <w:sz w:val="18"/>
                <w:szCs w:val="18"/>
              </w:rPr>
              <w:t>Étape du FIP</w:t>
            </w:r>
          </w:p>
        </w:tc>
        <w:tc>
          <w:tcPr>
            <w:tcW w:w="1477" w:type="dxa"/>
            <w:gridSpan w:val="2"/>
            <w:shd w:val="clear" w:color="auto" w:fill="F2F2F2" w:themeFill="background1" w:themeFillShade="F2"/>
          </w:tcPr>
          <w:p w14:paraId="5D6371BE" w14:textId="77777777" w:rsidR="00601D9B" w:rsidRDefault="000E53A0">
            <w:pPr>
              <w:jc w:val="center"/>
              <w:rPr>
                <w:rFonts w:cstheme="minorHAnsi"/>
                <w:sz w:val="18"/>
                <w:szCs w:val="18"/>
              </w:rPr>
            </w:pPr>
            <w:r w:rsidRPr="007F5638">
              <w:rPr>
                <w:rFonts w:cstheme="minorHAnsi"/>
                <w:sz w:val="18"/>
                <w:szCs w:val="18"/>
              </w:rPr>
              <w:t>Endossement</w:t>
            </w:r>
          </w:p>
        </w:tc>
        <w:tc>
          <w:tcPr>
            <w:tcW w:w="1306" w:type="dxa"/>
            <w:shd w:val="clear" w:color="auto" w:fill="F2F2F2" w:themeFill="background1" w:themeFillShade="F2"/>
          </w:tcPr>
          <w:p w14:paraId="4B0F6C00" w14:textId="77777777" w:rsidR="00601D9B" w:rsidRDefault="000E53A0">
            <w:pPr>
              <w:jc w:val="center"/>
              <w:rPr>
                <w:rFonts w:cstheme="minorHAnsi"/>
                <w:sz w:val="18"/>
                <w:szCs w:val="18"/>
              </w:rPr>
            </w:pPr>
            <w:r w:rsidRPr="007F5638">
              <w:rPr>
                <w:rFonts w:cstheme="minorHAnsi"/>
                <w:sz w:val="18"/>
                <w:szCs w:val="18"/>
              </w:rPr>
              <w:t>MTR</w:t>
            </w:r>
          </w:p>
        </w:tc>
        <w:tc>
          <w:tcPr>
            <w:tcW w:w="1287" w:type="dxa"/>
            <w:shd w:val="clear" w:color="auto" w:fill="F2F2F2" w:themeFill="background1" w:themeFillShade="F2"/>
          </w:tcPr>
          <w:p w14:paraId="29AF1E02" w14:textId="77777777" w:rsidR="00601D9B" w:rsidRDefault="000E53A0">
            <w:pPr>
              <w:jc w:val="center"/>
              <w:rPr>
                <w:rFonts w:cstheme="minorHAnsi"/>
                <w:i/>
                <w:color w:val="000000"/>
                <w:sz w:val="18"/>
                <w:szCs w:val="18"/>
              </w:rPr>
            </w:pPr>
            <w:r w:rsidRPr="007F5638">
              <w:rPr>
                <w:rFonts w:cstheme="minorHAnsi"/>
                <w:sz w:val="18"/>
                <w:szCs w:val="18"/>
              </w:rPr>
              <w:t>TE</w:t>
            </w:r>
          </w:p>
        </w:tc>
      </w:tr>
      <w:tr w:rsidR="007F5638" w:rsidRPr="007F5638" w14:paraId="5FE1C09A" w14:textId="77777777" w:rsidTr="001A7B9D">
        <w:tc>
          <w:tcPr>
            <w:tcW w:w="1298" w:type="dxa"/>
            <w:shd w:val="clear" w:color="auto" w:fill="auto"/>
          </w:tcPr>
          <w:p w14:paraId="45D083C4" w14:textId="77777777" w:rsidR="007F5638" w:rsidRPr="007F5638" w:rsidRDefault="007F5638" w:rsidP="007F5638">
            <w:pPr>
              <w:rPr>
                <w:rFonts w:cstheme="minorHAnsi"/>
                <w:sz w:val="18"/>
                <w:szCs w:val="18"/>
              </w:rPr>
            </w:pPr>
          </w:p>
        </w:tc>
        <w:tc>
          <w:tcPr>
            <w:tcW w:w="2681" w:type="dxa"/>
            <w:gridSpan w:val="5"/>
            <w:shd w:val="clear" w:color="auto" w:fill="auto"/>
          </w:tcPr>
          <w:p w14:paraId="6B5BC6E6" w14:textId="77777777" w:rsidR="007F5638" w:rsidRPr="007F5638" w:rsidRDefault="007F5638" w:rsidP="007F5638">
            <w:pPr>
              <w:rPr>
                <w:rFonts w:cstheme="minorHAnsi"/>
                <w:sz w:val="18"/>
                <w:szCs w:val="18"/>
              </w:rPr>
            </w:pPr>
          </w:p>
        </w:tc>
        <w:tc>
          <w:tcPr>
            <w:tcW w:w="1323" w:type="dxa"/>
            <w:gridSpan w:val="2"/>
            <w:shd w:val="clear" w:color="auto" w:fill="F2F2F2" w:themeFill="background1" w:themeFillShade="F2"/>
          </w:tcPr>
          <w:p w14:paraId="3AEA5772"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477" w:type="dxa"/>
            <w:gridSpan w:val="2"/>
            <w:shd w:val="clear" w:color="auto" w:fill="F2F2F2" w:themeFill="background1" w:themeFillShade="F2"/>
          </w:tcPr>
          <w:p w14:paraId="4B298DD9"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306" w:type="dxa"/>
            <w:shd w:val="clear" w:color="auto" w:fill="F2F2F2" w:themeFill="background1" w:themeFillShade="F2"/>
          </w:tcPr>
          <w:p w14:paraId="1433AB15"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287" w:type="dxa"/>
            <w:shd w:val="clear" w:color="auto" w:fill="F2F2F2" w:themeFill="background1" w:themeFillShade="F2"/>
          </w:tcPr>
          <w:p w14:paraId="1D36F1AA" w14:textId="77777777" w:rsidR="00601D9B" w:rsidRDefault="000E53A0">
            <w:pPr>
              <w:jc w:val="right"/>
              <w:rPr>
                <w:rFonts w:cstheme="minorHAnsi"/>
                <w:i/>
                <w:color w:val="000000"/>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r>
      <w:tr w:rsidR="007F5638" w:rsidRPr="007F5638" w14:paraId="7278BFC9" w14:textId="77777777" w:rsidTr="001A7B9D">
        <w:tc>
          <w:tcPr>
            <w:tcW w:w="1298" w:type="dxa"/>
            <w:shd w:val="clear" w:color="auto" w:fill="BFBFBF" w:themeFill="background1" w:themeFillShade="BF"/>
          </w:tcPr>
          <w:p w14:paraId="72A6B679" w14:textId="77777777" w:rsidR="00601D9B" w:rsidRDefault="000E53A0">
            <w:pPr>
              <w:rPr>
                <w:rFonts w:cstheme="minorHAnsi"/>
                <w:sz w:val="18"/>
                <w:szCs w:val="18"/>
              </w:rPr>
            </w:pPr>
            <w:r w:rsidRPr="007F5638">
              <w:rPr>
                <w:rFonts w:cstheme="minorHAnsi"/>
                <w:sz w:val="18"/>
                <w:szCs w:val="18"/>
              </w:rPr>
              <w:t>Indicateur 3.1</w:t>
            </w:r>
          </w:p>
        </w:tc>
        <w:tc>
          <w:tcPr>
            <w:tcW w:w="6787" w:type="dxa"/>
            <w:gridSpan w:val="10"/>
            <w:shd w:val="clear" w:color="auto" w:fill="BFBFBF" w:themeFill="background1" w:themeFillShade="BF"/>
          </w:tcPr>
          <w:p w14:paraId="00B33AB2" w14:textId="77777777" w:rsidR="00601D9B" w:rsidRPr="000E53A0" w:rsidRDefault="000E53A0">
            <w:pPr>
              <w:rPr>
                <w:rFonts w:cstheme="minorHAnsi"/>
                <w:sz w:val="18"/>
                <w:szCs w:val="18"/>
                <w:lang w:val="fr-FR"/>
              </w:rPr>
            </w:pPr>
            <w:r w:rsidRPr="000E53A0">
              <w:rPr>
                <w:rFonts w:cstheme="minorHAnsi"/>
                <w:sz w:val="18"/>
                <w:szCs w:val="18"/>
                <w:lang w:val="fr-FR"/>
              </w:rPr>
              <w:t>Superficie des terres agricoles dégradées restaurées</w:t>
            </w:r>
          </w:p>
        </w:tc>
        <w:tc>
          <w:tcPr>
            <w:tcW w:w="1287" w:type="dxa"/>
            <w:shd w:val="clear" w:color="auto" w:fill="BFBFBF" w:themeFill="background1" w:themeFillShade="BF"/>
          </w:tcPr>
          <w:p w14:paraId="76DF6027"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r>
      <w:tr w:rsidR="007F5638" w:rsidRPr="007F5638" w14:paraId="6DB027B8" w14:textId="77777777" w:rsidTr="001A7B9D">
        <w:trPr>
          <w:trHeight w:val="125"/>
        </w:trPr>
        <w:tc>
          <w:tcPr>
            <w:tcW w:w="1298" w:type="dxa"/>
            <w:vMerge w:val="restart"/>
          </w:tcPr>
          <w:p w14:paraId="1D6284EC" w14:textId="77777777" w:rsidR="007F5638" w:rsidRPr="007F5638" w:rsidRDefault="007F5638" w:rsidP="007F5638">
            <w:pPr>
              <w:rPr>
                <w:rFonts w:cstheme="minorHAnsi"/>
                <w:sz w:val="18"/>
                <w:szCs w:val="18"/>
              </w:rPr>
            </w:pPr>
          </w:p>
        </w:tc>
        <w:tc>
          <w:tcPr>
            <w:tcW w:w="933" w:type="dxa"/>
            <w:vMerge w:val="restart"/>
          </w:tcPr>
          <w:p w14:paraId="679211CC" w14:textId="77777777" w:rsidR="007F5638" w:rsidRPr="007F5638" w:rsidRDefault="007F5638" w:rsidP="007F5638">
            <w:pPr>
              <w:rPr>
                <w:rFonts w:cstheme="minorHAnsi"/>
                <w:sz w:val="18"/>
                <w:szCs w:val="18"/>
              </w:rPr>
            </w:pPr>
          </w:p>
        </w:tc>
        <w:tc>
          <w:tcPr>
            <w:tcW w:w="1748" w:type="dxa"/>
            <w:gridSpan w:val="4"/>
            <w:vMerge w:val="restart"/>
          </w:tcPr>
          <w:p w14:paraId="69C1A48F" w14:textId="77777777" w:rsidR="007F5638" w:rsidRPr="007F5638" w:rsidRDefault="007F5638" w:rsidP="007F5638">
            <w:pPr>
              <w:rPr>
                <w:rFonts w:cstheme="minorHAnsi"/>
                <w:sz w:val="18"/>
                <w:szCs w:val="18"/>
              </w:rPr>
            </w:pPr>
          </w:p>
        </w:tc>
        <w:tc>
          <w:tcPr>
            <w:tcW w:w="5393" w:type="dxa"/>
            <w:gridSpan w:val="6"/>
          </w:tcPr>
          <w:p w14:paraId="44D2FFE7" w14:textId="77777777" w:rsidR="00601D9B" w:rsidRDefault="000E53A0">
            <w:pPr>
              <w:jc w:val="center"/>
              <w:rPr>
                <w:rFonts w:cstheme="minorHAnsi"/>
                <w:sz w:val="18"/>
                <w:szCs w:val="18"/>
              </w:rPr>
            </w:pPr>
            <w:r w:rsidRPr="007F5638">
              <w:rPr>
                <w:rFonts w:cstheme="minorHAnsi"/>
                <w:sz w:val="18"/>
                <w:szCs w:val="18"/>
              </w:rPr>
              <w:t>Hectares</w:t>
            </w:r>
          </w:p>
        </w:tc>
      </w:tr>
      <w:tr w:rsidR="007F5638" w:rsidRPr="007F5638" w14:paraId="2A36D727" w14:textId="77777777" w:rsidTr="001A7B9D">
        <w:trPr>
          <w:trHeight w:val="58"/>
        </w:trPr>
        <w:tc>
          <w:tcPr>
            <w:tcW w:w="1298" w:type="dxa"/>
            <w:vMerge/>
          </w:tcPr>
          <w:p w14:paraId="19F09FC7" w14:textId="77777777" w:rsidR="007F5638" w:rsidRPr="007F5638" w:rsidRDefault="007F5638" w:rsidP="007F5638">
            <w:pPr>
              <w:rPr>
                <w:rFonts w:cstheme="minorHAnsi"/>
                <w:sz w:val="18"/>
                <w:szCs w:val="18"/>
              </w:rPr>
            </w:pPr>
          </w:p>
        </w:tc>
        <w:tc>
          <w:tcPr>
            <w:tcW w:w="933" w:type="dxa"/>
            <w:vMerge/>
          </w:tcPr>
          <w:p w14:paraId="3F2E585B" w14:textId="77777777" w:rsidR="007F5638" w:rsidRPr="007F5638" w:rsidRDefault="007F5638" w:rsidP="007F5638">
            <w:pPr>
              <w:rPr>
                <w:rFonts w:cstheme="minorHAnsi"/>
                <w:sz w:val="18"/>
                <w:szCs w:val="18"/>
              </w:rPr>
            </w:pPr>
          </w:p>
        </w:tc>
        <w:tc>
          <w:tcPr>
            <w:tcW w:w="1748" w:type="dxa"/>
            <w:gridSpan w:val="4"/>
            <w:vMerge/>
          </w:tcPr>
          <w:p w14:paraId="70006456" w14:textId="77777777" w:rsidR="007F5638" w:rsidRPr="007F5638" w:rsidRDefault="007F5638" w:rsidP="007F5638">
            <w:pPr>
              <w:rPr>
                <w:rFonts w:cstheme="minorHAnsi"/>
                <w:sz w:val="18"/>
                <w:szCs w:val="18"/>
              </w:rPr>
            </w:pPr>
          </w:p>
        </w:tc>
        <w:tc>
          <w:tcPr>
            <w:tcW w:w="2800" w:type="dxa"/>
            <w:gridSpan w:val="4"/>
          </w:tcPr>
          <w:p w14:paraId="5A1629CE" w14:textId="77777777" w:rsidR="00601D9B" w:rsidRDefault="000E53A0">
            <w:pPr>
              <w:jc w:val="center"/>
              <w:rPr>
                <w:rFonts w:cstheme="minorHAnsi"/>
                <w:sz w:val="18"/>
                <w:szCs w:val="18"/>
              </w:rPr>
            </w:pPr>
            <w:r w:rsidRPr="007F5638">
              <w:rPr>
                <w:rFonts w:cstheme="minorHAnsi"/>
                <w:sz w:val="18"/>
                <w:szCs w:val="18"/>
              </w:rPr>
              <w:t>Attendu</w:t>
            </w:r>
          </w:p>
        </w:tc>
        <w:tc>
          <w:tcPr>
            <w:tcW w:w="2593" w:type="dxa"/>
            <w:gridSpan w:val="2"/>
          </w:tcPr>
          <w:p w14:paraId="1F4EB9B3" w14:textId="77777777" w:rsidR="00601D9B" w:rsidRDefault="000E53A0">
            <w:pPr>
              <w:jc w:val="center"/>
              <w:rPr>
                <w:rFonts w:cstheme="minorHAnsi"/>
                <w:sz w:val="18"/>
                <w:szCs w:val="18"/>
              </w:rPr>
            </w:pPr>
            <w:r w:rsidRPr="007F5638">
              <w:rPr>
                <w:rFonts w:cstheme="minorHAnsi"/>
                <w:sz w:val="18"/>
                <w:szCs w:val="18"/>
              </w:rPr>
              <w:t>Réalisé</w:t>
            </w:r>
          </w:p>
        </w:tc>
      </w:tr>
      <w:tr w:rsidR="007F5638" w:rsidRPr="007F5638" w14:paraId="03B22DD9" w14:textId="77777777" w:rsidTr="001A7B9D">
        <w:trPr>
          <w:trHeight w:val="143"/>
        </w:trPr>
        <w:tc>
          <w:tcPr>
            <w:tcW w:w="1298" w:type="dxa"/>
            <w:vMerge/>
          </w:tcPr>
          <w:p w14:paraId="14E8C5D1" w14:textId="77777777" w:rsidR="007F5638" w:rsidRPr="007F5638" w:rsidRDefault="007F5638" w:rsidP="007F5638">
            <w:pPr>
              <w:rPr>
                <w:rFonts w:cstheme="minorHAnsi"/>
                <w:sz w:val="18"/>
                <w:szCs w:val="18"/>
              </w:rPr>
            </w:pPr>
          </w:p>
        </w:tc>
        <w:tc>
          <w:tcPr>
            <w:tcW w:w="933" w:type="dxa"/>
            <w:vMerge/>
          </w:tcPr>
          <w:p w14:paraId="40F9A3D0" w14:textId="77777777" w:rsidR="007F5638" w:rsidRPr="007F5638" w:rsidRDefault="007F5638" w:rsidP="007F5638">
            <w:pPr>
              <w:rPr>
                <w:rFonts w:cstheme="minorHAnsi"/>
                <w:sz w:val="18"/>
                <w:szCs w:val="18"/>
              </w:rPr>
            </w:pPr>
          </w:p>
        </w:tc>
        <w:tc>
          <w:tcPr>
            <w:tcW w:w="1748" w:type="dxa"/>
            <w:gridSpan w:val="4"/>
            <w:vMerge/>
          </w:tcPr>
          <w:p w14:paraId="440E47F1" w14:textId="77777777" w:rsidR="007F5638" w:rsidRPr="007F5638" w:rsidRDefault="007F5638" w:rsidP="007F5638">
            <w:pPr>
              <w:rPr>
                <w:rFonts w:cstheme="minorHAnsi"/>
                <w:sz w:val="18"/>
                <w:szCs w:val="18"/>
              </w:rPr>
            </w:pPr>
          </w:p>
        </w:tc>
        <w:tc>
          <w:tcPr>
            <w:tcW w:w="1323" w:type="dxa"/>
            <w:gridSpan w:val="2"/>
          </w:tcPr>
          <w:p w14:paraId="72EAB92C" w14:textId="77777777" w:rsidR="00601D9B" w:rsidRDefault="000E53A0">
            <w:pPr>
              <w:jc w:val="center"/>
              <w:rPr>
                <w:rFonts w:cstheme="minorHAnsi"/>
                <w:sz w:val="18"/>
                <w:szCs w:val="18"/>
              </w:rPr>
            </w:pPr>
            <w:r w:rsidRPr="007F5638">
              <w:rPr>
                <w:rFonts w:cstheme="minorHAnsi"/>
                <w:sz w:val="18"/>
                <w:szCs w:val="18"/>
              </w:rPr>
              <w:t>Étape du FIP</w:t>
            </w:r>
          </w:p>
        </w:tc>
        <w:tc>
          <w:tcPr>
            <w:tcW w:w="1477" w:type="dxa"/>
            <w:gridSpan w:val="2"/>
          </w:tcPr>
          <w:p w14:paraId="31CEB7E9" w14:textId="77777777" w:rsidR="00601D9B" w:rsidRDefault="000E53A0">
            <w:pPr>
              <w:jc w:val="center"/>
              <w:rPr>
                <w:rFonts w:cstheme="minorHAnsi"/>
                <w:sz w:val="18"/>
                <w:szCs w:val="18"/>
              </w:rPr>
            </w:pPr>
            <w:r w:rsidRPr="007F5638">
              <w:rPr>
                <w:rFonts w:cstheme="minorHAnsi"/>
                <w:sz w:val="18"/>
                <w:szCs w:val="18"/>
              </w:rPr>
              <w:t>Endossement</w:t>
            </w:r>
          </w:p>
        </w:tc>
        <w:tc>
          <w:tcPr>
            <w:tcW w:w="1306" w:type="dxa"/>
          </w:tcPr>
          <w:p w14:paraId="627220E9" w14:textId="77777777" w:rsidR="00601D9B" w:rsidRDefault="000E53A0">
            <w:pPr>
              <w:jc w:val="center"/>
              <w:rPr>
                <w:rFonts w:cstheme="minorHAnsi"/>
                <w:sz w:val="18"/>
                <w:szCs w:val="18"/>
              </w:rPr>
            </w:pPr>
            <w:r w:rsidRPr="007F5638">
              <w:rPr>
                <w:rFonts w:cstheme="minorHAnsi"/>
                <w:sz w:val="18"/>
                <w:szCs w:val="18"/>
              </w:rPr>
              <w:t>MTR</w:t>
            </w:r>
          </w:p>
        </w:tc>
        <w:tc>
          <w:tcPr>
            <w:tcW w:w="1287" w:type="dxa"/>
          </w:tcPr>
          <w:p w14:paraId="4F657E7C" w14:textId="77777777" w:rsidR="00601D9B" w:rsidRDefault="000E53A0">
            <w:pPr>
              <w:jc w:val="center"/>
              <w:rPr>
                <w:rFonts w:cstheme="minorHAnsi"/>
                <w:sz w:val="18"/>
                <w:szCs w:val="18"/>
              </w:rPr>
            </w:pPr>
            <w:r w:rsidRPr="007F5638">
              <w:rPr>
                <w:rFonts w:cstheme="minorHAnsi"/>
                <w:sz w:val="18"/>
                <w:szCs w:val="18"/>
              </w:rPr>
              <w:t>TE</w:t>
            </w:r>
          </w:p>
        </w:tc>
      </w:tr>
      <w:tr w:rsidR="007F5638" w:rsidRPr="007F5638" w14:paraId="0B8C2E58" w14:textId="77777777" w:rsidTr="001A7B9D">
        <w:tc>
          <w:tcPr>
            <w:tcW w:w="1298" w:type="dxa"/>
          </w:tcPr>
          <w:p w14:paraId="6595864B" w14:textId="77777777" w:rsidR="007F5638" w:rsidRPr="007F5638" w:rsidRDefault="007F5638" w:rsidP="007F5638">
            <w:pPr>
              <w:jc w:val="right"/>
              <w:rPr>
                <w:rFonts w:cstheme="minorHAnsi"/>
                <w:sz w:val="18"/>
                <w:szCs w:val="18"/>
              </w:rPr>
            </w:pPr>
          </w:p>
        </w:tc>
        <w:tc>
          <w:tcPr>
            <w:tcW w:w="933" w:type="dxa"/>
          </w:tcPr>
          <w:p w14:paraId="344DC862" w14:textId="77777777" w:rsidR="007F5638" w:rsidRPr="007F5638" w:rsidRDefault="007F5638" w:rsidP="007F5638">
            <w:pPr>
              <w:jc w:val="right"/>
              <w:rPr>
                <w:rFonts w:cstheme="minorHAnsi"/>
                <w:sz w:val="18"/>
                <w:szCs w:val="18"/>
              </w:rPr>
            </w:pPr>
          </w:p>
        </w:tc>
        <w:tc>
          <w:tcPr>
            <w:tcW w:w="1748" w:type="dxa"/>
            <w:gridSpan w:val="4"/>
          </w:tcPr>
          <w:p w14:paraId="270D28FA" w14:textId="77777777" w:rsidR="007F5638" w:rsidRPr="007F5638" w:rsidRDefault="007F5638" w:rsidP="007F5638">
            <w:pPr>
              <w:jc w:val="right"/>
              <w:rPr>
                <w:rFonts w:cstheme="minorHAnsi"/>
                <w:sz w:val="18"/>
                <w:szCs w:val="18"/>
              </w:rPr>
            </w:pPr>
          </w:p>
        </w:tc>
        <w:tc>
          <w:tcPr>
            <w:tcW w:w="1323" w:type="dxa"/>
            <w:gridSpan w:val="2"/>
          </w:tcPr>
          <w:p w14:paraId="3EE9BC56"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477" w:type="dxa"/>
            <w:gridSpan w:val="2"/>
          </w:tcPr>
          <w:p w14:paraId="27EB0DF4"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306" w:type="dxa"/>
          </w:tcPr>
          <w:p w14:paraId="7F8313E4"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287" w:type="dxa"/>
          </w:tcPr>
          <w:p w14:paraId="629F1241"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r>
      <w:tr w:rsidR="007F5638" w:rsidRPr="007F5638" w14:paraId="7924139A" w14:textId="77777777" w:rsidTr="001A7B9D">
        <w:tc>
          <w:tcPr>
            <w:tcW w:w="1298" w:type="dxa"/>
          </w:tcPr>
          <w:p w14:paraId="1BDA9A92" w14:textId="77777777" w:rsidR="007F5638" w:rsidRPr="007F5638" w:rsidRDefault="007F5638" w:rsidP="007F5638">
            <w:pPr>
              <w:jc w:val="right"/>
              <w:rPr>
                <w:rFonts w:cstheme="minorHAnsi"/>
                <w:sz w:val="18"/>
                <w:szCs w:val="18"/>
              </w:rPr>
            </w:pPr>
          </w:p>
        </w:tc>
        <w:tc>
          <w:tcPr>
            <w:tcW w:w="933" w:type="dxa"/>
          </w:tcPr>
          <w:p w14:paraId="2C689A26" w14:textId="77777777" w:rsidR="007F5638" w:rsidRPr="007F5638" w:rsidRDefault="007F5638" w:rsidP="007F5638">
            <w:pPr>
              <w:jc w:val="right"/>
              <w:rPr>
                <w:rFonts w:cstheme="minorHAnsi"/>
                <w:sz w:val="18"/>
                <w:szCs w:val="18"/>
              </w:rPr>
            </w:pPr>
          </w:p>
        </w:tc>
        <w:tc>
          <w:tcPr>
            <w:tcW w:w="1748" w:type="dxa"/>
            <w:gridSpan w:val="4"/>
          </w:tcPr>
          <w:p w14:paraId="43EE65BE" w14:textId="77777777" w:rsidR="007F5638" w:rsidRPr="007F5638" w:rsidRDefault="007F5638" w:rsidP="007F5638">
            <w:pPr>
              <w:jc w:val="right"/>
              <w:rPr>
                <w:rFonts w:cstheme="minorHAnsi"/>
                <w:sz w:val="18"/>
                <w:szCs w:val="18"/>
              </w:rPr>
            </w:pPr>
          </w:p>
        </w:tc>
        <w:tc>
          <w:tcPr>
            <w:tcW w:w="1323" w:type="dxa"/>
            <w:gridSpan w:val="2"/>
          </w:tcPr>
          <w:p w14:paraId="2BC1FDDF"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477" w:type="dxa"/>
            <w:gridSpan w:val="2"/>
          </w:tcPr>
          <w:p w14:paraId="4C35114D"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306" w:type="dxa"/>
          </w:tcPr>
          <w:p w14:paraId="2AE5A724"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287" w:type="dxa"/>
          </w:tcPr>
          <w:p w14:paraId="4749E6B2"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r>
      <w:tr w:rsidR="007F5638" w:rsidRPr="007F5638" w14:paraId="00AE8E3E" w14:textId="77777777" w:rsidTr="001A7B9D">
        <w:tc>
          <w:tcPr>
            <w:tcW w:w="1298" w:type="dxa"/>
            <w:shd w:val="clear" w:color="auto" w:fill="BFBFBF" w:themeFill="background1" w:themeFillShade="BF"/>
          </w:tcPr>
          <w:p w14:paraId="7810EC15" w14:textId="77777777" w:rsidR="00601D9B" w:rsidRDefault="000E53A0">
            <w:pPr>
              <w:rPr>
                <w:rFonts w:cstheme="minorHAnsi"/>
                <w:sz w:val="18"/>
                <w:szCs w:val="18"/>
              </w:rPr>
            </w:pPr>
            <w:r w:rsidRPr="007F5638">
              <w:rPr>
                <w:rFonts w:cstheme="minorHAnsi"/>
                <w:sz w:val="18"/>
                <w:szCs w:val="18"/>
              </w:rPr>
              <w:t>Indicateur 3.2</w:t>
            </w:r>
          </w:p>
        </w:tc>
        <w:tc>
          <w:tcPr>
            <w:tcW w:w="6787" w:type="dxa"/>
            <w:gridSpan w:val="10"/>
            <w:shd w:val="clear" w:color="auto" w:fill="BFBFBF" w:themeFill="background1" w:themeFillShade="BF"/>
          </w:tcPr>
          <w:p w14:paraId="3C3DEC9F" w14:textId="77777777" w:rsidR="00601D9B" w:rsidRPr="000E53A0" w:rsidRDefault="000E53A0">
            <w:pPr>
              <w:rPr>
                <w:rFonts w:cstheme="minorHAnsi"/>
                <w:sz w:val="18"/>
                <w:szCs w:val="18"/>
                <w:lang w:val="fr-FR"/>
              </w:rPr>
            </w:pPr>
            <w:r w:rsidRPr="000E53A0">
              <w:rPr>
                <w:rFonts w:cstheme="minorHAnsi"/>
                <w:sz w:val="18"/>
                <w:szCs w:val="18"/>
                <w:lang w:val="fr-FR"/>
              </w:rPr>
              <w:t>Superficie des forêts et des terres forestières restaurées</w:t>
            </w:r>
          </w:p>
        </w:tc>
        <w:tc>
          <w:tcPr>
            <w:tcW w:w="1287" w:type="dxa"/>
            <w:shd w:val="clear" w:color="auto" w:fill="BFBFBF" w:themeFill="background1" w:themeFillShade="BF"/>
          </w:tcPr>
          <w:p w14:paraId="2EAB6781"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r>
      <w:tr w:rsidR="007F5638" w:rsidRPr="007F5638" w14:paraId="072FBD3C" w14:textId="77777777" w:rsidTr="001A7B9D">
        <w:trPr>
          <w:trHeight w:val="125"/>
        </w:trPr>
        <w:tc>
          <w:tcPr>
            <w:tcW w:w="1298" w:type="dxa"/>
            <w:vMerge w:val="restart"/>
          </w:tcPr>
          <w:p w14:paraId="439393D9" w14:textId="77777777" w:rsidR="007F5638" w:rsidRPr="007F5638" w:rsidRDefault="007F5638" w:rsidP="007F5638">
            <w:pPr>
              <w:rPr>
                <w:rFonts w:cstheme="minorHAnsi"/>
                <w:sz w:val="18"/>
                <w:szCs w:val="18"/>
              </w:rPr>
            </w:pPr>
          </w:p>
        </w:tc>
        <w:tc>
          <w:tcPr>
            <w:tcW w:w="933" w:type="dxa"/>
            <w:vMerge w:val="restart"/>
          </w:tcPr>
          <w:p w14:paraId="0F9BD5EF" w14:textId="77777777" w:rsidR="007F5638" w:rsidRPr="007F5638" w:rsidRDefault="007F5638" w:rsidP="007F5638">
            <w:pPr>
              <w:rPr>
                <w:rFonts w:cstheme="minorHAnsi"/>
                <w:sz w:val="18"/>
                <w:szCs w:val="18"/>
              </w:rPr>
            </w:pPr>
          </w:p>
        </w:tc>
        <w:tc>
          <w:tcPr>
            <w:tcW w:w="1748" w:type="dxa"/>
            <w:gridSpan w:val="4"/>
            <w:vMerge w:val="restart"/>
          </w:tcPr>
          <w:p w14:paraId="686AF88E" w14:textId="77777777" w:rsidR="007F5638" w:rsidRPr="007F5638" w:rsidRDefault="007F5638" w:rsidP="007F5638">
            <w:pPr>
              <w:rPr>
                <w:rFonts w:cstheme="minorHAnsi"/>
                <w:sz w:val="18"/>
                <w:szCs w:val="18"/>
              </w:rPr>
            </w:pPr>
          </w:p>
        </w:tc>
        <w:tc>
          <w:tcPr>
            <w:tcW w:w="5393" w:type="dxa"/>
            <w:gridSpan w:val="6"/>
          </w:tcPr>
          <w:p w14:paraId="6ACE4B68" w14:textId="77777777" w:rsidR="00601D9B" w:rsidRDefault="000E53A0">
            <w:pPr>
              <w:jc w:val="center"/>
              <w:rPr>
                <w:rFonts w:cstheme="minorHAnsi"/>
                <w:sz w:val="18"/>
                <w:szCs w:val="18"/>
              </w:rPr>
            </w:pPr>
            <w:r w:rsidRPr="007F5638">
              <w:rPr>
                <w:rFonts w:cstheme="minorHAnsi"/>
                <w:sz w:val="18"/>
                <w:szCs w:val="18"/>
              </w:rPr>
              <w:t>Hectares</w:t>
            </w:r>
          </w:p>
        </w:tc>
      </w:tr>
      <w:tr w:rsidR="007F5638" w:rsidRPr="007F5638" w14:paraId="5B9229B4" w14:textId="77777777" w:rsidTr="001A7B9D">
        <w:trPr>
          <w:trHeight w:val="58"/>
        </w:trPr>
        <w:tc>
          <w:tcPr>
            <w:tcW w:w="1298" w:type="dxa"/>
            <w:vMerge/>
          </w:tcPr>
          <w:p w14:paraId="4D7B625D" w14:textId="77777777" w:rsidR="007F5638" w:rsidRPr="007F5638" w:rsidRDefault="007F5638" w:rsidP="007F5638">
            <w:pPr>
              <w:rPr>
                <w:rFonts w:cstheme="minorHAnsi"/>
                <w:sz w:val="18"/>
                <w:szCs w:val="18"/>
              </w:rPr>
            </w:pPr>
          </w:p>
        </w:tc>
        <w:tc>
          <w:tcPr>
            <w:tcW w:w="933" w:type="dxa"/>
            <w:vMerge/>
          </w:tcPr>
          <w:p w14:paraId="11797323" w14:textId="77777777" w:rsidR="007F5638" w:rsidRPr="007F5638" w:rsidRDefault="007F5638" w:rsidP="007F5638">
            <w:pPr>
              <w:rPr>
                <w:rFonts w:cstheme="minorHAnsi"/>
                <w:sz w:val="18"/>
                <w:szCs w:val="18"/>
              </w:rPr>
            </w:pPr>
          </w:p>
        </w:tc>
        <w:tc>
          <w:tcPr>
            <w:tcW w:w="1748" w:type="dxa"/>
            <w:gridSpan w:val="4"/>
            <w:vMerge/>
          </w:tcPr>
          <w:p w14:paraId="7B42C806" w14:textId="77777777" w:rsidR="007F5638" w:rsidRPr="007F5638" w:rsidRDefault="007F5638" w:rsidP="007F5638">
            <w:pPr>
              <w:rPr>
                <w:rFonts w:cstheme="minorHAnsi"/>
                <w:sz w:val="18"/>
                <w:szCs w:val="18"/>
              </w:rPr>
            </w:pPr>
          </w:p>
        </w:tc>
        <w:tc>
          <w:tcPr>
            <w:tcW w:w="2800" w:type="dxa"/>
            <w:gridSpan w:val="4"/>
          </w:tcPr>
          <w:p w14:paraId="4C0084DE" w14:textId="77777777" w:rsidR="00601D9B" w:rsidRDefault="000E53A0">
            <w:pPr>
              <w:jc w:val="center"/>
              <w:rPr>
                <w:rFonts w:cstheme="minorHAnsi"/>
                <w:sz w:val="18"/>
                <w:szCs w:val="18"/>
              </w:rPr>
            </w:pPr>
            <w:r w:rsidRPr="007F5638">
              <w:rPr>
                <w:rFonts w:cstheme="minorHAnsi"/>
                <w:sz w:val="18"/>
                <w:szCs w:val="18"/>
              </w:rPr>
              <w:t>Attendu</w:t>
            </w:r>
          </w:p>
        </w:tc>
        <w:tc>
          <w:tcPr>
            <w:tcW w:w="2593" w:type="dxa"/>
            <w:gridSpan w:val="2"/>
          </w:tcPr>
          <w:p w14:paraId="4AF607B3" w14:textId="77777777" w:rsidR="00601D9B" w:rsidRDefault="000E53A0">
            <w:pPr>
              <w:jc w:val="center"/>
              <w:rPr>
                <w:rFonts w:cstheme="minorHAnsi"/>
                <w:sz w:val="18"/>
                <w:szCs w:val="18"/>
              </w:rPr>
            </w:pPr>
            <w:r w:rsidRPr="007F5638">
              <w:rPr>
                <w:rFonts w:cstheme="minorHAnsi"/>
                <w:sz w:val="18"/>
                <w:szCs w:val="18"/>
              </w:rPr>
              <w:t>Réalisé</w:t>
            </w:r>
          </w:p>
        </w:tc>
      </w:tr>
      <w:tr w:rsidR="007F5638" w:rsidRPr="007F5638" w14:paraId="35BB8F54" w14:textId="77777777" w:rsidTr="001A7B9D">
        <w:trPr>
          <w:trHeight w:val="215"/>
        </w:trPr>
        <w:tc>
          <w:tcPr>
            <w:tcW w:w="1298" w:type="dxa"/>
            <w:vMerge/>
          </w:tcPr>
          <w:p w14:paraId="1156C9C4" w14:textId="77777777" w:rsidR="007F5638" w:rsidRPr="007F5638" w:rsidRDefault="007F5638" w:rsidP="007F5638">
            <w:pPr>
              <w:rPr>
                <w:rFonts w:cstheme="minorHAnsi"/>
                <w:sz w:val="18"/>
                <w:szCs w:val="18"/>
              </w:rPr>
            </w:pPr>
          </w:p>
        </w:tc>
        <w:tc>
          <w:tcPr>
            <w:tcW w:w="933" w:type="dxa"/>
            <w:vMerge/>
          </w:tcPr>
          <w:p w14:paraId="498722D8" w14:textId="77777777" w:rsidR="007F5638" w:rsidRPr="007F5638" w:rsidRDefault="007F5638" w:rsidP="007F5638">
            <w:pPr>
              <w:rPr>
                <w:rFonts w:cstheme="minorHAnsi"/>
                <w:sz w:val="18"/>
                <w:szCs w:val="18"/>
              </w:rPr>
            </w:pPr>
          </w:p>
        </w:tc>
        <w:tc>
          <w:tcPr>
            <w:tcW w:w="1748" w:type="dxa"/>
            <w:gridSpan w:val="4"/>
            <w:vMerge/>
          </w:tcPr>
          <w:p w14:paraId="60508C9D" w14:textId="77777777" w:rsidR="007F5638" w:rsidRPr="007F5638" w:rsidRDefault="007F5638" w:rsidP="007F5638">
            <w:pPr>
              <w:rPr>
                <w:rFonts w:cstheme="minorHAnsi"/>
                <w:sz w:val="18"/>
                <w:szCs w:val="18"/>
              </w:rPr>
            </w:pPr>
          </w:p>
        </w:tc>
        <w:tc>
          <w:tcPr>
            <w:tcW w:w="1323" w:type="dxa"/>
            <w:gridSpan w:val="2"/>
          </w:tcPr>
          <w:p w14:paraId="0D2F3C34" w14:textId="77777777" w:rsidR="00601D9B" w:rsidRDefault="000E53A0">
            <w:pPr>
              <w:jc w:val="center"/>
              <w:rPr>
                <w:rFonts w:cstheme="minorHAnsi"/>
                <w:sz w:val="18"/>
                <w:szCs w:val="18"/>
              </w:rPr>
            </w:pPr>
            <w:r w:rsidRPr="007F5638">
              <w:rPr>
                <w:rFonts w:cstheme="minorHAnsi"/>
                <w:sz w:val="18"/>
                <w:szCs w:val="18"/>
              </w:rPr>
              <w:t>Étape du FIP</w:t>
            </w:r>
          </w:p>
        </w:tc>
        <w:tc>
          <w:tcPr>
            <w:tcW w:w="1477" w:type="dxa"/>
            <w:gridSpan w:val="2"/>
          </w:tcPr>
          <w:p w14:paraId="68255035" w14:textId="77777777" w:rsidR="00601D9B" w:rsidRDefault="000E53A0">
            <w:pPr>
              <w:jc w:val="center"/>
              <w:rPr>
                <w:rFonts w:cstheme="minorHAnsi"/>
                <w:sz w:val="18"/>
                <w:szCs w:val="18"/>
              </w:rPr>
            </w:pPr>
            <w:r w:rsidRPr="007F5638">
              <w:rPr>
                <w:rFonts w:cstheme="minorHAnsi"/>
                <w:sz w:val="18"/>
                <w:szCs w:val="18"/>
              </w:rPr>
              <w:t>Endossement</w:t>
            </w:r>
          </w:p>
        </w:tc>
        <w:tc>
          <w:tcPr>
            <w:tcW w:w="1306" w:type="dxa"/>
          </w:tcPr>
          <w:p w14:paraId="7A82FFBB" w14:textId="77777777" w:rsidR="00601D9B" w:rsidRDefault="000E53A0">
            <w:pPr>
              <w:jc w:val="center"/>
              <w:rPr>
                <w:rFonts w:cstheme="minorHAnsi"/>
                <w:sz w:val="18"/>
                <w:szCs w:val="18"/>
              </w:rPr>
            </w:pPr>
            <w:r w:rsidRPr="007F5638">
              <w:rPr>
                <w:rFonts w:cstheme="minorHAnsi"/>
                <w:sz w:val="18"/>
                <w:szCs w:val="18"/>
              </w:rPr>
              <w:t>MTR</w:t>
            </w:r>
          </w:p>
        </w:tc>
        <w:tc>
          <w:tcPr>
            <w:tcW w:w="1287" w:type="dxa"/>
          </w:tcPr>
          <w:p w14:paraId="0E999A27" w14:textId="77777777" w:rsidR="00601D9B" w:rsidRDefault="000E53A0">
            <w:pPr>
              <w:jc w:val="center"/>
              <w:rPr>
                <w:rFonts w:cstheme="minorHAnsi"/>
                <w:sz w:val="18"/>
                <w:szCs w:val="18"/>
              </w:rPr>
            </w:pPr>
            <w:r w:rsidRPr="007F5638">
              <w:rPr>
                <w:rFonts w:cstheme="minorHAnsi"/>
                <w:sz w:val="18"/>
                <w:szCs w:val="18"/>
              </w:rPr>
              <w:t>TE</w:t>
            </w:r>
          </w:p>
        </w:tc>
      </w:tr>
      <w:tr w:rsidR="007F5638" w:rsidRPr="007F5638" w14:paraId="525F1C76" w14:textId="77777777" w:rsidTr="001A7B9D">
        <w:tc>
          <w:tcPr>
            <w:tcW w:w="1298" w:type="dxa"/>
          </w:tcPr>
          <w:p w14:paraId="77765617" w14:textId="77777777" w:rsidR="007F5638" w:rsidRPr="007F5638" w:rsidRDefault="007F5638" w:rsidP="007F5638">
            <w:pPr>
              <w:jc w:val="right"/>
              <w:rPr>
                <w:rFonts w:cstheme="minorHAnsi"/>
                <w:sz w:val="18"/>
                <w:szCs w:val="18"/>
              </w:rPr>
            </w:pPr>
          </w:p>
        </w:tc>
        <w:tc>
          <w:tcPr>
            <w:tcW w:w="933" w:type="dxa"/>
          </w:tcPr>
          <w:p w14:paraId="11D1A2A0" w14:textId="77777777" w:rsidR="007F5638" w:rsidRPr="007F5638" w:rsidRDefault="007F5638" w:rsidP="007F5638">
            <w:pPr>
              <w:jc w:val="right"/>
              <w:rPr>
                <w:rFonts w:cstheme="minorHAnsi"/>
                <w:sz w:val="18"/>
                <w:szCs w:val="18"/>
              </w:rPr>
            </w:pPr>
          </w:p>
        </w:tc>
        <w:tc>
          <w:tcPr>
            <w:tcW w:w="1748" w:type="dxa"/>
            <w:gridSpan w:val="4"/>
          </w:tcPr>
          <w:p w14:paraId="325887C0" w14:textId="77777777" w:rsidR="007F5638" w:rsidRPr="007F5638" w:rsidRDefault="007F5638" w:rsidP="007F5638">
            <w:pPr>
              <w:jc w:val="right"/>
              <w:rPr>
                <w:rFonts w:cstheme="minorHAnsi"/>
                <w:sz w:val="18"/>
                <w:szCs w:val="18"/>
              </w:rPr>
            </w:pPr>
          </w:p>
        </w:tc>
        <w:tc>
          <w:tcPr>
            <w:tcW w:w="1323" w:type="dxa"/>
            <w:gridSpan w:val="2"/>
          </w:tcPr>
          <w:p w14:paraId="095CB05D"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477" w:type="dxa"/>
            <w:gridSpan w:val="2"/>
          </w:tcPr>
          <w:p w14:paraId="43E68A92"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306" w:type="dxa"/>
          </w:tcPr>
          <w:p w14:paraId="7E5ED203"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287" w:type="dxa"/>
          </w:tcPr>
          <w:p w14:paraId="16ABA82A"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r>
      <w:tr w:rsidR="007F5638" w:rsidRPr="007F5638" w14:paraId="1E14F208" w14:textId="77777777" w:rsidTr="001A7B9D">
        <w:tc>
          <w:tcPr>
            <w:tcW w:w="1298" w:type="dxa"/>
          </w:tcPr>
          <w:p w14:paraId="25D3C677" w14:textId="77777777" w:rsidR="007F5638" w:rsidRPr="007F5638" w:rsidRDefault="007F5638" w:rsidP="007F5638">
            <w:pPr>
              <w:jc w:val="right"/>
              <w:rPr>
                <w:rFonts w:cstheme="minorHAnsi"/>
                <w:sz w:val="18"/>
                <w:szCs w:val="18"/>
              </w:rPr>
            </w:pPr>
          </w:p>
        </w:tc>
        <w:tc>
          <w:tcPr>
            <w:tcW w:w="933" w:type="dxa"/>
          </w:tcPr>
          <w:p w14:paraId="487196C6" w14:textId="77777777" w:rsidR="007F5638" w:rsidRPr="007F5638" w:rsidRDefault="007F5638" w:rsidP="007F5638">
            <w:pPr>
              <w:jc w:val="right"/>
              <w:rPr>
                <w:rFonts w:cstheme="minorHAnsi"/>
                <w:sz w:val="18"/>
                <w:szCs w:val="18"/>
              </w:rPr>
            </w:pPr>
          </w:p>
        </w:tc>
        <w:tc>
          <w:tcPr>
            <w:tcW w:w="1748" w:type="dxa"/>
            <w:gridSpan w:val="4"/>
          </w:tcPr>
          <w:p w14:paraId="48B21813" w14:textId="77777777" w:rsidR="007F5638" w:rsidRPr="007F5638" w:rsidRDefault="007F5638" w:rsidP="007F5638">
            <w:pPr>
              <w:jc w:val="right"/>
              <w:rPr>
                <w:rFonts w:cstheme="minorHAnsi"/>
                <w:sz w:val="18"/>
                <w:szCs w:val="18"/>
              </w:rPr>
            </w:pPr>
          </w:p>
        </w:tc>
        <w:tc>
          <w:tcPr>
            <w:tcW w:w="1323" w:type="dxa"/>
            <w:gridSpan w:val="2"/>
          </w:tcPr>
          <w:p w14:paraId="73526B30"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477" w:type="dxa"/>
            <w:gridSpan w:val="2"/>
          </w:tcPr>
          <w:p w14:paraId="3BE70BEB"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306" w:type="dxa"/>
          </w:tcPr>
          <w:p w14:paraId="29C11D66"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287" w:type="dxa"/>
          </w:tcPr>
          <w:p w14:paraId="7091A286"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r>
      <w:tr w:rsidR="007F5638" w:rsidRPr="007F5638" w14:paraId="3277E8E8" w14:textId="77777777" w:rsidTr="001A7B9D">
        <w:tc>
          <w:tcPr>
            <w:tcW w:w="1298" w:type="dxa"/>
            <w:shd w:val="clear" w:color="auto" w:fill="BFBFBF" w:themeFill="background1" w:themeFillShade="BF"/>
          </w:tcPr>
          <w:p w14:paraId="2495E06B" w14:textId="77777777" w:rsidR="00601D9B" w:rsidRDefault="000E53A0">
            <w:pPr>
              <w:rPr>
                <w:rFonts w:cstheme="minorHAnsi"/>
                <w:sz w:val="18"/>
                <w:szCs w:val="18"/>
              </w:rPr>
            </w:pPr>
            <w:r w:rsidRPr="007F5638">
              <w:rPr>
                <w:rFonts w:cstheme="minorHAnsi"/>
                <w:sz w:val="18"/>
                <w:szCs w:val="18"/>
              </w:rPr>
              <w:t>Indicateur 3.3</w:t>
            </w:r>
          </w:p>
        </w:tc>
        <w:tc>
          <w:tcPr>
            <w:tcW w:w="6787" w:type="dxa"/>
            <w:gridSpan w:val="10"/>
            <w:shd w:val="clear" w:color="auto" w:fill="BFBFBF" w:themeFill="background1" w:themeFillShade="BF"/>
          </w:tcPr>
          <w:p w14:paraId="24CF359A" w14:textId="77777777" w:rsidR="00601D9B" w:rsidRPr="000E53A0" w:rsidRDefault="000E53A0">
            <w:pPr>
              <w:rPr>
                <w:rFonts w:cstheme="minorHAnsi"/>
                <w:sz w:val="18"/>
                <w:szCs w:val="18"/>
                <w:lang w:val="fr-FR"/>
              </w:rPr>
            </w:pPr>
            <w:r w:rsidRPr="000E53A0">
              <w:rPr>
                <w:rFonts w:cstheme="minorHAnsi"/>
                <w:sz w:val="18"/>
                <w:szCs w:val="18"/>
                <w:lang w:val="fr-FR"/>
              </w:rPr>
              <w:t>Restauration d'une zone d'herbes et d'arbustes naturels</w:t>
            </w:r>
          </w:p>
        </w:tc>
        <w:tc>
          <w:tcPr>
            <w:tcW w:w="1287" w:type="dxa"/>
            <w:shd w:val="clear" w:color="auto" w:fill="BFBFBF" w:themeFill="background1" w:themeFillShade="BF"/>
          </w:tcPr>
          <w:p w14:paraId="3C48086C"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r>
      <w:tr w:rsidR="007F5638" w:rsidRPr="007F5638" w14:paraId="05CF9ACC" w14:textId="77777777" w:rsidTr="001A7B9D">
        <w:trPr>
          <w:trHeight w:val="125"/>
        </w:trPr>
        <w:tc>
          <w:tcPr>
            <w:tcW w:w="1298" w:type="dxa"/>
            <w:vMerge w:val="restart"/>
          </w:tcPr>
          <w:p w14:paraId="3D2EE5AC" w14:textId="77777777" w:rsidR="007F5638" w:rsidRPr="007F5638" w:rsidRDefault="007F5638" w:rsidP="007F5638">
            <w:pPr>
              <w:rPr>
                <w:rFonts w:cstheme="minorHAnsi"/>
                <w:sz w:val="18"/>
                <w:szCs w:val="18"/>
              </w:rPr>
            </w:pPr>
          </w:p>
        </w:tc>
        <w:tc>
          <w:tcPr>
            <w:tcW w:w="933" w:type="dxa"/>
            <w:vMerge w:val="restart"/>
          </w:tcPr>
          <w:p w14:paraId="4B2DC5B6" w14:textId="77777777" w:rsidR="007F5638" w:rsidRPr="007F5638" w:rsidRDefault="007F5638" w:rsidP="007F5638">
            <w:pPr>
              <w:rPr>
                <w:rFonts w:cstheme="minorHAnsi"/>
                <w:sz w:val="18"/>
                <w:szCs w:val="18"/>
              </w:rPr>
            </w:pPr>
          </w:p>
        </w:tc>
        <w:tc>
          <w:tcPr>
            <w:tcW w:w="1748" w:type="dxa"/>
            <w:gridSpan w:val="4"/>
            <w:vMerge w:val="restart"/>
          </w:tcPr>
          <w:p w14:paraId="3606A2DF" w14:textId="77777777" w:rsidR="007F5638" w:rsidRPr="007F5638" w:rsidRDefault="007F5638" w:rsidP="007F5638">
            <w:pPr>
              <w:rPr>
                <w:rFonts w:cstheme="minorHAnsi"/>
                <w:sz w:val="18"/>
                <w:szCs w:val="18"/>
              </w:rPr>
            </w:pPr>
          </w:p>
        </w:tc>
        <w:tc>
          <w:tcPr>
            <w:tcW w:w="5393" w:type="dxa"/>
            <w:gridSpan w:val="6"/>
          </w:tcPr>
          <w:p w14:paraId="37A310FD" w14:textId="77777777" w:rsidR="00601D9B" w:rsidRDefault="000E53A0">
            <w:pPr>
              <w:jc w:val="center"/>
              <w:rPr>
                <w:rFonts w:cstheme="minorHAnsi"/>
                <w:sz w:val="18"/>
                <w:szCs w:val="18"/>
              </w:rPr>
            </w:pPr>
            <w:r w:rsidRPr="007F5638">
              <w:rPr>
                <w:rFonts w:cstheme="minorHAnsi"/>
                <w:sz w:val="18"/>
                <w:szCs w:val="18"/>
              </w:rPr>
              <w:t>Hectares</w:t>
            </w:r>
          </w:p>
        </w:tc>
      </w:tr>
      <w:tr w:rsidR="007F5638" w:rsidRPr="007F5638" w14:paraId="59830483" w14:textId="77777777" w:rsidTr="001A7B9D">
        <w:trPr>
          <w:trHeight w:val="58"/>
        </w:trPr>
        <w:tc>
          <w:tcPr>
            <w:tcW w:w="1298" w:type="dxa"/>
            <w:vMerge/>
          </w:tcPr>
          <w:p w14:paraId="08723245" w14:textId="77777777" w:rsidR="007F5638" w:rsidRPr="007F5638" w:rsidRDefault="007F5638" w:rsidP="007F5638">
            <w:pPr>
              <w:rPr>
                <w:rFonts w:cstheme="minorHAnsi"/>
                <w:sz w:val="18"/>
                <w:szCs w:val="18"/>
              </w:rPr>
            </w:pPr>
          </w:p>
        </w:tc>
        <w:tc>
          <w:tcPr>
            <w:tcW w:w="933" w:type="dxa"/>
            <w:vMerge/>
          </w:tcPr>
          <w:p w14:paraId="1FFF3059" w14:textId="77777777" w:rsidR="007F5638" w:rsidRPr="007F5638" w:rsidRDefault="007F5638" w:rsidP="007F5638">
            <w:pPr>
              <w:rPr>
                <w:rFonts w:cstheme="minorHAnsi"/>
                <w:sz w:val="18"/>
                <w:szCs w:val="18"/>
              </w:rPr>
            </w:pPr>
          </w:p>
        </w:tc>
        <w:tc>
          <w:tcPr>
            <w:tcW w:w="1748" w:type="dxa"/>
            <w:gridSpan w:val="4"/>
            <w:vMerge/>
          </w:tcPr>
          <w:p w14:paraId="1BEE916A" w14:textId="77777777" w:rsidR="007F5638" w:rsidRPr="007F5638" w:rsidRDefault="007F5638" w:rsidP="007F5638">
            <w:pPr>
              <w:rPr>
                <w:rFonts w:cstheme="minorHAnsi"/>
                <w:sz w:val="18"/>
                <w:szCs w:val="18"/>
              </w:rPr>
            </w:pPr>
          </w:p>
        </w:tc>
        <w:tc>
          <w:tcPr>
            <w:tcW w:w="2800" w:type="dxa"/>
            <w:gridSpan w:val="4"/>
          </w:tcPr>
          <w:p w14:paraId="2A4D4323" w14:textId="77777777" w:rsidR="00601D9B" w:rsidRDefault="000E53A0">
            <w:pPr>
              <w:jc w:val="center"/>
              <w:rPr>
                <w:rFonts w:cstheme="minorHAnsi"/>
                <w:sz w:val="18"/>
                <w:szCs w:val="18"/>
              </w:rPr>
            </w:pPr>
            <w:r w:rsidRPr="007F5638">
              <w:rPr>
                <w:rFonts w:cstheme="minorHAnsi"/>
                <w:sz w:val="18"/>
                <w:szCs w:val="18"/>
              </w:rPr>
              <w:t>Attendu</w:t>
            </w:r>
          </w:p>
        </w:tc>
        <w:tc>
          <w:tcPr>
            <w:tcW w:w="2593" w:type="dxa"/>
            <w:gridSpan w:val="2"/>
          </w:tcPr>
          <w:p w14:paraId="71154EF5" w14:textId="77777777" w:rsidR="00601D9B" w:rsidRDefault="000E53A0">
            <w:pPr>
              <w:jc w:val="center"/>
              <w:rPr>
                <w:rFonts w:cstheme="minorHAnsi"/>
                <w:sz w:val="18"/>
                <w:szCs w:val="18"/>
              </w:rPr>
            </w:pPr>
            <w:r w:rsidRPr="007F5638">
              <w:rPr>
                <w:rFonts w:cstheme="minorHAnsi"/>
                <w:sz w:val="18"/>
                <w:szCs w:val="18"/>
              </w:rPr>
              <w:t>Réalisé</w:t>
            </w:r>
          </w:p>
        </w:tc>
      </w:tr>
      <w:tr w:rsidR="007F5638" w:rsidRPr="007F5638" w14:paraId="0FFF5736" w14:textId="77777777" w:rsidTr="001A7B9D">
        <w:trPr>
          <w:trHeight w:val="107"/>
        </w:trPr>
        <w:tc>
          <w:tcPr>
            <w:tcW w:w="1298" w:type="dxa"/>
            <w:vMerge/>
          </w:tcPr>
          <w:p w14:paraId="12510B01" w14:textId="77777777" w:rsidR="007F5638" w:rsidRPr="007F5638" w:rsidRDefault="007F5638" w:rsidP="007F5638">
            <w:pPr>
              <w:rPr>
                <w:rFonts w:cstheme="minorHAnsi"/>
                <w:sz w:val="18"/>
                <w:szCs w:val="18"/>
              </w:rPr>
            </w:pPr>
          </w:p>
        </w:tc>
        <w:tc>
          <w:tcPr>
            <w:tcW w:w="933" w:type="dxa"/>
            <w:vMerge/>
          </w:tcPr>
          <w:p w14:paraId="4A1FF10A" w14:textId="77777777" w:rsidR="007F5638" w:rsidRPr="007F5638" w:rsidRDefault="007F5638" w:rsidP="007F5638">
            <w:pPr>
              <w:rPr>
                <w:rFonts w:cstheme="minorHAnsi"/>
                <w:sz w:val="18"/>
                <w:szCs w:val="18"/>
              </w:rPr>
            </w:pPr>
          </w:p>
        </w:tc>
        <w:tc>
          <w:tcPr>
            <w:tcW w:w="1748" w:type="dxa"/>
            <w:gridSpan w:val="4"/>
            <w:vMerge/>
          </w:tcPr>
          <w:p w14:paraId="466EF801" w14:textId="77777777" w:rsidR="007F5638" w:rsidRPr="007F5638" w:rsidRDefault="007F5638" w:rsidP="007F5638">
            <w:pPr>
              <w:rPr>
                <w:rFonts w:cstheme="minorHAnsi"/>
                <w:sz w:val="18"/>
                <w:szCs w:val="18"/>
              </w:rPr>
            </w:pPr>
          </w:p>
        </w:tc>
        <w:tc>
          <w:tcPr>
            <w:tcW w:w="1323" w:type="dxa"/>
            <w:gridSpan w:val="2"/>
          </w:tcPr>
          <w:p w14:paraId="2A2D235E" w14:textId="77777777" w:rsidR="00601D9B" w:rsidRDefault="000E53A0">
            <w:pPr>
              <w:jc w:val="center"/>
              <w:rPr>
                <w:rFonts w:cstheme="minorHAnsi"/>
                <w:sz w:val="18"/>
                <w:szCs w:val="18"/>
              </w:rPr>
            </w:pPr>
            <w:r w:rsidRPr="007F5638">
              <w:rPr>
                <w:rFonts w:cstheme="minorHAnsi"/>
                <w:sz w:val="18"/>
                <w:szCs w:val="18"/>
              </w:rPr>
              <w:t>Étape du FIP</w:t>
            </w:r>
          </w:p>
        </w:tc>
        <w:tc>
          <w:tcPr>
            <w:tcW w:w="1477" w:type="dxa"/>
            <w:gridSpan w:val="2"/>
          </w:tcPr>
          <w:p w14:paraId="20B2A14C" w14:textId="77777777" w:rsidR="00601D9B" w:rsidRDefault="000E53A0">
            <w:pPr>
              <w:jc w:val="center"/>
              <w:rPr>
                <w:rFonts w:cstheme="minorHAnsi"/>
                <w:sz w:val="18"/>
                <w:szCs w:val="18"/>
              </w:rPr>
            </w:pPr>
            <w:r w:rsidRPr="007F5638">
              <w:rPr>
                <w:rFonts w:cstheme="minorHAnsi"/>
                <w:sz w:val="18"/>
                <w:szCs w:val="18"/>
              </w:rPr>
              <w:t>Endossement</w:t>
            </w:r>
          </w:p>
        </w:tc>
        <w:tc>
          <w:tcPr>
            <w:tcW w:w="1306" w:type="dxa"/>
          </w:tcPr>
          <w:p w14:paraId="7FE29368" w14:textId="77777777" w:rsidR="00601D9B" w:rsidRDefault="000E53A0">
            <w:pPr>
              <w:jc w:val="center"/>
              <w:rPr>
                <w:rFonts w:cstheme="minorHAnsi"/>
                <w:sz w:val="18"/>
                <w:szCs w:val="18"/>
              </w:rPr>
            </w:pPr>
            <w:r w:rsidRPr="007F5638">
              <w:rPr>
                <w:rFonts w:cstheme="minorHAnsi"/>
                <w:sz w:val="18"/>
                <w:szCs w:val="18"/>
              </w:rPr>
              <w:t>MTR</w:t>
            </w:r>
          </w:p>
        </w:tc>
        <w:tc>
          <w:tcPr>
            <w:tcW w:w="1287" w:type="dxa"/>
          </w:tcPr>
          <w:p w14:paraId="323E02D4" w14:textId="77777777" w:rsidR="00601D9B" w:rsidRDefault="000E53A0">
            <w:pPr>
              <w:jc w:val="center"/>
              <w:rPr>
                <w:rFonts w:cstheme="minorHAnsi"/>
                <w:sz w:val="18"/>
                <w:szCs w:val="18"/>
              </w:rPr>
            </w:pPr>
            <w:r w:rsidRPr="007F5638">
              <w:rPr>
                <w:rFonts w:cstheme="minorHAnsi"/>
                <w:sz w:val="18"/>
                <w:szCs w:val="18"/>
              </w:rPr>
              <w:t>TE</w:t>
            </w:r>
          </w:p>
        </w:tc>
      </w:tr>
      <w:tr w:rsidR="007F5638" w:rsidRPr="007F5638" w14:paraId="248F269D" w14:textId="77777777" w:rsidTr="001A7B9D">
        <w:tc>
          <w:tcPr>
            <w:tcW w:w="1298" w:type="dxa"/>
          </w:tcPr>
          <w:p w14:paraId="51C15E13" w14:textId="77777777" w:rsidR="007F5638" w:rsidRPr="007F5638" w:rsidRDefault="007F5638" w:rsidP="007F5638">
            <w:pPr>
              <w:jc w:val="right"/>
              <w:rPr>
                <w:rFonts w:cstheme="minorHAnsi"/>
                <w:sz w:val="18"/>
                <w:szCs w:val="18"/>
              </w:rPr>
            </w:pPr>
          </w:p>
        </w:tc>
        <w:tc>
          <w:tcPr>
            <w:tcW w:w="933" w:type="dxa"/>
          </w:tcPr>
          <w:p w14:paraId="0242E63C" w14:textId="77777777" w:rsidR="007F5638" w:rsidRPr="007F5638" w:rsidRDefault="007F5638" w:rsidP="007F5638">
            <w:pPr>
              <w:jc w:val="right"/>
              <w:rPr>
                <w:rFonts w:cstheme="minorHAnsi"/>
                <w:sz w:val="18"/>
                <w:szCs w:val="18"/>
              </w:rPr>
            </w:pPr>
          </w:p>
        </w:tc>
        <w:tc>
          <w:tcPr>
            <w:tcW w:w="1748" w:type="dxa"/>
            <w:gridSpan w:val="4"/>
          </w:tcPr>
          <w:p w14:paraId="5B872B6A" w14:textId="77777777" w:rsidR="007F5638" w:rsidRPr="007F5638" w:rsidRDefault="007F5638" w:rsidP="007F5638">
            <w:pPr>
              <w:jc w:val="right"/>
              <w:rPr>
                <w:rFonts w:cstheme="minorHAnsi"/>
                <w:sz w:val="18"/>
                <w:szCs w:val="18"/>
              </w:rPr>
            </w:pPr>
          </w:p>
        </w:tc>
        <w:tc>
          <w:tcPr>
            <w:tcW w:w="1323" w:type="dxa"/>
            <w:gridSpan w:val="2"/>
          </w:tcPr>
          <w:p w14:paraId="6B99745F"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477" w:type="dxa"/>
            <w:gridSpan w:val="2"/>
          </w:tcPr>
          <w:p w14:paraId="791262CF"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306" w:type="dxa"/>
          </w:tcPr>
          <w:p w14:paraId="51659A9B"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287" w:type="dxa"/>
          </w:tcPr>
          <w:p w14:paraId="41E90C71"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r>
      <w:tr w:rsidR="007F5638" w:rsidRPr="007F5638" w14:paraId="52CDFD3D" w14:textId="77777777" w:rsidTr="001A7B9D">
        <w:tc>
          <w:tcPr>
            <w:tcW w:w="1298" w:type="dxa"/>
          </w:tcPr>
          <w:p w14:paraId="22C92D87" w14:textId="77777777" w:rsidR="007F5638" w:rsidRPr="007F5638" w:rsidRDefault="007F5638" w:rsidP="007F5638">
            <w:pPr>
              <w:jc w:val="right"/>
              <w:rPr>
                <w:rFonts w:cstheme="minorHAnsi"/>
                <w:sz w:val="18"/>
                <w:szCs w:val="18"/>
              </w:rPr>
            </w:pPr>
          </w:p>
        </w:tc>
        <w:tc>
          <w:tcPr>
            <w:tcW w:w="933" w:type="dxa"/>
          </w:tcPr>
          <w:p w14:paraId="1AE45B61" w14:textId="77777777" w:rsidR="007F5638" w:rsidRPr="007F5638" w:rsidRDefault="007F5638" w:rsidP="007F5638">
            <w:pPr>
              <w:jc w:val="right"/>
              <w:rPr>
                <w:rFonts w:cstheme="minorHAnsi"/>
                <w:sz w:val="18"/>
                <w:szCs w:val="18"/>
              </w:rPr>
            </w:pPr>
          </w:p>
        </w:tc>
        <w:tc>
          <w:tcPr>
            <w:tcW w:w="1748" w:type="dxa"/>
            <w:gridSpan w:val="4"/>
          </w:tcPr>
          <w:p w14:paraId="459248B8" w14:textId="77777777" w:rsidR="007F5638" w:rsidRPr="007F5638" w:rsidRDefault="007F5638" w:rsidP="007F5638">
            <w:pPr>
              <w:jc w:val="right"/>
              <w:rPr>
                <w:rFonts w:cstheme="minorHAnsi"/>
                <w:sz w:val="18"/>
                <w:szCs w:val="18"/>
              </w:rPr>
            </w:pPr>
          </w:p>
        </w:tc>
        <w:tc>
          <w:tcPr>
            <w:tcW w:w="1323" w:type="dxa"/>
            <w:gridSpan w:val="2"/>
          </w:tcPr>
          <w:p w14:paraId="17FC8254"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477" w:type="dxa"/>
            <w:gridSpan w:val="2"/>
          </w:tcPr>
          <w:p w14:paraId="4D208EEE"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306" w:type="dxa"/>
          </w:tcPr>
          <w:p w14:paraId="75182610"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287" w:type="dxa"/>
          </w:tcPr>
          <w:p w14:paraId="3A791957"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r>
      <w:tr w:rsidR="007F5638" w:rsidRPr="007F5638" w14:paraId="38E7D962" w14:textId="77777777" w:rsidTr="001A7B9D">
        <w:tc>
          <w:tcPr>
            <w:tcW w:w="1298" w:type="dxa"/>
            <w:shd w:val="clear" w:color="auto" w:fill="BFBFBF" w:themeFill="background1" w:themeFillShade="BF"/>
          </w:tcPr>
          <w:p w14:paraId="4378F6CF" w14:textId="77777777" w:rsidR="00601D9B" w:rsidRDefault="000E53A0">
            <w:pPr>
              <w:rPr>
                <w:rFonts w:cstheme="minorHAnsi"/>
                <w:sz w:val="18"/>
                <w:szCs w:val="18"/>
              </w:rPr>
            </w:pPr>
            <w:r w:rsidRPr="007F5638">
              <w:rPr>
                <w:rFonts w:cstheme="minorHAnsi"/>
                <w:sz w:val="18"/>
                <w:szCs w:val="18"/>
              </w:rPr>
              <w:t>Indicateur 3.4</w:t>
            </w:r>
          </w:p>
        </w:tc>
        <w:tc>
          <w:tcPr>
            <w:tcW w:w="6787" w:type="dxa"/>
            <w:gridSpan w:val="10"/>
            <w:shd w:val="clear" w:color="auto" w:fill="BFBFBF" w:themeFill="background1" w:themeFillShade="BF"/>
          </w:tcPr>
          <w:p w14:paraId="12A14163" w14:textId="77777777" w:rsidR="00601D9B" w:rsidRPr="000E53A0" w:rsidRDefault="000E53A0">
            <w:pPr>
              <w:rPr>
                <w:rFonts w:cstheme="minorHAnsi"/>
                <w:sz w:val="18"/>
                <w:szCs w:val="18"/>
                <w:lang w:val="fr-FR"/>
              </w:rPr>
            </w:pPr>
            <w:r w:rsidRPr="000E53A0">
              <w:rPr>
                <w:rFonts w:cstheme="minorHAnsi"/>
                <w:sz w:val="18"/>
                <w:szCs w:val="18"/>
                <w:lang w:val="fr-FR"/>
              </w:rPr>
              <w:t>Superficie des zones humides (y compris les estuaires, les mangroves) restaurées</w:t>
            </w:r>
          </w:p>
        </w:tc>
        <w:tc>
          <w:tcPr>
            <w:tcW w:w="1287" w:type="dxa"/>
            <w:shd w:val="clear" w:color="auto" w:fill="BFBFBF" w:themeFill="background1" w:themeFillShade="BF"/>
          </w:tcPr>
          <w:p w14:paraId="4F5632CE"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r>
      <w:tr w:rsidR="007F5638" w:rsidRPr="007F5638" w14:paraId="438D72D7" w14:textId="77777777" w:rsidTr="001A7B9D">
        <w:trPr>
          <w:trHeight w:val="125"/>
        </w:trPr>
        <w:tc>
          <w:tcPr>
            <w:tcW w:w="1298" w:type="dxa"/>
            <w:vMerge w:val="restart"/>
          </w:tcPr>
          <w:p w14:paraId="318B688F" w14:textId="77777777" w:rsidR="007F5638" w:rsidRPr="007F5638" w:rsidRDefault="007F5638" w:rsidP="007F5638">
            <w:pPr>
              <w:rPr>
                <w:rFonts w:cstheme="minorHAnsi"/>
                <w:sz w:val="18"/>
                <w:szCs w:val="18"/>
              </w:rPr>
            </w:pPr>
          </w:p>
        </w:tc>
        <w:tc>
          <w:tcPr>
            <w:tcW w:w="933" w:type="dxa"/>
            <w:vMerge w:val="restart"/>
          </w:tcPr>
          <w:p w14:paraId="4C36F543" w14:textId="77777777" w:rsidR="007F5638" w:rsidRPr="007F5638" w:rsidRDefault="007F5638" w:rsidP="007F5638">
            <w:pPr>
              <w:rPr>
                <w:rFonts w:cstheme="minorHAnsi"/>
                <w:sz w:val="18"/>
                <w:szCs w:val="18"/>
              </w:rPr>
            </w:pPr>
          </w:p>
        </w:tc>
        <w:tc>
          <w:tcPr>
            <w:tcW w:w="1748" w:type="dxa"/>
            <w:gridSpan w:val="4"/>
            <w:vMerge w:val="restart"/>
          </w:tcPr>
          <w:p w14:paraId="736BF7D5" w14:textId="77777777" w:rsidR="007F5638" w:rsidRPr="007F5638" w:rsidRDefault="007F5638" w:rsidP="007F5638">
            <w:pPr>
              <w:rPr>
                <w:rFonts w:cstheme="minorHAnsi"/>
                <w:sz w:val="18"/>
                <w:szCs w:val="18"/>
              </w:rPr>
            </w:pPr>
          </w:p>
        </w:tc>
        <w:tc>
          <w:tcPr>
            <w:tcW w:w="5393" w:type="dxa"/>
            <w:gridSpan w:val="6"/>
          </w:tcPr>
          <w:p w14:paraId="100FA72F" w14:textId="77777777" w:rsidR="00601D9B" w:rsidRDefault="000E53A0">
            <w:pPr>
              <w:jc w:val="center"/>
              <w:rPr>
                <w:rFonts w:cstheme="minorHAnsi"/>
                <w:sz w:val="18"/>
                <w:szCs w:val="18"/>
              </w:rPr>
            </w:pPr>
            <w:r w:rsidRPr="007F5638">
              <w:rPr>
                <w:rFonts w:cstheme="minorHAnsi"/>
                <w:sz w:val="18"/>
                <w:szCs w:val="18"/>
              </w:rPr>
              <w:t>Hectares</w:t>
            </w:r>
          </w:p>
        </w:tc>
      </w:tr>
      <w:tr w:rsidR="007F5638" w:rsidRPr="007F5638" w14:paraId="7AB2FA2A" w14:textId="77777777" w:rsidTr="001A7B9D">
        <w:trPr>
          <w:trHeight w:val="58"/>
        </w:trPr>
        <w:tc>
          <w:tcPr>
            <w:tcW w:w="1298" w:type="dxa"/>
            <w:vMerge/>
          </w:tcPr>
          <w:p w14:paraId="247B87DC" w14:textId="77777777" w:rsidR="007F5638" w:rsidRPr="007F5638" w:rsidRDefault="007F5638" w:rsidP="007F5638">
            <w:pPr>
              <w:rPr>
                <w:rFonts w:cstheme="minorHAnsi"/>
                <w:sz w:val="18"/>
                <w:szCs w:val="18"/>
              </w:rPr>
            </w:pPr>
          </w:p>
        </w:tc>
        <w:tc>
          <w:tcPr>
            <w:tcW w:w="933" w:type="dxa"/>
            <w:vMerge/>
          </w:tcPr>
          <w:p w14:paraId="3217D006" w14:textId="77777777" w:rsidR="007F5638" w:rsidRPr="007F5638" w:rsidRDefault="007F5638" w:rsidP="007F5638">
            <w:pPr>
              <w:rPr>
                <w:rFonts w:cstheme="minorHAnsi"/>
                <w:sz w:val="18"/>
                <w:szCs w:val="18"/>
              </w:rPr>
            </w:pPr>
          </w:p>
        </w:tc>
        <w:tc>
          <w:tcPr>
            <w:tcW w:w="1748" w:type="dxa"/>
            <w:gridSpan w:val="4"/>
            <w:vMerge/>
          </w:tcPr>
          <w:p w14:paraId="56944C7F" w14:textId="77777777" w:rsidR="007F5638" w:rsidRPr="007F5638" w:rsidRDefault="007F5638" w:rsidP="007F5638">
            <w:pPr>
              <w:rPr>
                <w:rFonts w:cstheme="minorHAnsi"/>
                <w:sz w:val="18"/>
                <w:szCs w:val="18"/>
              </w:rPr>
            </w:pPr>
          </w:p>
        </w:tc>
        <w:tc>
          <w:tcPr>
            <w:tcW w:w="2800" w:type="dxa"/>
            <w:gridSpan w:val="4"/>
          </w:tcPr>
          <w:p w14:paraId="12478792" w14:textId="77777777" w:rsidR="00601D9B" w:rsidRDefault="000E53A0">
            <w:pPr>
              <w:jc w:val="center"/>
              <w:rPr>
                <w:rFonts w:cstheme="minorHAnsi"/>
                <w:sz w:val="18"/>
                <w:szCs w:val="18"/>
              </w:rPr>
            </w:pPr>
            <w:r w:rsidRPr="007F5638">
              <w:rPr>
                <w:rFonts w:cstheme="minorHAnsi"/>
                <w:sz w:val="18"/>
                <w:szCs w:val="18"/>
              </w:rPr>
              <w:t>Attendu</w:t>
            </w:r>
          </w:p>
        </w:tc>
        <w:tc>
          <w:tcPr>
            <w:tcW w:w="2593" w:type="dxa"/>
            <w:gridSpan w:val="2"/>
          </w:tcPr>
          <w:p w14:paraId="5D28A0F0" w14:textId="77777777" w:rsidR="00601D9B" w:rsidRDefault="000E53A0">
            <w:pPr>
              <w:jc w:val="center"/>
              <w:rPr>
                <w:rFonts w:cstheme="minorHAnsi"/>
                <w:sz w:val="18"/>
                <w:szCs w:val="18"/>
              </w:rPr>
            </w:pPr>
            <w:r w:rsidRPr="007F5638">
              <w:rPr>
                <w:rFonts w:cstheme="minorHAnsi"/>
                <w:sz w:val="18"/>
                <w:szCs w:val="18"/>
              </w:rPr>
              <w:t>Réalisé</w:t>
            </w:r>
          </w:p>
        </w:tc>
      </w:tr>
      <w:tr w:rsidR="007F5638" w:rsidRPr="007F5638" w14:paraId="54A9A51B" w14:textId="77777777" w:rsidTr="001A7B9D">
        <w:trPr>
          <w:trHeight w:val="197"/>
        </w:trPr>
        <w:tc>
          <w:tcPr>
            <w:tcW w:w="1298" w:type="dxa"/>
            <w:vMerge/>
          </w:tcPr>
          <w:p w14:paraId="3F341B70" w14:textId="77777777" w:rsidR="007F5638" w:rsidRPr="007F5638" w:rsidRDefault="007F5638" w:rsidP="007F5638">
            <w:pPr>
              <w:rPr>
                <w:rFonts w:cstheme="minorHAnsi"/>
                <w:sz w:val="18"/>
                <w:szCs w:val="18"/>
              </w:rPr>
            </w:pPr>
          </w:p>
        </w:tc>
        <w:tc>
          <w:tcPr>
            <w:tcW w:w="933" w:type="dxa"/>
            <w:vMerge/>
          </w:tcPr>
          <w:p w14:paraId="4D0D6D08" w14:textId="77777777" w:rsidR="007F5638" w:rsidRPr="007F5638" w:rsidRDefault="007F5638" w:rsidP="007F5638">
            <w:pPr>
              <w:rPr>
                <w:rFonts w:cstheme="minorHAnsi"/>
                <w:sz w:val="18"/>
                <w:szCs w:val="18"/>
              </w:rPr>
            </w:pPr>
          </w:p>
        </w:tc>
        <w:tc>
          <w:tcPr>
            <w:tcW w:w="1748" w:type="dxa"/>
            <w:gridSpan w:val="4"/>
            <w:vMerge/>
          </w:tcPr>
          <w:p w14:paraId="171CA17A" w14:textId="77777777" w:rsidR="007F5638" w:rsidRPr="007F5638" w:rsidRDefault="007F5638" w:rsidP="007F5638">
            <w:pPr>
              <w:rPr>
                <w:rFonts w:cstheme="minorHAnsi"/>
                <w:sz w:val="18"/>
                <w:szCs w:val="18"/>
              </w:rPr>
            </w:pPr>
          </w:p>
        </w:tc>
        <w:tc>
          <w:tcPr>
            <w:tcW w:w="1323" w:type="dxa"/>
            <w:gridSpan w:val="2"/>
          </w:tcPr>
          <w:p w14:paraId="406B896E" w14:textId="77777777" w:rsidR="00601D9B" w:rsidRDefault="000E53A0">
            <w:pPr>
              <w:jc w:val="center"/>
              <w:rPr>
                <w:rFonts w:cstheme="minorHAnsi"/>
                <w:sz w:val="18"/>
                <w:szCs w:val="18"/>
              </w:rPr>
            </w:pPr>
            <w:r w:rsidRPr="007F5638">
              <w:rPr>
                <w:rFonts w:cstheme="minorHAnsi"/>
                <w:sz w:val="18"/>
                <w:szCs w:val="18"/>
              </w:rPr>
              <w:t>Étape du FIP</w:t>
            </w:r>
          </w:p>
        </w:tc>
        <w:tc>
          <w:tcPr>
            <w:tcW w:w="1477" w:type="dxa"/>
            <w:gridSpan w:val="2"/>
          </w:tcPr>
          <w:p w14:paraId="78841F11" w14:textId="77777777" w:rsidR="00601D9B" w:rsidRDefault="000E53A0">
            <w:pPr>
              <w:jc w:val="center"/>
              <w:rPr>
                <w:rFonts w:cstheme="minorHAnsi"/>
                <w:sz w:val="18"/>
                <w:szCs w:val="18"/>
              </w:rPr>
            </w:pPr>
            <w:r w:rsidRPr="007F5638">
              <w:rPr>
                <w:rFonts w:cstheme="minorHAnsi"/>
                <w:sz w:val="18"/>
                <w:szCs w:val="18"/>
              </w:rPr>
              <w:t>Endossement</w:t>
            </w:r>
          </w:p>
        </w:tc>
        <w:tc>
          <w:tcPr>
            <w:tcW w:w="1306" w:type="dxa"/>
          </w:tcPr>
          <w:p w14:paraId="7FA8D4C5" w14:textId="77777777" w:rsidR="00601D9B" w:rsidRDefault="000E53A0">
            <w:pPr>
              <w:jc w:val="center"/>
              <w:rPr>
                <w:rFonts w:cstheme="minorHAnsi"/>
                <w:sz w:val="18"/>
                <w:szCs w:val="18"/>
              </w:rPr>
            </w:pPr>
            <w:r w:rsidRPr="007F5638">
              <w:rPr>
                <w:rFonts w:cstheme="minorHAnsi"/>
                <w:sz w:val="18"/>
                <w:szCs w:val="18"/>
              </w:rPr>
              <w:t>MTR</w:t>
            </w:r>
          </w:p>
        </w:tc>
        <w:tc>
          <w:tcPr>
            <w:tcW w:w="1287" w:type="dxa"/>
          </w:tcPr>
          <w:p w14:paraId="0AF784AD" w14:textId="77777777" w:rsidR="00601D9B" w:rsidRDefault="000E53A0">
            <w:pPr>
              <w:jc w:val="center"/>
              <w:rPr>
                <w:rFonts w:cstheme="minorHAnsi"/>
                <w:sz w:val="18"/>
                <w:szCs w:val="18"/>
              </w:rPr>
            </w:pPr>
            <w:r w:rsidRPr="007F5638">
              <w:rPr>
                <w:rFonts w:cstheme="minorHAnsi"/>
                <w:sz w:val="18"/>
                <w:szCs w:val="18"/>
              </w:rPr>
              <w:t>TE</w:t>
            </w:r>
          </w:p>
        </w:tc>
      </w:tr>
      <w:tr w:rsidR="007F5638" w:rsidRPr="007F5638" w14:paraId="1910709C" w14:textId="77777777" w:rsidTr="001A7B9D">
        <w:tc>
          <w:tcPr>
            <w:tcW w:w="1298" w:type="dxa"/>
          </w:tcPr>
          <w:p w14:paraId="0B2FE8DC" w14:textId="77777777" w:rsidR="007F5638" w:rsidRPr="007F5638" w:rsidRDefault="007F5638" w:rsidP="007F5638">
            <w:pPr>
              <w:jc w:val="right"/>
              <w:rPr>
                <w:rFonts w:cstheme="minorHAnsi"/>
                <w:sz w:val="18"/>
                <w:szCs w:val="18"/>
              </w:rPr>
            </w:pPr>
          </w:p>
        </w:tc>
        <w:tc>
          <w:tcPr>
            <w:tcW w:w="933" w:type="dxa"/>
          </w:tcPr>
          <w:p w14:paraId="4804F08D" w14:textId="77777777" w:rsidR="007F5638" w:rsidRPr="007F5638" w:rsidRDefault="007F5638" w:rsidP="007F5638">
            <w:pPr>
              <w:jc w:val="right"/>
              <w:rPr>
                <w:rFonts w:cstheme="minorHAnsi"/>
                <w:sz w:val="18"/>
                <w:szCs w:val="18"/>
              </w:rPr>
            </w:pPr>
          </w:p>
        </w:tc>
        <w:tc>
          <w:tcPr>
            <w:tcW w:w="1748" w:type="dxa"/>
            <w:gridSpan w:val="4"/>
          </w:tcPr>
          <w:p w14:paraId="008D26A5" w14:textId="77777777" w:rsidR="007F5638" w:rsidRPr="007F5638" w:rsidRDefault="007F5638" w:rsidP="007F5638">
            <w:pPr>
              <w:jc w:val="right"/>
              <w:rPr>
                <w:rFonts w:cstheme="minorHAnsi"/>
                <w:sz w:val="18"/>
                <w:szCs w:val="18"/>
              </w:rPr>
            </w:pPr>
          </w:p>
        </w:tc>
        <w:tc>
          <w:tcPr>
            <w:tcW w:w="1323" w:type="dxa"/>
            <w:gridSpan w:val="2"/>
          </w:tcPr>
          <w:p w14:paraId="42103E1D"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477" w:type="dxa"/>
            <w:gridSpan w:val="2"/>
          </w:tcPr>
          <w:p w14:paraId="042BC4E4"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306" w:type="dxa"/>
          </w:tcPr>
          <w:p w14:paraId="1E2D226A"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287" w:type="dxa"/>
          </w:tcPr>
          <w:p w14:paraId="448E1034"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r>
      <w:tr w:rsidR="007F5638" w:rsidRPr="007F5638" w14:paraId="11F556E5" w14:textId="77777777" w:rsidTr="001A7B9D">
        <w:tc>
          <w:tcPr>
            <w:tcW w:w="1298" w:type="dxa"/>
          </w:tcPr>
          <w:p w14:paraId="26BCE2B8" w14:textId="77777777" w:rsidR="007F5638" w:rsidRPr="007F5638" w:rsidRDefault="007F5638" w:rsidP="007F5638">
            <w:pPr>
              <w:jc w:val="right"/>
              <w:rPr>
                <w:rFonts w:cstheme="minorHAnsi"/>
                <w:sz w:val="18"/>
                <w:szCs w:val="18"/>
              </w:rPr>
            </w:pPr>
          </w:p>
        </w:tc>
        <w:tc>
          <w:tcPr>
            <w:tcW w:w="933" w:type="dxa"/>
          </w:tcPr>
          <w:p w14:paraId="375282B6" w14:textId="77777777" w:rsidR="007F5638" w:rsidRPr="007F5638" w:rsidRDefault="007F5638" w:rsidP="007F5638">
            <w:pPr>
              <w:jc w:val="right"/>
              <w:rPr>
                <w:rFonts w:cstheme="minorHAnsi"/>
                <w:sz w:val="18"/>
                <w:szCs w:val="18"/>
              </w:rPr>
            </w:pPr>
          </w:p>
        </w:tc>
        <w:tc>
          <w:tcPr>
            <w:tcW w:w="1748" w:type="dxa"/>
            <w:gridSpan w:val="4"/>
          </w:tcPr>
          <w:p w14:paraId="736D6019" w14:textId="77777777" w:rsidR="007F5638" w:rsidRPr="007F5638" w:rsidRDefault="007F5638" w:rsidP="007F5638">
            <w:pPr>
              <w:jc w:val="right"/>
              <w:rPr>
                <w:rFonts w:cstheme="minorHAnsi"/>
                <w:sz w:val="18"/>
                <w:szCs w:val="18"/>
              </w:rPr>
            </w:pPr>
          </w:p>
        </w:tc>
        <w:tc>
          <w:tcPr>
            <w:tcW w:w="1323" w:type="dxa"/>
            <w:gridSpan w:val="2"/>
          </w:tcPr>
          <w:p w14:paraId="460C9312"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477" w:type="dxa"/>
            <w:gridSpan w:val="2"/>
          </w:tcPr>
          <w:p w14:paraId="6B72FA45"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306" w:type="dxa"/>
          </w:tcPr>
          <w:p w14:paraId="34F81603"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287" w:type="dxa"/>
          </w:tcPr>
          <w:p w14:paraId="2C714F20"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r>
      <w:tr w:rsidR="007F5638" w:rsidRPr="007F5638" w14:paraId="6767BE19" w14:textId="77777777" w:rsidTr="001A7B9D">
        <w:tc>
          <w:tcPr>
            <w:tcW w:w="1298" w:type="dxa"/>
            <w:shd w:val="clear" w:color="auto" w:fill="D9D9D9" w:themeFill="background1" w:themeFillShade="D9"/>
          </w:tcPr>
          <w:p w14:paraId="0C13419F" w14:textId="77777777" w:rsidR="00601D9B" w:rsidRDefault="000E53A0">
            <w:pPr>
              <w:rPr>
                <w:rFonts w:cstheme="minorHAnsi"/>
                <w:b/>
                <w:sz w:val="18"/>
                <w:szCs w:val="18"/>
              </w:rPr>
            </w:pPr>
            <w:r w:rsidRPr="007F5638">
              <w:rPr>
                <w:rFonts w:cstheme="minorHAnsi"/>
                <w:b/>
                <w:sz w:val="18"/>
                <w:szCs w:val="18"/>
              </w:rPr>
              <w:t>Indicateur de base 4</w:t>
            </w:r>
          </w:p>
        </w:tc>
        <w:tc>
          <w:tcPr>
            <w:tcW w:w="6787" w:type="dxa"/>
            <w:gridSpan w:val="10"/>
            <w:shd w:val="clear" w:color="auto" w:fill="D9D9D9" w:themeFill="background1" w:themeFillShade="D9"/>
          </w:tcPr>
          <w:p w14:paraId="59C92D9A" w14:textId="77777777" w:rsidR="00601D9B" w:rsidRPr="000E53A0" w:rsidRDefault="000E53A0">
            <w:pPr>
              <w:rPr>
                <w:rFonts w:cstheme="minorHAnsi"/>
                <w:b/>
                <w:sz w:val="18"/>
                <w:szCs w:val="18"/>
                <w:lang w:val="fr-FR"/>
              </w:rPr>
            </w:pPr>
            <w:r w:rsidRPr="000E53A0">
              <w:rPr>
                <w:rFonts w:cstheme="minorHAnsi"/>
                <w:b/>
                <w:sz w:val="18"/>
                <w:szCs w:val="18"/>
                <w:lang w:val="fr-FR"/>
              </w:rPr>
              <w:t>Superficie des paysages faisant l'objet de pratiques améliorées (hectares ; à l'exclusion des zones protégées)</w:t>
            </w:r>
          </w:p>
        </w:tc>
        <w:tc>
          <w:tcPr>
            <w:tcW w:w="1287" w:type="dxa"/>
            <w:shd w:val="clear" w:color="auto" w:fill="D9D9D9" w:themeFill="background1" w:themeFillShade="D9"/>
          </w:tcPr>
          <w:p w14:paraId="15E759AB" w14:textId="77777777" w:rsidR="00601D9B" w:rsidRDefault="000E53A0">
            <w:pPr>
              <w:jc w:val="right"/>
              <w:rPr>
                <w:rFonts w:cstheme="minorHAnsi"/>
                <w:b/>
                <w:sz w:val="18"/>
                <w:szCs w:val="18"/>
              </w:rPr>
            </w:pPr>
            <w:r w:rsidRPr="007F5638">
              <w:rPr>
                <w:rFonts w:cstheme="minorHAnsi"/>
                <w:b/>
                <w:i/>
                <w:color w:val="000000"/>
                <w:sz w:val="18"/>
                <w:szCs w:val="18"/>
              </w:rPr>
              <w:fldChar w:fldCharType="begin">
                <w:ffData>
                  <w:name w:val="F_GEB_BD_target"/>
                  <w:enabled/>
                  <w:calcOnExit w:val="0"/>
                  <w:textInput>
                    <w:default w:val="(Hectares)"/>
                  </w:textInput>
                </w:ffData>
              </w:fldChar>
            </w:r>
            <w:r w:rsidRPr="007F5638">
              <w:rPr>
                <w:rFonts w:cstheme="minorHAnsi"/>
                <w:b/>
                <w:i/>
                <w:color w:val="000000"/>
                <w:sz w:val="18"/>
                <w:szCs w:val="18"/>
              </w:rPr>
              <w:instrText xml:space="preserve"> FORMTEXT </w:instrText>
            </w:r>
            <w:r w:rsidRPr="007F5638">
              <w:rPr>
                <w:rFonts w:cstheme="minorHAnsi"/>
                <w:b/>
                <w:i/>
                <w:color w:val="000000"/>
                <w:sz w:val="18"/>
                <w:szCs w:val="18"/>
              </w:rPr>
            </w:r>
            <w:r w:rsidRPr="007F5638">
              <w:rPr>
                <w:rFonts w:cstheme="minorHAnsi"/>
                <w:b/>
                <w:i/>
                <w:color w:val="000000"/>
                <w:sz w:val="18"/>
                <w:szCs w:val="18"/>
              </w:rPr>
              <w:fldChar w:fldCharType="separate"/>
            </w:r>
            <w:r w:rsidRPr="007F5638">
              <w:rPr>
                <w:rFonts w:cstheme="minorHAnsi"/>
                <w:b/>
                <w:i/>
                <w:noProof/>
                <w:color w:val="000000"/>
                <w:sz w:val="18"/>
                <w:szCs w:val="18"/>
              </w:rPr>
              <w:t>(Hectares)</w:t>
            </w:r>
            <w:r w:rsidRPr="007F5638">
              <w:rPr>
                <w:rFonts w:cstheme="minorHAnsi"/>
                <w:b/>
                <w:i/>
                <w:color w:val="000000"/>
                <w:sz w:val="18"/>
                <w:szCs w:val="18"/>
              </w:rPr>
              <w:fldChar w:fldCharType="end"/>
            </w:r>
          </w:p>
        </w:tc>
      </w:tr>
      <w:tr w:rsidR="007F5638" w:rsidRPr="007F5638" w14:paraId="66BBF595" w14:textId="77777777" w:rsidTr="001A7B9D">
        <w:tc>
          <w:tcPr>
            <w:tcW w:w="1298" w:type="dxa"/>
            <w:shd w:val="clear" w:color="auto" w:fill="auto"/>
          </w:tcPr>
          <w:p w14:paraId="11F4C224" w14:textId="77777777" w:rsidR="007F5638" w:rsidRPr="007F5638" w:rsidRDefault="007F5638" w:rsidP="007F5638">
            <w:pPr>
              <w:rPr>
                <w:rFonts w:cstheme="minorHAnsi"/>
                <w:sz w:val="18"/>
                <w:szCs w:val="18"/>
              </w:rPr>
            </w:pPr>
          </w:p>
        </w:tc>
        <w:tc>
          <w:tcPr>
            <w:tcW w:w="2681" w:type="dxa"/>
            <w:gridSpan w:val="5"/>
            <w:shd w:val="clear" w:color="auto" w:fill="auto"/>
          </w:tcPr>
          <w:p w14:paraId="75C8989F" w14:textId="77777777" w:rsidR="007F5638" w:rsidRPr="007F5638" w:rsidRDefault="007F5638" w:rsidP="007F5638">
            <w:pPr>
              <w:rPr>
                <w:rFonts w:cstheme="minorHAnsi"/>
                <w:sz w:val="18"/>
                <w:szCs w:val="18"/>
              </w:rPr>
            </w:pPr>
          </w:p>
        </w:tc>
        <w:tc>
          <w:tcPr>
            <w:tcW w:w="5393" w:type="dxa"/>
            <w:gridSpan w:val="6"/>
            <w:shd w:val="clear" w:color="auto" w:fill="F2F2F2" w:themeFill="background1" w:themeFillShade="F2"/>
          </w:tcPr>
          <w:p w14:paraId="2B93F8C9" w14:textId="77777777" w:rsidR="00601D9B" w:rsidRDefault="000E53A0">
            <w:pPr>
              <w:jc w:val="center"/>
              <w:rPr>
                <w:rFonts w:cstheme="minorHAnsi"/>
                <w:color w:val="000000"/>
                <w:sz w:val="18"/>
                <w:szCs w:val="18"/>
              </w:rPr>
            </w:pPr>
            <w:r w:rsidRPr="007F5638">
              <w:rPr>
                <w:rFonts w:cstheme="minorHAnsi"/>
                <w:color w:val="000000"/>
                <w:sz w:val="18"/>
                <w:szCs w:val="18"/>
              </w:rPr>
              <w:t>Hectares (4.1+4.2+4.3+4.4)</w:t>
            </w:r>
          </w:p>
        </w:tc>
      </w:tr>
      <w:tr w:rsidR="007F5638" w:rsidRPr="007F5638" w14:paraId="75F9FEBB" w14:textId="77777777" w:rsidTr="001A7B9D">
        <w:tc>
          <w:tcPr>
            <w:tcW w:w="1298" w:type="dxa"/>
            <w:shd w:val="clear" w:color="auto" w:fill="auto"/>
          </w:tcPr>
          <w:p w14:paraId="53C948AB" w14:textId="77777777" w:rsidR="007F5638" w:rsidRPr="007F5638" w:rsidRDefault="007F5638" w:rsidP="007F5638">
            <w:pPr>
              <w:rPr>
                <w:rFonts w:cstheme="minorHAnsi"/>
                <w:sz w:val="18"/>
                <w:szCs w:val="18"/>
              </w:rPr>
            </w:pPr>
          </w:p>
        </w:tc>
        <w:tc>
          <w:tcPr>
            <w:tcW w:w="2681" w:type="dxa"/>
            <w:gridSpan w:val="5"/>
            <w:shd w:val="clear" w:color="auto" w:fill="auto"/>
          </w:tcPr>
          <w:p w14:paraId="6BF5A568" w14:textId="77777777" w:rsidR="007F5638" w:rsidRPr="007F5638" w:rsidRDefault="007F5638" w:rsidP="007F5638">
            <w:pPr>
              <w:rPr>
                <w:rFonts w:cstheme="minorHAnsi"/>
                <w:sz w:val="18"/>
                <w:szCs w:val="18"/>
              </w:rPr>
            </w:pPr>
          </w:p>
        </w:tc>
        <w:tc>
          <w:tcPr>
            <w:tcW w:w="2800" w:type="dxa"/>
            <w:gridSpan w:val="4"/>
            <w:shd w:val="clear" w:color="auto" w:fill="F2F2F2" w:themeFill="background1" w:themeFillShade="F2"/>
          </w:tcPr>
          <w:p w14:paraId="49D76617" w14:textId="77777777" w:rsidR="00601D9B" w:rsidRDefault="000E53A0">
            <w:pPr>
              <w:jc w:val="center"/>
              <w:rPr>
                <w:rFonts w:cstheme="minorHAnsi"/>
                <w:sz w:val="18"/>
                <w:szCs w:val="18"/>
              </w:rPr>
            </w:pPr>
            <w:r w:rsidRPr="007F5638">
              <w:rPr>
                <w:rFonts w:cstheme="minorHAnsi"/>
                <w:color w:val="000000"/>
                <w:sz w:val="18"/>
                <w:szCs w:val="18"/>
              </w:rPr>
              <w:t>Attendu</w:t>
            </w:r>
          </w:p>
        </w:tc>
        <w:tc>
          <w:tcPr>
            <w:tcW w:w="2593" w:type="dxa"/>
            <w:gridSpan w:val="2"/>
            <w:shd w:val="clear" w:color="auto" w:fill="F2F2F2" w:themeFill="background1" w:themeFillShade="F2"/>
          </w:tcPr>
          <w:p w14:paraId="67745BFE" w14:textId="77777777" w:rsidR="00601D9B" w:rsidRDefault="000E53A0">
            <w:pPr>
              <w:jc w:val="center"/>
              <w:rPr>
                <w:rFonts w:cstheme="minorHAnsi"/>
                <w:color w:val="000000"/>
                <w:sz w:val="18"/>
                <w:szCs w:val="18"/>
              </w:rPr>
            </w:pPr>
            <w:r w:rsidRPr="007F5638">
              <w:rPr>
                <w:rFonts w:cstheme="minorHAnsi"/>
                <w:color w:val="000000"/>
                <w:sz w:val="18"/>
                <w:szCs w:val="18"/>
              </w:rPr>
              <w:t>Attendu</w:t>
            </w:r>
          </w:p>
        </w:tc>
      </w:tr>
      <w:tr w:rsidR="007F5638" w:rsidRPr="007F5638" w14:paraId="24CF7BED" w14:textId="77777777" w:rsidTr="001A7B9D">
        <w:tc>
          <w:tcPr>
            <w:tcW w:w="1298" w:type="dxa"/>
            <w:shd w:val="clear" w:color="auto" w:fill="auto"/>
          </w:tcPr>
          <w:p w14:paraId="12AE3583" w14:textId="77777777" w:rsidR="007F5638" w:rsidRPr="007F5638" w:rsidRDefault="007F5638" w:rsidP="007F5638">
            <w:pPr>
              <w:rPr>
                <w:rFonts w:cstheme="minorHAnsi"/>
                <w:sz w:val="18"/>
                <w:szCs w:val="18"/>
              </w:rPr>
            </w:pPr>
          </w:p>
        </w:tc>
        <w:tc>
          <w:tcPr>
            <w:tcW w:w="2681" w:type="dxa"/>
            <w:gridSpan w:val="5"/>
            <w:shd w:val="clear" w:color="auto" w:fill="auto"/>
          </w:tcPr>
          <w:p w14:paraId="40479385" w14:textId="77777777" w:rsidR="007F5638" w:rsidRPr="007F5638" w:rsidRDefault="007F5638" w:rsidP="007F5638">
            <w:pPr>
              <w:rPr>
                <w:rFonts w:cstheme="minorHAnsi"/>
                <w:sz w:val="18"/>
                <w:szCs w:val="18"/>
              </w:rPr>
            </w:pPr>
          </w:p>
        </w:tc>
        <w:tc>
          <w:tcPr>
            <w:tcW w:w="1323" w:type="dxa"/>
            <w:gridSpan w:val="2"/>
            <w:shd w:val="clear" w:color="auto" w:fill="F2F2F2" w:themeFill="background1" w:themeFillShade="F2"/>
          </w:tcPr>
          <w:p w14:paraId="14F3203F" w14:textId="77777777" w:rsidR="00601D9B" w:rsidRDefault="000E53A0">
            <w:pPr>
              <w:jc w:val="center"/>
              <w:rPr>
                <w:rFonts w:cstheme="minorHAnsi"/>
                <w:sz w:val="18"/>
                <w:szCs w:val="18"/>
              </w:rPr>
            </w:pPr>
            <w:r w:rsidRPr="007F5638">
              <w:rPr>
                <w:rFonts w:cstheme="minorHAnsi"/>
                <w:sz w:val="18"/>
                <w:szCs w:val="18"/>
              </w:rPr>
              <w:t>Étape du FIP</w:t>
            </w:r>
          </w:p>
        </w:tc>
        <w:tc>
          <w:tcPr>
            <w:tcW w:w="1477" w:type="dxa"/>
            <w:gridSpan w:val="2"/>
            <w:shd w:val="clear" w:color="auto" w:fill="F2F2F2" w:themeFill="background1" w:themeFillShade="F2"/>
          </w:tcPr>
          <w:p w14:paraId="4E28DCF0" w14:textId="77777777" w:rsidR="00601D9B" w:rsidRDefault="000E53A0">
            <w:pPr>
              <w:jc w:val="center"/>
              <w:rPr>
                <w:rFonts w:cstheme="minorHAnsi"/>
                <w:sz w:val="18"/>
                <w:szCs w:val="18"/>
              </w:rPr>
            </w:pPr>
            <w:r w:rsidRPr="007F5638">
              <w:rPr>
                <w:rFonts w:cstheme="minorHAnsi"/>
                <w:sz w:val="18"/>
                <w:szCs w:val="18"/>
              </w:rPr>
              <w:t>Endossement</w:t>
            </w:r>
          </w:p>
        </w:tc>
        <w:tc>
          <w:tcPr>
            <w:tcW w:w="1306" w:type="dxa"/>
            <w:shd w:val="clear" w:color="auto" w:fill="F2F2F2" w:themeFill="background1" w:themeFillShade="F2"/>
          </w:tcPr>
          <w:p w14:paraId="10B0CB0B" w14:textId="77777777" w:rsidR="00601D9B" w:rsidRDefault="000E53A0">
            <w:pPr>
              <w:jc w:val="center"/>
              <w:rPr>
                <w:rFonts w:cstheme="minorHAnsi"/>
                <w:sz w:val="18"/>
                <w:szCs w:val="18"/>
              </w:rPr>
            </w:pPr>
            <w:r w:rsidRPr="007F5638">
              <w:rPr>
                <w:rFonts w:cstheme="minorHAnsi"/>
                <w:sz w:val="18"/>
                <w:szCs w:val="18"/>
              </w:rPr>
              <w:t>MTR</w:t>
            </w:r>
          </w:p>
        </w:tc>
        <w:tc>
          <w:tcPr>
            <w:tcW w:w="1287" w:type="dxa"/>
            <w:shd w:val="clear" w:color="auto" w:fill="F2F2F2" w:themeFill="background1" w:themeFillShade="F2"/>
          </w:tcPr>
          <w:p w14:paraId="696A0F07" w14:textId="77777777" w:rsidR="00601D9B" w:rsidRDefault="000E53A0">
            <w:pPr>
              <w:jc w:val="center"/>
              <w:rPr>
                <w:rFonts w:cstheme="minorHAnsi"/>
                <w:i/>
                <w:color w:val="000000"/>
                <w:sz w:val="18"/>
                <w:szCs w:val="18"/>
              </w:rPr>
            </w:pPr>
            <w:r w:rsidRPr="007F5638">
              <w:rPr>
                <w:rFonts w:cstheme="minorHAnsi"/>
                <w:sz w:val="18"/>
                <w:szCs w:val="18"/>
              </w:rPr>
              <w:t>TE</w:t>
            </w:r>
          </w:p>
        </w:tc>
      </w:tr>
      <w:tr w:rsidR="007F5638" w:rsidRPr="007F5638" w14:paraId="51D76F44" w14:textId="77777777" w:rsidTr="001A7B9D">
        <w:tc>
          <w:tcPr>
            <w:tcW w:w="1298" w:type="dxa"/>
            <w:shd w:val="clear" w:color="auto" w:fill="auto"/>
          </w:tcPr>
          <w:p w14:paraId="46D1FAA7" w14:textId="77777777" w:rsidR="007F5638" w:rsidRPr="007F5638" w:rsidRDefault="007F5638" w:rsidP="007F5638">
            <w:pPr>
              <w:rPr>
                <w:rFonts w:cstheme="minorHAnsi"/>
                <w:sz w:val="18"/>
                <w:szCs w:val="18"/>
              </w:rPr>
            </w:pPr>
          </w:p>
        </w:tc>
        <w:tc>
          <w:tcPr>
            <w:tcW w:w="2681" w:type="dxa"/>
            <w:gridSpan w:val="5"/>
            <w:shd w:val="clear" w:color="auto" w:fill="auto"/>
          </w:tcPr>
          <w:p w14:paraId="0089C46B" w14:textId="77777777" w:rsidR="007F5638" w:rsidRPr="007F5638" w:rsidRDefault="007F5638" w:rsidP="007F5638">
            <w:pPr>
              <w:rPr>
                <w:rFonts w:cstheme="minorHAnsi"/>
                <w:sz w:val="18"/>
                <w:szCs w:val="18"/>
              </w:rPr>
            </w:pPr>
          </w:p>
        </w:tc>
        <w:tc>
          <w:tcPr>
            <w:tcW w:w="1323" w:type="dxa"/>
            <w:gridSpan w:val="2"/>
            <w:shd w:val="clear" w:color="auto" w:fill="F2F2F2" w:themeFill="background1" w:themeFillShade="F2"/>
          </w:tcPr>
          <w:p w14:paraId="4040F7FD"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477" w:type="dxa"/>
            <w:gridSpan w:val="2"/>
            <w:shd w:val="clear" w:color="auto" w:fill="F2F2F2" w:themeFill="background1" w:themeFillShade="F2"/>
          </w:tcPr>
          <w:p w14:paraId="17768AD1"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306" w:type="dxa"/>
            <w:shd w:val="clear" w:color="auto" w:fill="F2F2F2" w:themeFill="background1" w:themeFillShade="F2"/>
          </w:tcPr>
          <w:p w14:paraId="39B83411"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287" w:type="dxa"/>
            <w:shd w:val="clear" w:color="auto" w:fill="F2F2F2" w:themeFill="background1" w:themeFillShade="F2"/>
          </w:tcPr>
          <w:p w14:paraId="6AB2363B" w14:textId="77777777" w:rsidR="00601D9B" w:rsidRDefault="000E53A0">
            <w:pPr>
              <w:jc w:val="right"/>
              <w:rPr>
                <w:rFonts w:cstheme="minorHAnsi"/>
                <w:i/>
                <w:color w:val="000000"/>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r>
      <w:tr w:rsidR="007F5638" w:rsidRPr="007F5638" w14:paraId="3C086B69" w14:textId="77777777" w:rsidTr="001A7B9D">
        <w:tc>
          <w:tcPr>
            <w:tcW w:w="1298" w:type="dxa"/>
            <w:shd w:val="clear" w:color="auto" w:fill="BFBFBF" w:themeFill="background1" w:themeFillShade="BF"/>
          </w:tcPr>
          <w:p w14:paraId="50D46AE1" w14:textId="77777777" w:rsidR="00601D9B" w:rsidRDefault="000E53A0">
            <w:pPr>
              <w:rPr>
                <w:rFonts w:cstheme="minorHAnsi"/>
                <w:sz w:val="18"/>
                <w:szCs w:val="18"/>
              </w:rPr>
            </w:pPr>
            <w:r w:rsidRPr="007F5638">
              <w:rPr>
                <w:rFonts w:cstheme="minorHAnsi"/>
                <w:sz w:val="18"/>
                <w:szCs w:val="18"/>
              </w:rPr>
              <w:t>Indicateur 4.1</w:t>
            </w:r>
          </w:p>
        </w:tc>
        <w:tc>
          <w:tcPr>
            <w:tcW w:w="6787" w:type="dxa"/>
            <w:gridSpan w:val="10"/>
            <w:shd w:val="clear" w:color="auto" w:fill="BFBFBF" w:themeFill="background1" w:themeFillShade="BF"/>
          </w:tcPr>
          <w:p w14:paraId="00151827" w14:textId="77777777" w:rsidR="00601D9B" w:rsidRPr="000E53A0" w:rsidRDefault="000E53A0">
            <w:pPr>
              <w:rPr>
                <w:rFonts w:cstheme="minorHAnsi"/>
                <w:sz w:val="18"/>
                <w:szCs w:val="18"/>
                <w:lang w:val="fr-FR"/>
              </w:rPr>
            </w:pPr>
            <w:r w:rsidRPr="000E53A0">
              <w:rPr>
                <w:rFonts w:cstheme="minorHAnsi"/>
                <w:sz w:val="18"/>
                <w:szCs w:val="18"/>
                <w:lang w:val="fr-FR"/>
              </w:rPr>
              <w:t>Superficie des paysages faisant l'objet d'une gestion améliorée au profit de la biodiversité</w:t>
            </w:r>
          </w:p>
        </w:tc>
        <w:tc>
          <w:tcPr>
            <w:tcW w:w="1287" w:type="dxa"/>
            <w:shd w:val="clear" w:color="auto" w:fill="BFBFBF" w:themeFill="background1" w:themeFillShade="BF"/>
          </w:tcPr>
          <w:p w14:paraId="444C3E8C"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r>
      <w:tr w:rsidR="007F5638" w:rsidRPr="007F5638" w14:paraId="73CAC603" w14:textId="77777777" w:rsidTr="001A7B9D">
        <w:trPr>
          <w:trHeight w:val="125"/>
        </w:trPr>
        <w:tc>
          <w:tcPr>
            <w:tcW w:w="1298" w:type="dxa"/>
            <w:vMerge w:val="restart"/>
          </w:tcPr>
          <w:p w14:paraId="2A0D6780" w14:textId="77777777" w:rsidR="007F5638" w:rsidRPr="007F5638" w:rsidRDefault="007F5638" w:rsidP="007F5638">
            <w:pPr>
              <w:rPr>
                <w:rFonts w:cstheme="minorHAnsi"/>
                <w:sz w:val="18"/>
                <w:szCs w:val="18"/>
              </w:rPr>
            </w:pPr>
          </w:p>
        </w:tc>
        <w:tc>
          <w:tcPr>
            <w:tcW w:w="933" w:type="dxa"/>
            <w:vMerge w:val="restart"/>
          </w:tcPr>
          <w:p w14:paraId="5F48507F" w14:textId="77777777" w:rsidR="007F5638" w:rsidRPr="007F5638" w:rsidRDefault="007F5638" w:rsidP="007F5638">
            <w:pPr>
              <w:rPr>
                <w:rFonts w:cstheme="minorHAnsi"/>
                <w:sz w:val="18"/>
                <w:szCs w:val="18"/>
              </w:rPr>
            </w:pPr>
          </w:p>
        </w:tc>
        <w:tc>
          <w:tcPr>
            <w:tcW w:w="1748" w:type="dxa"/>
            <w:gridSpan w:val="4"/>
            <w:vMerge w:val="restart"/>
          </w:tcPr>
          <w:p w14:paraId="7444FE69" w14:textId="77777777" w:rsidR="007F5638" w:rsidRPr="007F5638" w:rsidRDefault="007F5638" w:rsidP="007F5638">
            <w:pPr>
              <w:rPr>
                <w:rFonts w:cstheme="minorHAnsi"/>
                <w:sz w:val="18"/>
                <w:szCs w:val="18"/>
              </w:rPr>
            </w:pPr>
          </w:p>
        </w:tc>
        <w:tc>
          <w:tcPr>
            <w:tcW w:w="5393" w:type="dxa"/>
            <w:gridSpan w:val="6"/>
          </w:tcPr>
          <w:p w14:paraId="15E10007" w14:textId="77777777" w:rsidR="00601D9B" w:rsidRDefault="000E53A0">
            <w:pPr>
              <w:jc w:val="center"/>
              <w:rPr>
                <w:rFonts w:cstheme="minorHAnsi"/>
                <w:sz w:val="18"/>
                <w:szCs w:val="18"/>
              </w:rPr>
            </w:pPr>
            <w:r w:rsidRPr="007F5638">
              <w:rPr>
                <w:rFonts w:cstheme="minorHAnsi"/>
                <w:sz w:val="18"/>
                <w:szCs w:val="18"/>
              </w:rPr>
              <w:t>Hectares</w:t>
            </w:r>
          </w:p>
        </w:tc>
      </w:tr>
      <w:tr w:rsidR="007F5638" w:rsidRPr="007F5638" w14:paraId="78FA93D3" w14:textId="77777777" w:rsidTr="001A7B9D">
        <w:trPr>
          <w:trHeight w:val="125"/>
        </w:trPr>
        <w:tc>
          <w:tcPr>
            <w:tcW w:w="1298" w:type="dxa"/>
            <w:vMerge/>
          </w:tcPr>
          <w:p w14:paraId="451B4724" w14:textId="77777777" w:rsidR="007F5638" w:rsidRPr="007F5638" w:rsidRDefault="007F5638" w:rsidP="007F5638">
            <w:pPr>
              <w:rPr>
                <w:rFonts w:cstheme="minorHAnsi"/>
                <w:sz w:val="18"/>
                <w:szCs w:val="18"/>
              </w:rPr>
            </w:pPr>
          </w:p>
        </w:tc>
        <w:tc>
          <w:tcPr>
            <w:tcW w:w="933" w:type="dxa"/>
            <w:vMerge/>
          </w:tcPr>
          <w:p w14:paraId="42851934" w14:textId="77777777" w:rsidR="007F5638" w:rsidRPr="007F5638" w:rsidRDefault="007F5638" w:rsidP="007F5638">
            <w:pPr>
              <w:rPr>
                <w:rFonts w:cstheme="minorHAnsi"/>
                <w:sz w:val="18"/>
                <w:szCs w:val="18"/>
              </w:rPr>
            </w:pPr>
          </w:p>
        </w:tc>
        <w:tc>
          <w:tcPr>
            <w:tcW w:w="1748" w:type="dxa"/>
            <w:gridSpan w:val="4"/>
            <w:vMerge/>
          </w:tcPr>
          <w:p w14:paraId="0724B3AA" w14:textId="77777777" w:rsidR="007F5638" w:rsidRPr="007F5638" w:rsidRDefault="007F5638" w:rsidP="007F5638">
            <w:pPr>
              <w:rPr>
                <w:rFonts w:cstheme="minorHAnsi"/>
                <w:sz w:val="18"/>
                <w:szCs w:val="18"/>
              </w:rPr>
            </w:pPr>
          </w:p>
        </w:tc>
        <w:tc>
          <w:tcPr>
            <w:tcW w:w="2800" w:type="dxa"/>
            <w:gridSpan w:val="4"/>
          </w:tcPr>
          <w:p w14:paraId="260D3715" w14:textId="77777777" w:rsidR="00601D9B" w:rsidRDefault="000E53A0">
            <w:pPr>
              <w:jc w:val="center"/>
              <w:rPr>
                <w:rFonts w:cstheme="minorHAnsi"/>
                <w:sz w:val="18"/>
                <w:szCs w:val="18"/>
              </w:rPr>
            </w:pPr>
            <w:r w:rsidRPr="007F5638">
              <w:rPr>
                <w:rFonts w:cstheme="minorHAnsi"/>
                <w:sz w:val="18"/>
                <w:szCs w:val="18"/>
              </w:rPr>
              <w:t>Attendu</w:t>
            </w:r>
          </w:p>
        </w:tc>
        <w:tc>
          <w:tcPr>
            <w:tcW w:w="2593" w:type="dxa"/>
            <w:gridSpan w:val="2"/>
          </w:tcPr>
          <w:p w14:paraId="6406EE8D" w14:textId="77777777" w:rsidR="00601D9B" w:rsidRDefault="000E53A0">
            <w:pPr>
              <w:jc w:val="center"/>
              <w:rPr>
                <w:rFonts w:cstheme="minorHAnsi"/>
                <w:sz w:val="18"/>
                <w:szCs w:val="18"/>
              </w:rPr>
            </w:pPr>
            <w:r w:rsidRPr="007F5638">
              <w:rPr>
                <w:rFonts w:cstheme="minorHAnsi"/>
                <w:sz w:val="18"/>
                <w:szCs w:val="18"/>
              </w:rPr>
              <w:t>Réalisé</w:t>
            </w:r>
          </w:p>
        </w:tc>
      </w:tr>
      <w:tr w:rsidR="007F5638" w:rsidRPr="007F5638" w14:paraId="300E41DC" w14:textId="77777777" w:rsidTr="001A7B9D">
        <w:trPr>
          <w:trHeight w:val="80"/>
        </w:trPr>
        <w:tc>
          <w:tcPr>
            <w:tcW w:w="1298" w:type="dxa"/>
            <w:vMerge/>
          </w:tcPr>
          <w:p w14:paraId="4006087A" w14:textId="77777777" w:rsidR="007F5638" w:rsidRPr="007F5638" w:rsidRDefault="007F5638" w:rsidP="007F5638">
            <w:pPr>
              <w:rPr>
                <w:rFonts w:cstheme="minorHAnsi"/>
                <w:sz w:val="18"/>
                <w:szCs w:val="18"/>
              </w:rPr>
            </w:pPr>
          </w:p>
        </w:tc>
        <w:tc>
          <w:tcPr>
            <w:tcW w:w="933" w:type="dxa"/>
            <w:vMerge/>
          </w:tcPr>
          <w:p w14:paraId="42800FDB" w14:textId="77777777" w:rsidR="007F5638" w:rsidRPr="007F5638" w:rsidRDefault="007F5638" w:rsidP="007F5638">
            <w:pPr>
              <w:rPr>
                <w:rFonts w:cstheme="minorHAnsi"/>
                <w:sz w:val="18"/>
                <w:szCs w:val="18"/>
              </w:rPr>
            </w:pPr>
          </w:p>
        </w:tc>
        <w:tc>
          <w:tcPr>
            <w:tcW w:w="1748" w:type="dxa"/>
            <w:gridSpan w:val="4"/>
            <w:vMerge/>
          </w:tcPr>
          <w:p w14:paraId="45ED0EBD" w14:textId="77777777" w:rsidR="007F5638" w:rsidRPr="007F5638" w:rsidRDefault="007F5638" w:rsidP="007F5638">
            <w:pPr>
              <w:rPr>
                <w:rFonts w:cstheme="minorHAnsi"/>
                <w:sz w:val="18"/>
                <w:szCs w:val="18"/>
              </w:rPr>
            </w:pPr>
          </w:p>
        </w:tc>
        <w:tc>
          <w:tcPr>
            <w:tcW w:w="1323" w:type="dxa"/>
            <w:gridSpan w:val="2"/>
          </w:tcPr>
          <w:p w14:paraId="325B3BC2" w14:textId="77777777" w:rsidR="00601D9B" w:rsidRDefault="000E53A0">
            <w:pPr>
              <w:jc w:val="center"/>
              <w:rPr>
                <w:rFonts w:cstheme="minorHAnsi"/>
                <w:sz w:val="18"/>
                <w:szCs w:val="18"/>
              </w:rPr>
            </w:pPr>
            <w:r w:rsidRPr="007F5638">
              <w:rPr>
                <w:rFonts w:cstheme="minorHAnsi"/>
                <w:sz w:val="18"/>
                <w:szCs w:val="18"/>
              </w:rPr>
              <w:t>Étape du FIP</w:t>
            </w:r>
          </w:p>
        </w:tc>
        <w:tc>
          <w:tcPr>
            <w:tcW w:w="1477" w:type="dxa"/>
            <w:gridSpan w:val="2"/>
          </w:tcPr>
          <w:p w14:paraId="711045CF" w14:textId="77777777" w:rsidR="00601D9B" w:rsidRDefault="000E53A0">
            <w:pPr>
              <w:jc w:val="center"/>
              <w:rPr>
                <w:rFonts w:cstheme="minorHAnsi"/>
                <w:sz w:val="18"/>
                <w:szCs w:val="18"/>
              </w:rPr>
            </w:pPr>
            <w:r w:rsidRPr="007F5638">
              <w:rPr>
                <w:rFonts w:cstheme="minorHAnsi"/>
                <w:sz w:val="18"/>
                <w:szCs w:val="18"/>
              </w:rPr>
              <w:t>Endossement</w:t>
            </w:r>
          </w:p>
        </w:tc>
        <w:tc>
          <w:tcPr>
            <w:tcW w:w="1306" w:type="dxa"/>
          </w:tcPr>
          <w:p w14:paraId="18530938" w14:textId="77777777" w:rsidR="00601D9B" w:rsidRDefault="000E53A0">
            <w:pPr>
              <w:jc w:val="center"/>
              <w:rPr>
                <w:rFonts w:cstheme="minorHAnsi"/>
                <w:sz w:val="18"/>
                <w:szCs w:val="18"/>
              </w:rPr>
            </w:pPr>
            <w:r w:rsidRPr="007F5638">
              <w:rPr>
                <w:rFonts w:cstheme="minorHAnsi"/>
                <w:sz w:val="18"/>
                <w:szCs w:val="18"/>
              </w:rPr>
              <w:t>MTR</w:t>
            </w:r>
          </w:p>
        </w:tc>
        <w:tc>
          <w:tcPr>
            <w:tcW w:w="1287" w:type="dxa"/>
          </w:tcPr>
          <w:p w14:paraId="449555ED" w14:textId="77777777" w:rsidR="00601D9B" w:rsidRDefault="000E53A0">
            <w:pPr>
              <w:jc w:val="center"/>
              <w:rPr>
                <w:rFonts w:cstheme="minorHAnsi"/>
                <w:sz w:val="18"/>
                <w:szCs w:val="18"/>
              </w:rPr>
            </w:pPr>
            <w:r w:rsidRPr="007F5638">
              <w:rPr>
                <w:rFonts w:cstheme="minorHAnsi"/>
                <w:sz w:val="18"/>
                <w:szCs w:val="18"/>
              </w:rPr>
              <w:t>TE</w:t>
            </w:r>
          </w:p>
        </w:tc>
      </w:tr>
      <w:tr w:rsidR="007F5638" w:rsidRPr="007F5638" w14:paraId="41F8455E" w14:textId="77777777" w:rsidTr="001A7B9D">
        <w:tc>
          <w:tcPr>
            <w:tcW w:w="1298" w:type="dxa"/>
          </w:tcPr>
          <w:p w14:paraId="2E0169D1" w14:textId="77777777" w:rsidR="007F5638" w:rsidRPr="007F5638" w:rsidRDefault="007F5638" w:rsidP="007F5638">
            <w:pPr>
              <w:jc w:val="right"/>
              <w:rPr>
                <w:rFonts w:cstheme="minorHAnsi"/>
                <w:sz w:val="18"/>
                <w:szCs w:val="18"/>
              </w:rPr>
            </w:pPr>
          </w:p>
        </w:tc>
        <w:tc>
          <w:tcPr>
            <w:tcW w:w="933" w:type="dxa"/>
          </w:tcPr>
          <w:p w14:paraId="0745490D" w14:textId="77777777" w:rsidR="007F5638" w:rsidRPr="007F5638" w:rsidRDefault="007F5638" w:rsidP="007F5638">
            <w:pPr>
              <w:jc w:val="right"/>
              <w:rPr>
                <w:rFonts w:cstheme="minorHAnsi"/>
                <w:sz w:val="18"/>
                <w:szCs w:val="18"/>
              </w:rPr>
            </w:pPr>
          </w:p>
        </w:tc>
        <w:tc>
          <w:tcPr>
            <w:tcW w:w="1748" w:type="dxa"/>
            <w:gridSpan w:val="4"/>
          </w:tcPr>
          <w:p w14:paraId="08102E33" w14:textId="77777777" w:rsidR="007F5638" w:rsidRPr="007F5638" w:rsidRDefault="007F5638" w:rsidP="007F5638">
            <w:pPr>
              <w:jc w:val="right"/>
              <w:rPr>
                <w:rFonts w:cstheme="minorHAnsi"/>
                <w:sz w:val="18"/>
                <w:szCs w:val="18"/>
              </w:rPr>
            </w:pPr>
          </w:p>
        </w:tc>
        <w:tc>
          <w:tcPr>
            <w:tcW w:w="1323" w:type="dxa"/>
            <w:gridSpan w:val="2"/>
          </w:tcPr>
          <w:p w14:paraId="6FC91006"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477" w:type="dxa"/>
            <w:gridSpan w:val="2"/>
          </w:tcPr>
          <w:p w14:paraId="0F78AA8C"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306" w:type="dxa"/>
          </w:tcPr>
          <w:p w14:paraId="233373C9"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287" w:type="dxa"/>
          </w:tcPr>
          <w:p w14:paraId="07ED9EF8"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r>
      <w:tr w:rsidR="007F5638" w:rsidRPr="007F5638" w14:paraId="2114010B" w14:textId="77777777" w:rsidTr="001A7B9D">
        <w:tc>
          <w:tcPr>
            <w:tcW w:w="1298" w:type="dxa"/>
          </w:tcPr>
          <w:p w14:paraId="6C8A069B" w14:textId="77777777" w:rsidR="007F5638" w:rsidRPr="007F5638" w:rsidRDefault="007F5638" w:rsidP="007F5638">
            <w:pPr>
              <w:jc w:val="right"/>
              <w:rPr>
                <w:rFonts w:cstheme="minorHAnsi"/>
                <w:sz w:val="18"/>
                <w:szCs w:val="18"/>
              </w:rPr>
            </w:pPr>
          </w:p>
        </w:tc>
        <w:tc>
          <w:tcPr>
            <w:tcW w:w="933" w:type="dxa"/>
          </w:tcPr>
          <w:p w14:paraId="062C51E3" w14:textId="77777777" w:rsidR="007F5638" w:rsidRPr="007F5638" w:rsidRDefault="007F5638" w:rsidP="007F5638">
            <w:pPr>
              <w:jc w:val="right"/>
              <w:rPr>
                <w:rFonts w:cstheme="minorHAnsi"/>
                <w:sz w:val="18"/>
                <w:szCs w:val="18"/>
              </w:rPr>
            </w:pPr>
          </w:p>
        </w:tc>
        <w:tc>
          <w:tcPr>
            <w:tcW w:w="1748" w:type="dxa"/>
            <w:gridSpan w:val="4"/>
          </w:tcPr>
          <w:p w14:paraId="6D4E2264" w14:textId="77777777" w:rsidR="007F5638" w:rsidRPr="007F5638" w:rsidRDefault="007F5638" w:rsidP="007F5638">
            <w:pPr>
              <w:jc w:val="right"/>
              <w:rPr>
                <w:rFonts w:cstheme="minorHAnsi"/>
                <w:sz w:val="18"/>
                <w:szCs w:val="18"/>
              </w:rPr>
            </w:pPr>
          </w:p>
        </w:tc>
        <w:tc>
          <w:tcPr>
            <w:tcW w:w="1323" w:type="dxa"/>
            <w:gridSpan w:val="2"/>
          </w:tcPr>
          <w:p w14:paraId="698A479E"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477" w:type="dxa"/>
            <w:gridSpan w:val="2"/>
          </w:tcPr>
          <w:p w14:paraId="78EA6AD0"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306" w:type="dxa"/>
          </w:tcPr>
          <w:p w14:paraId="5410956A"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287" w:type="dxa"/>
          </w:tcPr>
          <w:p w14:paraId="1B40D40F"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r>
      <w:tr w:rsidR="007F5638" w:rsidRPr="007F5638" w14:paraId="34EBD400" w14:textId="77777777" w:rsidTr="001A7B9D">
        <w:tc>
          <w:tcPr>
            <w:tcW w:w="1298" w:type="dxa"/>
            <w:shd w:val="clear" w:color="auto" w:fill="BFBFBF" w:themeFill="background1" w:themeFillShade="BF"/>
          </w:tcPr>
          <w:p w14:paraId="1778C250" w14:textId="77777777" w:rsidR="00601D9B" w:rsidRDefault="000E53A0">
            <w:pPr>
              <w:rPr>
                <w:rFonts w:cstheme="minorHAnsi"/>
                <w:sz w:val="18"/>
                <w:szCs w:val="18"/>
              </w:rPr>
            </w:pPr>
            <w:r w:rsidRPr="007F5638">
              <w:rPr>
                <w:rFonts w:cstheme="minorHAnsi"/>
                <w:sz w:val="18"/>
                <w:szCs w:val="18"/>
              </w:rPr>
              <w:t>Indicateur 4.2</w:t>
            </w:r>
          </w:p>
        </w:tc>
        <w:tc>
          <w:tcPr>
            <w:tcW w:w="6787" w:type="dxa"/>
            <w:gridSpan w:val="10"/>
            <w:shd w:val="clear" w:color="auto" w:fill="BFBFBF" w:themeFill="background1" w:themeFillShade="BF"/>
          </w:tcPr>
          <w:p w14:paraId="0EC33D33" w14:textId="77777777" w:rsidR="00601D9B" w:rsidRPr="000E53A0" w:rsidRDefault="000E53A0">
            <w:pPr>
              <w:rPr>
                <w:rFonts w:cstheme="minorHAnsi"/>
                <w:sz w:val="18"/>
                <w:szCs w:val="18"/>
                <w:lang w:val="fr-FR"/>
              </w:rPr>
            </w:pPr>
            <w:r w:rsidRPr="000E53A0">
              <w:rPr>
                <w:rFonts w:cstheme="minorHAnsi"/>
                <w:sz w:val="18"/>
                <w:szCs w:val="18"/>
                <w:lang w:val="fr-FR"/>
              </w:rPr>
              <w:t>Superficie des paysages qui répondent à une certification nationale ou internationale par une tierce partie qui intègre des considérations relatives à la biodiversité.</w:t>
            </w:r>
          </w:p>
        </w:tc>
        <w:tc>
          <w:tcPr>
            <w:tcW w:w="1287" w:type="dxa"/>
            <w:shd w:val="clear" w:color="auto" w:fill="BFBFBF" w:themeFill="background1" w:themeFillShade="BF"/>
          </w:tcPr>
          <w:p w14:paraId="730F819A"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r>
      <w:tr w:rsidR="007F5638" w:rsidRPr="007F5638" w14:paraId="395811B4" w14:textId="77777777" w:rsidTr="001A7B9D">
        <w:trPr>
          <w:trHeight w:val="125"/>
        </w:trPr>
        <w:tc>
          <w:tcPr>
            <w:tcW w:w="3979" w:type="dxa"/>
            <w:gridSpan w:val="6"/>
            <w:vMerge w:val="restart"/>
          </w:tcPr>
          <w:p w14:paraId="5630E2EF" w14:textId="77777777" w:rsidR="00601D9B" w:rsidRPr="000E53A0" w:rsidRDefault="000E53A0">
            <w:pPr>
              <w:rPr>
                <w:rFonts w:cstheme="minorHAnsi"/>
                <w:i/>
                <w:color w:val="000000"/>
                <w:sz w:val="18"/>
                <w:szCs w:val="18"/>
                <w:lang w:val="fr-FR"/>
              </w:rPr>
            </w:pPr>
            <w:r w:rsidRPr="000E53A0">
              <w:rPr>
                <w:rFonts w:cstheme="minorHAnsi"/>
                <w:sz w:val="18"/>
                <w:szCs w:val="18"/>
                <w:lang w:val="fr-FR"/>
              </w:rPr>
              <w:t xml:space="preserve">Certification(s) par un tiers </w:t>
            </w:r>
            <w:r w:rsidRPr="007F5638">
              <w:rPr>
                <w:rFonts w:cstheme="minorHAnsi"/>
                <w:i/>
                <w:color w:val="000000"/>
                <w:sz w:val="18"/>
                <w:szCs w:val="18"/>
              </w:rPr>
              <w:fldChar w:fldCharType="begin">
                <w:ffData>
                  <w:name w:val="F_GEB_BD_target"/>
                  <w:enabled/>
                  <w:calcOnExit w:val="0"/>
                  <w:textInput/>
                </w:ffData>
              </w:fldChar>
            </w:r>
            <w:r w:rsidRPr="000E53A0">
              <w:rPr>
                <w:rFonts w:cstheme="minorHAnsi"/>
                <w:i/>
                <w:color w:val="000000"/>
                <w:sz w:val="18"/>
                <w:szCs w:val="18"/>
                <w:lang w:val="fr-FR"/>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0E53A0">
              <w:rPr>
                <w:rFonts w:cstheme="minorHAnsi"/>
                <w:i/>
                <w:noProof/>
                <w:color w:val="000000"/>
                <w:sz w:val="18"/>
                <w:szCs w:val="18"/>
                <w:lang w:val="fr-FR"/>
              </w:rPr>
              <w:t>:</w:t>
            </w:r>
            <w:r w:rsidRPr="007F5638">
              <w:rPr>
                <w:rFonts w:cstheme="minorHAnsi"/>
                <w:i/>
                <w:color w:val="000000"/>
                <w:sz w:val="18"/>
                <w:szCs w:val="18"/>
              </w:rPr>
              <w:fldChar w:fldCharType="end"/>
            </w:r>
          </w:p>
          <w:p w14:paraId="2C7EC9FC" w14:textId="77777777" w:rsidR="007F5638" w:rsidRPr="000E53A0" w:rsidRDefault="007F5638" w:rsidP="007F5638">
            <w:pPr>
              <w:rPr>
                <w:rFonts w:cstheme="minorHAnsi"/>
                <w:i/>
                <w:color w:val="000000"/>
                <w:sz w:val="18"/>
                <w:szCs w:val="18"/>
                <w:lang w:val="fr-FR"/>
              </w:rPr>
            </w:pPr>
            <w:r w:rsidRPr="000E53A0">
              <w:rPr>
                <w:rFonts w:cstheme="minorHAnsi"/>
                <w:i/>
                <w:color w:val="000000"/>
                <w:sz w:val="18"/>
                <w:szCs w:val="18"/>
                <w:lang w:val="fr-FR"/>
              </w:rPr>
              <w:t xml:space="preserve"> </w:t>
            </w:r>
          </w:p>
          <w:p w14:paraId="17179640" w14:textId="77777777" w:rsidR="00601D9B" w:rsidRPr="000E53A0" w:rsidRDefault="00601D9B">
            <w:pPr>
              <w:ind w:left="1782" w:firstLine="378"/>
              <w:rPr>
                <w:rFonts w:cstheme="minorHAnsi"/>
                <w:i/>
                <w:color w:val="000000"/>
                <w:sz w:val="18"/>
                <w:szCs w:val="18"/>
                <w:lang w:val="fr-FR"/>
              </w:rPr>
            </w:pPr>
          </w:p>
          <w:p w14:paraId="7EEBD695" w14:textId="77777777" w:rsidR="007F5638" w:rsidRPr="000E53A0" w:rsidRDefault="007F5638" w:rsidP="007F5638">
            <w:pPr>
              <w:ind w:left="1782" w:firstLine="378"/>
              <w:rPr>
                <w:rFonts w:cstheme="minorHAnsi"/>
                <w:i/>
                <w:color w:val="000000"/>
                <w:sz w:val="18"/>
                <w:szCs w:val="18"/>
                <w:lang w:val="fr-FR"/>
              </w:rPr>
            </w:pPr>
          </w:p>
          <w:p w14:paraId="38942151" w14:textId="77777777" w:rsidR="00601D9B" w:rsidRDefault="000E53A0">
            <w:pPr>
              <w:ind w:left="1782" w:firstLine="378"/>
              <w:rPr>
                <w:rFonts w:cstheme="minorHAnsi"/>
                <w:i/>
                <w:color w:val="000000"/>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p w14:paraId="25CEFEC3" w14:textId="77777777" w:rsidR="007F5638" w:rsidRPr="007F5638" w:rsidRDefault="007F5638" w:rsidP="007F5638">
            <w:pPr>
              <w:rPr>
                <w:rFonts w:cstheme="minorHAnsi"/>
                <w:sz w:val="18"/>
                <w:szCs w:val="18"/>
              </w:rPr>
            </w:pPr>
          </w:p>
        </w:tc>
        <w:tc>
          <w:tcPr>
            <w:tcW w:w="5393" w:type="dxa"/>
            <w:gridSpan w:val="6"/>
          </w:tcPr>
          <w:p w14:paraId="11104C9E" w14:textId="77777777" w:rsidR="00601D9B" w:rsidRDefault="000E53A0">
            <w:pPr>
              <w:jc w:val="center"/>
              <w:rPr>
                <w:rFonts w:cstheme="minorHAnsi"/>
                <w:sz w:val="18"/>
                <w:szCs w:val="18"/>
              </w:rPr>
            </w:pPr>
            <w:r w:rsidRPr="007F5638">
              <w:rPr>
                <w:rFonts w:cstheme="minorHAnsi"/>
                <w:sz w:val="18"/>
                <w:szCs w:val="18"/>
              </w:rPr>
              <w:t>Hectares</w:t>
            </w:r>
          </w:p>
        </w:tc>
      </w:tr>
      <w:tr w:rsidR="007F5638" w:rsidRPr="007F5638" w14:paraId="1691D929" w14:textId="77777777" w:rsidTr="001A7B9D">
        <w:trPr>
          <w:trHeight w:val="58"/>
        </w:trPr>
        <w:tc>
          <w:tcPr>
            <w:tcW w:w="3979" w:type="dxa"/>
            <w:gridSpan w:val="6"/>
            <w:vMerge/>
          </w:tcPr>
          <w:p w14:paraId="02AC0B19" w14:textId="77777777" w:rsidR="007F5638" w:rsidRPr="007F5638" w:rsidRDefault="007F5638" w:rsidP="007F5638">
            <w:pPr>
              <w:rPr>
                <w:rFonts w:cstheme="minorHAnsi"/>
                <w:sz w:val="18"/>
                <w:szCs w:val="18"/>
              </w:rPr>
            </w:pPr>
          </w:p>
        </w:tc>
        <w:tc>
          <w:tcPr>
            <w:tcW w:w="2800" w:type="dxa"/>
            <w:gridSpan w:val="4"/>
          </w:tcPr>
          <w:p w14:paraId="1D32765B" w14:textId="77777777" w:rsidR="00601D9B" w:rsidRDefault="000E53A0">
            <w:pPr>
              <w:jc w:val="center"/>
              <w:rPr>
                <w:rFonts w:cstheme="minorHAnsi"/>
                <w:sz w:val="18"/>
                <w:szCs w:val="18"/>
              </w:rPr>
            </w:pPr>
            <w:r w:rsidRPr="007F5638">
              <w:rPr>
                <w:rFonts w:cstheme="minorHAnsi"/>
                <w:sz w:val="18"/>
                <w:szCs w:val="18"/>
              </w:rPr>
              <w:t>Attendu</w:t>
            </w:r>
          </w:p>
        </w:tc>
        <w:tc>
          <w:tcPr>
            <w:tcW w:w="2593" w:type="dxa"/>
            <w:gridSpan w:val="2"/>
          </w:tcPr>
          <w:p w14:paraId="33F34459" w14:textId="77777777" w:rsidR="00601D9B" w:rsidRDefault="000E53A0">
            <w:pPr>
              <w:jc w:val="center"/>
              <w:rPr>
                <w:rFonts w:cstheme="minorHAnsi"/>
                <w:sz w:val="18"/>
                <w:szCs w:val="18"/>
              </w:rPr>
            </w:pPr>
            <w:r w:rsidRPr="007F5638">
              <w:rPr>
                <w:rFonts w:cstheme="minorHAnsi"/>
                <w:sz w:val="18"/>
                <w:szCs w:val="18"/>
              </w:rPr>
              <w:t>Réalisé</w:t>
            </w:r>
          </w:p>
        </w:tc>
      </w:tr>
      <w:tr w:rsidR="007F5638" w:rsidRPr="007F5638" w14:paraId="5E0619FC" w14:textId="77777777" w:rsidTr="001A7B9D">
        <w:trPr>
          <w:trHeight w:val="197"/>
        </w:trPr>
        <w:tc>
          <w:tcPr>
            <w:tcW w:w="3979" w:type="dxa"/>
            <w:gridSpan w:val="6"/>
            <w:vMerge/>
          </w:tcPr>
          <w:p w14:paraId="7444B0AA" w14:textId="77777777" w:rsidR="007F5638" w:rsidRPr="007F5638" w:rsidRDefault="007F5638" w:rsidP="007F5638">
            <w:pPr>
              <w:rPr>
                <w:rFonts w:cstheme="minorHAnsi"/>
                <w:sz w:val="18"/>
                <w:szCs w:val="18"/>
              </w:rPr>
            </w:pPr>
          </w:p>
        </w:tc>
        <w:tc>
          <w:tcPr>
            <w:tcW w:w="1323" w:type="dxa"/>
            <w:gridSpan w:val="2"/>
          </w:tcPr>
          <w:p w14:paraId="0A3A617F" w14:textId="77777777" w:rsidR="00601D9B" w:rsidRDefault="000E53A0">
            <w:pPr>
              <w:jc w:val="center"/>
              <w:rPr>
                <w:rFonts w:cstheme="minorHAnsi"/>
                <w:sz w:val="18"/>
                <w:szCs w:val="18"/>
              </w:rPr>
            </w:pPr>
            <w:r w:rsidRPr="007F5638">
              <w:rPr>
                <w:rFonts w:cstheme="minorHAnsi"/>
                <w:sz w:val="18"/>
                <w:szCs w:val="18"/>
              </w:rPr>
              <w:t>Étape du FIP</w:t>
            </w:r>
          </w:p>
        </w:tc>
        <w:tc>
          <w:tcPr>
            <w:tcW w:w="1477" w:type="dxa"/>
            <w:gridSpan w:val="2"/>
          </w:tcPr>
          <w:p w14:paraId="7CBB02CD" w14:textId="77777777" w:rsidR="00601D9B" w:rsidRDefault="000E53A0">
            <w:pPr>
              <w:jc w:val="center"/>
              <w:rPr>
                <w:rFonts w:cstheme="minorHAnsi"/>
                <w:sz w:val="18"/>
                <w:szCs w:val="18"/>
              </w:rPr>
            </w:pPr>
            <w:r w:rsidRPr="007F5638">
              <w:rPr>
                <w:rFonts w:cstheme="minorHAnsi"/>
                <w:sz w:val="18"/>
                <w:szCs w:val="18"/>
              </w:rPr>
              <w:t>Endossement</w:t>
            </w:r>
          </w:p>
        </w:tc>
        <w:tc>
          <w:tcPr>
            <w:tcW w:w="1306" w:type="dxa"/>
          </w:tcPr>
          <w:p w14:paraId="2D675F1F" w14:textId="77777777" w:rsidR="00601D9B" w:rsidRDefault="000E53A0">
            <w:pPr>
              <w:jc w:val="center"/>
              <w:rPr>
                <w:rFonts w:cstheme="minorHAnsi"/>
                <w:sz w:val="18"/>
                <w:szCs w:val="18"/>
              </w:rPr>
            </w:pPr>
            <w:r w:rsidRPr="007F5638">
              <w:rPr>
                <w:rFonts w:cstheme="minorHAnsi"/>
                <w:sz w:val="18"/>
                <w:szCs w:val="18"/>
              </w:rPr>
              <w:t>MTR</w:t>
            </w:r>
          </w:p>
        </w:tc>
        <w:tc>
          <w:tcPr>
            <w:tcW w:w="1287" w:type="dxa"/>
          </w:tcPr>
          <w:p w14:paraId="71B8EA6C" w14:textId="77777777" w:rsidR="00601D9B" w:rsidRDefault="000E53A0">
            <w:pPr>
              <w:jc w:val="center"/>
              <w:rPr>
                <w:rFonts w:cstheme="minorHAnsi"/>
                <w:sz w:val="18"/>
                <w:szCs w:val="18"/>
              </w:rPr>
            </w:pPr>
            <w:r w:rsidRPr="007F5638">
              <w:rPr>
                <w:rFonts w:cstheme="minorHAnsi"/>
                <w:sz w:val="18"/>
                <w:szCs w:val="18"/>
              </w:rPr>
              <w:t>TE</w:t>
            </w:r>
          </w:p>
        </w:tc>
      </w:tr>
      <w:tr w:rsidR="007F5638" w:rsidRPr="007F5638" w14:paraId="547CDB8A" w14:textId="77777777" w:rsidTr="001A7B9D">
        <w:tc>
          <w:tcPr>
            <w:tcW w:w="3979" w:type="dxa"/>
            <w:gridSpan w:val="6"/>
            <w:vMerge/>
          </w:tcPr>
          <w:p w14:paraId="2B1FAFFD" w14:textId="77777777" w:rsidR="007F5638" w:rsidRPr="007F5638" w:rsidRDefault="007F5638" w:rsidP="007F5638">
            <w:pPr>
              <w:jc w:val="right"/>
              <w:rPr>
                <w:rFonts w:cstheme="minorHAnsi"/>
                <w:sz w:val="18"/>
                <w:szCs w:val="18"/>
              </w:rPr>
            </w:pPr>
          </w:p>
        </w:tc>
        <w:tc>
          <w:tcPr>
            <w:tcW w:w="1323" w:type="dxa"/>
            <w:gridSpan w:val="2"/>
          </w:tcPr>
          <w:p w14:paraId="79AF55C6"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477" w:type="dxa"/>
            <w:gridSpan w:val="2"/>
          </w:tcPr>
          <w:p w14:paraId="567A771A"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306" w:type="dxa"/>
          </w:tcPr>
          <w:p w14:paraId="3338091F"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287" w:type="dxa"/>
          </w:tcPr>
          <w:p w14:paraId="07C2BA97"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r>
      <w:tr w:rsidR="007F5638" w:rsidRPr="007F5638" w14:paraId="11A7804F" w14:textId="77777777" w:rsidTr="001A7B9D">
        <w:trPr>
          <w:trHeight w:val="215"/>
        </w:trPr>
        <w:tc>
          <w:tcPr>
            <w:tcW w:w="3979" w:type="dxa"/>
            <w:gridSpan w:val="6"/>
            <w:vMerge/>
          </w:tcPr>
          <w:p w14:paraId="54FF2F2C" w14:textId="77777777" w:rsidR="007F5638" w:rsidRPr="007F5638" w:rsidRDefault="007F5638" w:rsidP="007F5638">
            <w:pPr>
              <w:jc w:val="right"/>
              <w:rPr>
                <w:rFonts w:cstheme="minorHAnsi"/>
                <w:sz w:val="18"/>
                <w:szCs w:val="18"/>
              </w:rPr>
            </w:pPr>
          </w:p>
        </w:tc>
        <w:tc>
          <w:tcPr>
            <w:tcW w:w="1323" w:type="dxa"/>
            <w:gridSpan w:val="2"/>
          </w:tcPr>
          <w:p w14:paraId="5CC1965B"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477" w:type="dxa"/>
            <w:gridSpan w:val="2"/>
          </w:tcPr>
          <w:p w14:paraId="09B20611"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306" w:type="dxa"/>
          </w:tcPr>
          <w:p w14:paraId="0D9F67F6"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287" w:type="dxa"/>
          </w:tcPr>
          <w:p w14:paraId="3763FB2B"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r>
      <w:tr w:rsidR="007F5638" w:rsidRPr="007F5638" w14:paraId="0B1661D2" w14:textId="77777777" w:rsidTr="001A7B9D">
        <w:tc>
          <w:tcPr>
            <w:tcW w:w="1298" w:type="dxa"/>
            <w:shd w:val="clear" w:color="auto" w:fill="BFBFBF" w:themeFill="background1" w:themeFillShade="BF"/>
          </w:tcPr>
          <w:p w14:paraId="61F20873" w14:textId="77777777" w:rsidR="00601D9B" w:rsidRDefault="000E53A0">
            <w:pPr>
              <w:rPr>
                <w:rFonts w:cstheme="minorHAnsi"/>
                <w:sz w:val="18"/>
                <w:szCs w:val="18"/>
              </w:rPr>
            </w:pPr>
            <w:r w:rsidRPr="007F5638">
              <w:rPr>
                <w:rFonts w:cstheme="minorHAnsi"/>
                <w:sz w:val="18"/>
                <w:szCs w:val="18"/>
              </w:rPr>
              <w:t>Indicateur 4.3</w:t>
            </w:r>
          </w:p>
        </w:tc>
        <w:tc>
          <w:tcPr>
            <w:tcW w:w="6787" w:type="dxa"/>
            <w:gridSpan w:val="10"/>
            <w:shd w:val="clear" w:color="auto" w:fill="BFBFBF" w:themeFill="background1" w:themeFillShade="BF"/>
          </w:tcPr>
          <w:p w14:paraId="1D3B14FF" w14:textId="77777777" w:rsidR="00601D9B" w:rsidRPr="000E53A0" w:rsidRDefault="000E53A0">
            <w:pPr>
              <w:rPr>
                <w:rFonts w:cstheme="minorHAnsi"/>
                <w:sz w:val="18"/>
                <w:szCs w:val="18"/>
                <w:lang w:val="fr-FR"/>
              </w:rPr>
            </w:pPr>
            <w:r w:rsidRPr="000E53A0">
              <w:rPr>
                <w:rFonts w:cstheme="minorHAnsi"/>
                <w:sz w:val="18"/>
                <w:szCs w:val="18"/>
                <w:lang w:val="fr-FR"/>
              </w:rPr>
              <w:t>Superficie des paysages faisant l'objet d'une gestion durable des terres dans les systèmes de production</w:t>
            </w:r>
          </w:p>
        </w:tc>
        <w:tc>
          <w:tcPr>
            <w:tcW w:w="1287" w:type="dxa"/>
            <w:shd w:val="clear" w:color="auto" w:fill="BFBFBF" w:themeFill="background1" w:themeFillShade="BF"/>
          </w:tcPr>
          <w:p w14:paraId="7EA13FB8"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r>
      <w:tr w:rsidR="007F5638" w:rsidRPr="007F5638" w14:paraId="12C654BF" w14:textId="77777777" w:rsidTr="001A7B9D">
        <w:trPr>
          <w:trHeight w:val="125"/>
        </w:trPr>
        <w:tc>
          <w:tcPr>
            <w:tcW w:w="1298" w:type="dxa"/>
            <w:vMerge w:val="restart"/>
          </w:tcPr>
          <w:p w14:paraId="74B35F05" w14:textId="77777777" w:rsidR="007F5638" w:rsidRPr="007F5638" w:rsidRDefault="007F5638" w:rsidP="007F5638">
            <w:pPr>
              <w:rPr>
                <w:rFonts w:cstheme="minorHAnsi"/>
                <w:sz w:val="18"/>
                <w:szCs w:val="18"/>
              </w:rPr>
            </w:pPr>
          </w:p>
        </w:tc>
        <w:tc>
          <w:tcPr>
            <w:tcW w:w="933" w:type="dxa"/>
            <w:vMerge w:val="restart"/>
          </w:tcPr>
          <w:p w14:paraId="205149B1" w14:textId="77777777" w:rsidR="007F5638" w:rsidRPr="007F5638" w:rsidRDefault="007F5638" w:rsidP="007F5638">
            <w:pPr>
              <w:rPr>
                <w:rFonts w:cstheme="minorHAnsi"/>
                <w:sz w:val="18"/>
                <w:szCs w:val="18"/>
              </w:rPr>
            </w:pPr>
          </w:p>
        </w:tc>
        <w:tc>
          <w:tcPr>
            <w:tcW w:w="1748" w:type="dxa"/>
            <w:gridSpan w:val="4"/>
            <w:vMerge w:val="restart"/>
          </w:tcPr>
          <w:p w14:paraId="6984BCFA" w14:textId="77777777" w:rsidR="007F5638" w:rsidRPr="007F5638" w:rsidRDefault="007F5638" w:rsidP="007F5638">
            <w:pPr>
              <w:rPr>
                <w:rFonts w:cstheme="minorHAnsi"/>
                <w:sz w:val="18"/>
                <w:szCs w:val="18"/>
              </w:rPr>
            </w:pPr>
          </w:p>
        </w:tc>
        <w:tc>
          <w:tcPr>
            <w:tcW w:w="5393" w:type="dxa"/>
            <w:gridSpan w:val="6"/>
          </w:tcPr>
          <w:p w14:paraId="2452AD12" w14:textId="77777777" w:rsidR="00601D9B" w:rsidRDefault="000E53A0">
            <w:pPr>
              <w:jc w:val="center"/>
              <w:rPr>
                <w:rFonts w:cstheme="minorHAnsi"/>
                <w:sz w:val="18"/>
                <w:szCs w:val="18"/>
              </w:rPr>
            </w:pPr>
            <w:r w:rsidRPr="007F5638">
              <w:rPr>
                <w:rFonts w:cstheme="minorHAnsi"/>
                <w:sz w:val="18"/>
                <w:szCs w:val="18"/>
              </w:rPr>
              <w:t>Hectares</w:t>
            </w:r>
          </w:p>
        </w:tc>
      </w:tr>
      <w:tr w:rsidR="007F5638" w:rsidRPr="007F5638" w14:paraId="4B87D028" w14:textId="77777777" w:rsidTr="001A7B9D">
        <w:trPr>
          <w:trHeight w:val="58"/>
        </w:trPr>
        <w:tc>
          <w:tcPr>
            <w:tcW w:w="1298" w:type="dxa"/>
            <w:vMerge/>
          </w:tcPr>
          <w:p w14:paraId="5DADE89E" w14:textId="77777777" w:rsidR="007F5638" w:rsidRPr="007F5638" w:rsidRDefault="007F5638" w:rsidP="007F5638">
            <w:pPr>
              <w:rPr>
                <w:rFonts w:cstheme="minorHAnsi"/>
                <w:sz w:val="18"/>
                <w:szCs w:val="18"/>
              </w:rPr>
            </w:pPr>
          </w:p>
        </w:tc>
        <w:tc>
          <w:tcPr>
            <w:tcW w:w="933" w:type="dxa"/>
            <w:vMerge/>
          </w:tcPr>
          <w:p w14:paraId="73C1EF4E" w14:textId="77777777" w:rsidR="007F5638" w:rsidRPr="007F5638" w:rsidRDefault="007F5638" w:rsidP="007F5638">
            <w:pPr>
              <w:rPr>
                <w:rFonts w:cstheme="minorHAnsi"/>
                <w:sz w:val="18"/>
                <w:szCs w:val="18"/>
              </w:rPr>
            </w:pPr>
          </w:p>
        </w:tc>
        <w:tc>
          <w:tcPr>
            <w:tcW w:w="1748" w:type="dxa"/>
            <w:gridSpan w:val="4"/>
            <w:vMerge/>
          </w:tcPr>
          <w:p w14:paraId="7206717A" w14:textId="77777777" w:rsidR="007F5638" w:rsidRPr="007F5638" w:rsidRDefault="007F5638" w:rsidP="007F5638">
            <w:pPr>
              <w:rPr>
                <w:rFonts w:cstheme="minorHAnsi"/>
                <w:sz w:val="18"/>
                <w:szCs w:val="18"/>
              </w:rPr>
            </w:pPr>
          </w:p>
        </w:tc>
        <w:tc>
          <w:tcPr>
            <w:tcW w:w="2800" w:type="dxa"/>
            <w:gridSpan w:val="4"/>
          </w:tcPr>
          <w:p w14:paraId="7C3C561E" w14:textId="77777777" w:rsidR="00601D9B" w:rsidRDefault="000E53A0">
            <w:pPr>
              <w:jc w:val="center"/>
              <w:rPr>
                <w:rFonts w:cstheme="minorHAnsi"/>
                <w:sz w:val="18"/>
                <w:szCs w:val="18"/>
              </w:rPr>
            </w:pPr>
            <w:r w:rsidRPr="007F5638">
              <w:rPr>
                <w:rFonts w:cstheme="minorHAnsi"/>
                <w:sz w:val="18"/>
                <w:szCs w:val="18"/>
              </w:rPr>
              <w:t>Attendu</w:t>
            </w:r>
          </w:p>
        </w:tc>
        <w:tc>
          <w:tcPr>
            <w:tcW w:w="2593" w:type="dxa"/>
            <w:gridSpan w:val="2"/>
          </w:tcPr>
          <w:p w14:paraId="31C0C665" w14:textId="77777777" w:rsidR="00601D9B" w:rsidRDefault="000E53A0">
            <w:pPr>
              <w:jc w:val="center"/>
              <w:rPr>
                <w:rFonts w:cstheme="minorHAnsi"/>
                <w:sz w:val="18"/>
                <w:szCs w:val="18"/>
              </w:rPr>
            </w:pPr>
            <w:r w:rsidRPr="007F5638">
              <w:rPr>
                <w:rFonts w:cstheme="minorHAnsi"/>
                <w:sz w:val="18"/>
                <w:szCs w:val="18"/>
              </w:rPr>
              <w:t>Réalisé</w:t>
            </w:r>
          </w:p>
        </w:tc>
      </w:tr>
      <w:tr w:rsidR="007F5638" w:rsidRPr="007F5638" w14:paraId="1DF6EB11" w14:textId="77777777" w:rsidTr="001A7B9D">
        <w:trPr>
          <w:trHeight w:val="58"/>
        </w:trPr>
        <w:tc>
          <w:tcPr>
            <w:tcW w:w="1298" w:type="dxa"/>
            <w:vMerge/>
          </w:tcPr>
          <w:p w14:paraId="3449629A" w14:textId="77777777" w:rsidR="007F5638" w:rsidRPr="007F5638" w:rsidRDefault="007F5638" w:rsidP="007F5638">
            <w:pPr>
              <w:rPr>
                <w:rFonts w:cstheme="minorHAnsi"/>
                <w:sz w:val="18"/>
                <w:szCs w:val="18"/>
              </w:rPr>
            </w:pPr>
          </w:p>
        </w:tc>
        <w:tc>
          <w:tcPr>
            <w:tcW w:w="933" w:type="dxa"/>
            <w:vMerge/>
          </w:tcPr>
          <w:p w14:paraId="7E588023" w14:textId="77777777" w:rsidR="007F5638" w:rsidRPr="007F5638" w:rsidRDefault="007F5638" w:rsidP="007F5638">
            <w:pPr>
              <w:rPr>
                <w:rFonts w:cstheme="minorHAnsi"/>
                <w:sz w:val="18"/>
                <w:szCs w:val="18"/>
              </w:rPr>
            </w:pPr>
          </w:p>
        </w:tc>
        <w:tc>
          <w:tcPr>
            <w:tcW w:w="1748" w:type="dxa"/>
            <w:gridSpan w:val="4"/>
            <w:vMerge/>
          </w:tcPr>
          <w:p w14:paraId="2438C8E2" w14:textId="77777777" w:rsidR="007F5638" w:rsidRPr="007F5638" w:rsidRDefault="007F5638" w:rsidP="007F5638">
            <w:pPr>
              <w:rPr>
                <w:rFonts w:cstheme="minorHAnsi"/>
                <w:sz w:val="18"/>
                <w:szCs w:val="18"/>
              </w:rPr>
            </w:pPr>
          </w:p>
        </w:tc>
        <w:tc>
          <w:tcPr>
            <w:tcW w:w="1323" w:type="dxa"/>
            <w:gridSpan w:val="2"/>
          </w:tcPr>
          <w:p w14:paraId="317F5DD8" w14:textId="77777777" w:rsidR="00601D9B" w:rsidRDefault="000E53A0">
            <w:pPr>
              <w:jc w:val="center"/>
              <w:rPr>
                <w:rFonts w:cstheme="minorHAnsi"/>
                <w:sz w:val="18"/>
                <w:szCs w:val="18"/>
              </w:rPr>
            </w:pPr>
            <w:r w:rsidRPr="007F5638">
              <w:rPr>
                <w:rFonts w:cstheme="minorHAnsi"/>
                <w:sz w:val="18"/>
                <w:szCs w:val="18"/>
              </w:rPr>
              <w:t>Étape du FIP</w:t>
            </w:r>
          </w:p>
        </w:tc>
        <w:tc>
          <w:tcPr>
            <w:tcW w:w="1477" w:type="dxa"/>
            <w:gridSpan w:val="2"/>
          </w:tcPr>
          <w:p w14:paraId="7E3FF5D7" w14:textId="77777777" w:rsidR="00601D9B" w:rsidRDefault="000E53A0">
            <w:pPr>
              <w:jc w:val="center"/>
              <w:rPr>
                <w:rFonts w:cstheme="minorHAnsi"/>
                <w:sz w:val="18"/>
                <w:szCs w:val="18"/>
              </w:rPr>
            </w:pPr>
            <w:r w:rsidRPr="007F5638">
              <w:rPr>
                <w:rFonts w:cstheme="minorHAnsi"/>
                <w:sz w:val="18"/>
                <w:szCs w:val="18"/>
              </w:rPr>
              <w:t>Endossement</w:t>
            </w:r>
          </w:p>
        </w:tc>
        <w:tc>
          <w:tcPr>
            <w:tcW w:w="1306" w:type="dxa"/>
          </w:tcPr>
          <w:p w14:paraId="76C73928" w14:textId="77777777" w:rsidR="00601D9B" w:rsidRDefault="000E53A0">
            <w:pPr>
              <w:jc w:val="center"/>
              <w:rPr>
                <w:rFonts w:cstheme="minorHAnsi"/>
                <w:sz w:val="18"/>
                <w:szCs w:val="18"/>
              </w:rPr>
            </w:pPr>
            <w:r w:rsidRPr="007F5638">
              <w:rPr>
                <w:rFonts w:cstheme="minorHAnsi"/>
                <w:sz w:val="18"/>
                <w:szCs w:val="18"/>
              </w:rPr>
              <w:t>MTR</w:t>
            </w:r>
          </w:p>
        </w:tc>
        <w:tc>
          <w:tcPr>
            <w:tcW w:w="1287" w:type="dxa"/>
          </w:tcPr>
          <w:p w14:paraId="53E89DB4" w14:textId="77777777" w:rsidR="00601D9B" w:rsidRDefault="000E53A0">
            <w:pPr>
              <w:jc w:val="center"/>
              <w:rPr>
                <w:rFonts w:cstheme="minorHAnsi"/>
                <w:sz w:val="18"/>
                <w:szCs w:val="18"/>
              </w:rPr>
            </w:pPr>
            <w:r w:rsidRPr="007F5638">
              <w:rPr>
                <w:rFonts w:cstheme="minorHAnsi"/>
                <w:sz w:val="18"/>
                <w:szCs w:val="18"/>
              </w:rPr>
              <w:t>TE</w:t>
            </w:r>
          </w:p>
        </w:tc>
      </w:tr>
      <w:tr w:rsidR="007F5638" w:rsidRPr="007F5638" w14:paraId="1D79C981" w14:textId="77777777" w:rsidTr="001A7B9D">
        <w:tc>
          <w:tcPr>
            <w:tcW w:w="1298" w:type="dxa"/>
          </w:tcPr>
          <w:p w14:paraId="24A4BB80" w14:textId="77777777" w:rsidR="007F5638" w:rsidRPr="007F5638" w:rsidRDefault="007F5638" w:rsidP="007F5638">
            <w:pPr>
              <w:jc w:val="right"/>
              <w:rPr>
                <w:rFonts w:cstheme="minorHAnsi"/>
                <w:sz w:val="18"/>
                <w:szCs w:val="18"/>
              </w:rPr>
            </w:pPr>
          </w:p>
        </w:tc>
        <w:tc>
          <w:tcPr>
            <w:tcW w:w="933" w:type="dxa"/>
          </w:tcPr>
          <w:p w14:paraId="5EB9EC8C" w14:textId="77777777" w:rsidR="007F5638" w:rsidRPr="007F5638" w:rsidRDefault="007F5638" w:rsidP="007F5638">
            <w:pPr>
              <w:jc w:val="right"/>
              <w:rPr>
                <w:rFonts w:cstheme="minorHAnsi"/>
                <w:sz w:val="18"/>
                <w:szCs w:val="18"/>
              </w:rPr>
            </w:pPr>
          </w:p>
        </w:tc>
        <w:tc>
          <w:tcPr>
            <w:tcW w:w="1748" w:type="dxa"/>
            <w:gridSpan w:val="4"/>
          </w:tcPr>
          <w:p w14:paraId="1DB4A8E7" w14:textId="77777777" w:rsidR="007F5638" w:rsidRPr="007F5638" w:rsidRDefault="007F5638" w:rsidP="007F5638">
            <w:pPr>
              <w:jc w:val="right"/>
              <w:rPr>
                <w:rFonts w:cstheme="minorHAnsi"/>
                <w:sz w:val="18"/>
                <w:szCs w:val="18"/>
              </w:rPr>
            </w:pPr>
          </w:p>
        </w:tc>
        <w:tc>
          <w:tcPr>
            <w:tcW w:w="1323" w:type="dxa"/>
            <w:gridSpan w:val="2"/>
          </w:tcPr>
          <w:p w14:paraId="36C06AEE"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477" w:type="dxa"/>
            <w:gridSpan w:val="2"/>
          </w:tcPr>
          <w:p w14:paraId="0ED2EB1B"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306" w:type="dxa"/>
          </w:tcPr>
          <w:p w14:paraId="4C921897"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287" w:type="dxa"/>
          </w:tcPr>
          <w:p w14:paraId="1BC63206"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r>
      <w:tr w:rsidR="007F5638" w:rsidRPr="007F5638" w14:paraId="7E6A954F" w14:textId="77777777" w:rsidTr="001A7B9D">
        <w:tc>
          <w:tcPr>
            <w:tcW w:w="1298" w:type="dxa"/>
          </w:tcPr>
          <w:p w14:paraId="64340B9D" w14:textId="77777777" w:rsidR="007F5638" w:rsidRPr="007F5638" w:rsidRDefault="007F5638" w:rsidP="007F5638">
            <w:pPr>
              <w:jc w:val="right"/>
              <w:rPr>
                <w:rFonts w:cstheme="minorHAnsi"/>
                <w:sz w:val="18"/>
                <w:szCs w:val="18"/>
              </w:rPr>
            </w:pPr>
          </w:p>
        </w:tc>
        <w:tc>
          <w:tcPr>
            <w:tcW w:w="933" w:type="dxa"/>
          </w:tcPr>
          <w:p w14:paraId="3BAE7741" w14:textId="77777777" w:rsidR="007F5638" w:rsidRPr="007F5638" w:rsidRDefault="007F5638" w:rsidP="007F5638">
            <w:pPr>
              <w:jc w:val="right"/>
              <w:rPr>
                <w:rFonts w:cstheme="minorHAnsi"/>
                <w:sz w:val="18"/>
                <w:szCs w:val="18"/>
              </w:rPr>
            </w:pPr>
          </w:p>
        </w:tc>
        <w:tc>
          <w:tcPr>
            <w:tcW w:w="1748" w:type="dxa"/>
            <w:gridSpan w:val="4"/>
          </w:tcPr>
          <w:p w14:paraId="2F21BDB3" w14:textId="77777777" w:rsidR="007F5638" w:rsidRPr="007F5638" w:rsidRDefault="007F5638" w:rsidP="007F5638">
            <w:pPr>
              <w:jc w:val="right"/>
              <w:rPr>
                <w:rFonts w:cstheme="minorHAnsi"/>
                <w:sz w:val="18"/>
                <w:szCs w:val="18"/>
              </w:rPr>
            </w:pPr>
          </w:p>
        </w:tc>
        <w:tc>
          <w:tcPr>
            <w:tcW w:w="1323" w:type="dxa"/>
            <w:gridSpan w:val="2"/>
          </w:tcPr>
          <w:p w14:paraId="3C7741A3"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477" w:type="dxa"/>
            <w:gridSpan w:val="2"/>
          </w:tcPr>
          <w:p w14:paraId="461DDA3D"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306" w:type="dxa"/>
          </w:tcPr>
          <w:p w14:paraId="024A2FB4"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287" w:type="dxa"/>
          </w:tcPr>
          <w:p w14:paraId="7314C230"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r>
      <w:tr w:rsidR="007F5638" w:rsidRPr="007F5638" w14:paraId="12894FC5" w14:textId="77777777" w:rsidTr="001A7B9D">
        <w:tc>
          <w:tcPr>
            <w:tcW w:w="1298" w:type="dxa"/>
            <w:shd w:val="clear" w:color="auto" w:fill="BFBFBF" w:themeFill="background1" w:themeFillShade="BF"/>
          </w:tcPr>
          <w:p w14:paraId="59EF01CA" w14:textId="77777777" w:rsidR="00601D9B" w:rsidRDefault="000E53A0">
            <w:pPr>
              <w:rPr>
                <w:rFonts w:cstheme="minorHAnsi"/>
                <w:sz w:val="18"/>
                <w:szCs w:val="18"/>
              </w:rPr>
            </w:pPr>
            <w:r w:rsidRPr="007F5638">
              <w:rPr>
                <w:rFonts w:cstheme="minorHAnsi"/>
                <w:sz w:val="18"/>
                <w:szCs w:val="18"/>
              </w:rPr>
              <w:t>Indicateur 4.4</w:t>
            </w:r>
          </w:p>
        </w:tc>
        <w:tc>
          <w:tcPr>
            <w:tcW w:w="6787" w:type="dxa"/>
            <w:gridSpan w:val="10"/>
            <w:shd w:val="clear" w:color="auto" w:fill="BFBFBF" w:themeFill="background1" w:themeFillShade="BF"/>
          </w:tcPr>
          <w:p w14:paraId="41249998" w14:textId="77777777" w:rsidR="00601D9B" w:rsidRPr="000E53A0" w:rsidRDefault="000E53A0">
            <w:pPr>
              <w:rPr>
                <w:rFonts w:cstheme="minorHAnsi"/>
                <w:sz w:val="18"/>
                <w:szCs w:val="18"/>
                <w:lang w:val="fr-FR"/>
              </w:rPr>
            </w:pPr>
            <w:r w:rsidRPr="000E53A0">
              <w:rPr>
                <w:rFonts w:cstheme="minorHAnsi"/>
                <w:sz w:val="18"/>
                <w:szCs w:val="18"/>
                <w:lang w:val="fr-FR"/>
              </w:rPr>
              <w:t>Perte évitée de la zone de forêt à haute valeur de conservation (FHVC)</w:t>
            </w:r>
          </w:p>
        </w:tc>
        <w:tc>
          <w:tcPr>
            <w:tcW w:w="1287" w:type="dxa"/>
            <w:shd w:val="clear" w:color="auto" w:fill="BFBFBF" w:themeFill="background1" w:themeFillShade="BF"/>
          </w:tcPr>
          <w:p w14:paraId="342535AF"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r>
      <w:tr w:rsidR="007F5638" w:rsidRPr="007F5638" w14:paraId="1AB4B65D" w14:textId="77777777" w:rsidTr="001A7B9D">
        <w:trPr>
          <w:trHeight w:val="125"/>
        </w:trPr>
        <w:tc>
          <w:tcPr>
            <w:tcW w:w="3979" w:type="dxa"/>
            <w:gridSpan w:val="6"/>
            <w:vMerge w:val="restart"/>
          </w:tcPr>
          <w:p w14:paraId="38C60033" w14:textId="77777777" w:rsidR="00601D9B" w:rsidRPr="000E53A0" w:rsidRDefault="000E53A0">
            <w:pPr>
              <w:rPr>
                <w:rFonts w:cstheme="minorHAnsi"/>
                <w:sz w:val="18"/>
                <w:szCs w:val="18"/>
                <w:lang w:val="fr-FR"/>
              </w:rPr>
            </w:pPr>
            <w:r w:rsidRPr="000E53A0">
              <w:rPr>
                <w:rFonts w:cstheme="minorHAnsi"/>
                <w:sz w:val="18"/>
                <w:szCs w:val="18"/>
                <w:lang w:val="fr-FR"/>
              </w:rPr>
              <w:t>Inclure la documentation qui justifie le HCVF</w:t>
            </w:r>
          </w:p>
          <w:p w14:paraId="1F0270E2" w14:textId="77777777" w:rsidR="00601D9B" w:rsidRDefault="000E53A0">
            <w:pPr>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5393" w:type="dxa"/>
            <w:gridSpan w:val="6"/>
          </w:tcPr>
          <w:p w14:paraId="3BB14519" w14:textId="77777777" w:rsidR="00601D9B" w:rsidRDefault="000E53A0">
            <w:pPr>
              <w:jc w:val="center"/>
              <w:rPr>
                <w:rFonts w:cstheme="minorHAnsi"/>
                <w:sz w:val="18"/>
                <w:szCs w:val="18"/>
              </w:rPr>
            </w:pPr>
            <w:r w:rsidRPr="007F5638">
              <w:rPr>
                <w:rFonts w:cstheme="minorHAnsi"/>
                <w:sz w:val="18"/>
                <w:szCs w:val="18"/>
              </w:rPr>
              <w:t>Hectares</w:t>
            </w:r>
          </w:p>
        </w:tc>
      </w:tr>
      <w:tr w:rsidR="007F5638" w:rsidRPr="007F5638" w14:paraId="3DFCA3A0" w14:textId="77777777" w:rsidTr="001A7B9D">
        <w:trPr>
          <w:trHeight w:val="58"/>
        </w:trPr>
        <w:tc>
          <w:tcPr>
            <w:tcW w:w="3979" w:type="dxa"/>
            <w:gridSpan w:val="6"/>
            <w:vMerge/>
          </w:tcPr>
          <w:p w14:paraId="21C4BEF1" w14:textId="77777777" w:rsidR="007F5638" w:rsidRPr="007F5638" w:rsidRDefault="007F5638" w:rsidP="007F5638">
            <w:pPr>
              <w:rPr>
                <w:rFonts w:cstheme="minorHAnsi"/>
                <w:sz w:val="18"/>
                <w:szCs w:val="18"/>
              </w:rPr>
            </w:pPr>
          </w:p>
        </w:tc>
        <w:tc>
          <w:tcPr>
            <w:tcW w:w="2800" w:type="dxa"/>
            <w:gridSpan w:val="4"/>
          </w:tcPr>
          <w:p w14:paraId="13DDDD06" w14:textId="77777777" w:rsidR="00601D9B" w:rsidRDefault="000E53A0">
            <w:pPr>
              <w:jc w:val="center"/>
              <w:rPr>
                <w:rFonts w:cstheme="minorHAnsi"/>
                <w:sz w:val="18"/>
                <w:szCs w:val="18"/>
              </w:rPr>
            </w:pPr>
            <w:r w:rsidRPr="007F5638">
              <w:rPr>
                <w:rFonts w:cstheme="minorHAnsi"/>
                <w:sz w:val="18"/>
                <w:szCs w:val="18"/>
              </w:rPr>
              <w:t>Attendu</w:t>
            </w:r>
          </w:p>
        </w:tc>
        <w:tc>
          <w:tcPr>
            <w:tcW w:w="2593" w:type="dxa"/>
            <w:gridSpan w:val="2"/>
          </w:tcPr>
          <w:p w14:paraId="4174EEDE" w14:textId="77777777" w:rsidR="00601D9B" w:rsidRDefault="000E53A0">
            <w:pPr>
              <w:jc w:val="center"/>
              <w:rPr>
                <w:rFonts w:cstheme="minorHAnsi"/>
                <w:sz w:val="18"/>
                <w:szCs w:val="18"/>
              </w:rPr>
            </w:pPr>
            <w:r w:rsidRPr="007F5638">
              <w:rPr>
                <w:rFonts w:cstheme="minorHAnsi"/>
                <w:sz w:val="18"/>
                <w:szCs w:val="18"/>
              </w:rPr>
              <w:t>Réalisé</w:t>
            </w:r>
          </w:p>
        </w:tc>
      </w:tr>
      <w:tr w:rsidR="007F5638" w:rsidRPr="007F5638" w14:paraId="5173B7A7" w14:textId="77777777" w:rsidTr="001A7B9D">
        <w:trPr>
          <w:trHeight w:val="80"/>
        </w:trPr>
        <w:tc>
          <w:tcPr>
            <w:tcW w:w="3979" w:type="dxa"/>
            <w:gridSpan w:val="6"/>
            <w:vMerge/>
          </w:tcPr>
          <w:p w14:paraId="201DF6F6" w14:textId="77777777" w:rsidR="007F5638" w:rsidRPr="007F5638" w:rsidRDefault="007F5638" w:rsidP="007F5638">
            <w:pPr>
              <w:rPr>
                <w:rFonts w:cstheme="minorHAnsi"/>
                <w:sz w:val="18"/>
                <w:szCs w:val="18"/>
              </w:rPr>
            </w:pPr>
          </w:p>
        </w:tc>
        <w:tc>
          <w:tcPr>
            <w:tcW w:w="1323" w:type="dxa"/>
            <w:gridSpan w:val="2"/>
          </w:tcPr>
          <w:p w14:paraId="3897F9EF" w14:textId="77777777" w:rsidR="00601D9B" w:rsidRDefault="000E53A0">
            <w:pPr>
              <w:jc w:val="center"/>
              <w:rPr>
                <w:rFonts w:cstheme="minorHAnsi"/>
                <w:sz w:val="18"/>
                <w:szCs w:val="18"/>
              </w:rPr>
            </w:pPr>
            <w:r w:rsidRPr="007F5638">
              <w:rPr>
                <w:rFonts w:cstheme="minorHAnsi"/>
                <w:sz w:val="18"/>
                <w:szCs w:val="18"/>
              </w:rPr>
              <w:t>Étape du FIP</w:t>
            </w:r>
          </w:p>
        </w:tc>
        <w:tc>
          <w:tcPr>
            <w:tcW w:w="1477" w:type="dxa"/>
            <w:gridSpan w:val="2"/>
          </w:tcPr>
          <w:p w14:paraId="395C1300" w14:textId="77777777" w:rsidR="00601D9B" w:rsidRDefault="000E53A0">
            <w:pPr>
              <w:jc w:val="center"/>
              <w:rPr>
                <w:rFonts w:cstheme="minorHAnsi"/>
                <w:sz w:val="18"/>
                <w:szCs w:val="18"/>
              </w:rPr>
            </w:pPr>
            <w:r w:rsidRPr="007F5638">
              <w:rPr>
                <w:rFonts w:cstheme="minorHAnsi"/>
                <w:sz w:val="18"/>
                <w:szCs w:val="18"/>
              </w:rPr>
              <w:t>Endossement</w:t>
            </w:r>
          </w:p>
        </w:tc>
        <w:tc>
          <w:tcPr>
            <w:tcW w:w="1306" w:type="dxa"/>
          </w:tcPr>
          <w:p w14:paraId="1C51C44A" w14:textId="77777777" w:rsidR="00601D9B" w:rsidRDefault="000E53A0">
            <w:pPr>
              <w:jc w:val="center"/>
              <w:rPr>
                <w:rFonts w:cstheme="minorHAnsi"/>
                <w:sz w:val="18"/>
                <w:szCs w:val="18"/>
              </w:rPr>
            </w:pPr>
            <w:r w:rsidRPr="007F5638">
              <w:rPr>
                <w:rFonts w:cstheme="minorHAnsi"/>
                <w:sz w:val="18"/>
                <w:szCs w:val="18"/>
              </w:rPr>
              <w:t>MTR</w:t>
            </w:r>
          </w:p>
        </w:tc>
        <w:tc>
          <w:tcPr>
            <w:tcW w:w="1287" w:type="dxa"/>
          </w:tcPr>
          <w:p w14:paraId="07E403D5" w14:textId="77777777" w:rsidR="00601D9B" w:rsidRDefault="000E53A0">
            <w:pPr>
              <w:jc w:val="center"/>
              <w:rPr>
                <w:rFonts w:cstheme="minorHAnsi"/>
                <w:sz w:val="18"/>
                <w:szCs w:val="18"/>
              </w:rPr>
            </w:pPr>
            <w:r w:rsidRPr="007F5638">
              <w:rPr>
                <w:rFonts w:cstheme="minorHAnsi"/>
                <w:sz w:val="18"/>
                <w:szCs w:val="18"/>
              </w:rPr>
              <w:t>TE</w:t>
            </w:r>
          </w:p>
        </w:tc>
      </w:tr>
      <w:tr w:rsidR="007F5638" w:rsidRPr="007F5638" w14:paraId="300D36B6" w14:textId="77777777" w:rsidTr="001A7B9D">
        <w:tc>
          <w:tcPr>
            <w:tcW w:w="3979" w:type="dxa"/>
            <w:gridSpan w:val="6"/>
            <w:vMerge/>
          </w:tcPr>
          <w:p w14:paraId="5F596120" w14:textId="77777777" w:rsidR="007F5638" w:rsidRPr="007F5638" w:rsidRDefault="007F5638" w:rsidP="007F5638">
            <w:pPr>
              <w:jc w:val="right"/>
              <w:rPr>
                <w:rFonts w:cstheme="minorHAnsi"/>
                <w:sz w:val="18"/>
                <w:szCs w:val="18"/>
              </w:rPr>
            </w:pPr>
          </w:p>
        </w:tc>
        <w:tc>
          <w:tcPr>
            <w:tcW w:w="1323" w:type="dxa"/>
            <w:gridSpan w:val="2"/>
          </w:tcPr>
          <w:p w14:paraId="02EFF234"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477" w:type="dxa"/>
            <w:gridSpan w:val="2"/>
          </w:tcPr>
          <w:p w14:paraId="4A2B65BE"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306" w:type="dxa"/>
          </w:tcPr>
          <w:p w14:paraId="7DEB1458"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287" w:type="dxa"/>
          </w:tcPr>
          <w:p w14:paraId="3E788182"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r>
      <w:tr w:rsidR="007F5638" w:rsidRPr="007F5638" w14:paraId="73A9255A" w14:textId="77777777" w:rsidTr="001A7B9D">
        <w:tc>
          <w:tcPr>
            <w:tcW w:w="3979" w:type="dxa"/>
            <w:gridSpan w:val="6"/>
            <w:vMerge/>
          </w:tcPr>
          <w:p w14:paraId="05F8BFD5" w14:textId="77777777" w:rsidR="007F5638" w:rsidRPr="007F5638" w:rsidRDefault="007F5638" w:rsidP="007F5638">
            <w:pPr>
              <w:jc w:val="right"/>
              <w:rPr>
                <w:rFonts w:cstheme="minorHAnsi"/>
                <w:sz w:val="18"/>
                <w:szCs w:val="18"/>
              </w:rPr>
            </w:pPr>
          </w:p>
        </w:tc>
        <w:tc>
          <w:tcPr>
            <w:tcW w:w="1323" w:type="dxa"/>
            <w:gridSpan w:val="2"/>
          </w:tcPr>
          <w:p w14:paraId="32E40E72"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477" w:type="dxa"/>
            <w:gridSpan w:val="2"/>
          </w:tcPr>
          <w:p w14:paraId="720AEA80"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306" w:type="dxa"/>
          </w:tcPr>
          <w:p w14:paraId="27D32E75"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287" w:type="dxa"/>
          </w:tcPr>
          <w:p w14:paraId="6BA9FF04"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r>
      <w:tr w:rsidR="007F5638" w:rsidRPr="007F5638" w14:paraId="2EC731FD" w14:textId="77777777" w:rsidTr="001A7B9D">
        <w:tc>
          <w:tcPr>
            <w:tcW w:w="1298" w:type="dxa"/>
            <w:shd w:val="clear" w:color="auto" w:fill="D9D9D9" w:themeFill="background1" w:themeFillShade="D9"/>
          </w:tcPr>
          <w:p w14:paraId="3B0AD2ED" w14:textId="77777777" w:rsidR="00601D9B" w:rsidRDefault="000E53A0">
            <w:pPr>
              <w:rPr>
                <w:rFonts w:cstheme="minorHAnsi"/>
                <w:b/>
                <w:sz w:val="18"/>
                <w:szCs w:val="18"/>
              </w:rPr>
            </w:pPr>
            <w:r w:rsidRPr="007F5638">
              <w:rPr>
                <w:rFonts w:cstheme="minorHAnsi"/>
                <w:b/>
                <w:sz w:val="18"/>
                <w:szCs w:val="18"/>
              </w:rPr>
              <w:t>Indicateur de base 5</w:t>
            </w:r>
          </w:p>
        </w:tc>
        <w:tc>
          <w:tcPr>
            <w:tcW w:w="6787" w:type="dxa"/>
            <w:gridSpan w:val="10"/>
            <w:shd w:val="clear" w:color="auto" w:fill="D9D9D9" w:themeFill="background1" w:themeFillShade="D9"/>
          </w:tcPr>
          <w:p w14:paraId="294A90DC" w14:textId="77777777" w:rsidR="00601D9B" w:rsidRPr="000E53A0" w:rsidRDefault="000E53A0">
            <w:pPr>
              <w:rPr>
                <w:rFonts w:cstheme="minorHAnsi"/>
                <w:b/>
                <w:sz w:val="18"/>
                <w:szCs w:val="18"/>
                <w:lang w:val="fr-FR"/>
              </w:rPr>
            </w:pPr>
            <w:r w:rsidRPr="000E53A0">
              <w:rPr>
                <w:rFonts w:cstheme="minorHAnsi"/>
                <w:b/>
                <w:sz w:val="18"/>
                <w:szCs w:val="18"/>
                <w:lang w:val="fr-FR"/>
              </w:rPr>
              <w:t>Zone d'habitat marin faisant l'objet de pratiques améliorées au profit de la biodiversité</w:t>
            </w:r>
          </w:p>
        </w:tc>
        <w:tc>
          <w:tcPr>
            <w:tcW w:w="1287" w:type="dxa"/>
            <w:shd w:val="clear" w:color="auto" w:fill="D9D9D9" w:themeFill="background1" w:themeFillShade="D9"/>
          </w:tcPr>
          <w:p w14:paraId="2CA41BB1" w14:textId="77777777" w:rsidR="00601D9B" w:rsidRDefault="000E53A0">
            <w:pPr>
              <w:jc w:val="right"/>
              <w:rPr>
                <w:rFonts w:cstheme="minorHAnsi"/>
                <w:b/>
                <w:sz w:val="18"/>
                <w:szCs w:val="18"/>
              </w:rPr>
            </w:pPr>
            <w:r w:rsidRPr="007F5638">
              <w:rPr>
                <w:rFonts w:cstheme="minorHAnsi"/>
                <w:b/>
                <w:i/>
                <w:color w:val="000000"/>
                <w:sz w:val="18"/>
                <w:szCs w:val="18"/>
              </w:rPr>
              <w:fldChar w:fldCharType="begin">
                <w:ffData>
                  <w:name w:val="F_GEB_BD_target"/>
                  <w:enabled/>
                  <w:calcOnExit w:val="0"/>
                  <w:textInput>
                    <w:default w:val="(Hectares)"/>
                  </w:textInput>
                </w:ffData>
              </w:fldChar>
            </w:r>
            <w:r w:rsidRPr="007F5638">
              <w:rPr>
                <w:rFonts w:cstheme="minorHAnsi"/>
                <w:b/>
                <w:i/>
                <w:color w:val="000000"/>
                <w:sz w:val="18"/>
                <w:szCs w:val="18"/>
              </w:rPr>
              <w:instrText xml:space="preserve"> FORMTEXT </w:instrText>
            </w:r>
            <w:r w:rsidRPr="007F5638">
              <w:rPr>
                <w:rFonts w:cstheme="minorHAnsi"/>
                <w:b/>
                <w:i/>
                <w:color w:val="000000"/>
                <w:sz w:val="18"/>
                <w:szCs w:val="18"/>
              </w:rPr>
            </w:r>
            <w:r w:rsidRPr="007F5638">
              <w:rPr>
                <w:rFonts w:cstheme="minorHAnsi"/>
                <w:b/>
                <w:i/>
                <w:color w:val="000000"/>
                <w:sz w:val="18"/>
                <w:szCs w:val="18"/>
              </w:rPr>
              <w:fldChar w:fldCharType="separate"/>
            </w:r>
            <w:r w:rsidRPr="007F5638">
              <w:rPr>
                <w:rFonts w:cstheme="minorHAnsi"/>
                <w:b/>
                <w:i/>
                <w:noProof/>
                <w:color w:val="000000"/>
                <w:sz w:val="18"/>
                <w:szCs w:val="18"/>
              </w:rPr>
              <w:t>(Hectares)</w:t>
            </w:r>
            <w:r w:rsidRPr="007F5638">
              <w:rPr>
                <w:rFonts w:cstheme="minorHAnsi"/>
                <w:b/>
                <w:i/>
                <w:color w:val="000000"/>
                <w:sz w:val="18"/>
                <w:szCs w:val="18"/>
              </w:rPr>
              <w:fldChar w:fldCharType="end"/>
            </w:r>
          </w:p>
        </w:tc>
      </w:tr>
      <w:tr w:rsidR="007F5638" w:rsidRPr="007F5638" w14:paraId="47493F1C" w14:textId="77777777" w:rsidTr="001A7B9D">
        <w:tc>
          <w:tcPr>
            <w:tcW w:w="1298" w:type="dxa"/>
            <w:shd w:val="clear" w:color="auto" w:fill="BFBFBF" w:themeFill="background1" w:themeFillShade="BF"/>
          </w:tcPr>
          <w:p w14:paraId="2AD584D6" w14:textId="77777777" w:rsidR="00601D9B" w:rsidRDefault="000E53A0">
            <w:pPr>
              <w:rPr>
                <w:rFonts w:cstheme="minorHAnsi"/>
                <w:sz w:val="18"/>
                <w:szCs w:val="18"/>
              </w:rPr>
            </w:pPr>
            <w:r w:rsidRPr="007F5638">
              <w:rPr>
                <w:rFonts w:cstheme="minorHAnsi"/>
                <w:sz w:val="18"/>
                <w:szCs w:val="18"/>
              </w:rPr>
              <w:t>Indicateur 5.1</w:t>
            </w:r>
          </w:p>
        </w:tc>
        <w:tc>
          <w:tcPr>
            <w:tcW w:w="6787" w:type="dxa"/>
            <w:gridSpan w:val="10"/>
            <w:shd w:val="clear" w:color="auto" w:fill="BFBFBF" w:themeFill="background1" w:themeFillShade="BF"/>
          </w:tcPr>
          <w:p w14:paraId="5C55DBFC" w14:textId="77777777" w:rsidR="00601D9B" w:rsidRPr="000E53A0" w:rsidRDefault="000E53A0">
            <w:pPr>
              <w:rPr>
                <w:rFonts w:cstheme="minorHAnsi"/>
                <w:sz w:val="18"/>
                <w:szCs w:val="18"/>
                <w:lang w:val="fr-FR"/>
              </w:rPr>
            </w:pPr>
            <w:r w:rsidRPr="000E53A0">
              <w:rPr>
                <w:rFonts w:cstheme="minorHAnsi"/>
                <w:sz w:val="18"/>
                <w:szCs w:val="18"/>
                <w:lang w:val="fr-FR"/>
              </w:rPr>
              <w:t>Nombre de pêcheries qui satisfont à une certification nationale ou internationale par une tierce partie qui intègre des considérations relatives à la biodiversité</w:t>
            </w:r>
          </w:p>
        </w:tc>
        <w:tc>
          <w:tcPr>
            <w:tcW w:w="1287" w:type="dxa"/>
            <w:shd w:val="clear" w:color="auto" w:fill="BFBFBF" w:themeFill="background1" w:themeFillShade="BF"/>
          </w:tcPr>
          <w:p w14:paraId="64E52F02"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r>
      <w:tr w:rsidR="007F5638" w:rsidRPr="007F5638" w14:paraId="7FBDA19C" w14:textId="77777777" w:rsidTr="001A7B9D">
        <w:trPr>
          <w:trHeight w:val="125"/>
        </w:trPr>
        <w:tc>
          <w:tcPr>
            <w:tcW w:w="3979" w:type="dxa"/>
            <w:gridSpan w:val="6"/>
            <w:vMerge w:val="restart"/>
          </w:tcPr>
          <w:p w14:paraId="6006F7C7" w14:textId="77777777" w:rsidR="00601D9B" w:rsidRPr="000E53A0" w:rsidRDefault="000E53A0">
            <w:pPr>
              <w:rPr>
                <w:rFonts w:cstheme="minorHAnsi"/>
                <w:i/>
                <w:color w:val="000000"/>
                <w:sz w:val="18"/>
                <w:szCs w:val="18"/>
                <w:lang w:val="fr-FR"/>
              </w:rPr>
            </w:pPr>
            <w:r w:rsidRPr="000E53A0">
              <w:rPr>
                <w:rFonts w:cstheme="minorHAnsi"/>
                <w:sz w:val="18"/>
                <w:szCs w:val="18"/>
                <w:lang w:val="fr-FR"/>
              </w:rPr>
              <w:t xml:space="preserve">Certification(s) par un tiers </w:t>
            </w:r>
            <w:r w:rsidRPr="007F5638">
              <w:rPr>
                <w:rFonts w:cstheme="minorHAnsi"/>
                <w:i/>
                <w:color w:val="000000"/>
                <w:sz w:val="18"/>
                <w:szCs w:val="18"/>
              </w:rPr>
              <w:fldChar w:fldCharType="begin">
                <w:ffData>
                  <w:name w:val="F_GEB_BD_target"/>
                  <w:enabled/>
                  <w:calcOnExit w:val="0"/>
                  <w:textInput/>
                </w:ffData>
              </w:fldChar>
            </w:r>
            <w:r w:rsidRPr="000E53A0">
              <w:rPr>
                <w:rFonts w:cstheme="minorHAnsi"/>
                <w:i/>
                <w:color w:val="000000"/>
                <w:sz w:val="18"/>
                <w:szCs w:val="18"/>
                <w:lang w:val="fr-FR"/>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0E53A0">
              <w:rPr>
                <w:rFonts w:cstheme="minorHAnsi"/>
                <w:i/>
                <w:noProof/>
                <w:color w:val="000000"/>
                <w:sz w:val="18"/>
                <w:szCs w:val="18"/>
                <w:lang w:val="fr-FR"/>
              </w:rPr>
              <w:t>:</w:t>
            </w:r>
            <w:r w:rsidRPr="007F5638">
              <w:rPr>
                <w:rFonts w:cstheme="minorHAnsi"/>
                <w:i/>
                <w:color w:val="000000"/>
                <w:sz w:val="18"/>
                <w:szCs w:val="18"/>
              </w:rPr>
              <w:fldChar w:fldCharType="end"/>
            </w:r>
          </w:p>
          <w:p w14:paraId="065C68A2" w14:textId="77777777" w:rsidR="007F5638" w:rsidRPr="000E53A0" w:rsidRDefault="007F5638" w:rsidP="007F5638">
            <w:pPr>
              <w:rPr>
                <w:rFonts w:cstheme="minorHAnsi"/>
                <w:i/>
                <w:color w:val="000000"/>
                <w:sz w:val="18"/>
                <w:szCs w:val="18"/>
                <w:lang w:val="fr-FR"/>
              </w:rPr>
            </w:pPr>
          </w:p>
          <w:p w14:paraId="2226D270" w14:textId="77777777" w:rsidR="00601D9B" w:rsidRDefault="000E53A0">
            <w:pPr>
              <w:ind w:left="2160"/>
              <w:rPr>
                <w:rFonts w:cstheme="minorHAnsi"/>
                <w:i/>
                <w:color w:val="000000"/>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p w14:paraId="4663E662" w14:textId="77777777" w:rsidR="007F5638" w:rsidRPr="007F5638" w:rsidRDefault="007F5638" w:rsidP="007F5638">
            <w:pPr>
              <w:ind w:left="2160"/>
              <w:rPr>
                <w:rFonts w:cstheme="minorHAnsi"/>
                <w:i/>
                <w:color w:val="000000"/>
                <w:sz w:val="18"/>
                <w:szCs w:val="18"/>
              </w:rPr>
            </w:pPr>
          </w:p>
          <w:p w14:paraId="018A1353" w14:textId="77777777" w:rsidR="00601D9B" w:rsidRDefault="000E53A0">
            <w:pPr>
              <w:ind w:left="2160"/>
              <w:rPr>
                <w:rFonts w:cstheme="minorHAnsi"/>
                <w:sz w:val="18"/>
                <w:szCs w:val="18"/>
              </w:rPr>
            </w:pPr>
            <w:r w:rsidRPr="007F5638">
              <w:rPr>
                <w:rFonts w:cstheme="minorHAnsi"/>
                <w:i/>
                <w:color w:val="000000"/>
                <w:sz w:val="18"/>
                <w:szCs w:val="18"/>
              </w:rPr>
              <w:lastRenderedPageBreak/>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5393" w:type="dxa"/>
            <w:gridSpan w:val="6"/>
          </w:tcPr>
          <w:p w14:paraId="291402D6" w14:textId="77777777" w:rsidR="00601D9B" w:rsidRDefault="000E53A0">
            <w:pPr>
              <w:jc w:val="center"/>
              <w:rPr>
                <w:rFonts w:cstheme="minorHAnsi"/>
                <w:sz w:val="18"/>
                <w:szCs w:val="18"/>
              </w:rPr>
            </w:pPr>
            <w:r w:rsidRPr="007F5638">
              <w:rPr>
                <w:rFonts w:cstheme="minorHAnsi"/>
                <w:sz w:val="18"/>
                <w:szCs w:val="18"/>
              </w:rPr>
              <w:lastRenderedPageBreak/>
              <w:t>Numéro</w:t>
            </w:r>
          </w:p>
        </w:tc>
      </w:tr>
      <w:tr w:rsidR="007F5638" w:rsidRPr="007F5638" w14:paraId="2D468FBF" w14:textId="77777777" w:rsidTr="001A7B9D">
        <w:trPr>
          <w:trHeight w:val="58"/>
        </w:trPr>
        <w:tc>
          <w:tcPr>
            <w:tcW w:w="3979" w:type="dxa"/>
            <w:gridSpan w:val="6"/>
            <w:vMerge/>
          </w:tcPr>
          <w:p w14:paraId="28EDC929" w14:textId="77777777" w:rsidR="007F5638" w:rsidRPr="007F5638" w:rsidRDefault="007F5638" w:rsidP="007F5638">
            <w:pPr>
              <w:rPr>
                <w:rFonts w:cstheme="minorHAnsi"/>
                <w:sz w:val="18"/>
                <w:szCs w:val="18"/>
              </w:rPr>
            </w:pPr>
          </w:p>
        </w:tc>
        <w:tc>
          <w:tcPr>
            <w:tcW w:w="2800" w:type="dxa"/>
            <w:gridSpan w:val="4"/>
          </w:tcPr>
          <w:p w14:paraId="454ADFEB" w14:textId="77777777" w:rsidR="00601D9B" w:rsidRDefault="000E53A0">
            <w:pPr>
              <w:jc w:val="center"/>
              <w:rPr>
                <w:rFonts w:cstheme="minorHAnsi"/>
                <w:sz w:val="18"/>
                <w:szCs w:val="18"/>
              </w:rPr>
            </w:pPr>
            <w:r w:rsidRPr="007F5638">
              <w:rPr>
                <w:rFonts w:cstheme="minorHAnsi"/>
                <w:sz w:val="18"/>
                <w:szCs w:val="18"/>
              </w:rPr>
              <w:t>Attendu</w:t>
            </w:r>
          </w:p>
        </w:tc>
        <w:tc>
          <w:tcPr>
            <w:tcW w:w="2593" w:type="dxa"/>
            <w:gridSpan w:val="2"/>
          </w:tcPr>
          <w:p w14:paraId="647D12C9" w14:textId="77777777" w:rsidR="00601D9B" w:rsidRDefault="000E53A0">
            <w:pPr>
              <w:jc w:val="center"/>
              <w:rPr>
                <w:rFonts w:cstheme="minorHAnsi"/>
                <w:sz w:val="18"/>
                <w:szCs w:val="18"/>
              </w:rPr>
            </w:pPr>
            <w:r w:rsidRPr="007F5638">
              <w:rPr>
                <w:rFonts w:cstheme="minorHAnsi"/>
                <w:sz w:val="18"/>
                <w:szCs w:val="18"/>
              </w:rPr>
              <w:t>Réalisé</w:t>
            </w:r>
          </w:p>
        </w:tc>
      </w:tr>
      <w:tr w:rsidR="007F5638" w:rsidRPr="007F5638" w14:paraId="6045AA4B" w14:textId="77777777" w:rsidTr="001A7B9D">
        <w:trPr>
          <w:trHeight w:val="71"/>
        </w:trPr>
        <w:tc>
          <w:tcPr>
            <w:tcW w:w="3979" w:type="dxa"/>
            <w:gridSpan w:val="6"/>
            <w:vMerge/>
          </w:tcPr>
          <w:p w14:paraId="07056D5A" w14:textId="77777777" w:rsidR="007F5638" w:rsidRPr="007F5638" w:rsidRDefault="007F5638" w:rsidP="007F5638">
            <w:pPr>
              <w:rPr>
                <w:rFonts w:cstheme="minorHAnsi"/>
                <w:sz w:val="18"/>
                <w:szCs w:val="18"/>
              </w:rPr>
            </w:pPr>
          </w:p>
        </w:tc>
        <w:tc>
          <w:tcPr>
            <w:tcW w:w="1323" w:type="dxa"/>
            <w:gridSpan w:val="2"/>
          </w:tcPr>
          <w:p w14:paraId="7640DCCD" w14:textId="77777777" w:rsidR="00601D9B" w:rsidRDefault="000E53A0">
            <w:pPr>
              <w:jc w:val="center"/>
              <w:rPr>
                <w:rFonts w:cstheme="minorHAnsi"/>
                <w:sz w:val="18"/>
                <w:szCs w:val="18"/>
              </w:rPr>
            </w:pPr>
            <w:r w:rsidRPr="007F5638">
              <w:rPr>
                <w:rFonts w:cstheme="minorHAnsi"/>
                <w:sz w:val="18"/>
                <w:szCs w:val="18"/>
              </w:rPr>
              <w:t>Étape du FIP</w:t>
            </w:r>
          </w:p>
        </w:tc>
        <w:tc>
          <w:tcPr>
            <w:tcW w:w="1477" w:type="dxa"/>
            <w:gridSpan w:val="2"/>
          </w:tcPr>
          <w:p w14:paraId="31638CC6" w14:textId="77777777" w:rsidR="00601D9B" w:rsidRDefault="000E53A0">
            <w:pPr>
              <w:jc w:val="center"/>
              <w:rPr>
                <w:rFonts w:cstheme="minorHAnsi"/>
                <w:sz w:val="18"/>
                <w:szCs w:val="18"/>
              </w:rPr>
            </w:pPr>
            <w:r w:rsidRPr="007F5638">
              <w:rPr>
                <w:rFonts w:cstheme="minorHAnsi"/>
                <w:sz w:val="18"/>
                <w:szCs w:val="18"/>
              </w:rPr>
              <w:t>Endossement</w:t>
            </w:r>
          </w:p>
        </w:tc>
        <w:tc>
          <w:tcPr>
            <w:tcW w:w="1306" w:type="dxa"/>
          </w:tcPr>
          <w:p w14:paraId="531C5BC6" w14:textId="77777777" w:rsidR="00601D9B" w:rsidRDefault="000E53A0">
            <w:pPr>
              <w:jc w:val="center"/>
              <w:rPr>
                <w:rFonts w:cstheme="minorHAnsi"/>
                <w:sz w:val="18"/>
                <w:szCs w:val="18"/>
              </w:rPr>
            </w:pPr>
            <w:r w:rsidRPr="007F5638">
              <w:rPr>
                <w:rFonts w:cstheme="minorHAnsi"/>
                <w:sz w:val="18"/>
                <w:szCs w:val="18"/>
              </w:rPr>
              <w:t>MTR</w:t>
            </w:r>
          </w:p>
        </w:tc>
        <w:tc>
          <w:tcPr>
            <w:tcW w:w="1287" w:type="dxa"/>
          </w:tcPr>
          <w:p w14:paraId="01F99E97" w14:textId="77777777" w:rsidR="00601D9B" w:rsidRDefault="000E53A0">
            <w:pPr>
              <w:jc w:val="center"/>
              <w:rPr>
                <w:rFonts w:cstheme="minorHAnsi"/>
                <w:sz w:val="18"/>
                <w:szCs w:val="18"/>
              </w:rPr>
            </w:pPr>
            <w:r w:rsidRPr="007F5638">
              <w:rPr>
                <w:rFonts w:cstheme="minorHAnsi"/>
                <w:sz w:val="18"/>
                <w:szCs w:val="18"/>
              </w:rPr>
              <w:t>TE</w:t>
            </w:r>
          </w:p>
        </w:tc>
      </w:tr>
      <w:tr w:rsidR="007F5638" w:rsidRPr="007F5638" w14:paraId="5A52A72E" w14:textId="77777777" w:rsidTr="001A7B9D">
        <w:tc>
          <w:tcPr>
            <w:tcW w:w="3979" w:type="dxa"/>
            <w:gridSpan w:val="6"/>
            <w:vMerge/>
          </w:tcPr>
          <w:p w14:paraId="6BA2FC3A" w14:textId="77777777" w:rsidR="007F5638" w:rsidRPr="007F5638" w:rsidRDefault="007F5638" w:rsidP="007F5638">
            <w:pPr>
              <w:jc w:val="right"/>
              <w:rPr>
                <w:rFonts w:cstheme="minorHAnsi"/>
                <w:sz w:val="18"/>
                <w:szCs w:val="18"/>
              </w:rPr>
            </w:pPr>
          </w:p>
        </w:tc>
        <w:tc>
          <w:tcPr>
            <w:tcW w:w="1323" w:type="dxa"/>
            <w:gridSpan w:val="2"/>
          </w:tcPr>
          <w:p w14:paraId="66B32D03"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477" w:type="dxa"/>
            <w:gridSpan w:val="2"/>
          </w:tcPr>
          <w:p w14:paraId="02D2B452"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306" w:type="dxa"/>
          </w:tcPr>
          <w:p w14:paraId="685C544D"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287" w:type="dxa"/>
          </w:tcPr>
          <w:p w14:paraId="391AF5C0"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r>
      <w:tr w:rsidR="007F5638" w:rsidRPr="007F5638" w14:paraId="31F47496" w14:textId="77777777" w:rsidTr="001A7B9D">
        <w:tc>
          <w:tcPr>
            <w:tcW w:w="3979" w:type="dxa"/>
            <w:gridSpan w:val="6"/>
            <w:vMerge/>
          </w:tcPr>
          <w:p w14:paraId="2FE48726" w14:textId="77777777" w:rsidR="007F5638" w:rsidRPr="007F5638" w:rsidRDefault="007F5638" w:rsidP="007F5638">
            <w:pPr>
              <w:jc w:val="right"/>
              <w:rPr>
                <w:rFonts w:cstheme="minorHAnsi"/>
                <w:sz w:val="18"/>
                <w:szCs w:val="18"/>
              </w:rPr>
            </w:pPr>
          </w:p>
        </w:tc>
        <w:tc>
          <w:tcPr>
            <w:tcW w:w="1323" w:type="dxa"/>
            <w:gridSpan w:val="2"/>
          </w:tcPr>
          <w:p w14:paraId="6D2184CF"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477" w:type="dxa"/>
            <w:gridSpan w:val="2"/>
          </w:tcPr>
          <w:p w14:paraId="39F0E865"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306" w:type="dxa"/>
          </w:tcPr>
          <w:p w14:paraId="6A103372"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287" w:type="dxa"/>
          </w:tcPr>
          <w:p w14:paraId="0A928491"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r>
      <w:tr w:rsidR="007F5638" w:rsidRPr="007F5638" w14:paraId="1B451677" w14:textId="77777777" w:rsidTr="001A7B9D">
        <w:tc>
          <w:tcPr>
            <w:tcW w:w="1298" w:type="dxa"/>
            <w:shd w:val="clear" w:color="auto" w:fill="BFBFBF" w:themeFill="background1" w:themeFillShade="BF"/>
          </w:tcPr>
          <w:p w14:paraId="0A296407" w14:textId="77777777" w:rsidR="00601D9B" w:rsidRDefault="000E53A0">
            <w:pPr>
              <w:rPr>
                <w:rFonts w:cstheme="minorHAnsi"/>
                <w:sz w:val="18"/>
                <w:szCs w:val="18"/>
              </w:rPr>
            </w:pPr>
            <w:r w:rsidRPr="007F5638">
              <w:rPr>
                <w:rFonts w:cstheme="minorHAnsi"/>
                <w:sz w:val="18"/>
                <w:szCs w:val="18"/>
              </w:rPr>
              <w:t>Indicateur 5.2</w:t>
            </w:r>
          </w:p>
        </w:tc>
        <w:tc>
          <w:tcPr>
            <w:tcW w:w="6787" w:type="dxa"/>
            <w:gridSpan w:val="10"/>
            <w:shd w:val="clear" w:color="auto" w:fill="BFBFBF" w:themeFill="background1" w:themeFillShade="BF"/>
          </w:tcPr>
          <w:p w14:paraId="70EF2998" w14:textId="77777777" w:rsidR="00601D9B" w:rsidRPr="000E53A0" w:rsidRDefault="000E53A0">
            <w:pPr>
              <w:rPr>
                <w:rFonts w:cstheme="minorHAnsi"/>
                <w:sz w:val="18"/>
                <w:szCs w:val="18"/>
                <w:lang w:val="fr-FR"/>
              </w:rPr>
            </w:pPr>
            <w:r w:rsidRPr="000E53A0">
              <w:rPr>
                <w:rFonts w:cstheme="minorHAnsi"/>
                <w:sz w:val="18"/>
                <w:szCs w:val="18"/>
                <w:lang w:val="fr-FR"/>
              </w:rPr>
              <w:t>Nombre de grands écosystèmes marins (LME) où la pollution et l'hypoxie sont réduites</w:t>
            </w:r>
          </w:p>
        </w:tc>
        <w:tc>
          <w:tcPr>
            <w:tcW w:w="1287" w:type="dxa"/>
            <w:shd w:val="clear" w:color="auto" w:fill="BFBFBF" w:themeFill="background1" w:themeFillShade="BF"/>
          </w:tcPr>
          <w:p w14:paraId="221BB03F"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r>
      <w:tr w:rsidR="007F5638" w:rsidRPr="007F5638" w14:paraId="36A96C7C" w14:textId="77777777" w:rsidTr="001A7B9D">
        <w:trPr>
          <w:trHeight w:val="125"/>
        </w:trPr>
        <w:tc>
          <w:tcPr>
            <w:tcW w:w="1298" w:type="dxa"/>
            <w:vMerge w:val="restart"/>
          </w:tcPr>
          <w:p w14:paraId="447B81D6" w14:textId="77777777" w:rsidR="007F5638" w:rsidRPr="007F5638" w:rsidRDefault="007F5638" w:rsidP="007F5638">
            <w:pPr>
              <w:rPr>
                <w:rFonts w:cstheme="minorHAnsi"/>
                <w:sz w:val="18"/>
                <w:szCs w:val="18"/>
              </w:rPr>
            </w:pPr>
          </w:p>
        </w:tc>
        <w:tc>
          <w:tcPr>
            <w:tcW w:w="933" w:type="dxa"/>
            <w:vMerge w:val="restart"/>
          </w:tcPr>
          <w:p w14:paraId="5130C7D5" w14:textId="77777777" w:rsidR="007F5638" w:rsidRPr="007F5638" w:rsidRDefault="007F5638" w:rsidP="007F5638">
            <w:pPr>
              <w:rPr>
                <w:rFonts w:cstheme="minorHAnsi"/>
                <w:sz w:val="18"/>
                <w:szCs w:val="18"/>
              </w:rPr>
            </w:pPr>
          </w:p>
        </w:tc>
        <w:tc>
          <w:tcPr>
            <w:tcW w:w="1748" w:type="dxa"/>
            <w:gridSpan w:val="4"/>
            <w:vMerge w:val="restart"/>
          </w:tcPr>
          <w:p w14:paraId="576F0F18" w14:textId="77777777" w:rsidR="007F5638" w:rsidRPr="007F5638" w:rsidRDefault="007F5638" w:rsidP="007F5638">
            <w:pPr>
              <w:rPr>
                <w:rFonts w:cstheme="minorHAnsi"/>
                <w:sz w:val="18"/>
                <w:szCs w:val="18"/>
              </w:rPr>
            </w:pPr>
          </w:p>
        </w:tc>
        <w:tc>
          <w:tcPr>
            <w:tcW w:w="5393" w:type="dxa"/>
            <w:gridSpan w:val="6"/>
          </w:tcPr>
          <w:p w14:paraId="5AA2E7F4" w14:textId="77777777" w:rsidR="00601D9B" w:rsidRDefault="000E53A0">
            <w:pPr>
              <w:jc w:val="center"/>
              <w:rPr>
                <w:rFonts w:cstheme="minorHAnsi"/>
                <w:sz w:val="18"/>
                <w:szCs w:val="18"/>
              </w:rPr>
            </w:pPr>
            <w:r w:rsidRPr="007F5638">
              <w:rPr>
                <w:rFonts w:cstheme="minorHAnsi"/>
                <w:sz w:val="18"/>
                <w:szCs w:val="18"/>
              </w:rPr>
              <w:t>Numéro</w:t>
            </w:r>
          </w:p>
        </w:tc>
      </w:tr>
      <w:tr w:rsidR="007F5638" w:rsidRPr="007F5638" w14:paraId="1E99C0AE" w14:textId="77777777" w:rsidTr="001A7B9D">
        <w:trPr>
          <w:trHeight w:val="58"/>
        </w:trPr>
        <w:tc>
          <w:tcPr>
            <w:tcW w:w="1298" w:type="dxa"/>
            <w:vMerge/>
          </w:tcPr>
          <w:p w14:paraId="1CB399A8" w14:textId="77777777" w:rsidR="007F5638" w:rsidRPr="007F5638" w:rsidRDefault="007F5638" w:rsidP="007F5638">
            <w:pPr>
              <w:rPr>
                <w:rFonts w:cstheme="minorHAnsi"/>
                <w:sz w:val="18"/>
                <w:szCs w:val="18"/>
              </w:rPr>
            </w:pPr>
          </w:p>
        </w:tc>
        <w:tc>
          <w:tcPr>
            <w:tcW w:w="933" w:type="dxa"/>
            <w:vMerge/>
          </w:tcPr>
          <w:p w14:paraId="311A75E2" w14:textId="77777777" w:rsidR="007F5638" w:rsidRPr="007F5638" w:rsidRDefault="007F5638" w:rsidP="007F5638">
            <w:pPr>
              <w:rPr>
                <w:rFonts w:cstheme="minorHAnsi"/>
                <w:sz w:val="18"/>
                <w:szCs w:val="18"/>
              </w:rPr>
            </w:pPr>
          </w:p>
        </w:tc>
        <w:tc>
          <w:tcPr>
            <w:tcW w:w="1748" w:type="dxa"/>
            <w:gridSpan w:val="4"/>
            <w:vMerge/>
          </w:tcPr>
          <w:p w14:paraId="5F292D40" w14:textId="77777777" w:rsidR="007F5638" w:rsidRPr="007F5638" w:rsidRDefault="007F5638" w:rsidP="007F5638">
            <w:pPr>
              <w:rPr>
                <w:rFonts w:cstheme="minorHAnsi"/>
                <w:sz w:val="18"/>
                <w:szCs w:val="18"/>
              </w:rPr>
            </w:pPr>
          </w:p>
        </w:tc>
        <w:tc>
          <w:tcPr>
            <w:tcW w:w="2800" w:type="dxa"/>
            <w:gridSpan w:val="4"/>
          </w:tcPr>
          <w:p w14:paraId="49B9DB66" w14:textId="77777777" w:rsidR="00601D9B" w:rsidRDefault="000E53A0">
            <w:pPr>
              <w:jc w:val="center"/>
              <w:rPr>
                <w:rFonts w:cstheme="minorHAnsi"/>
                <w:sz w:val="18"/>
                <w:szCs w:val="18"/>
              </w:rPr>
            </w:pPr>
            <w:r w:rsidRPr="007F5638">
              <w:rPr>
                <w:rFonts w:cstheme="minorHAnsi"/>
                <w:sz w:val="18"/>
                <w:szCs w:val="18"/>
              </w:rPr>
              <w:t>Attendu</w:t>
            </w:r>
          </w:p>
        </w:tc>
        <w:tc>
          <w:tcPr>
            <w:tcW w:w="2593" w:type="dxa"/>
            <w:gridSpan w:val="2"/>
          </w:tcPr>
          <w:p w14:paraId="7A22A826" w14:textId="77777777" w:rsidR="00601D9B" w:rsidRDefault="000E53A0">
            <w:pPr>
              <w:jc w:val="center"/>
              <w:rPr>
                <w:rFonts w:cstheme="minorHAnsi"/>
                <w:sz w:val="18"/>
                <w:szCs w:val="18"/>
              </w:rPr>
            </w:pPr>
            <w:r w:rsidRPr="007F5638">
              <w:rPr>
                <w:rFonts w:cstheme="minorHAnsi"/>
                <w:sz w:val="18"/>
                <w:szCs w:val="18"/>
              </w:rPr>
              <w:t>Réalisé</w:t>
            </w:r>
          </w:p>
        </w:tc>
      </w:tr>
      <w:tr w:rsidR="007F5638" w:rsidRPr="007F5638" w14:paraId="372C81F0" w14:textId="77777777" w:rsidTr="001A7B9D">
        <w:trPr>
          <w:trHeight w:val="107"/>
        </w:trPr>
        <w:tc>
          <w:tcPr>
            <w:tcW w:w="1298" w:type="dxa"/>
            <w:vMerge/>
          </w:tcPr>
          <w:p w14:paraId="0B8184E4" w14:textId="77777777" w:rsidR="007F5638" w:rsidRPr="007F5638" w:rsidRDefault="007F5638" w:rsidP="007F5638">
            <w:pPr>
              <w:rPr>
                <w:rFonts w:cstheme="minorHAnsi"/>
                <w:sz w:val="18"/>
                <w:szCs w:val="18"/>
              </w:rPr>
            </w:pPr>
          </w:p>
        </w:tc>
        <w:tc>
          <w:tcPr>
            <w:tcW w:w="933" w:type="dxa"/>
            <w:vMerge/>
          </w:tcPr>
          <w:p w14:paraId="02D3E2B8" w14:textId="77777777" w:rsidR="007F5638" w:rsidRPr="007F5638" w:rsidRDefault="007F5638" w:rsidP="007F5638">
            <w:pPr>
              <w:rPr>
                <w:rFonts w:cstheme="minorHAnsi"/>
                <w:sz w:val="18"/>
                <w:szCs w:val="18"/>
              </w:rPr>
            </w:pPr>
          </w:p>
        </w:tc>
        <w:tc>
          <w:tcPr>
            <w:tcW w:w="1748" w:type="dxa"/>
            <w:gridSpan w:val="4"/>
            <w:vMerge/>
          </w:tcPr>
          <w:p w14:paraId="15AD4FB0" w14:textId="77777777" w:rsidR="007F5638" w:rsidRPr="007F5638" w:rsidRDefault="007F5638" w:rsidP="007F5638">
            <w:pPr>
              <w:rPr>
                <w:rFonts w:cstheme="minorHAnsi"/>
                <w:sz w:val="18"/>
                <w:szCs w:val="18"/>
              </w:rPr>
            </w:pPr>
          </w:p>
        </w:tc>
        <w:tc>
          <w:tcPr>
            <w:tcW w:w="1323" w:type="dxa"/>
            <w:gridSpan w:val="2"/>
          </w:tcPr>
          <w:p w14:paraId="34D6D82D" w14:textId="77777777" w:rsidR="00601D9B" w:rsidRDefault="000E53A0">
            <w:pPr>
              <w:jc w:val="center"/>
              <w:rPr>
                <w:rFonts w:cstheme="minorHAnsi"/>
                <w:sz w:val="18"/>
                <w:szCs w:val="18"/>
              </w:rPr>
            </w:pPr>
            <w:r w:rsidRPr="007F5638">
              <w:rPr>
                <w:rFonts w:cstheme="minorHAnsi"/>
                <w:sz w:val="18"/>
                <w:szCs w:val="18"/>
              </w:rPr>
              <w:t>Étape du FIP</w:t>
            </w:r>
          </w:p>
        </w:tc>
        <w:tc>
          <w:tcPr>
            <w:tcW w:w="1477" w:type="dxa"/>
            <w:gridSpan w:val="2"/>
          </w:tcPr>
          <w:p w14:paraId="312FFA89" w14:textId="77777777" w:rsidR="00601D9B" w:rsidRDefault="000E53A0">
            <w:pPr>
              <w:jc w:val="center"/>
              <w:rPr>
                <w:rFonts w:cstheme="minorHAnsi"/>
                <w:sz w:val="18"/>
                <w:szCs w:val="18"/>
              </w:rPr>
            </w:pPr>
            <w:r w:rsidRPr="007F5638">
              <w:rPr>
                <w:rFonts w:cstheme="minorHAnsi"/>
                <w:sz w:val="18"/>
                <w:szCs w:val="18"/>
              </w:rPr>
              <w:t>Endossement</w:t>
            </w:r>
          </w:p>
        </w:tc>
        <w:tc>
          <w:tcPr>
            <w:tcW w:w="1306" w:type="dxa"/>
          </w:tcPr>
          <w:p w14:paraId="18AB187D" w14:textId="77777777" w:rsidR="00601D9B" w:rsidRDefault="000E53A0">
            <w:pPr>
              <w:jc w:val="center"/>
              <w:rPr>
                <w:rFonts w:cstheme="minorHAnsi"/>
                <w:sz w:val="18"/>
                <w:szCs w:val="18"/>
              </w:rPr>
            </w:pPr>
            <w:r w:rsidRPr="007F5638">
              <w:rPr>
                <w:rFonts w:cstheme="minorHAnsi"/>
                <w:sz w:val="18"/>
                <w:szCs w:val="18"/>
              </w:rPr>
              <w:t>MTR</w:t>
            </w:r>
          </w:p>
        </w:tc>
        <w:tc>
          <w:tcPr>
            <w:tcW w:w="1287" w:type="dxa"/>
          </w:tcPr>
          <w:p w14:paraId="76D72828" w14:textId="77777777" w:rsidR="00601D9B" w:rsidRDefault="000E53A0">
            <w:pPr>
              <w:jc w:val="center"/>
              <w:rPr>
                <w:rFonts w:cstheme="minorHAnsi"/>
                <w:sz w:val="18"/>
                <w:szCs w:val="18"/>
              </w:rPr>
            </w:pPr>
            <w:r w:rsidRPr="007F5638">
              <w:rPr>
                <w:rFonts w:cstheme="minorHAnsi"/>
                <w:sz w:val="18"/>
                <w:szCs w:val="18"/>
              </w:rPr>
              <w:t>TE</w:t>
            </w:r>
          </w:p>
        </w:tc>
      </w:tr>
      <w:tr w:rsidR="007F5638" w:rsidRPr="007F5638" w14:paraId="01EC5A86" w14:textId="77777777" w:rsidTr="001A7B9D">
        <w:tc>
          <w:tcPr>
            <w:tcW w:w="1298" w:type="dxa"/>
          </w:tcPr>
          <w:p w14:paraId="4181B452" w14:textId="77777777" w:rsidR="007F5638" w:rsidRPr="007F5638" w:rsidRDefault="007F5638" w:rsidP="007F5638">
            <w:pPr>
              <w:jc w:val="right"/>
              <w:rPr>
                <w:rFonts w:cstheme="minorHAnsi"/>
                <w:sz w:val="18"/>
                <w:szCs w:val="18"/>
              </w:rPr>
            </w:pPr>
          </w:p>
        </w:tc>
        <w:tc>
          <w:tcPr>
            <w:tcW w:w="933" w:type="dxa"/>
          </w:tcPr>
          <w:p w14:paraId="27EF895A" w14:textId="77777777" w:rsidR="007F5638" w:rsidRPr="007F5638" w:rsidRDefault="007F5638" w:rsidP="007F5638">
            <w:pPr>
              <w:jc w:val="right"/>
              <w:rPr>
                <w:rFonts w:cstheme="minorHAnsi"/>
                <w:sz w:val="18"/>
                <w:szCs w:val="18"/>
              </w:rPr>
            </w:pPr>
          </w:p>
        </w:tc>
        <w:tc>
          <w:tcPr>
            <w:tcW w:w="1748" w:type="dxa"/>
            <w:gridSpan w:val="4"/>
          </w:tcPr>
          <w:p w14:paraId="2B751A30" w14:textId="77777777" w:rsidR="007F5638" w:rsidRPr="007F5638" w:rsidRDefault="007F5638" w:rsidP="007F5638">
            <w:pPr>
              <w:jc w:val="right"/>
              <w:rPr>
                <w:rFonts w:cstheme="minorHAnsi"/>
                <w:sz w:val="18"/>
                <w:szCs w:val="18"/>
              </w:rPr>
            </w:pPr>
          </w:p>
        </w:tc>
        <w:tc>
          <w:tcPr>
            <w:tcW w:w="1323" w:type="dxa"/>
            <w:gridSpan w:val="2"/>
          </w:tcPr>
          <w:p w14:paraId="467A6AC5"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477" w:type="dxa"/>
            <w:gridSpan w:val="2"/>
          </w:tcPr>
          <w:p w14:paraId="615EDE68"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306" w:type="dxa"/>
          </w:tcPr>
          <w:p w14:paraId="0F8729A1"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287" w:type="dxa"/>
          </w:tcPr>
          <w:p w14:paraId="4F54C3E7"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r>
      <w:tr w:rsidR="007F5638" w:rsidRPr="007F5638" w14:paraId="292926F8" w14:textId="77777777" w:rsidTr="001A7B9D">
        <w:tc>
          <w:tcPr>
            <w:tcW w:w="1298" w:type="dxa"/>
          </w:tcPr>
          <w:p w14:paraId="635985D8" w14:textId="77777777" w:rsidR="007F5638" w:rsidRPr="007F5638" w:rsidRDefault="007F5638" w:rsidP="007F5638">
            <w:pPr>
              <w:jc w:val="right"/>
              <w:rPr>
                <w:rFonts w:cstheme="minorHAnsi"/>
                <w:sz w:val="18"/>
                <w:szCs w:val="18"/>
              </w:rPr>
            </w:pPr>
          </w:p>
        </w:tc>
        <w:tc>
          <w:tcPr>
            <w:tcW w:w="933" w:type="dxa"/>
          </w:tcPr>
          <w:p w14:paraId="7C708E07" w14:textId="77777777" w:rsidR="007F5638" w:rsidRPr="007F5638" w:rsidRDefault="007F5638" w:rsidP="007F5638">
            <w:pPr>
              <w:jc w:val="right"/>
              <w:rPr>
                <w:rFonts w:cstheme="minorHAnsi"/>
                <w:sz w:val="18"/>
                <w:szCs w:val="18"/>
              </w:rPr>
            </w:pPr>
          </w:p>
        </w:tc>
        <w:tc>
          <w:tcPr>
            <w:tcW w:w="1748" w:type="dxa"/>
            <w:gridSpan w:val="4"/>
          </w:tcPr>
          <w:p w14:paraId="05059C3B" w14:textId="77777777" w:rsidR="007F5638" w:rsidRPr="007F5638" w:rsidRDefault="007F5638" w:rsidP="007F5638">
            <w:pPr>
              <w:jc w:val="right"/>
              <w:rPr>
                <w:rFonts w:cstheme="minorHAnsi"/>
                <w:sz w:val="18"/>
                <w:szCs w:val="18"/>
              </w:rPr>
            </w:pPr>
          </w:p>
        </w:tc>
        <w:tc>
          <w:tcPr>
            <w:tcW w:w="1323" w:type="dxa"/>
            <w:gridSpan w:val="2"/>
          </w:tcPr>
          <w:p w14:paraId="4347364F"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477" w:type="dxa"/>
            <w:gridSpan w:val="2"/>
          </w:tcPr>
          <w:p w14:paraId="1DFB5B5A"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306" w:type="dxa"/>
          </w:tcPr>
          <w:p w14:paraId="4EEC5FB0"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287" w:type="dxa"/>
          </w:tcPr>
          <w:p w14:paraId="5D1FD487"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r>
      <w:tr w:rsidR="007F5638" w:rsidRPr="000E53A0" w14:paraId="45BC2E22" w14:textId="77777777" w:rsidTr="001A7B9D">
        <w:tc>
          <w:tcPr>
            <w:tcW w:w="1298" w:type="dxa"/>
            <w:shd w:val="clear" w:color="auto" w:fill="A6A6A6" w:themeFill="background1" w:themeFillShade="A6"/>
          </w:tcPr>
          <w:p w14:paraId="2AC8CF76" w14:textId="77777777" w:rsidR="00601D9B" w:rsidRDefault="000E53A0">
            <w:pPr>
              <w:jc w:val="right"/>
              <w:rPr>
                <w:rFonts w:cstheme="minorHAnsi"/>
                <w:sz w:val="18"/>
                <w:szCs w:val="18"/>
              </w:rPr>
            </w:pPr>
            <w:r w:rsidRPr="007F5638">
              <w:rPr>
                <w:rFonts w:cstheme="minorHAnsi"/>
                <w:sz w:val="18"/>
                <w:szCs w:val="18"/>
              </w:rPr>
              <w:t>Indicateur 5.3</w:t>
            </w:r>
          </w:p>
        </w:tc>
        <w:tc>
          <w:tcPr>
            <w:tcW w:w="8074" w:type="dxa"/>
            <w:gridSpan w:val="11"/>
            <w:shd w:val="clear" w:color="auto" w:fill="BFBFBF" w:themeFill="background1" w:themeFillShade="BF"/>
          </w:tcPr>
          <w:p w14:paraId="74CBB3C3" w14:textId="77777777" w:rsidR="00601D9B" w:rsidRPr="000E53A0" w:rsidRDefault="000E53A0">
            <w:pPr>
              <w:rPr>
                <w:rFonts w:cstheme="minorHAnsi"/>
                <w:sz w:val="18"/>
                <w:szCs w:val="18"/>
                <w:lang w:val="fr-FR"/>
              </w:rPr>
            </w:pPr>
            <w:r w:rsidRPr="000E53A0">
              <w:rPr>
                <w:rFonts w:cstheme="minorHAnsi"/>
                <w:sz w:val="18"/>
                <w:szCs w:val="18"/>
                <w:lang w:val="fr-FR"/>
              </w:rPr>
              <w:t>Quantité de déchets marins évitée</w:t>
            </w:r>
          </w:p>
        </w:tc>
      </w:tr>
      <w:tr w:rsidR="007F5638" w:rsidRPr="007F5638" w14:paraId="66ACDC8C" w14:textId="77777777" w:rsidTr="001A7B9D">
        <w:tc>
          <w:tcPr>
            <w:tcW w:w="1298" w:type="dxa"/>
            <w:vMerge w:val="restart"/>
          </w:tcPr>
          <w:p w14:paraId="5F42B693" w14:textId="77777777" w:rsidR="007F5638" w:rsidRPr="000E53A0" w:rsidRDefault="007F5638" w:rsidP="007F5638">
            <w:pPr>
              <w:jc w:val="right"/>
              <w:rPr>
                <w:rFonts w:cstheme="minorHAnsi"/>
                <w:sz w:val="18"/>
                <w:szCs w:val="18"/>
                <w:lang w:val="fr-FR"/>
              </w:rPr>
            </w:pPr>
          </w:p>
        </w:tc>
        <w:tc>
          <w:tcPr>
            <w:tcW w:w="933" w:type="dxa"/>
            <w:vMerge w:val="restart"/>
          </w:tcPr>
          <w:p w14:paraId="1D6318A5" w14:textId="77777777" w:rsidR="007F5638" w:rsidRPr="000E53A0" w:rsidRDefault="007F5638" w:rsidP="007F5638">
            <w:pPr>
              <w:jc w:val="right"/>
              <w:rPr>
                <w:rFonts w:cstheme="minorHAnsi"/>
                <w:sz w:val="18"/>
                <w:szCs w:val="18"/>
                <w:lang w:val="fr-FR"/>
              </w:rPr>
            </w:pPr>
          </w:p>
        </w:tc>
        <w:tc>
          <w:tcPr>
            <w:tcW w:w="1748" w:type="dxa"/>
            <w:gridSpan w:val="4"/>
            <w:vMerge w:val="restart"/>
          </w:tcPr>
          <w:p w14:paraId="7DB5335A" w14:textId="77777777" w:rsidR="007F5638" w:rsidRPr="000E53A0" w:rsidRDefault="007F5638" w:rsidP="007F5638">
            <w:pPr>
              <w:jc w:val="right"/>
              <w:rPr>
                <w:rFonts w:cstheme="minorHAnsi"/>
                <w:sz w:val="18"/>
                <w:szCs w:val="18"/>
                <w:lang w:val="fr-FR"/>
              </w:rPr>
            </w:pPr>
          </w:p>
        </w:tc>
        <w:tc>
          <w:tcPr>
            <w:tcW w:w="5393" w:type="dxa"/>
            <w:gridSpan w:val="6"/>
          </w:tcPr>
          <w:p w14:paraId="2B7FF37D" w14:textId="77777777" w:rsidR="00601D9B" w:rsidRDefault="000E53A0">
            <w:pPr>
              <w:jc w:val="center"/>
              <w:rPr>
                <w:rFonts w:cstheme="minorHAnsi"/>
                <w:color w:val="000000"/>
                <w:sz w:val="18"/>
                <w:szCs w:val="18"/>
              </w:rPr>
            </w:pPr>
            <w:r w:rsidRPr="007F5638">
              <w:rPr>
                <w:rFonts w:cstheme="minorHAnsi"/>
                <w:color w:val="000000"/>
                <w:sz w:val="18"/>
                <w:szCs w:val="18"/>
              </w:rPr>
              <w:t>Tonnes métriques</w:t>
            </w:r>
          </w:p>
        </w:tc>
      </w:tr>
      <w:tr w:rsidR="007F5638" w:rsidRPr="007F5638" w14:paraId="7F3E6AFB" w14:textId="77777777" w:rsidTr="001A7B9D">
        <w:tc>
          <w:tcPr>
            <w:tcW w:w="1298" w:type="dxa"/>
            <w:vMerge/>
          </w:tcPr>
          <w:p w14:paraId="1095D468" w14:textId="77777777" w:rsidR="007F5638" w:rsidRPr="007F5638" w:rsidRDefault="007F5638" w:rsidP="007F5638">
            <w:pPr>
              <w:jc w:val="right"/>
              <w:rPr>
                <w:rFonts w:cstheme="minorHAnsi"/>
                <w:sz w:val="18"/>
                <w:szCs w:val="18"/>
              </w:rPr>
            </w:pPr>
          </w:p>
        </w:tc>
        <w:tc>
          <w:tcPr>
            <w:tcW w:w="933" w:type="dxa"/>
            <w:vMerge/>
          </w:tcPr>
          <w:p w14:paraId="5F0262AF" w14:textId="77777777" w:rsidR="007F5638" w:rsidRPr="007F5638" w:rsidRDefault="007F5638" w:rsidP="007F5638">
            <w:pPr>
              <w:jc w:val="right"/>
              <w:rPr>
                <w:rFonts w:cstheme="minorHAnsi"/>
                <w:sz w:val="18"/>
                <w:szCs w:val="18"/>
              </w:rPr>
            </w:pPr>
          </w:p>
        </w:tc>
        <w:tc>
          <w:tcPr>
            <w:tcW w:w="1748" w:type="dxa"/>
            <w:gridSpan w:val="4"/>
            <w:vMerge/>
          </w:tcPr>
          <w:p w14:paraId="7990C9A8" w14:textId="77777777" w:rsidR="007F5638" w:rsidRPr="007F5638" w:rsidRDefault="007F5638" w:rsidP="007F5638">
            <w:pPr>
              <w:jc w:val="right"/>
              <w:rPr>
                <w:rFonts w:cstheme="minorHAnsi"/>
                <w:sz w:val="18"/>
                <w:szCs w:val="18"/>
              </w:rPr>
            </w:pPr>
          </w:p>
        </w:tc>
        <w:tc>
          <w:tcPr>
            <w:tcW w:w="2800" w:type="dxa"/>
            <w:gridSpan w:val="4"/>
          </w:tcPr>
          <w:p w14:paraId="42953C6D" w14:textId="77777777" w:rsidR="00601D9B" w:rsidRDefault="000E53A0">
            <w:pPr>
              <w:jc w:val="center"/>
              <w:rPr>
                <w:rFonts w:cstheme="minorHAnsi"/>
                <w:color w:val="000000"/>
                <w:sz w:val="18"/>
                <w:szCs w:val="18"/>
              </w:rPr>
            </w:pPr>
            <w:r w:rsidRPr="007F5638">
              <w:rPr>
                <w:rFonts w:cstheme="minorHAnsi"/>
                <w:color w:val="000000"/>
                <w:sz w:val="18"/>
                <w:szCs w:val="18"/>
              </w:rPr>
              <w:t>Attendu</w:t>
            </w:r>
          </w:p>
        </w:tc>
        <w:tc>
          <w:tcPr>
            <w:tcW w:w="2593" w:type="dxa"/>
            <w:gridSpan w:val="2"/>
          </w:tcPr>
          <w:p w14:paraId="723BE7F4" w14:textId="77777777" w:rsidR="00601D9B" w:rsidRDefault="000E53A0">
            <w:pPr>
              <w:jc w:val="center"/>
              <w:rPr>
                <w:rFonts w:cstheme="minorHAnsi"/>
                <w:color w:val="000000"/>
                <w:sz w:val="18"/>
                <w:szCs w:val="18"/>
              </w:rPr>
            </w:pPr>
            <w:r w:rsidRPr="007F5638">
              <w:rPr>
                <w:rFonts w:cstheme="minorHAnsi"/>
                <w:color w:val="000000"/>
                <w:sz w:val="18"/>
                <w:szCs w:val="18"/>
              </w:rPr>
              <w:t>Réalisé</w:t>
            </w:r>
          </w:p>
        </w:tc>
      </w:tr>
      <w:tr w:rsidR="007F5638" w:rsidRPr="007F5638" w14:paraId="0A7B143A" w14:textId="77777777" w:rsidTr="001A7B9D">
        <w:tc>
          <w:tcPr>
            <w:tcW w:w="1298" w:type="dxa"/>
            <w:vMerge/>
          </w:tcPr>
          <w:p w14:paraId="189B1C64" w14:textId="77777777" w:rsidR="007F5638" w:rsidRPr="007F5638" w:rsidRDefault="007F5638" w:rsidP="007F5638">
            <w:pPr>
              <w:jc w:val="right"/>
              <w:rPr>
                <w:rFonts w:cstheme="minorHAnsi"/>
                <w:sz w:val="18"/>
                <w:szCs w:val="18"/>
              </w:rPr>
            </w:pPr>
          </w:p>
        </w:tc>
        <w:tc>
          <w:tcPr>
            <w:tcW w:w="933" w:type="dxa"/>
            <w:vMerge/>
          </w:tcPr>
          <w:p w14:paraId="119CEFE3" w14:textId="77777777" w:rsidR="007F5638" w:rsidRPr="007F5638" w:rsidRDefault="007F5638" w:rsidP="007F5638">
            <w:pPr>
              <w:jc w:val="right"/>
              <w:rPr>
                <w:rFonts w:cstheme="minorHAnsi"/>
                <w:sz w:val="18"/>
                <w:szCs w:val="18"/>
              </w:rPr>
            </w:pPr>
          </w:p>
        </w:tc>
        <w:tc>
          <w:tcPr>
            <w:tcW w:w="1748" w:type="dxa"/>
            <w:gridSpan w:val="4"/>
            <w:vMerge/>
          </w:tcPr>
          <w:p w14:paraId="4CAB9CD9" w14:textId="77777777" w:rsidR="007F5638" w:rsidRPr="007F5638" w:rsidRDefault="007F5638" w:rsidP="007F5638">
            <w:pPr>
              <w:jc w:val="right"/>
              <w:rPr>
                <w:rFonts w:cstheme="minorHAnsi"/>
                <w:sz w:val="18"/>
                <w:szCs w:val="18"/>
              </w:rPr>
            </w:pPr>
          </w:p>
        </w:tc>
        <w:tc>
          <w:tcPr>
            <w:tcW w:w="1323" w:type="dxa"/>
            <w:gridSpan w:val="2"/>
          </w:tcPr>
          <w:p w14:paraId="6EAD1250" w14:textId="77777777" w:rsidR="00601D9B" w:rsidRDefault="000E53A0">
            <w:pPr>
              <w:jc w:val="right"/>
              <w:rPr>
                <w:rFonts w:cstheme="minorHAnsi"/>
                <w:i/>
                <w:color w:val="000000"/>
                <w:sz w:val="18"/>
                <w:szCs w:val="18"/>
              </w:rPr>
            </w:pPr>
            <w:r w:rsidRPr="007F5638">
              <w:rPr>
                <w:rFonts w:cstheme="minorHAnsi"/>
                <w:sz w:val="18"/>
                <w:szCs w:val="18"/>
              </w:rPr>
              <w:t>Étape du FIP</w:t>
            </w:r>
          </w:p>
        </w:tc>
        <w:tc>
          <w:tcPr>
            <w:tcW w:w="1477" w:type="dxa"/>
            <w:gridSpan w:val="2"/>
          </w:tcPr>
          <w:p w14:paraId="00A46CF8" w14:textId="77777777" w:rsidR="00601D9B" w:rsidRDefault="000E53A0">
            <w:pPr>
              <w:jc w:val="right"/>
              <w:rPr>
                <w:rFonts w:cstheme="minorHAnsi"/>
                <w:i/>
                <w:color w:val="000000"/>
                <w:sz w:val="18"/>
                <w:szCs w:val="18"/>
              </w:rPr>
            </w:pPr>
            <w:r w:rsidRPr="007F5638">
              <w:rPr>
                <w:rFonts w:cstheme="minorHAnsi"/>
                <w:sz w:val="18"/>
                <w:szCs w:val="18"/>
              </w:rPr>
              <w:t>Endossement</w:t>
            </w:r>
          </w:p>
        </w:tc>
        <w:tc>
          <w:tcPr>
            <w:tcW w:w="1306" w:type="dxa"/>
          </w:tcPr>
          <w:p w14:paraId="3EF51AC5" w14:textId="77777777" w:rsidR="00601D9B" w:rsidRDefault="000E53A0">
            <w:pPr>
              <w:jc w:val="right"/>
              <w:rPr>
                <w:rFonts w:cstheme="minorHAnsi"/>
                <w:i/>
                <w:color w:val="000000"/>
                <w:sz w:val="18"/>
                <w:szCs w:val="18"/>
              </w:rPr>
            </w:pPr>
            <w:r w:rsidRPr="007F5638">
              <w:rPr>
                <w:rFonts w:cstheme="minorHAnsi"/>
                <w:sz w:val="18"/>
                <w:szCs w:val="18"/>
              </w:rPr>
              <w:t>MTR</w:t>
            </w:r>
          </w:p>
        </w:tc>
        <w:tc>
          <w:tcPr>
            <w:tcW w:w="1287" w:type="dxa"/>
          </w:tcPr>
          <w:p w14:paraId="5C10C5A4" w14:textId="77777777" w:rsidR="00601D9B" w:rsidRDefault="000E53A0">
            <w:pPr>
              <w:jc w:val="right"/>
              <w:rPr>
                <w:rFonts w:cstheme="minorHAnsi"/>
                <w:i/>
                <w:color w:val="000000"/>
                <w:sz w:val="18"/>
                <w:szCs w:val="18"/>
              </w:rPr>
            </w:pPr>
            <w:r w:rsidRPr="007F5638">
              <w:rPr>
                <w:rFonts w:cstheme="minorHAnsi"/>
                <w:sz w:val="18"/>
                <w:szCs w:val="18"/>
              </w:rPr>
              <w:t>TE</w:t>
            </w:r>
          </w:p>
        </w:tc>
      </w:tr>
      <w:tr w:rsidR="007F5638" w:rsidRPr="007F5638" w14:paraId="65DB44F5" w14:textId="77777777" w:rsidTr="001A7B9D">
        <w:tc>
          <w:tcPr>
            <w:tcW w:w="1298" w:type="dxa"/>
          </w:tcPr>
          <w:p w14:paraId="2EC39AE9" w14:textId="77777777" w:rsidR="007F5638" w:rsidRPr="007F5638" w:rsidRDefault="007F5638" w:rsidP="007F5638">
            <w:pPr>
              <w:jc w:val="right"/>
              <w:rPr>
                <w:rFonts w:cstheme="minorHAnsi"/>
                <w:sz w:val="18"/>
                <w:szCs w:val="18"/>
              </w:rPr>
            </w:pPr>
          </w:p>
        </w:tc>
        <w:tc>
          <w:tcPr>
            <w:tcW w:w="933" w:type="dxa"/>
          </w:tcPr>
          <w:p w14:paraId="211AAC12" w14:textId="77777777" w:rsidR="007F5638" w:rsidRPr="007F5638" w:rsidRDefault="007F5638" w:rsidP="007F5638">
            <w:pPr>
              <w:jc w:val="right"/>
              <w:rPr>
                <w:rFonts w:cstheme="minorHAnsi"/>
                <w:sz w:val="18"/>
                <w:szCs w:val="18"/>
              </w:rPr>
            </w:pPr>
          </w:p>
        </w:tc>
        <w:tc>
          <w:tcPr>
            <w:tcW w:w="1748" w:type="dxa"/>
            <w:gridSpan w:val="4"/>
          </w:tcPr>
          <w:p w14:paraId="1747F6B3" w14:textId="77777777" w:rsidR="007F5638" w:rsidRPr="007F5638" w:rsidRDefault="007F5638" w:rsidP="007F5638">
            <w:pPr>
              <w:jc w:val="right"/>
              <w:rPr>
                <w:rFonts w:cstheme="minorHAnsi"/>
                <w:sz w:val="18"/>
                <w:szCs w:val="18"/>
              </w:rPr>
            </w:pPr>
          </w:p>
        </w:tc>
        <w:tc>
          <w:tcPr>
            <w:tcW w:w="1323" w:type="dxa"/>
            <w:gridSpan w:val="2"/>
          </w:tcPr>
          <w:p w14:paraId="3ECFE16E" w14:textId="77777777" w:rsidR="00601D9B" w:rsidRDefault="000E53A0">
            <w:pPr>
              <w:jc w:val="right"/>
              <w:rPr>
                <w:rFonts w:cstheme="minorHAnsi"/>
                <w:i/>
                <w:color w:val="000000"/>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477" w:type="dxa"/>
            <w:gridSpan w:val="2"/>
          </w:tcPr>
          <w:p w14:paraId="48081FD6" w14:textId="77777777" w:rsidR="00601D9B" w:rsidRDefault="000E53A0">
            <w:pPr>
              <w:jc w:val="right"/>
              <w:rPr>
                <w:rFonts w:cstheme="minorHAnsi"/>
                <w:i/>
                <w:color w:val="000000"/>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306" w:type="dxa"/>
          </w:tcPr>
          <w:p w14:paraId="7ABA3DA3" w14:textId="77777777" w:rsidR="00601D9B" w:rsidRDefault="000E53A0">
            <w:pPr>
              <w:jc w:val="right"/>
              <w:rPr>
                <w:rFonts w:cstheme="minorHAnsi"/>
                <w:i/>
                <w:color w:val="000000"/>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287" w:type="dxa"/>
          </w:tcPr>
          <w:p w14:paraId="55DBA1CE" w14:textId="77777777" w:rsidR="00601D9B" w:rsidRDefault="000E53A0">
            <w:pPr>
              <w:jc w:val="right"/>
              <w:rPr>
                <w:rFonts w:cstheme="minorHAnsi"/>
                <w:i/>
                <w:color w:val="000000"/>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r>
      <w:tr w:rsidR="007F5638" w:rsidRPr="007F5638" w14:paraId="785D9CFB" w14:textId="77777777" w:rsidTr="001A7B9D">
        <w:tc>
          <w:tcPr>
            <w:tcW w:w="1298" w:type="dxa"/>
          </w:tcPr>
          <w:p w14:paraId="27F16524" w14:textId="77777777" w:rsidR="007F5638" w:rsidRPr="007F5638" w:rsidRDefault="007F5638" w:rsidP="007F5638">
            <w:pPr>
              <w:jc w:val="right"/>
              <w:rPr>
                <w:rFonts w:cstheme="minorHAnsi"/>
                <w:sz w:val="18"/>
                <w:szCs w:val="18"/>
              </w:rPr>
            </w:pPr>
          </w:p>
        </w:tc>
        <w:tc>
          <w:tcPr>
            <w:tcW w:w="933" w:type="dxa"/>
          </w:tcPr>
          <w:p w14:paraId="72C1CC66" w14:textId="77777777" w:rsidR="007F5638" w:rsidRPr="007F5638" w:rsidRDefault="007F5638" w:rsidP="007F5638">
            <w:pPr>
              <w:jc w:val="right"/>
              <w:rPr>
                <w:rFonts w:cstheme="minorHAnsi"/>
                <w:sz w:val="18"/>
                <w:szCs w:val="18"/>
              </w:rPr>
            </w:pPr>
          </w:p>
        </w:tc>
        <w:tc>
          <w:tcPr>
            <w:tcW w:w="1748" w:type="dxa"/>
            <w:gridSpan w:val="4"/>
          </w:tcPr>
          <w:p w14:paraId="0FCB5959" w14:textId="77777777" w:rsidR="007F5638" w:rsidRPr="007F5638" w:rsidRDefault="007F5638" w:rsidP="007F5638">
            <w:pPr>
              <w:jc w:val="right"/>
              <w:rPr>
                <w:rFonts w:cstheme="minorHAnsi"/>
                <w:sz w:val="18"/>
                <w:szCs w:val="18"/>
              </w:rPr>
            </w:pPr>
          </w:p>
        </w:tc>
        <w:tc>
          <w:tcPr>
            <w:tcW w:w="1323" w:type="dxa"/>
            <w:gridSpan w:val="2"/>
          </w:tcPr>
          <w:p w14:paraId="072F5B37" w14:textId="77777777" w:rsidR="00601D9B" w:rsidRDefault="000E53A0">
            <w:pPr>
              <w:jc w:val="right"/>
              <w:rPr>
                <w:rFonts w:cstheme="minorHAnsi"/>
                <w:i/>
                <w:color w:val="000000"/>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477" w:type="dxa"/>
            <w:gridSpan w:val="2"/>
          </w:tcPr>
          <w:p w14:paraId="3ECB0314" w14:textId="77777777" w:rsidR="00601D9B" w:rsidRDefault="000E53A0">
            <w:pPr>
              <w:jc w:val="right"/>
              <w:rPr>
                <w:rFonts w:cstheme="minorHAnsi"/>
                <w:i/>
                <w:color w:val="000000"/>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306" w:type="dxa"/>
          </w:tcPr>
          <w:p w14:paraId="0D41F5A7" w14:textId="77777777" w:rsidR="00601D9B" w:rsidRDefault="000E53A0">
            <w:pPr>
              <w:jc w:val="right"/>
              <w:rPr>
                <w:rFonts w:cstheme="minorHAnsi"/>
                <w:i/>
                <w:color w:val="000000"/>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287" w:type="dxa"/>
          </w:tcPr>
          <w:p w14:paraId="3679C3E9" w14:textId="77777777" w:rsidR="00601D9B" w:rsidRDefault="000E53A0">
            <w:pPr>
              <w:jc w:val="right"/>
              <w:rPr>
                <w:rFonts w:cstheme="minorHAnsi"/>
                <w:i/>
                <w:color w:val="000000"/>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r>
      <w:tr w:rsidR="007F5638" w:rsidRPr="000E53A0" w14:paraId="3CECCA3E" w14:textId="77777777" w:rsidTr="001A7B9D">
        <w:tc>
          <w:tcPr>
            <w:tcW w:w="1298" w:type="dxa"/>
            <w:shd w:val="clear" w:color="auto" w:fill="D9D9D9" w:themeFill="background1" w:themeFillShade="D9"/>
          </w:tcPr>
          <w:p w14:paraId="3A5C3322" w14:textId="77777777" w:rsidR="00601D9B" w:rsidRDefault="000E53A0">
            <w:pPr>
              <w:rPr>
                <w:rFonts w:cstheme="minorHAnsi"/>
                <w:b/>
                <w:sz w:val="18"/>
                <w:szCs w:val="18"/>
              </w:rPr>
            </w:pPr>
            <w:r w:rsidRPr="007F5638">
              <w:rPr>
                <w:rFonts w:cstheme="minorHAnsi"/>
                <w:b/>
                <w:sz w:val="18"/>
                <w:szCs w:val="18"/>
              </w:rPr>
              <w:t>Indicateur de base 6</w:t>
            </w:r>
          </w:p>
        </w:tc>
        <w:tc>
          <w:tcPr>
            <w:tcW w:w="6787" w:type="dxa"/>
            <w:gridSpan w:val="10"/>
            <w:shd w:val="clear" w:color="auto" w:fill="D9D9D9" w:themeFill="background1" w:themeFillShade="D9"/>
          </w:tcPr>
          <w:p w14:paraId="7E227331" w14:textId="77777777" w:rsidR="00601D9B" w:rsidRPr="000E53A0" w:rsidRDefault="000E53A0">
            <w:pPr>
              <w:rPr>
                <w:rFonts w:cstheme="minorHAnsi"/>
                <w:b/>
                <w:sz w:val="18"/>
                <w:szCs w:val="18"/>
                <w:lang w:val="fr-FR"/>
              </w:rPr>
            </w:pPr>
            <w:r w:rsidRPr="000E53A0">
              <w:rPr>
                <w:rFonts w:cstheme="minorHAnsi"/>
                <w:b/>
                <w:sz w:val="18"/>
                <w:szCs w:val="18"/>
                <w:lang w:val="fr-FR"/>
              </w:rPr>
              <w:t>Réduction des émissions de gaz à effet de serre</w:t>
            </w:r>
          </w:p>
        </w:tc>
        <w:tc>
          <w:tcPr>
            <w:tcW w:w="1287" w:type="dxa"/>
            <w:shd w:val="clear" w:color="auto" w:fill="D9D9D9" w:themeFill="background1" w:themeFillShade="D9"/>
          </w:tcPr>
          <w:p w14:paraId="0AAA28D3" w14:textId="77777777" w:rsidR="00601D9B" w:rsidRPr="000E53A0" w:rsidRDefault="000E53A0">
            <w:pPr>
              <w:jc w:val="right"/>
              <w:rPr>
                <w:rFonts w:cstheme="minorHAnsi"/>
                <w:b/>
                <w:sz w:val="18"/>
                <w:szCs w:val="18"/>
                <w:lang w:val="fr-FR"/>
              </w:rPr>
            </w:pPr>
            <w:r w:rsidRPr="007F5638">
              <w:rPr>
                <w:rFonts w:cstheme="minorHAnsi"/>
                <w:b/>
                <w:i/>
                <w:color w:val="000000"/>
                <w:sz w:val="18"/>
                <w:szCs w:val="18"/>
              </w:rPr>
              <w:fldChar w:fldCharType="begin">
                <w:ffData>
                  <w:name w:val=""/>
                  <w:enabled/>
                  <w:calcOnExit w:val="0"/>
                  <w:textInput>
                    <w:default w:val="(Tons)"/>
                  </w:textInput>
                </w:ffData>
              </w:fldChar>
            </w:r>
            <w:r w:rsidRPr="000E53A0">
              <w:rPr>
                <w:rFonts w:cstheme="minorHAnsi"/>
                <w:b/>
                <w:i/>
                <w:color w:val="000000"/>
                <w:sz w:val="18"/>
                <w:szCs w:val="18"/>
                <w:lang w:val="fr-FR"/>
              </w:rPr>
              <w:instrText xml:space="preserve"> FORMTEXT </w:instrText>
            </w:r>
            <w:r w:rsidRPr="007F5638">
              <w:rPr>
                <w:rFonts w:cstheme="minorHAnsi"/>
                <w:b/>
                <w:i/>
                <w:color w:val="000000"/>
                <w:sz w:val="18"/>
                <w:szCs w:val="18"/>
              </w:rPr>
            </w:r>
            <w:r w:rsidRPr="007F5638">
              <w:rPr>
                <w:rFonts w:cstheme="minorHAnsi"/>
                <w:b/>
                <w:i/>
                <w:color w:val="000000"/>
                <w:sz w:val="18"/>
                <w:szCs w:val="18"/>
              </w:rPr>
              <w:fldChar w:fldCharType="separate"/>
            </w:r>
            <w:r w:rsidRPr="000E53A0">
              <w:rPr>
                <w:rFonts w:cstheme="minorHAnsi"/>
                <w:b/>
                <w:i/>
                <w:noProof/>
                <w:color w:val="000000"/>
                <w:sz w:val="18"/>
                <w:szCs w:val="18"/>
                <w:lang w:val="fr-FR"/>
              </w:rPr>
              <w:t>(</w:t>
            </w:r>
            <w:r w:rsidRPr="000E53A0">
              <w:rPr>
                <w:rFonts w:cstheme="minorHAnsi"/>
                <w:b/>
                <w:bCs/>
                <w:i/>
                <w:noProof/>
                <w:color w:val="000000"/>
                <w:sz w:val="18"/>
                <w:szCs w:val="18"/>
                <w:lang w:val="fr-FR"/>
              </w:rPr>
              <w:t>Tonnes métriques de CO₂e</w:t>
            </w:r>
            <w:r w:rsidRPr="000E53A0">
              <w:rPr>
                <w:rFonts w:cstheme="minorHAnsi"/>
                <w:b/>
                <w:i/>
                <w:noProof/>
                <w:color w:val="000000"/>
                <w:sz w:val="18"/>
                <w:szCs w:val="18"/>
                <w:lang w:val="fr-FR"/>
              </w:rPr>
              <w:t>)</w:t>
            </w:r>
            <w:r w:rsidRPr="007F5638">
              <w:rPr>
                <w:rFonts w:cstheme="minorHAnsi"/>
                <w:b/>
                <w:i/>
                <w:color w:val="000000"/>
                <w:sz w:val="18"/>
                <w:szCs w:val="18"/>
              </w:rPr>
              <w:fldChar w:fldCharType="end"/>
            </w:r>
          </w:p>
        </w:tc>
      </w:tr>
      <w:tr w:rsidR="007F5638" w:rsidRPr="000E53A0" w14:paraId="18E3506A" w14:textId="77777777" w:rsidTr="001A7B9D">
        <w:tc>
          <w:tcPr>
            <w:tcW w:w="1298" w:type="dxa"/>
            <w:shd w:val="clear" w:color="auto" w:fill="auto"/>
          </w:tcPr>
          <w:p w14:paraId="63179113" w14:textId="77777777" w:rsidR="007F5638" w:rsidRPr="000E53A0" w:rsidRDefault="007F5638" w:rsidP="007F5638">
            <w:pPr>
              <w:rPr>
                <w:rFonts w:cstheme="minorHAnsi"/>
                <w:sz w:val="18"/>
                <w:szCs w:val="18"/>
                <w:lang w:val="fr-FR"/>
              </w:rPr>
            </w:pPr>
          </w:p>
        </w:tc>
        <w:tc>
          <w:tcPr>
            <w:tcW w:w="2681" w:type="dxa"/>
            <w:gridSpan w:val="5"/>
            <w:shd w:val="clear" w:color="auto" w:fill="F2F2F2" w:themeFill="background1" w:themeFillShade="F2"/>
          </w:tcPr>
          <w:p w14:paraId="1A257CF7" w14:textId="77777777" w:rsidR="007F5638" w:rsidRPr="000E53A0" w:rsidRDefault="007F5638" w:rsidP="007F5638">
            <w:pPr>
              <w:jc w:val="right"/>
              <w:rPr>
                <w:rFonts w:cstheme="minorHAnsi"/>
                <w:sz w:val="18"/>
                <w:szCs w:val="18"/>
                <w:lang w:val="fr-FR"/>
              </w:rPr>
            </w:pPr>
          </w:p>
        </w:tc>
        <w:tc>
          <w:tcPr>
            <w:tcW w:w="5393" w:type="dxa"/>
            <w:gridSpan w:val="6"/>
            <w:shd w:val="clear" w:color="auto" w:fill="F2F2F2" w:themeFill="background1" w:themeFillShade="F2"/>
          </w:tcPr>
          <w:p w14:paraId="2B37DB43" w14:textId="77777777" w:rsidR="00601D9B" w:rsidRPr="000E53A0" w:rsidRDefault="000E53A0">
            <w:pPr>
              <w:jc w:val="center"/>
              <w:rPr>
                <w:rFonts w:cstheme="minorHAnsi"/>
                <w:i/>
                <w:color w:val="000000"/>
                <w:sz w:val="18"/>
                <w:szCs w:val="18"/>
                <w:lang w:val="fr-FR"/>
              </w:rPr>
            </w:pPr>
            <w:r w:rsidRPr="000E53A0">
              <w:rPr>
                <w:rFonts w:cstheme="minorHAnsi"/>
                <w:bCs/>
                <w:sz w:val="18"/>
                <w:szCs w:val="18"/>
                <w:lang w:val="fr-FR"/>
              </w:rPr>
              <w:t>Tonnes métriques de CO₂e attendues (</w:t>
            </w:r>
            <w:r w:rsidRPr="000E53A0">
              <w:rPr>
                <w:rFonts w:cstheme="minorHAnsi"/>
                <w:sz w:val="18"/>
                <w:szCs w:val="18"/>
                <w:lang w:val="fr-FR"/>
              </w:rPr>
              <w:t>6.1+6.2)</w:t>
            </w:r>
          </w:p>
        </w:tc>
      </w:tr>
      <w:tr w:rsidR="007F5638" w:rsidRPr="007F5638" w14:paraId="7DBA65DB" w14:textId="77777777" w:rsidTr="001A7B9D">
        <w:tc>
          <w:tcPr>
            <w:tcW w:w="1298" w:type="dxa"/>
            <w:shd w:val="clear" w:color="auto" w:fill="auto"/>
          </w:tcPr>
          <w:p w14:paraId="6390B963" w14:textId="77777777" w:rsidR="007F5638" w:rsidRPr="000E53A0" w:rsidRDefault="007F5638" w:rsidP="007F5638">
            <w:pPr>
              <w:rPr>
                <w:rFonts w:cstheme="minorHAnsi"/>
                <w:sz w:val="18"/>
                <w:szCs w:val="18"/>
                <w:lang w:val="fr-FR"/>
              </w:rPr>
            </w:pPr>
          </w:p>
        </w:tc>
        <w:tc>
          <w:tcPr>
            <w:tcW w:w="2681" w:type="dxa"/>
            <w:gridSpan w:val="5"/>
            <w:shd w:val="clear" w:color="auto" w:fill="F2F2F2" w:themeFill="background1" w:themeFillShade="F2"/>
          </w:tcPr>
          <w:p w14:paraId="422504B9" w14:textId="77777777" w:rsidR="007F5638" w:rsidRPr="000E53A0" w:rsidRDefault="007F5638" w:rsidP="007F5638">
            <w:pPr>
              <w:jc w:val="right"/>
              <w:rPr>
                <w:rFonts w:cstheme="minorHAnsi"/>
                <w:sz w:val="18"/>
                <w:szCs w:val="18"/>
                <w:lang w:val="fr-FR"/>
              </w:rPr>
            </w:pPr>
          </w:p>
        </w:tc>
        <w:tc>
          <w:tcPr>
            <w:tcW w:w="1315" w:type="dxa"/>
            <w:shd w:val="clear" w:color="auto" w:fill="F2F2F2" w:themeFill="background1" w:themeFillShade="F2"/>
          </w:tcPr>
          <w:p w14:paraId="21330D6B" w14:textId="77777777" w:rsidR="00601D9B" w:rsidRDefault="000E53A0">
            <w:pPr>
              <w:jc w:val="center"/>
              <w:rPr>
                <w:rFonts w:cstheme="minorHAnsi"/>
                <w:sz w:val="18"/>
                <w:szCs w:val="18"/>
              </w:rPr>
            </w:pPr>
            <w:r w:rsidRPr="007F5638">
              <w:rPr>
                <w:rFonts w:cstheme="minorHAnsi"/>
                <w:sz w:val="18"/>
                <w:szCs w:val="18"/>
              </w:rPr>
              <w:t>Étape du FIP</w:t>
            </w:r>
          </w:p>
        </w:tc>
        <w:tc>
          <w:tcPr>
            <w:tcW w:w="1467" w:type="dxa"/>
            <w:gridSpan w:val="2"/>
            <w:shd w:val="clear" w:color="auto" w:fill="F2F2F2" w:themeFill="background1" w:themeFillShade="F2"/>
          </w:tcPr>
          <w:p w14:paraId="3E967E0A" w14:textId="77777777" w:rsidR="00601D9B" w:rsidRDefault="000E53A0">
            <w:pPr>
              <w:jc w:val="center"/>
              <w:rPr>
                <w:rFonts w:cstheme="minorHAnsi"/>
                <w:sz w:val="18"/>
                <w:szCs w:val="18"/>
              </w:rPr>
            </w:pPr>
            <w:r w:rsidRPr="007F5638">
              <w:rPr>
                <w:rFonts w:cstheme="minorHAnsi"/>
                <w:sz w:val="18"/>
                <w:szCs w:val="18"/>
              </w:rPr>
              <w:t>Endossement</w:t>
            </w:r>
          </w:p>
        </w:tc>
        <w:tc>
          <w:tcPr>
            <w:tcW w:w="1324" w:type="dxa"/>
            <w:gridSpan w:val="2"/>
            <w:shd w:val="clear" w:color="auto" w:fill="F2F2F2" w:themeFill="background1" w:themeFillShade="F2"/>
          </w:tcPr>
          <w:p w14:paraId="2E6E1A01" w14:textId="77777777" w:rsidR="00601D9B" w:rsidRDefault="000E53A0">
            <w:pPr>
              <w:jc w:val="center"/>
              <w:rPr>
                <w:rFonts w:cstheme="minorHAnsi"/>
                <w:sz w:val="18"/>
                <w:szCs w:val="18"/>
              </w:rPr>
            </w:pPr>
            <w:r w:rsidRPr="007F5638">
              <w:rPr>
                <w:rFonts w:cstheme="minorHAnsi"/>
                <w:sz w:val="18"/>
                <w:szCs w:val="18"/>
              </w:rPr>
              <w:t>MTR</w:t>
            </w:r>
          </w:p>
        </w:tc>
        <w:tc>
          <w:tcPr>
            <w:tcW w:w="1287" w:type="dxa"/>
            <w:shd w:val="clear" w:color="auto" w:fill="F2F2F2" w:themeFill="background1" w:themeFillShade="F2"/>
          </w:tcPr>
          <w:p w14:paraId="50E86012" w14:textId="77777777" w:rsidR="00601D9B" w:rsidRDefault="000E53A0">
            <w:pPr>
              <w:jc w:val="center"/>
              <w:rPr>
                <w:rFonts w:cstheme="minorHAnsi"/>
                <w:i/>
                <w:color w:val="000000"/>
                <w:sz w:val="18"/>
                <w:szCs w:val="18"/>
              </w:rPr>
            </w:pPr>
            <w:r w:rsidRPr="007F5638">
              <w:rPr>
                <w:rFonts w:cstheme="minorHAnsi"/>
                <w:sz w:val="18"/>
                <w:szCs w:val="18"/>
              </w:rPr>
              <w:t>TE</w:t>
            </w:r>
          </w:p>
        </w:tc>
      </w:tr>
      <w:tr w:rsidR="007F5638" w:rsidRPr="007F5638" w14:paraId="3B2CA688" w14:textId="77777777" w:rsidTr="001A7B9D">
        <w:tc>
          <w:tcPr>
            <w:tcW w:w="1298" w:type="dxa"/>
            <w:shd w:val="clear" w:color="auto" w:fill="auto"/>
          </w:tcPr>
          <w:p w14:paraId="72E28229" w14:textId="77777777" w:rsidR="007F5638" w:rsidRPr="007F5638" w:rsidRDefault="007F5638" w:rsidP="007F5638">
            <w:pPr>
              <w:rPr>
                <w:rFonts w:cstheme="minorHAnsi"/>
                <w:sz w:val="18"/>
                <w:szCs w:val="18"/>
              </w:rPr>
            </w:pPr>
          </w:p>
        </w:tc>
        <w:tc>
          <w:tcPr>
            <w:tcW w:w="2681" w:type="dxa"/>
            <w:gridSpan w:val="5"/>
            <w:shd w:val="clear" w:color="auto" w:fill="F2F2F2" w:themeFill="background1" w:themeFillShade="F2"/>
          </w:tcPr>
          <w:p w14:paraId="76A8459E" w14:textId="77777777" w:rsidR="00601D9B" w:rsidRDefault="000E53A0">
            <w:pPr>
              <w:jc w:val="right"/>
              <w:rPr>
                <w:rFonts w:cstheme="minorHAnsi"/>
                <w:sz w:val="18"/>
                <w:szCs w:val="18"/>
              </w:rPr>
            </w:pPr>
            <w:r w:rsidRPr="007F5638">
              <w:rPr>
                <w:rFonts w:cstheme="minorHAnsi"/>
                <w:sz w:val="18"/>
                <w:szCs w:val="18"/>
              </w:rPr>
              <w:t>CO2e prévu (direct)</w:t>
            </w:r>
          </w:p>
        </w:tc>
        <w:tc>
          <w:tcPr>
            <w:tcW w:w="1315" w:type="dxa"/>
            <w:shd w:val="clear" w:color="auto" w:fill="F2F2F2" w:themeFill="background1" w:themeFillShade="F2"/>
          </w:tcPr>
          <w:p w14:paraId="3083BFCD" w14:textId="77777777" w:rsidR="00601D9B" w:rsidRDefault="000E53A0">
            <w:pPr>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467" w:type="dxa"/>
            <w:gridSpan w:val="2"/>
            <w:shd w:val="clear" w:color="auto" w:fill="F2F2F2" w:themeFill="background1" w:themeFillShade="F2"/>
          </w:tcPr>
          <w:p w14:paraId="4961E99F" w14:textId="77777777" w:rsidR="00601D9B" w:rsidRDefault="000E53A0">
            <w:pPr>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324" w:type="dxa"/>
            <w:gridSpan w:val="2"/>
            <w:shd w:val="clear" w:color="auto" w:fill="F2F2F2" w:themeFill="background1" w:themeFillShade="F2"/>
          </w:tcPr>
          <w:p w14:paraId="4C4C63E9" w14:textId="77777777" w:rsidR="00601D9B" w:rsidRDefault="000E53A0">
            <w:pPr>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287" w:type="dxa"/>
            <w:shd w:val="clear" w:color="auto" w:fill="F2F2F2" w:themeFill="background1" w:themeFillShade="F2"/>
          </w:tcPr>
          <w:p w14:paraId="29A1B1BF" w14:textId="77777777" w:rsidR="00601D9B" w:rsidRDefault="000E53A0">
            <w:pPr>
              <w:jc w:val="right"/>
              <w:rPr>
                <w:rFonts w:cstheme="minorHAnsi"/>
                <w:i/>
                <w:color w:val="000000"/>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r>
      <w:tr w:rsidR="007F5638" w:rsidRPr="007F5638" w14:paraId="65E19BB0" w14:textId="77777777" w:rsidTr="001A7B9D">
        <w:tc>
          <w:tcPr>
            <w:tcW w:w="1298" w:type="dxa"/>
            <w:shd w:val="clear" w:color="auto" w:fill="auto"/>
          </w:tcPr>
          <w:p w14:paraId="3AFD8773" w14:textId="77777777" w:rsidR="007F5638" w:rsidRPr="007F5638" w:rsidRDefault="007F5638" w:rsidP="007F5638">
            <w:pPr>
              <w:rPr>
                <w:rFonts w:cstheme="minorHAnsi"/>
                <w:sz w:val="18"/>
                <w:szCs w:val="18"/>
              </w:rPr>
            </w:pPr>
          </w:p>
        </w:tc>
        <w:tc>
          <w:tcPr>
            <w:tcW w:w="2681" w:type="dxa"/>
            <w:gridSpan w:val="5"/>
            <w:shd w:val="clear" w:color="auto" w:fill="F2F2F2" w:themeFill="background1" w:themeFillShade="F2"/>
          </w:tcPr>
          <w:p w14:paraId="2B420AAA" w14:textId="77777777" w:rsidR="00601D9B" w:rsidRDefault="000E53A0">
            <w:pPr>
              <w:jc w:val="right"/>
              <w:rPr>
                <w:rFonts w:cstheme="minorHAnsi"/>
                <w:sz w:val="18"/>
                <w:szCs w:val="18"/>
              </w:rPr>
            </w:pPr>
            <w:r w:rsidRPr="007F5638">
              <w:rPr>
                <w:rFonts w:cstheme="minorHAnsi"/>
                <w:sz w:val="18"/>
                <w:szCs w:val="18"/>
              </w:rPr>
              <w:t>CO2e attendu (indirect)</w:t>
            </w:r>
          </w:p>
        </w:tc>
        <w:tc>
          <w:tcPr>
            <w:tcW w:w="1315" w:type="dxa"/>
            <w:shd w:val="clear" w:color="auto" w:fill="F2F2F2" w:themeFill="background1" w:themeFillShade="F2"/>
          </w:tcPr>
          <w:p w14:paraId="1F9FE4F7" w14:textId="77777777" w:rsidR="00601D9B" w:rsidRDefault="000E53A0">
            <w:pPr>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467" w:type="dxa"/>
            <w:gridSpan w:val="2"/>
            <w:shd w:val="clear" w:color="auto" w:fill="F2F2F2" w:themeFill="background1" w:themeFillShade="F2"/>
          </w:tcPr>
          <w:p w14:paraId="541F9CF7" w14:textId="77777777" w:rsidR="00601D9B" w:rsidRDefault="000E53A0">
            <w:pPr>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324" w:type="dxa"/>
            <w:gridSpan w:val="2"/>
            <w:shd w:val="clear" w:color="auto" w:fill="F2F2F2" w:themeFill="background1" w:themeFillShade="F2"/>
          </w:tcPr>
          <w:p w14:paraId="5BD58346" w14:textId="77777777" w:rsidR="00601D9B" w:rsidRDefault="000E53A0">
            <w:pPr>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287" w:type="dxa"/>
            <w:shd w:val="clear" w:color="auto" w:fill="F2F2F2" w:themeFill="background1" w:themeFillShade="F2"/>
          </w:tcPr>
          <w:p w14:paraId="291A0293" w14:textId="77777777" w:rsidR="00601D9B" w:rsidRDefault="000E53A0">
            <w:pPr>
              <w:jc w:val="right"/>
              <w:rPr>
                <w:rFonts w:cstheme="minorHAnsi"/>
                <w:i/>
                <w:color w:val="000000"/>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r>
      <w:tr w:rsidR="007F5638" w:rsidRPr="007F5638" w14:paraId="51C3DDD6" w14:textId="77777777" w:rsidTr="001A7B9D">
        <w:tc>
          <w:tcPr>
            <w:tcW w:w="1298" w:type="dxa"/>
            <w:shd w:val="clear" w:color="auto" w:fill="BFBFBF" w:themeFill="background1" w:themeFillShade="BF"/>
          </w:tcPr>
          <w:p w14:paraId="1B1EAA6C" w14:textId="77777777" w:rsidR="00601D9B" w:rsidRDefault="000E53A0">
            <w:pPr>
              <w:rPr>
                <w:rFonts w:cstheme="minorHAnsi"/>
                <w:sz w:val="18"/>
                <w:szCs w:val="18"/>
              </w:rPr>
            </w:pPr>
            <w:r w:rsidRPr="007F5638">
              <w:rPr>
                <w:rFonts w:cstheme="minorHAnsi"/>
                <w:sz w:val="18"/>
                <w:szCs w:val="18"/>
              </w:rPr>
              <w:t>Indicateur 6.1</w:t>
            </w:r>
          </w:p>
        </w:tc>
        <w:tc>
          <w:tcPr>
            <w:tcW w:w="5463" w:type="dxa"/>
            <w:gridSpan w:val="8"/>
            <w:shd w:val="clear" w:color="auto" w:fill="BFBFBF" w:themeFill="background1" w:themeFillShade="BF"/>
          </w:tcPr>
          <w:p w14:paraId="027CB1E7" w14:textId="77777777" w:rsidR="00601D9B" w:rsidRPr="000E53A0" w:rsidRDefault="000E53A0">
            <w:pPr>
              <w:rPr>
                <w:rFonts w:cstheme="minorHAnsi"/>
                <w:sz w:val="18"/>
                <w:szCs w:val="18"/>
                <w:lang w:val="fr-FR"/>
              </w:rPr>
            </w:pPr>
            <w:r w:rsidRPr="000E53A0">
              <w:rPr>
                <w:rFonts w:cstheme="minorHAnsi"/>
                <w:sz w:val="18"/>
                <w:szCs w:val="18"/>
                <w:lang w:val="fr-FR"/>
              </w:rPr>
              <w:t>Carbone piégé ou émissions évitées dans le secteur AFOLU</w:t>
            </w:r>
          </w:p>
        </w:tc>
        <w:tc>
          <w:tcPr>
            <w:tcW w:w="1324" w:type="dxa"/>
            <w:gridSpan w:val="2"/>
            <w:shd w:val="clear" w:color="auto" w:fill="BFBFBF" w:themeFill="background1" w:themeFillShade="BF"/>
          </w:tcPr>
          <w:p w14:paraId="04C19508" w14:textId="77777777" w:rsidR="007F5638" w:rsidRPr="000E53A0" w:rsidRDefault="007F5638" w:rsidP="007F5638">
            <w:pPr>
              <w:rPr>
                <w:rFonts w:cstheme="minorHAnsi"/>
                <w:sz w:val="18"/>
                <w:szCs w:val="18"/>
                <w:lang w:val="fr-FR"/>
              </w:rPr>
            </w:pPr>
          </w:p>
        </w:tc>
        <w:tc>
          <w:tcPr>
            <w:tcW w:w="1287" w:type="dxa"/>
            <w:shd w:val="clear" w:color="auto" w:fill="BFBFBF" w:themeFill="background1" w:themeFillShade="BF"/>
          </w:tcPr>
          <w:p w14:paraId="117F0A89"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r>
      <w:tr w:rsidR="007F5638" w:rsidRPr="000E53A0" w14:paraId="029B9E3E" w14:textId="77777777" w:rsidTr="001A7B9D">
        <w:trPr>
          <w:trHeight w:val="125"/>
        </w:trPr>
        <w:tc>
          <w:tcPr>
            <w:tcW w:w="1298" w:type="dxa"/>
            <w:vMerge w:val="restart"/>
          </w:tcPr>
          <w:p w14:paraId="62222E8C" w14:textId="77777777" w:rsidR="007F5638" w:rsidRPr="007F5638" w:rsidRDefault="007F5638" w:rsidP="007F5638">
            <w:pPr>
              <w:rPr>
                <w:rFonts w:cstheme="minorHAnsi"/>
                <w:sz w:val="18"/>
                <w:szCs w:val="18"/>
              </w:rPr>
            </w:pPr>
          </w:p>
        </w:tc>
        <w:tc>
          <w:tcPr>
            <w:tcW w:w="933" w:type="dxa"/>
            <w:vMerge w:val="restart"/>
          </w:tcPr>
          <w:p w14:paraId="5460A43F" w14:textId="77777777" w:rsidR="007F5638" w:rsidRPr="007F5638" w:rsidRDefault="007F5638" w:rsidP="007F5638">
            <w:pPr>
              <w:rPr>
                <w:rFonts w:cstheme="minorHAnsi"/>
                <w:sz w:val="18"/>
                <w:szCs w:val="18"/>
              </w:rPr>
            </w:pPr>
          </w:p>
        </w:tc>
        <w:tc>
          <w:tcPr>
            <w:tcW w:w="1748" w:type="dxa"/>
            <w:gridSpan w:val="4"/>
            <w:vMerge w:val="restart"/>
          </w:tcPr>
          <w:p w14:paraId="1A89FA9A" w14:textId="77777777" w:rsidR="007F5638" w:rsidRPr="007F5638" w:rsidRDefault="007F5638" w:rsidP="007F5638">
            <w:pPr>
              <w:rPr>
                <w:rFonts w:cstheme="minorHAnsi"/>
                <w:sz w:val="18"/>
                <w:szCs w:val="18"/>
              </w:rPr>
            </w:pPr>
          </w:p>
        </w:tc>
        <w:tc>
          <w:tcPr>
            <w:tcW w:w="5393" w:type="dxa"/>
            <w:gridSpan w:val="6"/>
          </w:tcPr>
          <w:p w14:paraId="3A5FA722" w14:textId="77777777" w:rsidR="00601D9B" w:rsidRPr="000E53A0" w:rsidRDefault="000E53A0">
            <w:pPr>
              <w:jc w:val="center"/>
              <w:rPr>
                <w:rFonts w:cstheme="minorHAnsi"/>
                <w:sz w:val="18"/>
                <w:szCs w:val="18"/>
                <w:lang w:val="fr-FR"/>
              </w:rPr>
            </w:pPr>
            <w:r w:rsidRPr="000E53A0">
              <w:rPr>
                <w:rFonts w:cstheme="minorHAnsi"/>
                <w:bCs/>
                <w:sz w:val="18"/>
                <w:szCs w:val="18"/>
                <w:lang w:val="fr-FR"/>
              </w:rPr>
              <w:t xml:space="preserve"> Tonnes métriques de CO₂e attendues</w:t>
            </w:r>
          </w:p>
        </w:tc>
      </w:tr>
      <w:tr w:rsidR="007F5638" w:rsidRPr="007F5638" w14:paraId="1B49C5B1" w14:textId="77777777" w:rsidTr="001A7B9D">
        <w:trPr>
          <w:trHeight w:val="89"/>
        </w:trPr>
        <w:tc>
          <w:tcPr>
            <w:tcW w:w="1298" w:type="dxa"/>
            <w:vMerge/>
          </w:tcPr>
          <w:p w14:paraId="271270AA" w14:textId="77777777" w:rsidR="007F5638" w:rsidRPr="000E53A0" w:rsidRDefault="007F5638" w:rsidP="007F5638">
            <w:pPr>
              <w:rPr>
                <w:rFonts w:cstheme="minorHAnsi"/>
                <w:sz w:val="18"/>
                <w:szCs w:val="18"/>
                <w:lang w:val="fr-FR"/>
              </w:rPr>
            </w:pPr>
          </w:p>
        </w:tc>
        <w:tc>
          <w:tcPr>
            <w:tcW w:w="933" w:type="dxa"/>
            <w:vMerge/>
          </w:tcPr>
          <w:p w14:paraId="0978EFD2" w14:textId="77777777" w:rsidR="007F5638" w:rsidRPr="000E53A0" w:rsidRDefault="007F5638" w:rsidP="007F5638">
            <w:pPr>
              <w:rPr>
                <w:rFonts w:cstheme="minorHAnsi"/>
                <w:sz w:val="18"/>
                <w:szCs w:val="18"/>
                <w:lang w:val="fr-FR"/>
              </w:rPr>
            </w:pPr>
          </w:p>
        </w:tc>
        <w:tc>
          <w:tcPr>
            <w:tcW w:w="1748" w:type="dxa"/>
            <w:gridSpan w:val="4"/>
            <w:vMerge/>
          </w:tcPr>
          <w:p w14:paraId="7F950F65" w14:textId="77777777" w:rsidR="007F5638" w:rsidRPr="000E53A0" w:rsidRDefault="007F5638" w:rsidP="007F5638">
            <w:pPr>
              <w:rPr>
                <w:rFonts w:cstheme="minorHAnsi"/>
                <w:sz w:val="18"/>
                <w:szCs w:val="18"/>
                <w:lang w:val="fr-FR"/>
              </w:rPr>
            </w:pPr>
          </w:p>
        </w:tc>
        <w:tc>
          <w:tcPr>
            <w:tcW w:w="1323" w:type="dxa"/>
            <w:gridSpan w:val="2"/>
          </w:tcPr>
          <w:p w14:paraId="147C9A2B" w14:textId="77777777" w:rsidR="00601D9B" w:rsidRDefault="000E53A0">
            <w:pPr>
              <w:jc w:val="center"/>
              <w:rPr>
                <w:rFonts w:cstheme="minorHAnsi"/>
                <w:sz w:val="18"/>
                <w:szCs w:val="18"/>
              </w:rPr>
            </w:pPr>
            <w:r w:rsidRPr="007F5638">
              <w:rPr>
                <w:rFonts w:cstheme="minorHAnsi"/>
                <w:sz w:val="18"/>
                <w:szCs w:val="18"/>
              </w:rPr>
              <w:t>Étape du FIP</w:t>
            </w:r>
          </w:p>
        </w:tc>
        <w:tc>
          <w:tcPr>
            <w:tcW w:w="1477" w:type="dxa"/>
            <w:gridSpan w:val="2"/>
          </w:tcPr>
          <w:p w14:paraId="0B331C7F" w14:textId="77777777" w:rsidR="00601D9B" w:rsidRDefault="000E53A0">
            <w:pPr>
              <w:jc w:val="center"/>
              <w:rPr>
                <w:rFonts w:cstheme="minorHAnsi"/>
                <w:sz w:val="18"/>
                <w:szCs w:val="18"/>
              </w:rPr>
            </w:pPr>
            <w:r w:rsidRPr="007F5638">
              <w:rPr>
                <w:rFonts w:cstheme="minorHAnsi"/>
                <w:sz w:val="18"/>
                <w:szCs w:val="18"/>
              </w:rPr>
              <w:t>Endossement</w:t>
            </w:r>
          </w:p>
        </w:tc>
        <w:tc>
          <w:tcPr>
            <w:tcW w:w="1306" w:type="dxa"/>
          </w:tcPr>
          <w:p w14:paraId="42D8E271" w14:textId="77777777" w:rsidR="00601D9B" w:rsidRDefault="000E53A0">
            <w:pPr>
              <w:jc w:val="center"/>
              <w:rPr>
                <w:rFonts w:cstheme="minorHAnsi"/>
                <w:sz w:val="18"/>
                <w:szCs w:val="18"/>
              </w:rPr>
            </w:pPr>
            <w:r w:rsidRPr="007F5638">
              <w:rPr>
                <w:rFonts w:cstheme="minorHAnsi"/>
                <w:sz w:val="18"/>
                <w:szCs w:val="18"/>
              </w:rPr>
              <w:t>MTR</w:t>
            </w:r>
          </w:p>
        </w:tc>
        <w:tc>
          <w:tcPr>
            <w:tcW w:w="1287" w:type="dxa"/>
          </w:tcPr>
          <w:p w14:paraId="1573ECA2" w14:textId="77777777" w:rsidR="00601D9B" w:rsidRDefault="000E53A0">
            <w:pPr>
              <w:jc w:val="center"/>
              <w:rPr>
                <w:rFonts w:cstheme="minorHAnsi"/>
                <w:sz w:val="18"/>
                <w:szCs w:val="18"/>
              </w:rPr>
            </w:pPr>
            <w:r w:rsidRPr="007F5638">
              <w:rPr>
                <w:rFonts w:cstheme="minorHAnsi"/>
                <w:sz w:val="18"/>
                <w:szCs w:val="18"/>
              </w:rPr>
              <w:t>TE</w:t>
            </w:r>
          </w:p>
        </w:tc>
      </w:tr>
      <w:tr w:rsidR="007F5638" w:rsidRPr="007F5638" w14:paraId="1D0F3646" w14:textId="77777777" w:rsidTr="001A7B9D">
        <w:tc>
          <w:tcPr>
            <w:tcW w:w="1298" w:type="dxa"/>
          </w:tcPr>
          <w:p w14:paraId="7831CBAC" w14:textId="77777777" w:rsidR="007F5638" w:rsidRPr="007F5638" w:rsidRDefault="007F5638" w:rsidP="007F5638">
            <w:pPr>
              <w:jc w:val="right"/>
              <w:rPr>
                <w:rFonts w:cstheme="minorHAnsi"/>
                <w:sz w:val="18"/>
                <w:szCs w:val="18"/>
              </w:rPr>
            </w:pPr>
          </w:p>
        </w:tc>
        <w:tc>
          <w:tcPr>
            <w:tcW w:w="2681" w:type="dxa"/>
            <w:gridSpan w:val="5"/>
          </w:tcPr>
          <w:p w14:paraId="295F846A" w14:textId="77777777" w:rsidR="00601D9B" w:rsidRDefault="000E53A0">
            <w:pPr>
              <w:jc w:val="right"/>
              <w:rPr>
                <w:rFonts w:cstheme="minorHAnsi"/>
                <w:sz w:val="18"/>
                <w:szCs w:val="18"/>
              </w:rPr>
            </w:pPr>
            <w:r w:rsidRPr="007F5638">
              <w:rPr>
                <w:rFonts w:cstheme="minorHAnsi"/>
                <w:sz w:val="18"/>
                <w:szCs w:val="18"/>
              </w:rPr>
              <w:t>CO2e prévu (direct)</w:t>
            </w:r>
          </w:p>
        </w:tc>
        <w:tc>
          <w:tcPr>
            <w:tcW w:w="1323" w:type="dxa"/>
            <w:gridSpan w:val="2"/>
          </w:tcPr>
          <w:p w14:paraId="5067A4F5"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477" w:type="dxa"/>
            <w:gridSpan w:val="2"/>
          </w:tcPr>
          <w:p w14:paraId="33302BAA"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306" w:type="dxa"/>
          </w:tcPr>
          <w:p w14:paraId="5A07D85F"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287" w:type="dxa"/>
          </w:tcPr>
          <w:p w14:paraId="7A049684"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r>
      <w:tr w:rsidR="007F5638" w:rsidRPr="007F5638" w14:paraId="4E3281E2" w14:textId="77777777" w:rsidTr="001A7B9D">
        <w:tc>
          <w:tcPr>
            <w:tcW w:w="1298" w:type="dxa"/>
          </w:tcPr>
          <w:p w14:paraId="6BA1D9B1" w14:textId="77777777" w:rsidR="007F5638" w:rsidRPr="007F5638" w:rsidRDefault="007F5638" w:rsidP="007F5638">
            <w:pPr>
              <w:jc w:val="right"/>
              <w:rPr>
                <w:rFonts w:cstheme="minorHAnsi"/>
                <w:sz w:val="18"/>
                <w:szCs w:val="18"/>
              </w:rPr>
            </w:pPr>
          </w:p>
        </w:tc>
        <w:tc>
          <w:tcPr>
            <w:tcW w:w="2681" w:type="dxa"/>
            <w:gridSpan w:val="5"/>
          </w:tcPr>
          <w:p w14:paraId="3B295955" w14:textId="77777777" w:rsidR="00601D9B" w:rsidRDefault="000E53A0">
            <w:pPr>
              <w:jc w:val="right"/>
              <w:rPr>
                <w:rFonts w:cstheme="minorHAnsi"/>
                <w:sz w:val="18"/>
                <w:szCs w:val="18"/>
              </w:rPr>
            </w:pPr>
            <w:r w:rsidRPr="007F5638">
              <w:rPr>
                <w:rFonts w:cstheme="minorHAnsi"/>
                <w:sz w:val="18"/>
                <w:szCs w:val="18"/>
              </w:rPr>
              <w:t>CO2e prévu (indirect)</w:t>
            </w:r>
          </w:p>
        </w:tc>
        <w:tc>
          <w:tcPr>
            <w:tcW w:w="1323" w:type="dxa"/>
            <w:gridSpan w:val="2"/>
          </w:tcPr>
          <w:p w14:paraId="3C54D970"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477" w:type="dxa"/>
            <w:gridSpan w:val="2"/>
          </w:tcPr>
          <w:p w14:paraId="1E266313"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306" w:type="dxa"/>
          </w:tcPr>
          <w:p w14:paraId="41B38B05"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287" w:type="dxa"/>
          </w:tcPr>
          <w:p w14:paraId="1FE924B9"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r>
      <w:tr w:rsidR="007F5638" w:rsidRPr="007F5638" w14:paraId="5DC9B9C7" w14:textId="77777777" w:rsidTr="001A7B9D">
        <w:tc>
          <w:tcPr>
            <w:tcW w:w="1298" w:type="dxa"/>
          </w:tcPr>
          <w:p w14:paraId="02AD892E" w14:textId="77777777" w:rsidR="007F5638" w:rsidRPr="007F5638" w:rsidRDefault="007F5638" w:rsidP="007F5638">
            <w:pPr>
              <w:jc w:val="right"/>
              <w:rPr>
                <w:rFonts w:cstheme="minorHAnsi"/>
                <w:sz w:val="18"/>
                <w:szCs w:val="18"/>
              </w:rPr>
            </w:pPr>
          </w:p>
        </w:tc>
        <w:tc>
          <w:tcPr>
            <w:tcW w:w="2681" w:type="dxa"/>
            <w:gridSpan w:val="5"/>
          </w:tcPr>
          <w:p w14:paraId="56746787" w14:textId="77777777" w:rsidR="00601D9B" w:rsidRPr="000E53A0" w:rsidRDefault="000E53A0">
            <w:pPr>
              <w:jc w:val="right"/>
              <w:rPr>
                <w:rFonts w:cstheme="minorHAnsi"/>
                <w:sz w:val="18"/>
                <w:szCs w:val="18"/>
                <w:lang w:val="fr-FR"/>
              </w:rPr>
            </w:pPr>
            <w:r w:rsidRPr="000E53A0">
              <w:rPr>
                <w:rFonts w:cstheme="minorHAnsi"/>
                <w:sz w:val="18"/>
                <w:szCs w:val="18"/>
                <w:lang w:val="fr-FR"/>
              </w:rPr>
              <w:t>Année prévue de début de la comptabilité</w:t>
            </w:r>
          </w:p>
        </w:tc>
        <w:tc>
          <w:tcPr>
            <w:tcW w:w="1323" w:type="dxa"/>
            <w:gridSpan w:val="2"/>
          </w:tcPr>
          <w:p w14:paraId="4AB47A44" w14:textId="77777777" w:rsidR="00601D9B" w:rsidRDefault="000E53A0">
            <w:pPr>
              <w:jc w:val="right"/>
              <w:rPr>
                <w:rFonts w:cstheme="minorHAnsi"/>
                <w:i/>
                <w:color w:val="000000"/>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477" w:type="dxa"/>
            <w:gridSpan w:val="2"/>
          </w:tcPr>
          <w:p w14:paraId="08C3537B" w14:textId="77777777" w:rsidR="00601D9B" w:rsidRDefault="000E53A0">
            <w:pPr>
              <w:jc w:val="right"/>
              <w:rPr>
                <w:rFonts w:cstheme="minorHAnsi"/>
                <w:i/>
                <w:color w:val="000000"/>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306" w:type="dxa"/>
          </w:tcPr>
          <w:p w14:paraId="486641D1" w14:textId="77777777" w:rsidR="00601D9B" w:rsidRDefault="000E53A0">
            <w:pPr>
              <w:jc w:val="right"/>
              <w:rPr>
                <w:rFonts w:cstheme="minorHAnsi"/>
                <w:i/>
                <w:color w:val="000000"/>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287" w:type="dxa"/>
          </w:tcPr>
          <w:p w14:paraId="15F7C83E" w14:textId="77777777" w:rsidR="00601D9B" w:rsidRDefault="000E53A0">
            <w:pPr>
              <w:jc w:val="right"/>
              <w:rPr>
                <w:rFonts w:cstheme="minorHAnsi"/>
                <w:i/>
                <w:color w:val="000000"/>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r>
      <w:tr w:rsidR="007F5638" w:rsidRPr="007F5638" w14:paraId="1C258900" w14:textId="77777777" w:rsidTr="001A7B9D">
        <w:tc>
          <w:tcPr>
            <w:tcW w:w="1298" w:type="dxa"/>
          </w:tcPr>
          <w:p w14:paraId="1EE8FD88" w14:textId="77777777" w:rsidR="007F5638" w:rsidRPr="007F5638" w:rsidRDefault="007F5638" w:rsidP="007F5638">
            <w:pPr>
              <w:jc w:val="right"/>
              <w:rPr>
                <w:rFonts w:cstheme="minorHAnsi"/>
                <w:sz w:val="18"/>
                <w:szCs w:val="18"/>
              </w:rPr>
            </w:pPr>
          </w:p>
        </w:tc>
        <w:tc>
          <w:tcPr>
            <w:tcW w:w="2681" w:type="dxa"/>
            <w:gridSpan w:val="5"/>
          </w:tcPr>
          <w:p w14:paraId="6B531602" w14:textId="77777777" w:rsidR="00601D9B" w:rsidRDefault="000E53A0">
            <w:pPr>
              <w:jc w:val="right"/>
              <w:rPr>
                <w:rFonts w:cstheme="minorHAnsi"/>
                <w:sz w:val="18"/>
                <w:szCs w:val="18"/>
              </w:rPr>
            </w:pPr>
            <w:r w:rsidRPr="007F5638">
              <w:rPr>
                <w:rFonts w:cstheme="minorHAnsi"/>
                <w:bCs/>
                <w:sz w:val="18"/>
                <w:szCs w:val="18"/>
              </w:rPr>
              <w:t>Durée de la comptabilité</w:t>
            </w:r>
          </w:p>
        </w:tc>
        <w:tc>
          <w:tcPr>
            <w:tcW w:w="1323" w:type="dxa"/>
            <w:gridSpan w:val="2"/>
          </w:tcPr>
          <w:p w14:paraId="6D802F21" w14:textId="77777777" w:rsidR="00601D9B" w:rsidRDefault="000E53A0">
            <w:pPr>
              <w:jc w:val="right"/>
              <w:rPr>
                <w:rFonts w:cstheme="minorHAnsi"/>
                <w:i/>
                <w:color w:val="000000"/>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477" w:type="dxa"/>
            <w:gridSpan w:val="2"/>
          </w:tcPr>
          <w:p w14:paraId="699CEE1C" w14:textId="77777777" w:rsidR="00601D9B" w:rsidRDefault="000E53A0">
            <w:pPr>
              <w:jc w:val="right"/>
              <w:rPr>
                <w:rFonts w:cstheme="minorHAnsi"/>
                <w:i/>
                <w:color w:val="000000"/>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306" w:type="dxa"/>
          </w:tcPr>
          <w:p w14:paraId="4467A261" w14:textId="77777777" w:rsidR="00601D9B" w:rsidRDefault="000E53A0">
            <w:pPr>
              <w:jc w:val="right"/>
              <w:rPr>
                <w:rFonts w:cstheme="minorHAnsi"/>
                <w:i/>
                <w:color w:val="000000"/>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287" w:type="dxa"/>
          </w:tcPr>
          <w:p w14:paraId="56CD46E4" w14:textId="77777777" w:rsidR="00601D9B" w:rsidRDefault="000E53A0">
            <w:pPr>
              <w:jc w:val="right"/>
              <w:rPr>
                <w:rFonts w:cstheme="minorHAnsi"/>
                <w:i/>
                <w:color w:val="000000"/>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r>
      <w:tr w:rsidR="007F5638" w:rsidRPr="007F5638" w14:paraId="16246D44" w14:textId="77777777" w:rsidTr="001A7B9D">
        <w:tc>
          <w:tcPr>
            <w:tcW w:w="1298" w:type="dxa"/>
            <w:shd w:val="clear" w:color="auto" w:fill="BFBFBF" w:themeFill="background1" w:themeFillShade="BF"/>
          </w:tcPr>
          <w:p w14:paraId="67057540" w14:textId="77777777" w:rsidR="00601D9B" w:rsidRDefault="000E53A0">
            <w:pPr>
              <w:rPr>
                <w:rFonts w:cstheme="minorHAnsi"/>
                <w:sz w:val="18"/>
                <w:szCs w:val="18"/>
              </w:rPr>
            </w:pPr>
            <w:r w:rsidRPr="007F5638">
              <w:rPr>
                <w:rFonts w:cstheme="minorHAnsi"/>
                <w:sz w:val="18"/>
                <w:szCs w:val="18"/>
              </w:rPr>
              <w:t>Indicateur 6.2</w:t>
            </w:r>
          </w:p>
        </w:tc>
        <w:tc>
          <w:tcPr>
            <w:tcW w:w="6787" w:type="dxa"/>
            <w:gridSpan w:val="10"/>
            <w:shd w:val="clear" w:color="auto" w:fill="BFBFBF" w:themeFill="background1" w:themeFillShade="BF"/>
          </w:tcPr>
          <w:p w14:paraId="5770178D" w14:textId="77777777" w:rsidR="00601D9B" w:rsidRPr="000E53A0" w:rsidRDefault="000E53A0">
            <w:pPr>
              <w:rPr>
                <w:rFonts w:cstheme="minorHAnsi"/>
                <w:sz w:val="18"/>
                <w:szCs w:val="18"/>
                <w:lang w:val="fr-FR"/>
              </w:rPr>
            </w:pPr>
            <w:r w:rsidRPr="000E53A0">
              <w:rPr>
                <w:rFonts w:cstheme="minorHAnsi"/>
                <w:sz w:val="18"/>
                <w:szCs w:val="18"/>
                <w:lang w:val="fr-FR"/>
              </w:rPr>
              <w:t xml:space="preserve">Émissions évitées </w:t>
            </w:r>
            <w:r w:rsidRPr="000E53A0">
              <w:rPr>
                <w:rFonts w:cstheme="minorHAnsi"/>
                <w:bCs/>
                <w:sz w:val="18"/>
                <w:szCs w:val="18"/>
                <w:lang w:val="fr-FR"/>
              </w:rPr>
              <w:t xml:space="preserve">en dehors de l'AFOLU </w:t>
            </w:r>
          </w:p>
        </w:tc>
        <w:tc>
          <w:tcPr>
            <w:tcW w:w="1287" w:type="dxa"/>
            <w:shd w:val="clear" w:color="auto" w:fill="BFBFBF" w:themeFill="background1" w:themeFillShade="BF"/>
          </w:tcPr>
          <w:p w14:paraId="02446D5E"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r>
      <w:tr w:rsidR="007F5638" w:rsidRPr="000E53A0" w14:paraId="5B78EDF6" w14:textId="77777777" w:rsidTr="001A7B9D">
        <w:trPr>
          <w:trHeight w:val="125"/>
        </w:trPr>
        <w:tc>
          <w:tcPr>
            <w:tcW w:w="1298" w:type="dxa"/>
            <w:vMerge w:val="restart"/>
          </w:tcPr>
          <w:p w14:paraId="0E809370" w14:textId="77777777" w:rsidR="007F5638" w:rsidRPr="007F5638" w:rsidRDefault="007F5638" w:rsidP="007F5638">
            <w:pPr>
              <w:rPr>
                <w:rFonts w:cstheme="minorHAnsi"/>
                <w:sz w:val="18"/>
                <w:szCs w:val="18"/>
              </w:rPr>
            </w:pPr>
          </w:p>
        </w:tc>
        <w:tc>
          <w:tcPr>
            <w:tcW w:w="933" w:type="dxa"/>
            <w:vMerge w:val="restart"/>
          </w:tcPr>
          <w:p w14:paraId="75A4EFF9" w14:textId="77777777" w:rsidR="007F5638" w:rsidRPr="007F5638" w:rsidRDefault="007F5638" w:rsidP="007F5638">
            <w:pPr>
              <w:rPr>
                <w:rFonts w:cstheme="minorHAnsi"/>
                <w:sz w:val="18"/>
                <w:szCs w:val="18"/>
              </w:rPr>
            </w:pPr>
          </w:p>
        </w:tc>
        <w:tc>
          <w:tcPr>
            <w:tcW w:w="1748" w:type="dxa"/>
            <w:gridSpan w:val="4"/>
            <w:vMerge w:val="restart"/>
          </w:tcPr>
          <w:p w14:paraId="53971DD0" w14:textId="77777777" w:rsidR="007F5638" w:rsidRPr="007F5638" w:rsidRDefault="007F5638" w:rsidP="007F5638">
            <w:pPr>
              <w:rPr>
                <w:rFonts w:cstheme="minorHAnsi"/>
                <w:sz w:val="18"/>
                <w:szCs w:val="18"/>
              </w:rPr>
            </w:pPr>
          </w:p>
        </w:tc>
        <w:tc>
          <w:tcPr>
            <w:tcW w:w="5393" w:type="dxa"/>
            <w:gridSpan w:val="6"/>
          </w:tcPr>
          <w:p w14:paraId="675FA63A" w14:textId="77777777" w:rsidR="00601D9B" w:rsidRPr="000E53A0" w:rsidRDefault="000E53A0">
            <w:pPr>
              <w:jc w:val="center"/>
              <w:rPr>
                <w:rFonts w:cstheme="minorHAnsi"/>
                <w:sz w:val="18"/>
                <w:szCs w:val="18"/>
                <w:lang w:val="fr-FR"/>
              </w:rPr>
            </w:pPr>
            <w:r w:rsidRPr="000E53A0">
              <w:rPr>
                <w:rFonts w:cstheme="minorHAnsi"/>
                <w:bCs/>
                <w:sz w:val="18"/>
                <w:szCs w:val="18"/>
                <w:lang w:val="fr-FR"/>
              </w:rPr>
              <w:t>Tonnes métriques de CO₂e attendues</w:t>
            </w:r>
          </w:p>
        </w:tc>
      </w:tr>
      <w:tr w:rsidR="007F5638" w:rsidRPr="007F5638" w14:paraId="41B17267" w14:textId="77777777" w:rsidTr="001A7B9D">
        <w:trPr>
          <w:trHeight w:val="58"/>
        </w:trPr>
        <w:tc>
          <w:tcPr>
            <w:tcW w:w="1298" w:type="dxa"/>
            <w:vMerge/>
          </w:tcPr>
          <w:p w14:paraId="494DEFFA" w14:textId="77777777" w:rsidR="007F5638" w:rsidRPr="000E53A0" w:rsidRDefault="007F5638" w:rsidP="007F5638">
            <w:pPr>
              <w:rPr>
                <w:rFonts w:cstheme="minorHAnsi"/>
                <w:sz w:val="18"/>
                <w:szCs w:val="18"/>
                <w:lang w:val="fr-FR"/>
              </w:rPr>
            </w:pPr>
          </w:p>
        </w:tc>
        <w:tc>
          <w:tcPr>
            <w:tcW w:w="933" w:type="dxa"/>
            <w:vMerge/>
          </w:tcPr>
          <w:p w14:paraId="4DFC1C17" w14:textId="77777777" w:rsidR="007F5638" w:rsidRPr="000E53A0" w:rsidRDefault="007F5638" w:rsidP="007F5638">
            <w:pPr>
              <w:rPr>
                <w:rFonts w:cstheme="minorHAnsi"/>
                <w:sz w:val="18"/>
                <w:szCs w:val="18"/>
                <w:lang w:val="fr-FR"/>
              </w:rPr>
            </w:pPr>
          </w:p>
        </w:tc>
        <w:tc>
          <w:tcPr>
            <w:tcW w:w="1748" w:type="dxa"/>
            <w:gridSpan w:val="4"/>
            <w:vMerge/>
          </w:tcPr>
          <w:p w14:paraId="5BCE8920" w14:textId="77777777" w:rsidR="007F5638" w:rsidRPr="000E53A0" w:rsidRDefault="007F5638" w:rsidP="007F5638">
            <w:pPr>
              <w:rPr>
                <w:rFonts w:cstheme="minorHAnsi"/>
                <w:sz w:val="18"/>
                <w:szCs w:val="18"/>
                <w:lang w:val="fr-FR"/>
              </w:rPr>
            </w:pPr>
          </w:p>
        </w:tc>
        <w:tc>
          <w:tcPr>
            <w:tcW w:w="2800" w:type="dxa"/>
            <w:gridSpan w:val="4"/>
          </w:tcPr>
          <w:p w14:paraId="1D6F8A9C" w14:textId="77777777" w:rsidR="00601D9B" w:rsidRDefault="000E53A0">
            <w:pPr>
              <w:jc w:val="center"/>
              <w:rPr>
                <w:rFonts w:cstheme="minorHAnsi"/>
                <w:sz w:val="18"/>
                <w:szCs w:val="18"/>
              </w:rPr>
            </w:pPr>
            <w:r w:rsidRPr="007F5638">
              <w:rPr>
                <w:rFonts w:cstheme="minorHAnsi"/>
                <w:sz w:val="18"/>
                <w:szCs w:val="18"/>
              </w:rPr>
              <w:t>Attendu</w:t>
            </w:r>
          </w:p>
        </w:tc>
        <w:tc>
          <w:tcPr>
            <w:tcW w:w="2593" w:type="dxa"/>
            <w:gridSpan w:val="2"/>
          </w:tcPr>
          <w:p w14:paraId="5B25516C" w14:textId="77777777" w:rsidR="00601D9B" w:rsidRDefault="000E53A0">
            <w:pPr>
              <w:jc w:val="center"/>
              <w:rPr>
                <w:rFonts w:cstheme="minorHAnsi"/>
                <w:sz w:val="18"/>
                <w:szCs w:val="18"/>
              </w:rPr>
            </w:pPr>
            <w:r w:rsidRPr="007F5638">
              <w:rPr>
                <w:rFonts w:cstheme="minorHAnsi"/>
                <w:sz w:val="18"/>
                <w:szCs w:val="18"/>
              </w:rPr>
              <w:t>Réalisé</w:t>
            </w:r>
          </w:p>
        </w:tc>
      </w:tr>
      <w:tr w:rsidR="007F5638" w:rsidRPr="007F5638" w14:paraId="185F7C2C" w14:textId="77777777" w:rsidTr="001A7B9D">
        <w:trPr>
          <w:trHeight w:val="206"/>
        </w:trPr>
        <w:tc>
          <w:tcPr>
            <w:tcW w:w="1298" w:type="dxa"/>
            <w:vMerge/>
          </w:tcPr>
          <w:p w14:paraId="4F7EAEE9" w14:textId="77777777" w:rsidR="007F5638" w:rsidRPr="007F5638" w:rsidRDefault="007F5638" w:rsidP="007F5638">
            <w:pPr>
              <w:rPr>
                <w:rFonts w:cstheme="minorHAnsi"/>
                <w:sz w:val="18"/>
                <w:szCs w:val="18"/>
              </w:rPr>
            </w:pPr>
          </w:p>
        </w:tc>
        <w:tc>
          <w:tcPr>
            <w:tcW w:w="933" w:type="dxa"/>
            <w:vMerge/>
          </w:tcPr>
          <w:p w14:paraId="4A090426" w14:textId="77777777" w:rsidR="007F5638" w:rsidRPr="007F5638" w:rsidRDefault="007F5638" w:rsidP="007F5638">
            <w:pPr>
              <w:rPr>
                <w:rFonts w:cstheme="minorHAnsi"/>
                <w:sz w:val="18"/>
                <w:szCs w:val="18"/>
              </w:rPr>
            </w:pPr>
          </w:p>
        </w:tc>
        <w:tc>
          <w:tcPr>
            <w:tcW w:w="1748" w:type="dxa"/>
            <w:gridSpan w:val="4"/>
            <w:vMerge/>
          </w:tcPr>
          <w:p w14:paraId="56F10809" w14:textId="77777777" w:rsidR="007F5638" w:rsidRPr="007F5638" w:rsidRDefault="007F5638" w:rsidP="007F5638">
            <w:pPr>
              <w:rPr>
                <w:rFonts w:cstheme="minorHAnsi"/>
                <w:sz w:val="18"/>
                <w:szCs w:val="18"/>
              </w:rPr>
            </w:pPr>
          </w:p>
        </w:tc>
        <w:tc>
          <w:tcPr>
            <w:tcW w:w="1323" w:type="dxa"/>
            <w:gridSpan w:val="2"/>
          </w:tcPr>
          <w:p w14:paraId="77CE2020" w14:textId="77777777" w:rsidR="00601D9B" w:rsidRDefault="000E53A0">
            <w:pPr>
              <w:jc w:val="center"/>
              <w:rPr>
                <w:rFonts w:cstheme="minorHAnsi"/>
                <w:sz w:val="18"/>
                <w:szCs w:val="18"/>
              </w:rPr>
            </w:pPr>
            <w:r w:rsidRPr="007F5638">
              <w:rPr>
                <w:rFonts w:cstheme="minorHAnsi"/>
                <w:sz w:val="18"/>
                <w:szCs w:val="18"/>
              </w:rPr>
              <w:t>Étape du FIP</w:t>
            </w:r>
          </w:p>
        </w:tc>
        <w:tc>
          <w:tcPr>
            <w:tcW w:w="1477" w:type="dxa"/>
            <w:gridSpan w:val="2"/>
          </w:tcPr>
          <w:p w14:paraId="39B36A2E" w14:textId="77777777" w:rsidR="00601D9B" w:rsidRDefault="000E53A0">
            <w:pPr>
              <w:jc w:val="center"/>
              <w:rPr>
                <w:rFonts w:cstheme="minorHAnsi"/>
                <w:sz w:val="18"/>
                <w:szCs w:val="18"/>
              </w:rPr>
            </w:pPr>
            <w:r w:rsidRPr="007F5638">
              <w:rPr>
                <w:rFonts w:cstheme="minorHAnsi"/>
                <w:sz w:val="18"/>
                <w:szCs w:val="18"/>
              </w:rPr>
              <w:t>Endossement</w:t>
            </w:r>
          </w:p>
        </w:tc>
        <w:tc>
          <w:tcPr>
            <w:tcW w:w="1306" w:type="dxa"/>
          </w:tcPr>
          <w:p w14:paraId="32FD389C" w14:textId="77777777" w:rsidR="00601D9B" w:rsidRDefault="000E53A0">
            <w:pPr>
              <w:jc w:val="center"/>
              <w:rPr>
                <w:rFonts w:cstheme="minorHAnsi"/>
                <w:sz w:val="18"/>
                <w:szCs w:val="18"/>
              </w:rPr>
            </w:pPr>
            <w:r w:rsidRPr="007F5638">
              <w:rPr>
                <w:rFonts w:cstheme="minorHAnsi"/>
                <w:sz w:val="18"/>
                <w:szCs w:val="18"/>
              </w:rPr>
              <w:t>MTR</w:t>
            </w:r>
          </w:p>
        </w:tc>
        <w:tc>
          <w:tcPr>
            <w:tcW w:w="1287" w:type="dxa"/>
          </w:tcPr>
          <w:p w14:paraId="3771809B" w14:textId="77777777" w:rsidR="00601D9B" w:rsidRDefault="000E53A0">
            <w:pPr>
              <w:jc w:val="center"/>
              <w:rPr>
                <w:rFonts w:cstheme="minorHAnsi"/>
                <w:sz w:val="18"/>
                <w:szCs w:val="18"/>
              </w:rPr>
            </w:pPr>
            <w:r w:rsidRPr="007F5638">
              <w:rPr>
                <w:rFonts w:cstheme="minorHAnsi"/>
                <w:sz w:val="18"/>
                <w:szCs w:val="18"/>
              </w:rPr>
              <w:t>TE</w:t>
            </w:r>
          </w:p>
        </w:tc>
      </w:tr>
      <w:tr w:rsidR="007F5638" w:rsidRPr="007F5638" w14:paraId="2DE6E735" w14:textId="77777777" w:rsidTr="001A7B9D">
        <w:tc>
          <w:tcPr>
            <w:tcW w:w="1298" w:type="dxa"/>
          </w:tcPr>
          <w:p w14:paraId="222B70DD" w14:textId="77777777" w:rsidR="007F5638" w:rsidRPr="007F5638" w:rsidRDefault="007F5638" w:rsidP="007F5638">
            <w:pPr>
              <w:jc w:val="right"/>
              <w:rPr>
                <w:rFonts w:cstheme="minorHAnsi"/>
                <w:sz w:val="18"/>
                <w:szCs w:val="18"/>
              </w:rPr>
            </w:pPr>
          </w:p>
        </w:tc>
        <w:tc>
          <w:tcPr>
            <w:tcW w:w="2681" w:type="dxa"/>
            <w:gridSpan w:val="5"/>
          </w:tcPr>
          <w:p w14:paraId="77958FB2" w14:textId="77777777" w:rsidR="00601D9B" w:rsidRDefault="000E53A0">
            <w:pPr>
              <w:jc w:val="right"/>
              <w:rPr>
                <w:rFonts w:cstheme="minorHAnsi"/>
                <w:sz w:val="18"/>
                <w:szCs w:val="18"/>
              </w:rPr>
            </w:pPr>
            <w:r w:rsidRPr="007F5638">
              <w:rPr>
                <w:rFonts w:cstheme="minorHAnsi"/>
                <w:sz w:val="18"/>
                <w:szCs w:val="18"/>
              </w:rPr>
              <w:t>CO2e prévu (direct)</w:t>
            </w:r>
          </w:p>
        </w:tc>
        <w:tc>
          <w:tcPr>
            <w:tcW w:w="1323" w:type="dxa"/>
            <w:gridSpan w:val="2"/>
          </w:tcPr>
          <w:p w14:paraId="3FB68F75"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477" w:type="dxa"/>
            <w:gridSpan w:val="2"/>
          </w:tcPr>
          <w:p w14:paraId="59AA55A4"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306" w:type="dxa"/>
          </w:tcPr>
          <w:p w14:paraId="76A4621F"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287" w:type="dxa"/>
          </w:tcPr>
          <w:p w14:paraId="1B552E88"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r>
      <w:tr w:rsidR="007F5638" w:rsidRPr="007F5638" w14:paraId="4E9FE4E1" w14:textId="77777777" w:rsidTr="001A7B9D">
        <w:tc>
          <w:tcPr>
            <w:tcW w:w="1298" w:type="dxa"/>
          </w:tcPr>
          <w:p w14:paraId="0E40A0E4" w14:textId="77777777" w:rsidR="007F5638" w:rsidRPr="007F5638" w:rsidRDefault="007F5638" w:rsidP="007F5638">
            <w:pPr>
              <w:jc w:val="right"/>
              <w:rPr>
                <w:rFonts w:cstheme="minorHAnsi"/>
                <w:sz w:val="18"/>
                <w:szCs w:val="18"/>
              </w:rPr>
            </w:pPr>
          </w:p>
        </w:tc>
        <w:tc>
          <w:tcPr>
            <w:tcW w:w="2681" w:type="dxa"/>
            <w:gridSpan w:val="5"/>
          </w:tcPr>
          <w:p w14:paraId="60690CFD" w14:textId="77777777" w:rsidR="00601D9B" w:rsidRDefault="000E53A0">
            <w:pPr>
              <w:jc w:val="right"/>
              <w:rPr>
                <w:rFonts w:cstheme="minorHAnsi"/>
                <w:sz w:val="18"/>
                <w:szCs w:val="18"/>
              </w:rPr>
            </w:pPr>
            <w:r w:rsidRPr="007F5638">
              <w:rPr>
                <w:rFonts w:cstheme="minorHAnsi"/>
                <w:sz w:val="18"/>
                <w:szCs w:val="18"/>
              </w:rPr>
              <w:t>CO2e prévu (indirect)</w:t>
            </w:r>
          </w:p>
        </w:tc>
        <w:tc>
          <w:tcPr>
            <w:tcW w:w="1323" w:type="dxa"/>
            <w:gridSpan w:val="2"/>
          </w:tcPr>
          <w:p w14:paraId="39242EA9"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477" w:type="dxa"/>
            <w:gridSpan w:val="2"/>
          </w:tcPr>
          <w:p w14:paraId="3C1EE0B0"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306" w:type="dxa"/>
          </w:tcPr>
          <w:p w14:paraId="079E8ADF"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287" w:type="dxa"/>
          </w:tcPr>
          <w:p w14:paraId="684232B3"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r>
      <w:tr w:rsidR="007F5638" w:rsidRPr="007F5638" w14:paraId="71CEA03C" w14:textId="77777777" w:rsidTr="001A7B9D">
        <w:tc>
          <w:tcPr>
            <w:tcW w:w="1298" w:type="dxa"/>
          </w:tcPr>
          <w:p w14:paraId="671C5C22" w14:textId="77777777" w:rsidR="007F5638" w:rsidRPr="007F5638" w:rsidRDefault="007F5638" w:rsidP="007F5638">
            <w:pPr>
              <w:jc w:val="right"/>
              <w:rPr>
                <w:rFonts w:cstheme="minorHAnsi"/>
                <w:sz w:val="18"/>
                <w:szCs w:val="18"/>
              </w:rPr>
            </w:pPr>
          </w:p>
        </w:tc>
        <w:tc>
          <w:tcPr>
            <w:tcW w:w="2681" w:type="dxa"/>
            <w:gridSpan w:val="5"/>
          </w:tcPr>
          <w:p w14:paraId="460780BC" w14:textId="77777777" w:rsidR="00601D9B" w:rsidRPr="000E53A0" w:rsidRDefault="000E53A0">
            <w:pPr>
              <w:jc w:val="right"/>
              <w:rPr>
                <w:rFonts w:cstheme="minorHAnsi"/>
                <w:sz w:val="18"/>
                <w:szCs w:val="18"/>
                <w:lang w:val="fr-FR"/>
              </w:rPr>
            </w:pPr>
            <w:r w:rsidRPr="000E53A0">
              <w:rPr>
                <w:rFonts w:cstheme="minorHAnsi"/>
                <w:sz w:val="18"/>
                <w:szCs w:val="18"/>
                <w:lang w:val="fr-FR"/>
              </w:rPr>
              <w:t>Année prévue de début de la comptabilité</w:t>
            </w:r>
          </w:p>
        </w:tc>
        <w:tc>
          <w:tcPr>
            <w:tcW w:w="1323" w:type="dxa"/>
            <w:gridSpan w:val="2"/>
          </w:tcPr>
          <w:p w14:paraId="28E273DB" w14:textId="77777777" w:rsidR="00601D9B" w:rsidRDefault="000E53A0">
            <w:pPr>
              <w:jc w:val="right"/>
              <w:rPr>
                <w:rFonts w:cstheme="minorHAnsi"/>
                <w:i/>
                <w:color w:val="000000"/>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477" w:type="dxa"/>
            <w:gridSpan w:val="2"/>
          </w:tcPr>
          <w:p w14:paraId="12835DF2" w14:textId="77777777" w:rsidR="00601D9B" w:rsidRDefault="000E53A0">
            <w:pPr>
              <w:jc w:val="right"/>
              <w:rPr>
                <w:rFonts w:cstheme="minorHAnsi"/>
                <w:i/>
                <w:color w:val="000000"/>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306" w:type="dxa"/>
          </w:tcPr>
          <w:p w14:paraId="54B7C808" w14:textId="77777777" w:rsidR="00601D9B" w:rsidRDefault="000E53A0">
            <w:pPr>
              <w:jc w:val="right"/>
              <w:rPr>
                <w:rFonts w:cstheme="minorHAnsi"/>
                <w:i/>
                <w:color w:val="000000"/>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287" w:type="dxa"/>
          </w:tcPr>
          <w:p w14:paraId="2981C0CF" w14:textId="77777777" w:rsidR="00601D9B" w:rsidRDefault="000E53A0">
            <w:pPr>
              <w:jc w:val="right"/>
              <w:rPr>
                <w:rFonts w:cstheme="minorHAnsi"/>
                <w:i/>
                <w:color w:val="000000"/>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r>
      <w:tr w:rsidR="007F5638" w:rsidRPr="007F5638" w14:paraId="5A574437" w14:textId="77777777" w:rsidTr="001A7B9D">
        <w:tc>
          <w:tcPr>
            <w:tcW w:w="1298" w:type="dxa"/>
          </w:tcPr>
          <w:p w14:paraId="1EE6123D" w14:textId="77777777" w:rsidR="007F5638" w:rsidRPr="007F5638" w:rsidRDefault="007F5638" w:rsidP="007F5638">
            <w:pPr>
              <w:jc w:val="right"/>
              <w:rPr>
                <w:rFonts w:cstheme="minorHAnsi"/>
                <w:sz w:val="18"/>
                <w:szCs w:val="18"/>
              </w:rPr>
            </w:pPr>
          </w:p>
        </w:tc>
        <w:tc>
          <w:tcPr>
            <w:tcW w:w="2681" w:type="dxa"/>
            <w:gridSpan w:val="5"/>
          </w:tcPr>
          <w:p w14:paraId="7B566C1F" w14:textId="77777777" w:rsidR="00601D9B" w:rsidRDefault="000E53A0">
            <w:pPr>
              <w:jc w:val="right"/>
              <w:rPr>
                <w:rFonts w:cstheme="minorHAnsi"/>
                <w:sz w:val="18"/>
                <w:szCs w:val="18"/>
              </w:rPr>
            </w:pPr>
            <w:r w:rsidRPr="007F5638">
              <w:rPr>
                <w:rFonts w:cstheme="minorHAnsi"/>
                <w:bCs/>
                <w:sz w:val="18"/>
                <w:szCs w:val="18"/>
              </w:rPr>
              <w:t>Durée de la comptabilité</w:t>
            </w:r>
          </w:p>
        </w:tc>
        <w:tc>
          <w:tcPr>
            <w:tcW w:w="1323" w:type="dxa"/>
            <w:gridSpan w:val="2"/>
          </w:tcPr>
          <w:p w14:paraId="3D7EE9C8" w14:textId="77777777" w:rsidR="00601D9B" w:rsidRDefault="000E53A0">
            <w:pPr>
              <w:jc w:val="right"/>
              <w:rPr>
                <w:rFonts w:cstheme="minorHAnsi"/>
                <w:i/>
                <w:color w:val="000000"/>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477" w:type="dxa"/>
            <w:gridSpan w:val="2"/>
          </w:tcPr>
          <w:p w14:paraId="48DB75B2" w14:textId="77777777" w:rsidR="00601D9B" w:rsidRDefault="000E53A0">
            <w:pPr>
              <w:jc w:val="right"/>
              <w:rPr>
                <w:rFonts w:cstheme="minorHAnsi"/>
                <w:i/>
                <w:color w:val="000000"/>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306" w:type="dxa"/>
          </w:tcPr>
          <w:p w14:paraId="263F17EA" w14:textId="77777777" w:rsidR="00601D9B" w:rsidRDefault="000E53A0">
            <w:pPr>
              <w:jc w:val="right"/>
              <w:rPr>
                <w:rFonts w:cstheme="minorHAnsi"/>
                <w:i/>
                <w:color w:val="000000"/>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287" w:type="dxa"/>
          </w:tcPr>
          <w:p w14:paraId="5D853536" w14:textId="77777777" w:rsidR="00601D9B" w:rsidRDefault="000E53A0">
            <w:pPr>
              <w:jc w:val="right"/>
              <w:rPr>
                <w:rFonts w:cstheme="minorHAnsi"/>
                <w:i/>
                <w:color w:val="000000"/>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r>
      <w:tr w:rsidR="007F5638" w:rsidRPr="007F5638" w14:paraId="1AD8F5AC" w14:textId="77777777" w:rsidTr="001A7B9D">
        <w:tc>
          <w:tcPr>
            <w:tcW w:w="1298" w:type="dxa"/>
            <w:shd w:val="clear" w:color="auto" w:fill="BFBFBF" w:themeFill="background1" w:themeFillShade="BF"/>
          </w:tcPr>
          <w:p w14:paraId="60E0C586" w14:textId="77777777" w:rsidR="00601D9B" w:rsidRDefault="000E53A0">
            <w:pPr>
              <w:rPr>
                <w:rFonts w:cstheme="minorHAnsi"/>
                <w:sz w:val="18"/>
                <w:szCs w:val="18"/>
              </w:rPr>
            </w:pPr>
            <w:r w:rsidRPr="007F5638">
              <w:rPr>
                <w:rFonts w:cstheme="minorHAnsi"/>
                <w:sz w:val="18"/>
                <w:szCs w:val="18"/>
              </w:rPr>
              <w:t>Indicateur 6.3</w:t>
            </w:r>
          </w:p>
        </w:tc>
        <w:tc>
          <w:tcPr>
            <w:tcW w:w="6787" w:type="dxa"/>
            <w:gridSpan w:val="10"/>
            <w:shd w:val="clear" w:color="auto" w:fill="BFBFBF" w:themeFill="background1" w:themeFillShade="BF"/>
          </w:tcPr>
          <w:p w14:paraId="2A0693D3" w14:textId="77777777" w:rsidR="00601D9B" w:rsidRDefault="000E53A0">
            <w:pPr>
              <w:rPr>
                <w:rFonts w:cstheme="minorHAnsi"/>
                <w:sz w:val="18"/>
                <w:szCs w:val="18"/>
              </w:rPr>
            </w:pPr>
            <w:r w:rsidRPr="007F5638">
              <w:rPr>
                <w:rFonts w:cstheme="minorHAnsi"/>
                <w:sz w:val="18"/>
                <w:szCs w:val="18"/>
              </w:rPr>
              <w:t>Énergie économisée</w:t>
            </w:r>
          </w:p>
        </w:tc>
        <w:tc>
          <w:tcPr>
            <w:tcW w:w="1287" w:type="dxa"/>
            <w:shd w:val="clear" w:color="auto" w:fill="BFBFBF" w:themeFill="background1" w:themeFillShade="BF"/>
          </w:tcPr>
          <w:p w14:paraId="5961DFF1"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r>
      <w:tr w:rsidR="007F5638" w:rsidRPr="007F5638" w14:paraId="52EABC7A" w14:textId="77777777" w:rsidTr="001A7B9D">
        <w:trPr>
          <w:trHeight w:val="125"/>
        </w:trPr>
        <w:tc>
          <w:tcPr>
            <w:tcW w:w="1298" w:type="dxa"/>
            <w:vMerge w:val="restart"/>
          </w:tcPr>
          <w:p w14:paraId="10558827" w14:textId="77777777" w:rsidR="007F5638" w:rsidRPr="007F5638" w:rsidRDefault="007F5638" w:rsidP="007F5638">
            <w:pPr>
              <w:rPr>
                <w:rFonts w:cstheme="minorHAnsi"/>
                <w:sz w:val="18"/>
                <w:szCs w:val="18"/>
              </w:rPr>
            </w:pPr>
          </w:p>
        </w:tc>
        <w:tc>
          <w:tcPr>
            <w:tcW w:w="933" w:type="dxa"/>
            <w:vMerge w:val="restart"/>
          </w:tcPr>
          <w:p w14:paraId="3C54EA47" w14:textId="77777777" w:rsidR="007F5638" w:rsidRPr="007F5638" w:rsidRDefault="007F5638" w:rsidP="007F5638">
            <w:pPr>
              <w:rPr>
                <w:rFonts w:cstheme="minorHAnsi"/>
                <w:sz w:val="18"/>
                <w:szCs w:val="18"/>
              </w:rPr>
            </w:pPr>
          </w:p>
        </w:tc>
        <w:tc>
          <w:tcPr>
            <w:tcW w:w="1748" w:type="dxa"/>
            <w:gridSpan w:val="4"/>
            <w:vMerge w:val="restart"/>
          </w:tcPr>
          <w:p w14:paraId="20AC82C8" w14:textId="77777777" w:rsidR="007F5638" w:rsidRPr="007F5638" w:rsidRDefault="007F5638" w:rsidP="007F5638">
            <w:pPr>
              <w:rPr>
                <w:rFonts w:cstheme="minorHAnsi"/>
                <w:sz w:val="18"/>
                <w:szCs w:val="18"/>
              </w:rPr>
            </w:pPr>
          </w:p>
        </w:tc>
        <w:tc>
          <w:tcPr>
            <w:tcW w:w="5393" w:type="dxa"/>
            <w:gridSpan w:val="6"/>
          </w:tcPr>
          <w:p w14:paraId="1521F618" w14:textId="77777777" w:rsidR="00601D9B" w:rsidRDefault="000E53A0">
            <w:pPr>
              <w:jc w:val="center"/>
              <w:rPr>
                <w:rFonts w:cstheme="minorHAnsi"/>
                <w:sz w:val="18"/>
                <w:szCs w:val="18"/>
              </w:rPr>
            </w:pPr>
            <w:r w:rsidRPr="007F5638">
              <w:rPr>
                <w:rFonts w:cstheme="minorHAnsi"/>
                <w:sz w:val="18"/>
                <w:szCs w:val="18"/>
              </w:rPr>
              <w:t>MJ</w:t>
            </w:r>
          </w:p>
        </w:tc>
      </w:tr>
      <w:tr w:rsidR="007F5638" w:rsidRPr="007F5638" w14:paraId="02C76CD2" w14:textId="77777777" w:rsidTr="001A7B9D">
        <w:trPr>
          <w:trHeight w:val="58"/>
        </w:trPr>
        <w:tc>
          <w:tcPr>
            <w:tcW w:w="1298" w:type="dxa"/>
            <w:vMerge/>
          </w:tcPr>
          <w:p w14:paraId="124D7249" w14:textId="77777777" w:rsidR="007F5638" w:rsidRPr="007F5638" w:rsidRDefault="007F5638" w:rsidP="007F5638">
            <w:pPr>
              <w:rPr>
                <w:rFonts w:cstheme="minorHAnsi"/>
                <w:sz w:val="18"/>
                <w:szCs w:val="18"/>
              </w:rPr>
            </w:pPr>
          </w:p>
        </w:tc>
        <w:tc>
          <w:tcPr>
            <w:tcW w:w="933" w:type="dxa"/>
            <w:vMerge/>
          </w:tcPr>
          <w:p w14:paraId="40260574" w14:textId="77777777" w:rsidR="007F5638" w:rsidRPr="007F5638" w:rsidRDefault="007F5638" w:rsidP="007F5638">
            <w:pPr>
              <w:rPr>
                <w:rFonts w:cstheme="minorHAnsi"/>
                <w:sz w:val="18"/>
                <w:szCs w:val="18"/>
              </w:rPr>
            </w:pPr>
          </w:p>
        </w:tc>
        <w:tc>
          <w:tcPr>
            <w:tcW w:w="1748" w:type="dxa"/>
            <w:gridSpan w:val="4"/>
            <w:vMerge/>
          </w:tcPr>
          <w:p w14:paraId="0DAC100E" w14:textId="77777777" w:rsidR="007F5638" w:rsidRPr="007F5638" w:rsidRDefault="007F5638" w:rsidP="007F5638">
            <w:pPr>
              <w:rPr>
                <w:rFonts w:cstheme="minorHAnsi"/>
                <w:sz w:val="18"/>
                <w:szCs w:val="18"/>
              </w:rPr>
            </w:pPr>
          </w:p>
        </w:tc>
        <w:tc>
          <w:tcPr>
            <w:tcW w:w="2800" w:type="dxa"/>
            <w:gridSpan w:val="4"/>
          </w:tcPr>
          <w:p w14:paraId="1CF0A58E" w14:textId="77777777" w:rsidR="00601D9B" w:rsidRDefault="000E53A0">
            <w:pPr>
              <w:jc w:val="center"/>
              <w:rPr>
                <w:rFonts w:cstheme="minorHAnsi"/>
                <w:sz w:val="18"/>
                <w:szCs w:val="18"/>
              </w:rPr>
            </w:pPr>
            <w:r w:rsidRPr="007F5638">
              <w:rPr>
                <w:rFonts w:cstheme="minorHAnsi"/>
                <w:sz w:val="18"/>
                <w:szCs w:val="18"/>
              </w:rPr>
              <w:t>Attendu</w:t>
            </w:r>
          </w:p>
        </w:tc>
        <w:tc>
          <w:tcPr>
            <w:tcW w:w="2593" w:type="dxa"/>
            <w:gridSpan w:val="2"/>
          </w:tcPr>
          <w:p w14:paraId="570C0277" w14:textId="77777777" w:rsidR="00601D9B" w:rsidRDefault="000E53A0">
            <w:pPr>
              <w:jc w:val="center"/>
              <w:rPr>
                <w:rFonts w:cstheme="minorHAnsi"/>
                <w:sz w:val="18"/>
                <w:szCs w:val="18"/>
              </w:rPr>
            </w:pPr>
            <w:r w:rsidRPr="007F5638">
              <w:rPr>
                <w:rFonts w:cstheme="minorHAnsi"/>
                <w:sz w:val="18"/>
                <w:szCs w:val="18"/>
              </w:rPr>
              <w:t>Réalisé</w:t>
            </w:r>
          </w:p>
        </w:tc>
      </w:tr>
      <w:tr w:rsidR="007F5638" w:rsidRPr="007F5638" w14:paraId="382426EA" w14:textId="77777777" w:rsidTr="001A7B9D">
        <w:trPr>
          <w:trHeight w:val="98"/>
        </w:trPr>
        <w:tc>
          <w:tcPr>
            <w:tcW w:w="1298" w:type="dxa"/>
            <w:vMerge/>
          </w:tcPr>
          <w:p w14:paraId="37A662BF" w14:textId="77777777" w:rsidR="007F5638" w:rsidRPr="007F5638" w:rsidRDefault="007F5638" w:rsidP="007F5638">
            <w:pPr>
              <w:rPr>
                <w:rFonts w:cstheme="minorHAnsi"/>
                <w:sz w:val="18"/>
                <w:szCs w:val="18"/>
              </w:rPr>
            </w:pPr>
          </w:p>
        </w:tc>
        <w:tc>
          <w:tcPr>
            <w:tcW w:w="933" w:type="dxa"/>
            <w:vMerge/>
          </w:tcPr>
          <w:p w14:paraId="0527048C" w14:textId="77777777" w:rsidR="007F5638" w:rsidRPr="007F5638" w:rsidRDefault="007F5638" w:rsidP="007F5638">
            <w:pPr>
              <w:rPr>
                <w:rFonts w:cstheme="minorHAnsi"/>
                <w:sz w:val="18"/>
                <w:szCs w:val="18"/>
              </w:rPr>
            </w:pPr>
          </w:p>
        </w:tc>
        <w:tc>
          <w:tcPr>
            <w:tcW w:w="1748" w:type="dxa"/>
            <w:gridSpan w:val="4"/>
            <w:vMerge/>
          </w:tcPr>
          <w:p w14:paraId="44E61A18" w14:textId="77777777" w:rsidR="007F5638" w:rsidRPr="007F5638" w:rsidRDefault="007F5638" w:rsidP="007F5638">
            <w:pPr>
              <w:rPr>
                <w:rFonts w:cstheme="minorHAnsi"/>
                <w:sz w:val="18"/>
                <w:szCs w:val="18"/>
              </w:rPr>
            </w:pPr>
          </w:p>
        </w:tc>
        <w:tc>
          <w:tcPr>
            <w:tcW w:w="1323" w:type="dxa"/>
            <w:gridSpan w:val="2"/>
          </w:tcPr>
          <w:p w14:paraId="4A83DD24" w14:textId="77777777" w:rsidR="00601D9B" w:rsidRDefault="000E53A0">
            <w:pPr>
              <w:jc w:val="center"/>
              <w:rPr>
                <w:rFonts w:cstheme="minorHAnsi"/>
                <w:sz w:val="18"/>
                <w:szCs w:val="18"/>
              </w:rPr>
            </w:pPr>
            <w:r w:rsidRPr="007F5638">
              <w:rPr>
                <w:rFonts w:cstheme="minorHAnsi"/>
                <w:sz w:val="18"/>
                <w:szCs w:val="18"/>
              </w:rPr>
              <w:t>Étape du FIP</w:t>
            </w:r>
          </w:p>
        </w:tc>
        <w:tc>
          <w:tcPr>
            <w:tcW w:w="1477" w:type="dxa"/>
            <w:gridSpan w:val="2"/>
          </w:tcPr>
          <w:p w14:paraId="3FC7806D" w14:textId="77777777" w:rsidR="00601D9B" w:rsidRDefault="000E53A0">
            <w:pPr>
              <w:jc w:val="center"/>
              <w:rPr>
                <w:rFonts w:cstheme="minorHAnsi"/>
                <w:sz w:val="18"/>
                <w:szCs w:val="18"/>
              </w:rPr>
            </w:pPr>
            <w:r w:rsidRPr="007F5638">
              <w:rPr>
                <w:rFonts w:cstheme="minorHAnsi"/>
                <w:sz w:val="18"/>
                <w:szCs w:val="18"/>
              </w:rPr>
              <w:t>Endossement</w:t>
            </w:r>
          </w:p>
        </w:tc>
        <w:tc>
          <w:tcPr>
            <w:tcW w:w="1306" w:type="dxa"/>
          </w:tcPr>
          <w:p w14:paraId="6396A0F9" w14:textId="77777777" w:rsidR="00601D9B" w:rsidRDefault="000E53A0">
            <w:pPr>
              <w:jc w:val="center"/>
              <w:rPr>
                <w:rFonts w:cstheme="minorHAnsi"/>
                <w:sz w:val="18"/>
                <w:szCs w:val="18"/>
              </w:rPr>
            </w:pPr>
            <w:r w:rsidRPr="007F5638">
              <w:rPr>
                <w:rFonts w:cstheme="minorHAnsi"/>
                <w:sz w:val="18"/>
                <w:szCs w:val="18"/>
              </w:rPr>
              <w:t>MTR</w:t>
            </w:r>
          </w:p>
        </w:tc>
        <w:tc>
          <w:tcPr>
            <w:tcW w:w="1287" w:type="dxa"/>
          </w:tcPr>
          <w:p w14:paraId="24AA6652" w14:textId="77777777" w:rsidR="00601D9B" w:rsidRDefault="000E53A0">
            <w:pPr>
              <w:jc w:val="center"/>
              <w:rPr>
                <w:rFonts w:cstheme="minorHAnsi"/>
                <w:sz w:val="18"/>
                <w:szCs w:val="18"/>
              </w:rPr>
            </w:pPr>
            <w:r w:rsidRPr="007F5638">
              <w:rPr>
                <w:rFonts w:cstheme="minorHAnsi"/>
                <w:sz w:val="18"/>
                <w:szCs w:val="18"/>
              </w:rPr>
              <w:t>TE</w:t>
            </w:r>
          </w:p>
        </w:tc>
      </w:tr>
      <w:tr w:rsidR="007F5638" w:rsidRPr="007F5638" w14:paraId="5908DF7A" w14:textId="77777777" w:rsidTr="001A7B9D">
        <w:tc>
          <w:tcPr>
            <w:tcW w:w="1298" w:type="dxa"/>
          </w:tcPr>
          <w:p w14:paraId="5DF5B1A7" w14:textId="77777777" w:rsidR="007F5638" w:rsidRPr="007F5638" w:rsidRDefault="007F5638" w:rsidP="007F5638">
            <w:pPr>
              <w:jc w:val="right"/>
              <w:rPr>
                <w:rFonts w:cstheme="minorHAnsi"/>
                <w:sz w:val="18"/>
                <w:szCs w:val="18"/>
              </w:rPr>
            </w:pPr>
          </w:p>
        </w:tc>
        <w:tc>
          <w:tcPr>
            <w:tcW w:w="933" w:type="dxa"/>
          </w:tcPr>
          <w:p w14:paraId="35AD3AEC" w14:textId="77777777" w:rsidR="007F5638" w:rsidRPr="007F5638" w:rsidRDefault="007F5638" w:rsidP="007F5638">
            <w:pPr>
              <w:jc w:val="right"/>
              <w:rPr>
                <w:rFonts w:cstheme="minorHAnsi"/>
                <w:sz w:val="18"/>
                <w:szCs w:val="18"/>
              </w:rPr>
            </w:pPr>
          </w:p>
        </w:tc>
        <w:tc>
          <w:tcPr>
            <w:tcW w:w="1748" w:type="dxa"/>
            <w:gridSpan w:val="4"/>
          </w:tcPr>
          <w:p w14:paraId="51BA2EC0" w14:textId="77777777" w:rsidR="007F5638" w:rsidRPr="007F5638" w:rsidRDefault="007F5638" w:rsidP="007F5638">
            <w:pPr>
              <w:jc w:val="right"/>
              <w:rPr>
                <w:rFonts w:cstheme="minorHAnsi"/>
                <w:sz w:val="18"/>
                <w:szCs w:val="18"/>
              </w:rPr>
            </w:pPr>
          </w:p>
        </w:tc>
        <w:tc>
          <w:tcPr>
            <w:tcW w:w="1323" w:type="dxa"/>
            <w:gridSpan w:val="2"/>
          </w:tcPr>
          <w:p w14:paraId="6EA04C5F"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477" w:type="dxa"/>
            <w:gridSpan w:val="2"/>
          </w:tcPr>
          <w:p w14:paraId="169EC370"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306" w:type="dxa"/>
          </w:tcPr>
          <w:p w14:paraId="63BC5AF4"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287" w:type="dxa"/>
          </w:tcPr>
          <w:p w14:paraId="4BFA367B"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r>
      <w:tr w:rsidR="007F5638" w:rsidRPr="007F5638" w14:paraId="68E2FC4F" w14:textId="77777777" w:rsidTr="001A7B9D">
        <w:tc>
          <w:tcPr>
            <w:tcW w:w="1298" w:type="dxa"/>
          </w:tcPr>
          <w:p w14:paraId="44724082" w14:textId="77777777" w:rsidR="007F5638" w:rsidRPr="007F5638" w:rsidRDefault="007F5638" w:rsidP="007F5638">
            <w:pPr>
              <w:jc w:val="right"/>
              <w:rPr>
                <w:rFonts w:cstheme="minorHAnsi"/>
                <w:sz w:val="18"/>
                <w:szCs w:val="18"/>
              </w:rPr>
            </w:pPr>
          </w:p>
        </w:tc>
        <w:tc>
          <w:tcPr>
            <w:tcW w:w="933" w:type="dxa"/>
          </w:tcPr>
          <w:p w14:paraId="6E21985C" w14:textId="77777777" w:rsidR="007F5638" w:rsidRPr="007F5638" w:rsidRDefault="007F5638" w:rsidP="007F5638">
            <w:pPr>
              <w:jc w:val="right"/>
              <w:rPr>
                <w:rFonts w:cstheme="minorHAnsi"/>
                <w:sz w:val="18"/>
                <w:szCs w:val="18"/>
              </w:rPr>
            </w:pPr>
          </w:p>
        </w:tc>
        <w:tc>
          <w:tcPr>
            <w:tcW w:w="1748" w:type="dxa"/>
            <w:gridSpan w:val="4"/>
          </w:tcPr>
          <w:p w14:paraId="19DEF929" w14:textId="77777777" w:rsidR="007F5638" w:rsidRPr="007F5638" w:rsidRDefault="007F5638" w:rsidP="007F5638">
            <w:pPr>
              <w:jc w:val="right"/>
              <w:rPr>
                <w:rFonts w:cstheme="minorHAnsi"/>
                <w:sz w:val="18"/>
                <w:szCs w:val="18"/>
              </w:rPr>
            </w:pPr>
          </w:p>
        </w:tc>
        <w:tc>
          <w:tcPr>
            <w:tcW w:w="1323" w:type="dxa"/>
            <w:gridSpan w:val="2"/>
          </w:tcPr>
          <w:p w14:paraId="1A095790"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477" w:type="dxa"/>
            <w:gridSpan w:val="2"/>
          </w:tcPr>
          <w:p w14:paraId="7370F598"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306" w:type="dxa"/>
          </w:tcPr>
          <w:p w14:paraId="4F8AB098"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287" w:type="dxa"/>
          </w:tcPr>
          <w:p w14:paraId="16A5921C"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r>
      <w:tr w:rsidR="007F5638" w:rsidRPr="007F5638" w14:paraId="47F3EC95" w14:textId="77777777" w:rsidTr="001A7B9D">
        <w:tc>
          <w:tcPr>
            <w:tcW w:w="1298" w:type="dxa"/>
            <w:shd w:val="clear" w:color="auto" w:fill="BFBFBF" w:themeFill="background1" w:themeFillShade="BF"/>
          </w:tcPr>
          <w:p w14:paraId="66F64F1E" w14:textId="77777777" w:rsidR="00601D9B" w:rsidRDefault="000E53A0">
            <w:pPr>
              <w:rPr>
                <w:rFonts w:cstheme="minorHAnsi"/>
                <w:sz w:val="18"/>
                <w:szCs w:val="18"/>
              </w:rPr>
            </w:pPr>
            <w:r w:rsidRPr="007F5638">
              <w:rPr>
                <w:rFonts w:cstheme="minorHAnsi"/>
                <w:sz w:val="18"/>
                <w:szCs w:val="18"/>
              </w:rPr>
              <w:t>Indicateur 6.4</w:t>
            </w:r>
          </w:p>
        </w:tc>
        <w:tc>
          <w:tcPr>
            <w:tcW w:w="6787" w:type="dxa"/>
            <w:gridSpan w:val="10"/>
            <w:shd w:val="clear" w:color="auto" w:fill="BFBFBF" w:themeFill="background1" w:themeFillShade="BF"/>
          </w:tcPr>
          <w:p w14:paraId="12462BBC" w14:textId="77777777" w:rsidR="00601D9B" w:rsidRPr="000E53A0" w:rsidRDefault="000E53A0">
            <w:pPr>
              <w:rPr>
                <w:rFonts w:cstheme="minorHAnsi"/>
                <w:sz w:val="18"/>
                <w:szCs w:val="18"/>
                <w:lang w:val="fr-FR"/>
              </w:rPr>
            </w:pPr>
            <w:r w:rsidRPr="000E53A0">
              <w:rPr>
                <w:rFonts w:cstheme="minorHAnsi"/>
                <w:sz w:val="18"/>
                <w:szCs w:val="18"/>
                <w:lang w:val="fr-FR"/>
              </w:rPr>
              <w:t>Augmentation de la capacité installée des énergies renouvelables par technologie</w:t>
            </w:r>
          </w:p>
        </w:tc>
        <w:tc>
          <w:tcPr>
            <w:tcW w:w="1287" w:type="dxa"/>
            <w:shd w:val="clear" w:color="auto" w:fill="BFBFBF" w:themeFill="background1" w:themeFillShade="BF"/>
          </w:tcPr>
          <w:p w14:paraId="29088C1D"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r>
      <w:tr w:rsidR="007F5638" w:rsidRPr="007F5638" w14:paraId="2A80B902" w14:textId="77777777" w:rsidTr="001A7B9D">
        <w:trPr>
          <w:trHeight w:val="125"/>
        </w:trPr>
        <w:tc>
          <w:tcPr>
            <w:tcW w:w="1298" w:type="dxa"/>
            <w:vMerge w:val="restart"/>
          </w:tcPr>
          <w:p w14:paraId="73C7E4DF" w14:textId="77777777" w:rsidR="007F5638" w:rsidRPr="007F5638" w:rsidRDefault="007F5638" w:rsidP="007F5638">
            <w:pPr>
              <w:rPr>
                <w:rFonts w:cstheme="minorHAnsi"/>
                <w:sz w:val="18"/>
                <w:szCs w:val="18"/>
              </w:rPr>
            </w:pPr>
          </w:p>
        </w:tc>
        <w:tc>
          <w:tcPr>
            <w:tcW w:w="933" w:type="dxa"/>
            <w:vMerge w:val="restart"/>
          </w:tcPr>
          <w:p w14:paraId="56A4298F" w14:textId="77777777" w:rsidR="007F5638" w:rsidRPr="007F5638" w:rsidRDefault="007F5638" w:rsidP="007F5638">
            <w:pPr>
              <w:rPr>
                <w:rFonts w:cstheme="minorHAnsi"/>
                <w:sz w:val="18"/>
                <w:szCs w:val="18"/>
              </w:rPr>
            </w:pPr>
          </w:p>
        </w:tc>
        <w:tc>
          <w:tcPr>
            <w:tcW w:w="1748" w:type="dxa"/>
            <w:gridSpan w:val="4"/>
            <w:vMerge w:val="restart"/>
            <w:vAlign w:val="center"/>
          </w:tcPr>
          <w:p w14:paraId="72DB382D" w14:textId="77777777" w:rsidR="00601D9B" w:rsidRDefault="000E53A0">
            <w:pPr>
              <w:rPr>
                <w:rFonts w:cstheme="minorHAnsi"/>
                <w:sz w:val="18"/>
                <w:szCs w:val="18"/>
              </w:rPr>
            </w:pPr>
            <w:r w:rsidRPr="007F5638">
              <w:rPr>
                <w:rFonts w:cstheme="minorHAnsi"/>
                <w:sz w:val="18"/>
                <w:szCs w:val="18"/>
              </w:rPr>
              <w:t>Technologie</w:t>
            </w:r>
          </w:p>
        </w:tc>
        <w:tc>
          <w:tcPr>
            <w:tcW w:w="5393" w:type="dxa"/>
            <w:gridSpan w:val="6"/>
          </w:tcPr>
          <w:p w14:paraId="5F06FF65" w14:textId="77777777" w:rsidR="00601D9B" w:rsidRDefault="000E53A0">
            <w:pPr>
              <w:jc w:val="center"/>
              <w:rPr>
                <w:rFonts w:cstheme="minorHAnsi"/>
                <w:sz w:val="18"/>
                <w:szCs w:val="18"/>
              </w:rPr>
            </w:pPr>
            <w:r w:rsidRPr="007F5638">
              <w:rPr>
                <w:rFonts w:cstheme="minorHAnsi"/>
                <w:sz w:val="18"/>
                <w:szCs w:val="18"/>
              </w:rPr>
              <w:t>Capacité (MW)</w:t>
            </w:r>
          </w:p>
        </w:tc>
      </w:tr>
      <w:tr w:rsidR="007F5638" w:rsidRPr="007F5638" w14:paraId="0D38510C" w14:textId="77777777" w:rsidTr="001A7B9D">
        <w:trPr>
          <w:trHeight w:val="58"/>
        </w:trPr>
        <w:tc>
          <w:tcPr>
            <w:tcW w:w="1298" w:type="dxa"/>
            <w:vMerge/>
          </w:tcPr>
          <w:p w14:paraId="27464A1C" w14:textId="77777777" w:rsidR="007F5638" w:rsidRPr="007F5638" w:rsidRDefault="007F5638" w:rsidP="007F5638">
            <w:pPr>
              <w:rPr>
                <w:rFonts w:cstheme="minorHAnsi"/>
                <w:sz w:val="18"/>
                <w:szCs w:val="18"/>
              </w:rPr>
            </w:pPr>
          </w:p>
        </w:tc>
        <w:tc>
          <w:tcPr>
            <w:tcW w:w="933" w:type="dxa"/>
            <w:vMerge/>
          </w:tcPr>
          <w:p w14:paraId="4E95D97B" w14:textId="77777777" w:rsidR="007F5638" w:rsidRPr="007F5638" w:rsidRDefault="007F5638" w:rsidP="007F5638">
            <w:pPr>
              <w:rPr>
                <w:rFonts w:cstheme="minorHAnsi"/>
                <w:sz w:val="18"/>
                <w:szCs w:val="18"/>
              </w:rPr>
            </w:pPr>
          </w:p>
        </w:tc>
        <w:tc>
          <w:tcPr>
            <w:tcW w:w="1748" w:type="dxa"/>
            <w:gridSpan w:val="4"/>
            <w:vMerge/>
          </w:tcPr>
          <w:p w14:paraId="65C51E32" w14:textId="77777777" w:rsidR="007F5638" w:rsidRPr="007F5638" w:rsidRDefault="007F5638" w:rsidP="007F5638">
            <w:pPr>
              <w:rPr>
                <w:rFonts w:cstheme="minorHAnsi"/>
                <w:sz w:val="18"/>
                <w:szCs w:val="18"/>
              </w:rPr>
            </w:pPr>
          </w:p>
        </w:tc>
        <w:tc>
          <w:tcPr>
            <w:tcW w:w="2800" w:type="dxa"/>
            <w:gridSpan w:val="4"/>
          </w:tcPr>
          <w:p w14:paraId="56244E30" w14:textId="77777777" w:rsidR="00601D9B" w:rsidRDefault="000E53A0">
            <w:pPr>
              <w:jc w:val="center"/>
              <w:rPr>
                <w:rFonts w:cstheme="minorHAnsi"/>
                <w:sz w:val="18"/>
                <w:szCs w:val="18"/>
              </w:rPr>
            </w:pPr>
            <w:r w:rsidRPr="007F5638">
              <w:rPr>
                <w:rFonts w:cstheme="minorHAnsi"/>
                <w:sz w:val="18"/>
                <w:szCs w:val="18"/>
              </w:rPr>
              <w:t>Attendu</w:t>
            </w:r>
          </w:p>
        </w:tc>
        <w:tc>
          <w:tcPr>
            <w:tcW w:w="2593" w:type="dxa"/>
            <w:gridSpan w:val="2"/>
          </w:tcPr>
          <w:p w14:paraId="49D8621A" w14:textId="77777777" w:rsidR="00601D9B" w:rsidRDefault="000E53A0">
            <w:pPr>
              <w:jc w:val="center"/>
              <w:rPr>
                <w:rFonts w:cstheme="minorHAnsi"/>
                <w:sz w:val="18"/>
                <w:szCs w:val="18"/>
              </w:rPr>
            </w:pPr>
            <w:r w:rsidRPr="007F5638">
              <w:rPr>
                <w:rFonts w:cstheme="minorHAnsi"/>
                <w:sz w:val="18"/>
                <w:szCs w:val="18"/>
              </w:rPr>
              <w:t>Réalisé</w:t>
            </w:r>
          </w:p>
        </w:tc>
      </w:tr>
      <w:tr w:rsidR="007F5638" w:rsidRPr="007F5638" w14:paraId="40887450" w14:textId="77777777" w:rsidTr="001A7B9D">
        <w:trPr>
          <w:trHeight w:val="89"/>
        </w:trPr>
        <w:tc>
          <w:tcPr>
            <w:tcW w:w="1298" w:type="dxa"/>
            <w:vMerge/>
          </w:tcPr>
          <w:p w14:paraId="4489E56B" w14:textId="77777777" w:rsidR="007F5638" w:rsidRPr="007F5638" w:rsidRDefault="007F5638" w:rsidP="007F5638">
            <w:pPr>
              <w:rPr>
                <w:rFonts w:cstheme="minorHAnsi"/>
                <w:sz w:val="18"/>
                <w:szCs w:val="18"/>
              </w:rPr>
            </w:pPr>
          </w:p>
        </w:tc>
        <w:tc>
          <w:tcPr>
            <w:tcW w:w="933" w:type="dxa"/>
            <w:vMerge/>
          </w:tcPr>
          <w:p w14:paraId="79330C37" w14:textId="77777777" w:rsidR="007F5638" w:rsidRPr="007F5638" w:rsidRDefault="007F5638" w:rsidP="007F5638">
            <w:pPr>
              <w:rPr>
                <w:rFonts w:cstheme="minorHAnsi"/>
                <w:sz w:val="18"/>
                <w:szCs w:val="18"/>
              </w:rPr>
            </w:pPr>
          </w:p>
        </w:tc>
        <w:tc>
          <w:tcPr>
            <w:tcW w:w="1748" w:type="dxa"/>
            <w:gridSpan w:val="4"/>
            <w:vMerge/>
          </w:tcPr>
          <w:p w14:paraId="36688BB9" w14:textId="77777777" w:rsidR="007F5638" w:rsidRPr="007F5638" w:rsidRDefault="007F5638" w:rsidP="007F5638">
            <w:pPr>
              <w:rPr>
                <w:rFonts w:cstheme="minorHAnsi"/>
                <w:sz w:val="18"/>
                <w:szCs w:val="18"/>
              </w:rPr>
            </w:pPr>
          </w:p>
        </w:tc>
        <w:tc>
          <w:tcPr>
            <w:tcW w:w="1323" w:type="dxa"/>
            <w:gridSpan w:val="2"/>
          </w:tcPr>
          <w:p w14:paraId="63C507DB" w14:textId="77777777" w:rsidR="00601D9B" w:rsidRDefault="000E53A0">
            <w:pPr>
              <w:jc w:val="center"/>
              <w:rPr>
                <w:rFonts w:cstheme="minorHAnsi"/>
                <w:sz w:val="18"/>
                <w:szCs w:val="18"/>
              </w:rPr>
            </w:pPr>
            <w:r w:rsidRPr="007F5638">
              <w:rPr>
                <w:rFonts w:cstheme="minorHAnsi"/>
                <w:sz w:val="18"/>
                <w:szCs w:val="18"/>
              </w:rPr>
              <w:t>Étape du FIP</w:t>
            </w:r>
          </w:p>
        </w:tc>
        <w:tc>
          <w:tcPr>
            <w:tcW w:w="1477" w:type="dxa"/>
            <w:gridSpan w:val="2"/>
          </w:tcPr>
          <w:p w14:paraId="18CB399F" w14:textId="77777777" w:rsidR="00601D9B" w:rsidRDefault="000E53A0">
            <w:pPr>
              <w:jc w:val="center"/>
              <w:rPr>
                <w:rFonts w:cstheme="minorHAnsi"/>
                <w:sz w:val="18"/>
                <w:szCs w:val="18"/>
              </w:rPr>
            </w:pPr>
            <w:r w:rsidRPr="007F5638">
              <w:rPr>
                <w:rFonts w:cstheme="minorHAnsi"/>
                <w:sz w:val="18"/>
                <w:szCs w:val="18"/>
              </w:rPr>
              <w:t>Endossement</w:t>
            </w:r>
          </w:p>
        </w:tc>
        <w:tc>
          <w:tcPr>
            <w:tcW w:w="1306" w:type="dxa"/>
          </w:tcPr>
          <w:p w14:paraId="476E532A" w14:textId="77777777" w:rsidR="00601D9B" w:rsidRDefault="000E53A0">
            <w:pPr>
              <w:jc w:val="center"/>
              <w:rPr>
                <w:rFonts w:cstheme="minorHAnsi"/>
                <w:sz w:val="18"/>
                <w:szCs w:val="18"/>
              </w:rPr>
            </w:pPr>
            <w:r w:rsidRPr="007F5638">
              <w:rPr>
                <w:rFonts w:cstheme="minorHAnsi"/>
                <w:sz w:val="18"/>
                <w:szCs w:val="18"/>
              </w:rPr>
              <w:t>MTR</w:t>
            </w:r>
          </w:p>
        </w:tc>
        <w:tc>
          <w:tcPr>
            <w:tcW w:w="1287" w:type="dxa"/>
          </w:tcPr>
          <w:p w14:paraId="6E795A41" w14:textId="77777777" w:rsidR="00601D9B" w:rsidRDefault="000E53A0">
            <w:pPr>
              <w:jc w:val="center"/>
              <w:rPr>
                <w:rFonts w:cstheme="minorHAnsi"/>
                <w:sz w:val="18"/>
                <w:szCs w:val="18"/>
              </w:rPr>
            </w:pPr>
            <w:r w:rsidRPr="007F5638">
              <w:rPr>
                <w:rFonts w:cstheme="minorHAnsi"/>
                <w:sz w:val="18"/>
                <w:szCs w:val="18"/>
              </w:rPr>
              <w:t>TE</w:t>
            </w:r>
          </w:p>
        </w:tc>
      </w:tr>
      <w:tr w:rsidR="007F5638" w:rsidRPr="007F5638" w14:paraId="51AFF7A8" w14:textId="77777777" w:rsidTr="001A7B9D">
        <w:tc>
          <w:tcPr>
            <w:tcW w:w="1298" w:type="dxa"/>
          </w:tcPr>
          <w:p w14:paraId="4DE2EEEA" w14:textId="77777777" w:rsidR="007F5638" w:rsidRPr="007F5638" w:rsidRDefault="007F5638" w:rsidP="007F5638">
            <w:pPr>
              <w:jc w:val="right"/>
              <w:rPr>
                <w:rFonts w:cstheme="minorHAnsi"/>
                <w:sz w:val="18"/>
                <w:szCs w:val="18"/>
              </w:rPr>
            </w:pPr>
          </w:p>
        </w:tc>
        <w:tc>
          <w:tcPr>
            <w:tcW w:w="933" w:type="dxa"/>
          </w:tcPr>
          <w:p w14:paraId="15F45649" w14:textId="77777777" w:rsidR="007F5638" w:rsidRPr="007F5638" w:rsidRDefault="007F5638" w:rsidP="007F5638">
            <w:pPr>
              <w:jc w:val="right"/>
              <w:rPr>
                <w:rFonts w:cstheme="minorHAnsi"/>
                <w:sz w:val="18"/>
                <w:szCs w:val="18"/>
              </w:rPr>
            </w:pPr>
          </w:p>
        </w:tc>
        <w:tc>
          <w:tcPr>
            <w:tcW w:w="1748" w:type="dxa"/>
            <w:gridSpan w:val="4"/>
          </w:tcPr>
          <w:p w14:paraId="599EE8BD" w14:textId="77777777" w:rsidR="00601D9B" w:rsidRDefault="000E53A0">
            <w:pPr>
              <w:jc w:val="right"/>
              <w:rPr>
                <w:rFonts w:cstheme="minorHAnsi"/>
                <w:sz w:val="18"/>
                <w:szCs w:val="18"/>
              </w:rPr>
            </w:pPr>
            <w:r w:rsidRPr="007F5638">
              <w:rPr>
                <w:rFonts w:cstheme="minorHAnsi"/>
                <w:color w:val="000000"/>
                <w:sz w:val="18"/>
                <w:szCs w:val="18"/>
              </w:rPr>
              <w:t xml:space="preserve"> </w:t>
            </w:r>
            <w:r w:rsidRPr="007F5638">
              <w:rPr>
                <w:rFonts w:cstheme="minorHAnsi"/>
                <w:color w:val="000000"/>
                <w:sz w:val="18"/>
                <w:szCs w:val="18"/>
              </w:rPr>
              <w:fldChar w:fldCharType="begin">
                <w:ffData>
                  <w:name w:val=""/>
                  <w:enabled/>
                  <w:calcOnExit w:val="0"/>
                  <w:ddList>
                    <w:listEntry w:val="(select)"/>
                    <w:listEntry w:val="Biomass"/>
                    <w:listEntry w:val="Geothermal"/>
                    <w:listEntry w:val="Ocean energy"/>
                    <w:listEntry w:val="Small Hydropower"/>
                    <w:listEntry w:val="Solar Photovoltaic"/>
                    <w:listEntry w:val="Solar Thermal"/>
                    <w:listEntry w:val="Wind Power"/>
                    <w:listEntry w:val="Energy Storage"/>
                  </w:ddList>
                </w:ffData>
              </w:fldChar>
            </w:r>
            <w:r w:rsidRPr="007F5638">
              <w:rPr>
                <w:rFonts w:cstheme="minorHAnsi"/>
                <w:color w:val="000000"/>
                <w:sz w:val="18"/>
                <w:szCs w:val="18"/>
              </w:rPr>
              <w:instrText xml:space="preserve"> FORMDROPDOWN </w:instrText>
            </w:r>
            <w:r w:rsidR="00B330C0">
              <w:rPr>
                <w:rFonts w:cstheme="minorHAnsi"/>
                <w:color w:val="000000"/>
                <w:sz w:val="18"/>
                <w:szCs w:val="18"/>
              </w:rPr>
            </w:r>
            <w:r w:rsidR="00B330C0">
              <w:rPr>
                <w:rFonts w:cstheme="minorHAnsi"/>
                <w:color w:val="000000"/>
                <w:sz w:val="18"/>
                <w:szCs w:val="18"/>
              </w:rPr>
              <w:fldChar w:fldCharType="separate"/>
            </w:r>
            <w:r w:rsidRPr="007F5638">
              <w:rPr>
                <w:rFonts w:cstheme="minorHAnsi"/>
                <w:color w:val="000000"/>
                <w:sz w:val="18"/>
                <w:szCs w:val="18"/>
              </w:rPr>
              <w:fldChar w:fldCharType="end"/>
            </w:r>
          </w:p>
        </w:tc>
        <w:tc>
          <w:tcPr>
            <w:tcW w:w="1323" w:type="dxa"/>
            <w:gridSpan w:val="2"/>
          </w:tcPr>
          <w:p w14:paraId="405379AB"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477" w:type="dxa"/>
            <w:gridSpan w:val="2"/>
          </w:tcPr>
          <w:p w14:paraId="5D6F7B3F"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306" w:type="dxa"/>
          </w:tcPr>
          <w:p w14:paraId="18D80FD5"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287" w:type="dxa"/>
          </w:tcPr>
          <w:p w14:paraId="33E42018"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r>
      <w:tr w:rsidR="007F5638" w:rsidRPr="007F5638" w14:paraId="7E80AE4E" w14:textId="77777777" w:rsidTr="001A7B9D">
        <w:tc>
          <w:tcPr>
            <w:tcW w:w="1298" w:type="dxa"/>
          </w:tcPr>
          <w:p w14:paraId="66BCD80C" w14:textId="77777777" w:rsidR="007F5638" w:rsidRPr="007F5638" w:rsidRDefault="007F5638" w:rsidP="007F5638">
            <w:pPr>
              <w:jc w:val="right"/>
              <w:rPr>
                <w:rFonts w:cstheme="minorHAnsi"/>
                <w:sz w:val="18"/>
                <w:szCs w:val="18"/>
              </w:rPr>
            </w:pPr>
          </w:p>
        </w:tc>
        <w:tc>
          <w:tcPr>
            <w:tcW w:w="933" w:type="dxa"/>
          </w:tcPr>
          <w:p w14:paraId="75B93366" w14:textId="77777777" w:rsidR="007F5638" w:rsidRPr="007F5638" w:rsidRDefault="007F5638" w:rsidP="007F5638">
            <w:pPr>
              <w:jc w:val="right"/>
              <w:rPr>
                <w:rFonts w:cstheme="minorHAnsi"/>
                <w:sz w:val="18"/>
                <w:szCs w:val="18"/>
              </w:rPr>
            </w:pPr>
          </w:p>
        </w:tc>
        <w:tc>
          <w:tcPr>
            <w:tcW w:w="1748" w:type="dxa"/>
            <w:gridSpan w:val="4"/>
          </w:tcPr>
          <w:p w14:paraId="5CF5D799" w14:textId="77777777" w:rsidR="00601D9B" w:rsidRDefault="000E53A0">
            <w:pPr>
              <w:jc w:val="right"/>
              <w:rPr>
                <w:rFonts w:cstheme="minorHAnsi"/>
                <w:sz w:val="18"/>
                <w:szCs w:val="18"/>
              </w:rPr>
            </w:pPr>
            <w:r w:rsidRPr="007F5638">
              <w:rPr>
                <w:rFonts w:cstheme="minorHAnsi"/>
                <w:color w:val="000000"/>
                <w:sz w:val="18"/>
                <w:szCs w:val="18"/>
              </w:rPr>
              <w:fldChar w:fldCharType="begin">
                <w:ffData>
                  <w:name w:val=""/>
                  <w:enabled/>
                  <w:calcOnExit w:val="0"/>
                  <w:ddList>
                    <w:listEntry w:val="(select)"/>
                    <w:listEntry w:val="Biomass"/>
                    <w:listEntry w:val="Geothermal"/>
                    <w:listEntry w:val="Ocean energy"/>
                    <w:listEntry w:val="Small Hydropower"/>
                    <w:listEntry w:val="Solar Photovoltaic"/>
                    <w:listEntry w:val="Solar Thermal"/>
                    <w:listEntry w:val="Wind Power"/>
                    <w:listEntry w:val="Energy Storage"/>
                  </w:ddList>
                </w:ffData>
              </w:fldChar>
            </w:r>
            <w:r w:rsidRPr="007F5638">
              <w:rPr>
                <w:rFonts w:cstheme="minorHAnsi"/>
                <w:color w:val="000000"/>
                <w:sz w:val="18"/>
                <w:szCs w:val="18"/>
              </w:rPr>
              <w:instrText xml:space="preserve"> FORMDROPDOWN </w:instrText>
            </w:r>
            <w:r w:rsidR="00B330C0">
              <w:rPr>
                <w:rFonts w:cstheme="minorHAnsi"/>
                <w:color w:val="000000"/>
                <w:sz w:val="18"/>
                <w:szCs w:val="18"/>
              </w:rPr>
            </w:r>
            <w:r w:rsidR="00B330C0">
              <w:rPr>
                <w:rFonts w:cstheme="minorHAnsi"/>
                <w:color w:val="000000"/>
                <w:sz w:val="18"/>
                <w:szCs w:val="18"/>
              </w:rPr>
              <w:fldChar w:fldCharType="separate"/>
            </w:r>
            <w:r w:rsidRPr="007F5638">
              <w:rPr>
                <w:rFonts w:cstheme="minorHAnsi"/>
                <w:color w:val="000000"/>
                <w:sz w:val="18"/>
                <w:szCs w:val="18"/>
              </w:rPr>
              <w:fldChar w:fldCharType="end"/>
            </w:r>
          </w:p>
        </w:tc>
        <w:tc>
          <w:tcPr>
            <w:tcW w:w="1323" w:type="dxa"/>
            <w:gridSpan w:val="2"/>
          </w:tcPr>
          <w:p w14:paraId="5E5CF90C"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477" w:type="dxa"/>
            <w:gridSpan w:val="2"/>
          </w:tcPr>
          <w:p w14:paraId="2FCB33DA"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306" w:type="dxa"/>
          </w:tcPr>
          <w:p w14:paraId="2190FAA7"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287" w:type="dxa"/>
          </w:tcPr>
          <w:p w14:paraId="51ECA4F2"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r>
      <w:tr w:rsidR="007F5638" w:rsidRPr="007F5638" w14:paraId="2EA3614B" w14:textId="77777777" w:rsidTr="001A7B9D">
        <w:tc>
          <w:tcPr>
            <w:tcW w:w="1298" w:type="dxa"/>
            <w:shd w:val="clear" w:color="auto" w:fill="D9D9D9" w:themeFill="background1" w:themeFillShade="D9"/>
          </w:tcPr>
          <w:p w14:paraId="29ABD0BC" w14:textId="77777777" w:rsidR="00601D9B" w:rsidRDefault="000E53A0">
            <w:pPr>
              <w:rPr>
                <w:rFonts w:cstheme="minorHAnsi"/>
                <w:b/>
                <w:sz w:val="18"/>
                <w:szCs w:val="18"/>
              </w:rPr>
            </w:pPr>
            <w:r w:rsidRPr="007F5638">
              <w:rPr>
                <w:rFonts w:cstheme="minorHAnsi"/>
                <w:b/>
                <w:sz w:val="18"/>
                <w:szCs w:val="18"/>
              </w:rPr>
              <w:t>Indicateur de base 7</w:t>
            </w:r>
          </w:p>
        </w:tc>
        <w:tc>
          <w:tcPr>
            <w:tcW w:w="6787" w:type="dxa"/>
            <w:gridSpan w:val="10"/>
            <w:shd w:val="clear" w:color="auto" w:fill="D9D9D9" w:themeFill="background1" w:themeFillShade="D9"/>
          </w:tcPr>
          <w:p w14:paraId="3F739370" w14:textId="77777777" w:rsidR="00601D9B" w:rsidRPr="000E53A0" w:rsidRDefault="000E53A0">
            <w:pPr>
              <w:rPr>
                <w:rFonts w:cstheme="minorHAnsi"/>
                <w:b/>
                <w:sz w:val="18"/>
                <w:szCs w:val="18"/>
                <w:lang w:val="fr-FR"/>
              </w:rPr>
            </w:pPr>
            <w:r w:rsidRPr="000E53A0">
              <w:rPr>
                <w:rFonts w:cstheme="minorHAnsi"/>
                <w:b/>
                <w:sz w:val="18"/>
                <w:szCs w:val="18"/>
                <w:lang w:val="fr-FR"/>
              </w:rPr>
              <w:t>Nombre d'écosystèmes d'eau partagée (douce ou marine) faisant l'objet d'une gestion coopérative nouvelle ou améliorée</w:t>
            </w:r>
          </w:p>
        </w:tc>
        <w:tc>
          <w:tcPr>
            <w:tcW w:w="1287" w:type="dxa"/>
            <w:shd w:val="clear" w:color="auto" w:fill="D9D9D9" w:themeFill="background1" w:themeFillShade="D9"/>
          </w:tcPr>
          <w:p w14:paraId="4FEC130B" w14:textId="77777777" w:rsidR="00601D9B" w:rsidRDefault="000E53A0">
            <w:pPr>
              <w:jc w:val="right"/>
              <w:rPr>
                <w:rFonts w:cstheme="minorHAnsi"/>
                <w:b/>
                <w:sz w:val="18"/>
                <w:szCs w:val="18"/>
              </w:rPr>
            </w:pPr>
            <w:r w:rsidRPr="007F5638">
              <w:rPr>
                <w:rFonts w:cstheme="minorHAnsi"/>
                <w:b/>
                <w:i/>
                <w:color w:val="000000"/>
                <w:sz w:val="18"/>
                <w:szCs w:val="18"/>
              </w:rPr>
              <w:fldChar w:fldCharType="begin">
                <w:ffData>
                  <w:name w:val=""/>
                  <w:enabled/>
                  <w:calcOnExit w:val="0"/>
                  <w:textInput>
                    <w:default w:val="(Number)"/>
                  </w:textInput>
                </w:ffData>
              </w:fldChar>
            </w:r>
            <w:r w:rsidRPr="007F5638">
              <w:rPr>
                <w:rFonts w:cstheme="minorHAnsi"/>
                <w:b/>
                <w:i/>
                <w:color w:val="000000"/>
                <w:sz w:val="18"/>
                <w:szCs w:val="18"/>
              </w:rPr>
              <w:instrText xml:space="preserve"> FORMTEXT </w:instrText>
            </w:r>
            <w:r w:rsidRPr="007F5638">
              <w:rPr>
                <w:rFonts w:cstheme="minorHAnsi"/>
                <w:b/>
                <w:i/>
                <w:color w:val="000000"/>
                <w:sz w:val="18"/>
                <w:szCs w:val="18"/>
              </w:rPr>
            </w:r>
            <w:r w:rsidRPr="007F5638">
              <w:rPr>
                <w:rFonts w:cstheme="minorHAnsi"/>
                <w:b/>
                <w:i/>
                <w:color w:val="000000"/>
                <w:sz w:val="18"/>
                <w:szCs w:val="18"/>
              </w:rPr>
              <w:fldChar w:fldCharType="separate"/>
            </w:r>
            <w:r w:rsidRPr="007F5638">
              <w:rPr>
                <w:rFonts w:cstheme="minorHAnsi"/>
                <w:b/>
                <w:i/>
                <w:noProof/>
                <w:color w:val="000000"/>
                <w:sz w:val="18"/>
                <w:szCs w:val="18"/>
              </w:rPr>
              <w:t>(Nombre)</w:t>
            </w:r>
            <w:r w:rsidRPr="007F5638">
              <w:rPr>
                <w:rFonts w:cstheme="minorHAnsi"/>
                <w:b/>
                <w:i/>
                <w:color w:val="000000"/>
                <w:sz w:val="18"/>
                <w:szCs w:val="18"/>
              </w:rPr>
              <w:fldChar w:fldCharType="end"/>
            </w:r>
          </w:p>
        </w:tc>
      </w:tr>
      <w:tr w:rsidR="007F5638" w:rsidRPr="007F5638" w14:paraId="5D5D1C1A" w14:textId="77777777" w:rsidTr="001A7B9D">
        <w:tc>
          <w:tcPr>
            <w:tcW w:w="1298" w:type="dxa"/>
            <w:shd w:val="clear" w:color="auto" w:fill="BFBFBF" w:themeFill="background1" w:themeFillShade="BF"/>
          </w:tcPr>
          <w:p w14:paraId="4CD83AFC" w14:textId="77777777" w:rsidR="00601D9B" w:rsidRDefault="000E53A0">
            <w:pPr>
              <w:rPr>
                <w:rFonts w:cstheme="minorHAnsi"/>
                <w:sz w:val="18"/>
                <w:szCs w:val="18"/>
              </w:rPr>
            </w:pPr>
            <w:r w:rsidRPr="007F5638">
              <w:rPr>
                <w:rFonts w:cstheme="minorHAnsi"/>
                <w:sz w:val="18"/>
                <w:szCs w:val="18"/>
              </w:rPr>
              <w:t>Indicateur 7.1</w:t>
            </w:r>
          </w:p>
        </w:tc>
        <w:tc>
          <w:tcPr>
            <w:tcW w:w="6787" w:type="dxa"/>
            <w:gridSpan w:val="10"/>
            <w:shd w:val="clear" w:color="auto" w:fill="BFBFBF" w:themeFill="background1" w:themeFillShade="BF"/>
          </w:tcPr>
          <w:p w14:paraId="1E5BACFE" w14:textId="77777777" w:rsidR="00601D9B" w:rsidRPr="000E53A0" w:rsidRDefault="000E53A0">
            <w:pPr>
              <w:rPr>
                <w:rFonts w:cstheme="minorHAnsi"/>
                <w:sz w:val="18"/>
                <w:szCs w:val="18"/>
                <w:lang w:val="fr-FR"/>
              </w:rPr>
            </w:pPr>
            <w:r w:rsidRPr="000E53A0">
              <w:rPr>
                <w:rFonts w:cstheme="minorHAnsi"/>
                <w:sz w:val="18"/>
                <w:szCs w:val="18"/>
                <w:lang w:val="fr-FR"/>
              </w:rPr>
              <w:t>Niveau de formulation et de mise en œuvre de l'analyse diagnostique transfrontalière et du programme d'action stratégique (TDA/SAP)</w:t>
            </w:r>
          </w:p>
        </w:tc>
        <w:tc>
          <w:tcPr>
            <w:tcW w:w="1287" w:type="dxa"/>
            <w:shd w:val="clear" w:color="auto" w:fill="BFBFBF" w:themeFill="background1" w:themeFillShade="BF"/>
          </w:tcPr>
          <w:p w14:paraId="3E083EC7"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r>
      <w:tr w:rsidR="007F5638" w:rsidRPr="007F5638" w14:paraId="4D1F7FFD" w14:textId="77777777" w:rsidTr="001A7B9D">
        <w:trPr>
          <w:trHeight w:val="233"/>
        </w:trPr>
        <w:tc>
          <w:tcPr>
            <w:tcW w:w="1298" w:type="dxa"/>
            <w:vMerge w:val="restart"/>
          </w:tcPr>
          <w:p w14:paraId="580BFA0B" w14:textId="77777777" w:rsidR="007F5638" w:rsidRPr="007F5638" w:rsidRDefault="007F5638" w:rsidP="007F5638">
            <w:pPr>
              <w:rPr>
                <w:rFonts w:cstheme="minorHAnsi"/>
                <w:sz w:val="18"/>
                <w:szCs w:val="18"/>
              </w:rPr>
            </w:pPr>
          </w:p>
        </w:tc>
        <w:tc>
          <w:tcPr>
            <w:tcW w:w="933" w:type="dxa"/>
            <w:vMerge w:val="restart"/>
          </w:tcPr>
          <w:p w14:paraId="5E8467B6" w14:textId="77777777" w:rsidR="007F5638" w:rsidRPr="007F5638" w:rsidRDefault="007F5638" w:rsidP="007F5638">
            <w:pPr>
              <w:rPr>
                <w:rFonts w:cstheme="minorHAnsi"/>
                <w:sz w:val="18"/>
                <w:szCs w:val="18"/>
              </w:rPr>
            </w:pPr>
          </w:p>
        </w:tc>
        <w:tc>
          <w:tcPr>
            <w:tcW w:w="1748" w:type="dxa"/>
            <w:gridSpan w:val="4"/>
            <w:vMerge w:val="restart"/>
          </w:tcPr>
          <w:p w14:paraId="188BAAA7" w14:textId="77777777" w:rsidR="00601D9B" w:rsidRDefault="000E53A0">
            <w:pPr>
              <w:rPr>
                <w:rFonts w:cstheme="minorHAnsi"/>
                <w:sz w:val="18"/>
                <w:szCs w:val="18"/>
              </w:rPr>
            </w:pPr>
            <w:r w:rsidRPr="007F5638">
              <w:rPr>
                <w:rFonts w:cstheme="minorHAnsi"/>
                <w:sz w:val="18"/>
                <w:szCs w:val="18"/>
              </w:rPr>
              <w:t>Écosystème partagé de l'eau</w:t>
            </w:r>
          </w:p>
        </w:tc>
        <w:tc>
          <w:tcPr>
            <w:tcW w:w="5393" w:type="dxa"/>
            <w:gridSpan w:val="6"/>
          </w:tcPr>
          <w:p w14:paraId="411E93F9" w14:textId="77777777" w:rsidR="00601D9B" w:rsidRDefault="000E53A0">
            <w:pPr>
              <w:jc w:val="center"/>
              <w:rPr>
                <w:rFonts w:cstheme="minorHAnsi"/>
                <w:sz w:val="18"/>
                <w:szCs w:val="18"/>
              </w:rPr>
            </w:pPr>
            <w:r w:rsidRPr="007F5638">
              <w:rPr>
                <w:rFonts w:cstheme="minorHAnsi"/>
                <w:sz w:val="18"/>
                <w:szCs w:val="18"/>
              </w:rPr>
              <w:t>Evaluation (échelle 1-4)</w:t>
            </w:r>
          </w:p>
        </w:tc>
      </w:tr>
      <w:tr w:rsidR="007F5638" w:rsidRPr="007F5638" w14:paraId="4D15E9EC" w14:textId="77777777" w:rsidTr="001A7B9D">
        <w:trPr>
          <w:trHeight w:val="197"/>
        </w:trPr>
        <w:tc>
          <w:tcPr>
            <w:tcW w:w="1298" w:type="dxa"/>
            <w:vMerge/>
          </w:tcPr>
          <w:p w14:paraId="4C7DE028" w14:textId="77777777" w:rsidR="007F5638" w:rsidRPr="007F5638" w:rsidRDefault="007F5638" w:rsidP="007F5638">
            <w:pPr>
              <w:rPr>
                <w:rFonts w:cstheme="minorHAnsi"/>
                <w:sz w:val="18"/>
                <w:szCs w:val="18"/>
              </w:rPr>
            </w:pPr>
          </w:p>
        </w:tc>
        <w:tc>
          <w:tcPr>
            <w:tcW w:w="933" w:type="dxa"/>
            <w:vMerge/>
          </w:tcPr>
          <w:p w14:paraId="140D30CE" w14:textId="77777777" w:rsidR="007F5638" w:rsidRPr="007F5638" w:rsidRDefault="007F5638" w:rsidP="007F5638">
            <w:pPr>
              <w:rPr>
                <w:rFonts w:cstheme="minorHAnsi"/>
                <w:sz w:val="18"/>
                <w:szCs w:val="18"/>
              </w:rPr>
            </w:pPr>
          </w:p>
        </w:tc>
        <w:tc>
          <w:tcPr>
            <w:tcW w:w="1748" w:type="dxa"/>
            <w:gridSpan w:val="4"/>
            <w:vMerge/>
          </w:tcPr>
          <w:p w14:paraId="5916133F" w14:textId="77777777" w:rsidR="007F5638" w:rsidRPr="007F5638" w:rsidRDefault="007F5638" w:rsidP="007F5638">
            <w:pPr>
              <w:rPr>
                <w:rFonts w:cstheme="minorHAnsi"/>
                <w:sz w:val="18"/>
                <w:szCs w:val="18"/>
              </w:rPr>
            </w:pPr>
          </w:p>
        </w:tc>
        <w:tc>
          <w:tcPr>
            <w:tcW w:w="1323" w:type="dxa"/>
            <w:gridSpan w:val="2"/>
          </w:tcPr>
          <w:p w14:paraId="3EED2B82" w14:textId="77777777" w:rsidR="00601D9B" w:rsidRDefault="000E53A0">
            <w:pPr>
              <w:jc w:val="center"/>
              <w:rPr>
                <w:rFonts w:cstheme="minorHAnsi"/>
                <w:sz w:val="18"/>
                <w:szCs w:val="18"/>
              </w:rPr>
            </w:pPr>
            <w:r w:rsidRPr="007F5638">
              <w:rPr>
                <w:rFonts w:cstheme="minorHAnsi"/>
                <w:sz w:val="18"/>
                <w:szCs w:val="18"/>
              </w:rPr>
              <w:t>Étape du FIP</w:t>
            </w:r>
          </w:p>
        </w:tc>
        <w:tc>
          <w:tcPr>
            <w:tcW w:w="1477" w:type="dxa"/>
            <w:gridSpan w:val="2"/>
          </w:tcPr>
          <w:p w14:paraId="2BAAE8FA" w14:textId="77777777" w:rsidR="00601D9B" w:rsidRDefault="000E53A0">
            <w:pPr>
              <w:jc w:val="center"/>
              <w:rPr>
                <w:rFonts w:cstheme="minorHAnsi"/>
                <w:sz w:val="18"/>
                <w:szCs w:val="18"/>
              </w:rPr>
            </w:pPr>
            <w:r w:rsidRPr="007F5638">
              <w:rPr>
                <w:rFonts w:cstheme="minorHAnsi"/>
                <w:sz w:val="18"/>
                <w:szCs w:val="18"/>
              </w:rPr>
              <w:t>Endossement</w:t>
            </w:r>
          </w:p>
        </w:tc>
        <w:tc>
          <w:tcPr>
            <w:tcW w:w="1306" w:type="dxa"/>
          </w:tcPr>
          <w:p w14:paraId="56B894FD" w14:textId="77777777" w:rsidR="00601D9B" w:rsidRDefault="000E53A0">
            <w:pPr>
              <w:jc w:val="center"/>
              <w:rPr>
                <w:rFonts w:cstheme="minorHAnsi"/>
                <w:sz w:val="18"/>
                <w:szCs w:val="18"/>
              </w:rPr>
            </w:pPr>
            <w:r w:rsidRPr="007F5638">
              <w:rPr>
                <w:rFonts w:cstheme="minorHAnsi"/>
                <w:sz w:val="18"/>
                <w:szCs w:val="18"/>
              </w:rPr>
              <w:t>MTR</w:t>
            </w:r>
          </w:p>
        </w:tc>
        <w:tc>
          <w:tcPr>
            <w:tcW w:w="1287" w:type="dxa"/>
          </w:tcPr>
          <w:p w14:paraId="02388368" w14:textId="77777777" w:rsidR="00601D9B" w:rsidRDefault="000E53A0">
            <w:pPr>
              <w:jc w:val="center"/>
              <w:rPr>
                <w:rFonts w:cstheme="minorHAnsi"/>
                <w:sz w:val="18"/>
                <w:szCs w:val="18"/>
              </w:rPr>
            </w:pPr>
            <w:r w:rsidRPr="007F5638">
              <w:rPr>
                <w:rFonts w:cstheme="minorHAnsi"/>
                <w:sz w:val="18"/>
                <w:szCs w:val="18"/>
              </w:rPr>
              <w:t>TE</w:t>
            </w:r>
          </w:p>
        </w:tc>
      </w:tr>
      <w:tr w:rsidR="007F5638" w:rsidRPr="007F5638" w14:paraId="33A8B945" w14:textId="77777777" w:rsidTr="001A7B9D">
        <w:tc>
          <w:tcPr>
            <w:tcW w:w="1298" w:type="dxa"/>
          </w:tcPr>
          <w:p w14:paraId="5CBBE4F7" w14:textId="77777777" w:rsidR="007F5638" w:rsidRPr="007F5638" w:rsidRDefault="007F5638" w:rsidP="007F5638">
            <w:pPr>
              <w:jc w:val="right"/>
              <w:rPr>
                <w:rFonts w:cstheme="minorHAnsi"/>
                <w:sz w:val="18"/>
                <w:szCs w:val="18"/>
              </w:rPr>
            </w:pPr>
          </w:p>
        </w:tc>
        <w:tc>
          <w:tcPr>
            <w:tcW w:w="933" w:type="dxa"/>
          </w:tcPr>
          <w:p w14:paraId="2F4BCD98" w14:textId="77777777" w:rsidR="007F5638" w:rsidRPr="007F5638" w:rsidRDefault="007F5638" w:rsidP="007F5638">
            <w:pPr>
              <w:jc w:val="right"/>
              <w:rPr>
                <w:rFonts w:cstheme="minorHAnsi"/>
                <w:sz w:val="18"/>
                <w:szCs w:val="18"/>
              </w:rPr>
            </w:pPr>
          </w:p>
        </w:tc>
        <w:tc>
          <w:tcPr>
            <w:tcW w:w="1748" w:type="dxa"/>
            <w:gridSpan w:val="4"/>
          </w:tcPr>
          <w:p w14:paraId="0A1B0F59"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323" w:type="dxa"/>
            <w:gridSpan w:val="2"/>
          </w:tcPr>
          <w:p w14:paraId="4B28759D"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477" w:type="dxa"/>
            <w:gridSpan w:val="2"/>
          </w:tcPr>
          <w:p w14:paraId="6A34EF49"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306" w:type="dxa"/>
          </w:tcPr>
          <w:p w14:paraId="0BCCA8E7"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287" w:type="dxa"/>
          </w:tcPr>
          <w:p w14:paraId="4578502D"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r>
      <w:tr w:rsidR="007F5638" w:rsidRPr="007F5638" w14:paraId="7CDDB72A" w14:textId="77777777" w:rsidTr="001A7B9D">
        <w:tc>
          <w:tcPr>
            <w:tcW w:w="1298" w:type="dxa"/>
          </w:tcPr>
          <w:p w14:paraId="6AD86D9F" w14:textId="77777777" w:rsidR="007F5638" w:rsidRPr="007F5638" w:rsidRDefault="007F5638" w:rsidP="007F5638">
            <w:pPr>
              <w:jc w:val="right"/>
              <w:rPr>
                <w:rFonts w:cstheme="minorHAnsi"/>
                <w:sz w:val="18"/>
                <w:szCs w:val="18"/>
              </w:rPr>
            </w:pPr>
          </w:p>
        </w:tc>
        <w:tc>
          <w:tcPr>
            <w:tcW w:w="933" w:type="dxa"/>
          </w:tcPr>
          <w:p w14:paraId="0BF259A3" w14:textId="77777777" w:rsidR="007F5638" w:rsidRPr="007F5638" w:rsidRDefault="007F5638" w:rsidP="007F5638">
            <w:pPr>
              <w:jc w:val="right"/>
              <w:rPr>
                <w:rFonts w:cstheme="minorHAnsi"/>
                <w:sz w:val="18"/>
                <w:szCs w:val="18"/>
              </w:rPr>
            </w:pPr>
          </w:p>
        </w:tc>
        <w:tc>
          <w:tcPr>
            <w:tcW w:w="1748" w:type="dxa"/>
            <w:gridSpan w:val="4"/>
          </w:tcPr>
          <w:p w14:paraId="6B6572D7"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323" w:type="dxa"/>
            <w:gridSpan w:val="2"/>
          </w:tcPr>
          <w:p w14:paraId="2DF39DE3"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477" w:type="dxa"/>
            <w:gridSpan w:val="2"/>
          </w:tcPr>
          <w:p w14:paraId="75FCEA00"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306" w:type="dxa"/>
          </w:tcPr>
          <w:p w14:paraId="02A9E85B"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287" w:type="dxa"/>
          </w:tcPr>
          <w:p w14:paraId="4B43A354"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r>
      <w:tr w:rsidR="007F5638" w:rsidRPr="007F5638" w14:paraId="4B953E19" w14:textId="77777777" w:rsidTr="001A7B9D">
        <w:tc>
          <w:tcPr>
            <w:tcW w:w="1298" w:type="dxa"/>
            <w:shd w:val="clear" w:color="auto" w:fill="BFBFBF" w:themeFill="background1" w:themeFillShade="BF"/>
          </w:tcPr>
          <w:p w14:paraId="60C8BB72" w14:textId="77777777" w:rsidR="00601D9B" w:rsidRDefault="000E53A0">
            <w:pPr>
              <w:rPr>
                <w:rFonts w:cstheme="minorHAnsi"/>
                <w:sz w:val="18"/>
                <w:szCs w:val="18"/>
              </w:rPr>
            </w:pPr>
            <w:r w:rsidRPr="007F5638">
              <w:rPr>
                <w:rFonts w:cstheme="minorHAnsi"/>
                <w:sz w:val="18"/>
                <w:szCs w:val="18"/>
              </w:rPr>
              <w:t>Indicateur 7.2</w:t>
            </w:r>
          </w:p>
        </w:tc>
        <w:tc>
          <w:tcPr>
            <w:tcW w:w="6787" w:type="dxa"/>
            <w:gridSpan w:val="10"/>
            <w:shd w:val="clear" w:color="auto" w:fill="BFBFBF" w:themeFill="background1" w:themeFillShade="BF"/>
          </w:tcPr>
          <w:p w14:paraId="0FCBE18E" w14:textId="77777777" w:rsidR="00601D9B" w:rsidRPr="000E53A0" w:rsidRDefault="000E53A0">
            <w:pPr>
              <w:rPr>
                <w:rFonts w:cstheme="minorHAnsi"/>
                <w:sz w:val="18"/>
                <w:szCs w:val="18"/>
                <w:lang w:val="fr-FR"/>
              </w:rPr>
            </w:pPr>
            <w:r w:rsidRPr="000E53A0">
              <w:rPr>
                <w:rFonts w:cstheme="minorHAnsi"/>
                <w:sz w:val="18"/>
                <w:szCs w:val="18"/>
                <w:lang w:val="fr-FR"/>
              </w:rPr>
              <w:t>Niveau des accords juridiques régionaux et des institutions de gestion régionales pour soutenir sa mise en œuvre</w:t>
            </w:r>
          </w:p>
        </w:tc>
        <w:tc>
          <w:tcPr>
            <w:tcW w:w="1287" w:type="dxa"/>
            <w:shd w:val="clear" w:color="auto" w:fill="BFBFBF" w:themeFill="background1" w:themeFillShade="BF"/>
          </w:tcPr>
          <w:p w14:paraId="1B98AF99"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r>
      <w:tr w:rsidR="007F5638" w:rsidRPr="007F5638" w14:paraId="7F71305A" w14:textId="77777777" w:rsidTr="001A7B9D">
        <w:trPr>
          <w:trHeight w:val="125"/>
        </w:trPr>
        <w:tc>
          <w:tcPr>
            <w:tcW w:w="1298" w:type="dxa"/>
            <w:vMerge w:val="restart"/>
          </w:tcPr>
          <w:p w14:paraId="377C23CB" w14:textId="77777777" w:rsidR="007F5638" w:rsidRPr="007F5638" w:rsidRDefault="007F5638" w:rsidP="007F5638">
            <w:pPr>
              <w:rPr>
                <w:rFonts w:cstheme="minorHAnsi"/>
                <w:sz w:val="18"/>
                <w:szCs w:val="18"/>
              </w:rPr>
            </w:pPr>
          </w:p>
        </w:tc>
        <w:tc>
          <w:tcPr>
            <w:tcW w:w="933" w:type="dxa"/>
            <w:vMerge w:val="restart"/>
          </w:tcPr>
          <w:p w14:paraId="3075ED00" w14:textId="77777777" w:rsidR="007F5638" w:rsidRPr="007F5638" w:rsidRDefault="007F5638" w:rsidP="007F5638">
            <w:pPr>
              <w:rPr>
                <w:rFonts w:cstheme="minorHAnsi"/>
                <w:sz w:val="18"/>
                <w:szCs w:val="18"/>
              </w:rPr>
            </w:pPr>
          </w:p>
        </w:tc>
        <w:tc>
          <w:tcPr>
            <w:tcW w:w="1748" w:type="dxa"/>
            <w:gridSpan w:val="4"/>
            <w:vMerge w:val="restart"/>
          </w:tcPr>
          <w:p w14:paraId="3711F311" w14:textId="77777777" w:rsidR="00601D9B" w:rsidRDefault="000E53A0">
            <w:pPr>
              <w:rPr>
                <w:rFonts w:cstheme="minorHAnsi"/>
                <w:sz w:val="18"/>
                <w:szCs w:val="18"/>
              </w:rPr>
            </w:pPr>
            <w:r w:rsidRPr="007F5638">
              <w:rPr>
                <w:rFonts w:cstheme="minorHAnsi"/>
                <w:sz w:val="18"/>
                <w:szCs w:val="18"/>
              </w:rPr>
              <w:t>Écosystème partagé de l'eau</w:t>
            </w:r>
          </w:p>
        </w:tc>
        <w:tc>
          <w:tcPr>
            <w:tcW w:w="5393" w:type="dxa"/>
            <w:gridSpan w:val="6"/>
          </w:tcPr>
          <w:p w14:paraId="46A69364" w14:textId="77777777" w:rsidR="00601D9B" w:rsidRDefault="000E53A0">
            <w:pPr>
              <w:jc w:val="center"/>
              <w:rPr>
                <w:rFonts w:cstheme="minorHAnsi"/>
                <w:sz w:val="18"/>
                <w:szCs w:val="18"/>
              </w:rPr>
            </w:pPr>
            <w:r w:rsidRPr="007F5638">
              <w:rPr>
                <w:rFonts w:cstheme="minorHAnsi"/>
                <w:sz w:val="18"/>
                <w:szCs w:val="18"/>
              </w:rPr>
              <w:t>Evaluation (échelle 1-4)</w:t>
            </w:r>
          </w:p>
        </w:tc>
      </w:tr>
      <w:tr w:rsidR="007F5638" w:rsidRPr="007F5638" w14:paraId="4DD8C558" w14:textId="77777777" w:rsidTr="001A7B9D">
        <w:trPr>
          <w:trHeight w:val="134"/>
        </w:trPr>
        <w:tc>
          <w:tcPr>
            <w:tcW w:w="1298" w:type="dxa"/>
            <w:vMerge/>
          </w:tcPr>
          <w:p w14:paraId="3458E269" w14:textId="77777777" w:rsidR="007F5638" w:rsidRPr="007F5638" w:rsidRDefault="007F5638" w:rsidP="007F5638">
            <w:pPr>
              <w:rPr>
                <w:rFonts w:cstheme="minorHAnsi"/>
                <w:sz w:val="18"/>
                <w:szCs w:val="18"/>
              </w:rPr>
            </w:pPr>
          </w:p>
        </w:tc>
        <w:tc>
          <w:tcPr>
            <w:tcW w:w="933" w:type="dxa"/>
            <w:vMerge/>
          </w:tcPr>
          <w:p w14:paraId="50F29768" w14:textId="77777777" w:rsidR="007F5638" w:rsidRPr="007F5638" w:rsidRDefault="007F5638" w:rsidP="007F5638">
            <w:pPr>
              <w:rPr>
                <w:rFonts w:cstheme="minorHAnsi"/>
                <w:sz w:val="18"/>
                <w:szCs w:val="18"/>
              </w:rPr>
            </w:pPr>
          </w:p>
        </w:tc>
        <w:tc>
          <w:tcPr>
            <w:tcW w:w="1748" w:type="dxa"/>
            <w:gridSpan w:val="4"/>
            <w:vMerge/>
          </w:tcPr>
          <w:p w14:paraId="05A752A4" w14:textId="77777777" w:rsidR="007F5638" w:rsidRPr="007F5638" w:rsidRDefault="007F5638" w:rsidP="007F5638">
            <w:pPr>
              <w:rPr>
                <w:rFonts w:cstheme="minorHAnsi"/>
                <w:sz w:val="18"/>
                <w:szCs w:val="18"/>
              </w:rPr>
            </w:pPr>
          </w:p>
        </w:tc>
        <w:tc>
          <w:tcPr>
            <w:tcW w:w="1323" w:type="dxa"/>
            <w:gridSpan w:val="2"/>
          </w:tcPr>
          <w:p w14:paraId="7F1A1998" w14:textId="77777777" w:rsidR="00601D9B" w:rsidRDefault="000E53A0">
            <w:pPr>
              <w:jc w:val="center"/>
              <w:rPr>
                <w:rFonts w:cstheme="minorHAnsi"/>
                <w:sz w:val="18"/>
                <w:szCs w:val="18"/>
              </w:rPr>
            </w:pPr>
            <w:r w:rsidRPr="007F5638">
              <w:rPr>
                <w:rFonts w:cstheme="minorHAnsi"/>
                <w:sz w:val="18"/>
                <w:szCs w:val="18"/>
              </w:rPr>
              <w:t>Étape du FIP</w:t>
            </w:r>
          </w:p>
        </w:tc>
        <w:tc>
          <w:tcPr>
            <w:tcW w:w="1477" w:type="dxa"/>
            <w:gridSpan w:val="2"/>
          </w:tcPr>
          <w:p w14:paraId="2754C904" w14:textId="77777777" w:rsidR="00601D9B" w:rsidRDefault="000E53A0">
            <w:pPr>
              <w:jc w:val="center"/>
              <w:rPr>
                <w:rFonts w:cstheme="minorHAnsi"/>
                <w:sz w:val="18"/>
                <w:szCs w:val="18"/>
              </w:rPr>
            </w:pPr>
            <w:r w:rsidRPr="007F5638">
              <w:rPr>
                <w:rFonts w:cstheme="minorHAnsi"/>
                <w:sz w:val="18"/>
                <w:szCs w:val="18"/>
              </w:rPr>
              <w:t>Endossement</w:t>
            </w:r>
          </w:p>
        </w:tc>
        <w:tc>
          <w:tcPr>
            <w:tcW w:w="1306" w:type="dxa"/>
          </w:tcPr>
          <w:p w14:paraId="7AB06E66" w14:textId="77777777" w:rsidR="00601D9B" w:rsidRDefault="000E53A0">
            <w:pPr>
              <w:jc w:val="center"/>
              <w:rPr>
                <w:rFonts w:cstheme="minorHAnsi"/>
                <w:sz w:val="18"/>
                <w:szCs w:val="18"/>
              </w:rPr>
            </w:pPr>
            <w:r w:rsidRPr="007F5638">
              <w:rPr>
                <w:rFonts w:cstheme="minorHAnsi"/>
                <w:sz w:val="18"/>
                <w:szCs w:val="18"/>
              </w:rPr>
              <w:t>MTR</w:t>
            </w:r>
          </w:p>
        </w:tc>
        <w:tc>
          <w:tcPr>
            <w:tcW w:w="1287" w:type="dxa"/>
          </w:tcPr>
          <w:p w14:paraId="5D8837FD" w14:textId="77777777" w:rsidR="00601D9B" w:rsidRDefault="000E53A0">
            <w:pPr>
              <w:jc w:val="center"/>
              <w:rPr>
                <w:rFonts w:cstheme="minorHAnsi"/>
                <w:sz w:val="18"/>
                <w:szCs w:val="18"/>
              </w:rPr>
            </w:pPr>
            <w:r w:rsidRPr="007F5638">
              <w:rPr>
                <w:rFonts w:cstheme="minorHAnsi"/>
                <w:sz w:val="18"/>
                <w:szCs w:val="18"/>
              </w:rPr>
              <w:t>TE</w:t>
            </w:r>
          </w:p>
        </w:tc>
      </w:tr>
      <w:tr w:rsidR="007F5638" w:rsidRPr="007F5638" w14:paraId="34FBB962" w14:textId="77777777" w:rsidTr="001A7B9D">
        <w:tc>
          <w:tcPr>
            <w:tcW w:w="1298" w:type="dxa"/>
          </w:tcPr>
          <w:p w14:paraId="1017920B" w14:textId="77777777" w:rsidR="007F5638" w:rsidRPr="007F5638" w:rsidRDefault="007F5638" w:rsidP="007F5638">
            <w:pPr>
              <w:jc w:val="right"/>
              <w:rPr>
                <w:rFonts w:cstheme="minorHAnsi"/>
                <w:sz w:val="18"/>
                <w:szCs w:val="18"/>
              </w:rPr>
            </w:pPr>
          </w:p>
        </w:tc>
        <w:tc>
          <w:tcPr>
            <w:tcW w:w="933" w:type="dxa"/>
          </w:tcPr>
          <w:p w14:paraId="734A7800" w14:textId="77777777" w:rsidR="007F5638" w:rsidRPr="007F5638" w:rsidRDefault="007F5638" w:rsidP="007F5638">
            <w:pPr>
              <w:jc w:val="right"/>
              <w:rPr>
                <w:rFonts w:cstheme="minorHAnsi"/>
                <w:sz w:val="18"/>
                <w:szCs w:val="18"/>
              </w:rPr>
            </w:pPr>
          </w:p>
        </w:tc>
        <w:tc>
          <w:tcPr>
            <w:tcW w:w="1748" w:type="dxa"/>
            <w:gridSpan w:val="4"/>
          </w:tcPr>
          <w:p w14:paraId="0AEA8732"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323" w:type="dxa"/>
            <w:gridSpan w:val="2"/>
          </w:tcPr>
          <w:p w14:paraId="625151EB"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477" w:type="dxa"/>
            <w:gridSpan w:val="2"/>
          </w:tcPr>
          <w:p w14:paraId="64C08C85"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306" w:type="dxa"/>
          </w:tcPr>
          <w:p w14:paraId="49DBB696"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287" w:type="dxa"/>
          </w:tcPr>
          <w:p w14:paraId="0CF88464"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r>
      <w:tr w:rsidR="007F5638" w:rsidRPr="007F5638" w14:paraId="54274D01" w14:textId="77777777" w:rsidTr="001A7B9D">
        <w:tc>
          <w:tcPr>
            <w:tcW w:w="1298" w:type="dxa"/>
          </w:tcPr>
          <w:p w14:paraId="3803C243" w14:textId="77777777" w:rsidR="007F5638" w:rsidRPr="007F5638" w:rsidRDefault="007F5638" w:rsidP="007F5638">
            <w:pPr>
              <w:jc w:val="right"/>
              <w:rPr>
                <w:rFonts w:cstheme="minorHAnsi"/>
                <w:sz w:val="18"/>
                <w:szCs w:val="18"/>
              </w:rPr>
            </w:pPr>
          </w:p>
        </w:tc>
        <w:tc>
          <w:tcPr>
            <w:tcW w:w="933" w:type="dxa"/>
          </w:tcPr>
          <w:p w14:paraId="03406022" w14:textId="77777777" w:rsidR="007F5638" w:rsidRPr="007F5638" w:rsidRDefault="007F5638" w:rsidP="007F5638">
            <w:pPr>
              <w:jc w:val="right"/>
              <w:rPr>
                <w:rFonts w:cstheme="minorHAnsi"/>
                <w:sz w:val="18"/>
                <w:szCs w:val="18"/>
              </w:rPr>
            </w:pPr>
          </w:p>
        </w:tc>
        <w:tc>
          <w:tcPr>
            <w:tcW w:w="1748" w:type="dxa"/>
            <w:gridSpan w:val="4"/>
          </w:tcPr>
          <w:p w14:paraId="57B49905"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323" w:type="dxa"/>
            <w:gridSpan w:val="2"/>
          </w:tcPr>
          <w:p w14:paraId="465F3627"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477" w:type="dxa"/>
            <w:gridSpan w:val="2"/>
          </w:tcPr>
          <w:p w14:paraId="4DAD3EC6"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306" w:type="dxa"/>
          </w:tcPr>
          <w:p w14:paraId="0A4E0C26"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287" w:type="dxa"/>
          </w:tcPr>
          <w:p w14:paraId="6F34B597"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r>
      <w:tr w:rsidR="007F5638" w:rsidRPr="007F5638" w14:paraId="1E5BB6AB" w14:textId="77777777" w:rsidTr="001A7B9D">
        <w:tc>
          <w:tcPr>
            <w:tcW w:w="1298" w:type="dxa"/>
            <w:shd w:val="clear" w:color="auto" w:fill="BFBFBF" w:themeFill="background1" w:themeFillShade="BF"/>
          </w:tcPr>
          <w:p w14:paraId="02C1EF9E" w14:textId="77777777" w:rsidR="00601D9B" w:rsidRDefault="000E53A0">
            <w:pPr>
              <w:rPr>
                <w:rFonts w:cstheme="minorHAnsi"/>
                <w:sz w:val="18"/>
                <w:szCs w:val="18"/>
              </w:rPr>
            </w:pPr>
            <w:r w:rsidRPr="007F5638">
              <w:rPr>
                <w:rFonts w:cstheme="minorHAnsi"/>
                <w:sz w:val="18"/>
                <w:szCs w:val="18"/>
              </w:rPr>
              <w:t>Indicateur 7.3</w:t>
            </w:r>
          </w:p>
        </w:tc>
        <w:tc>
          <w:tcPr>
            <w:tcW w:w="6787" w:type="dxa"/>
            <w:gridSpan w:val="10"/>
            <w:shd w:val="clear" w:color="auto" w:fill="BFBFBF" w:themeFill="background1" w:themeFillShade="BF"/>
          </w:tcPr>
          <w:p w14:paraId="6512221D" w14:textId="77777777" w:rsidR="00601D9B" w:rsidRPr="000E53A0" w:rsidRDefault="000E53A0">
            <w:pPr>
              <w:rPr>
                <w:rFonts w:cstheme="minorHAnsi"/>
                <w:sz w:val="18"/>
                <w:szCs w:val="18"/>
                <w:lang w:val="fr-FR"/>
              </w:rPr>
            </w:pPr>
            <w:r w:rsidRPr="000E53A0">
              <w:rPr>
                <w:rFonts w:cstheme="minorHAnsi"/>
                <w:sz w:val="18"/>
                <w:szCs w:val="18"/>
                <w:lang w:val="fr-FR"/>
              </w:rPr>
              <w:t>Niveau des réformes nationales/locales et participation active des comités interministériels</w:t>
            </w:r>
          </w:p>
        </w:tc>
        <w:tc>
          <w:tcPr>
            <w:tcW w:w="1287" w:type="dxa"/>
            <w:shd w:val="clear" w:color="auto" w:fill="BFBFBF" w:themeFill="background1" w:themeFillShade="BF"/>
          </w:tcPr>
          <w:p w14:paraId="03B3A8B4"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r>
      <w:tr w:rsidR="007F5638" w:rsidRPr="007F5638" w14:paraId="678FB448" w14:textId="77777777" w:rsidTr="001A7B9D">
        <w:trPr>
          <w:trHeight w:val="179"/>
        </w:trPr>
        <w:tc>
          <w:tcPr>
            <w:tcW w:w="1298" w:type="dxa"/>
            <w:vMerge w:val="restart"/>
          </w:tcPr>
          <w:p w14:paraId="3F7B7738" w14:textId="77777777" w:rsidR="007F5638" w:rsidRPr="007F5638" w:rsidRDefault="007F5638" w:rsidP="007F5638">
            <w:pPr>
              <w:rPr>
                <w:rFonts w:cstheme="minorHAnsi"/>
                <w:sz w:val="18"/>
                <w:szCs w:val="18"/>
              </w:rPr>
            </w:pPr>
          </w:p>
        </w:tc>
        <w:tc>
          <w:tcPr>
            <w:tcW w:w="933" w:type="dxa"/>
            <w:vMerge w:val="restart"/>
          </w:tcPr>
          <w:p w14:paraId="7E99628D" w14:textId="77777777" w:rsidR="007F5638" w:rsidRPr="007F5638" w:rsidRDefault="007F5638" w:rsidP="007F5638">
            <w:pPr>
              <w:rPr>
                <w:rFonts w:cstheme="minorHAnsi"/>
                <w:sz w:val="18"/>
                <w:szCs w:val="18"/>
              </w:rPr>
            </w:pPr>
          </w:p>
        </w:tc>
        <w:tc>
          <w:tcPr>
            <w:tcW w:w="1748" w:type="dxa"/>
            <w:gridSpan w:val="4"/>
            <w:vMerge w:val="restart"/>
          </w:tcPr>
          <w:p w14:paraId="5D66B8CD" w14:textId="77777777" w:rsidR="00601D9B" w:rsidRDefault="000E53A0">
            <w:pPr>
              <w:rPr>
                <w:rFonts w:cstheme="minorHAnsi"/>
                <w:sz w:val="18"/>
                <w:szCs w:val="18"/>
              </w:rPr>
            </w:pPr>
            <w:r w:rsidRPr="007F5638">
              <w:rPr>
                <w:rFonts w:cstheme="minorHAnsi"/>
                <w:sz w:val="18"/>
                <w:szCs w:val="18"/>
              </w:rPr>
              <w:t>Écosystème partagé de l'eau</w:t>
            </w:r>
          </w:p>
        </w:tc>
        <w:tc>
          <w:tcPr>
            <w:tcW w:w="5393" w:type="dxa"/>
            <w:gridSpan w:val="6"/>
          </w:tcPr>
          <w:p w14:paraId="48CC7ACC" w14:textId="77777777" w:rsidR="00601D9B" w:rsidRDefault="000E53A0">
            <w:pPr>
              <w:jc w:val="center"/>
              <w:rPr>
                <w:rFonts w:cstheme="minorHAnsi"/>
                <w:sz w:val="18"/>
                <w:szCs w:val="18"/>
              </w:rPr>
            </w:pPr>
            <w:r w:rsidRPr="007F5638">
              <w:rPr>
                <w:rFonts w:cstheme="minorHAnsi"/>
                <w:sz w:val="18"/>
                <w:szCs w:val="18"/>
              </w:rPr>
              <w:t>Evaluation (échelle 1-4)</w:t>
            </w:r>
          </w:p>
        </w:tc>
      </w:tr>
      <w:tr w:rsidR="007F5638" w:rsidRPr="007F5638" w14:paraId="0DFA16BD" w14:textId="77777777" w:rsidTr="001A7B9D">
        <w:trPr>
          <w:trHeight w:val="62"/>
        </w:trPr>
        <w:tc>
          <w:tcPr>
            <w:tcW w:w="1298" w:type="dxa"/>
            <w:vMerge/>
          </w:tcPr>
          <w:p w14:paraId="0F0415A3" w14:textId="77777777" w:rsidR="007F5638" w:rsidRPr="007F5638" w:rsidRDefault="007F5638" w:rsidP="007F5638">
            <w:pPr>
              <w:rPr>
                <w:rFonts w:cstheme="minorHAnsi"/>
                <w:sz w:val="18"/>
                <w:szCs w:val="18"/>
              </w:rPr>
            </w:pPr>
          </w:p>
        </w:tc>
        <w:tc>
          <w:tcPr>
            <w:tcW w:w="933" w:type="dxa"/>
            <w:vMerge/>
          </w:tcPr>
          <w:p w14:paraId="2ABEBBC6" w14:textId="77777777" w:rsidR="007F5638" w:rsidRPr="007F5638" w:rsidRDefault="007F5638" w:rsidP="007F5638">
            <w:pPr>
              <w:rPr>
                <w:rFonts w:cstheme="minorHAnsi"/>
                <w:sz w:val="18"/>
                <w:szCs w:val="18"/>
              </w:rPr>
            </w:pPr>
          </w:p>
        </w:tc>
        <w:tc>
          <w:tcPr>
            <w:tcW w:w="1748" w:type="dxa"/>
            <w:gridSpan w:val="4"/>
            <w:vMerge/>
          </w:tcPr>
          <w:p w14:paraId="72365F30" w14:textId="77777777" w:rsidR="007F5638" w:rsidRPr="007F5638" w:rsidRDefault="007F5638" w:rsidP="007F5638">
            <w:pPr>
              <w:rPr>
                <w:rFonts w:cstheme="minorHAnsi"/>
                <w:sz w:val="18"/>
                <w:szCs w:val="18"/>
              </w:rPr>
            </w:pPr>
          </w:p>
        </w:tc>
        <w:tc>
          <w:tcPr>
            <w:tcW w:w="1323" w:type="dxa"/>
            <w:gridSpan w:val="2"/>
          </w:tcPr>
          <w:p w14:paraId="2AEEA07C" w14:textId="77777777" w:rsidR="00601D9B" w:rsidRDefault="000E53A0">
            <w:pPr>
              <w:jc w:val="center"/>
              <w:rPr>
                <w:rFonts w:cstheme="minorHAnsi"/>
                <w:sz w:val="18"/>
                <w:szCs w:val="18"/>
              </w:rPr>
            </w:pPr>
            <w:r w:rsidRPr="007F5638">
              <w:rPr>
                <w:rFonts w:cstheme="minorHAnsi"/>
                <w:sz w:val="18"/>
                <w:szCs w:val="18"/>
              </w:rPr>
              <w:t>Étape du FIP</w:t>
            </w:r>
          </w:p>
        </w:tc>
        <w:tc>
          <w:tcPr>
            <w:tcW w:w="1477" w:type="dxa"/>
            <w:gridSpan w:val="2"/>
          </w:tcPr>
          <w:p w14:paraId="1F8F8C31" w14:textId="77777777" w:rsidR="00601D9B" w:rsidRDefault="000E53A0">
            <w:pPr>
              <w:jc w:val="center"/>
              <w:rPr>
                <w:rFonts w:cstheme="minorHAnsi"/>
                <w:sz w:val="18"/>
                <w:szCs w:val="18"/>
              </w:rPr>
            </w:pPr>
            <w:r w:rsidRPr="007F5638">
              <w:rPr>
                <w:rFonts w:cstheme="minorHAnsi"/>
                <w:sz w:val="18"/>
                <w:szCs w:val="18"/>
              </w:rPr>
              <w:t>Endossement</w:t>
            </w:r>
          </w:p>
        </w:tc>
        <w:tc>
          <w:tcPr>
            <w:tcW w:w="1306" w:type="dxa"/>
          </w:tcPr>
          <w:p w14:paraId="6101F0CA" w14:textId="77777777" w:rsidR="00601D9B" w:rsidRDefault="000E53A0">
            <w:pPr>
              <w:jc w:val="center"/>
              <w:rPr>
                <w:rFonts w:cstheme="minorHAnsi"/>
                <w:sz w:val="18"/>
                <w:szCs w:val="18"/>
              </w:rPr>
            </w:pPr>
            <w:r w:rsidRPr="007F5638">
              <w:rPr>
                <w:rFonts w:cstheme="minorHAnsi"/>
                <w:sz w:val="18"/>
                <w:szCs w:val="18"/>
              </w:rPr>
              <w:t>MTR</w:t>
            </w:r>
          </w:p>
        </w:tc>
        <w:tc>
          <w:tcPr>
            <w:tcW w:w="1287" w:type="dxa"/>
          </w:tcPr>
          <w:p w14:paraId="227F700B" w14:textId="77777777" w:rsidR="00601D9B" w:rsidRDefault="000E53A0">
            <w:pPr>
              <w:jc w:val="center"/>
              <w:rPr>
                <w:rFonts w:cstheme="minorHAnsi"/>
                <w:sz w:val="18"/>
                <w:szCs w:val="18"/>
              </w:rPr>
            </w:pPr>
            <w:r w:rsidRPr="007F5638">
              <w:rPr>
                <w:rFonts w:cstheme="minorHAnsi"/>
                <w:sz w:val="18"/>
                <w:szCs w:val="18"/>
              </w:rPr>
              <w:t>TE</w:t>
            </w:r>
          </w:p>
        </w:tc>
      </w:tr>
      <w:tr w:rsidR="007F5638" w:rsidRPr="007F5638" w14:paraId="68DB1DA0" w14:textId="77777777" w:rsidTr="001A7B9D">
        <w:tc>
          <w:tcPr>
            <w:tcW w:w="1298" w:type="dxa"/>
          </w:tcPr>
          <w:p w14:paraId="4E4701BD" w14:textId="77777777" w:rsidR="007F5638" w:rsidRPr="007F5638" w:rsidRDefault="007F5638" w:rsidP="007F5638">
            <w:pPr>
              <w:jc w:val="right"/>
              <w:rPr>
                <w:rFonts w:cstheme="minorHAnsi"/>
                <w:sz w:val="18"/>
                <w:szCs w:val="18"/>
              </w:rPr>
            </w:pPr>
          </w:p>
        </w:tc>
        <w:tc>
          <w:tcPr>
            <w:tcW w:w="933" w:type="dxa"/>
          </w:tcPr>
          <w:p w14:paraId="151A8887" w14:textId="77777777" w:rsidR="007F5638" w:rsidRPr="007F5638" w:rsidRDefault="007F5638" w:rsidP="007F5638">
            <w:pPr>
              <w:jc w:val="right"/>
              <w:rPr>
                <w:rFonts w:cstheme="minorHAnsi"/>
                <w:sz w:val="18"/>
                <w:szCs w:val="18"/>
              </w:rPr>
            </w:pPr>
          </w:p>
        </w:tc>
        <w:tc>
          <w:tcPr>
            <w:tcW w:w="1748" w:type="dxa"/>
            <w:gridSpan w:val="4"/>
          </w:tcPr>
          <w:p w14:paraId="35F466DB" w14:textId="77777777" w:rsidR="007F5638" w:rsidRPr="007F5638" w:rsidRDefault="007F5638" w:rsidP="007F5638">
            <w:pPr>
              <w:jc w:val="right"/>
              <w:rPr>
                <w:rFonts w:cstheme="minorHAnsi"/>
                <w:sz w:val="18"/>
                <w:szCs w:val="18"/>
              </w:rPr>
            </w:pPr>
          </w:p>
        </w:tc>
        <w:tc>
          <w:tcPr>
            <w:tcW w:w="1323" w:type="dxa"/>
            <w:gridSpan w:val="2"/>
          </w:tcPr>
          <w:p w14:paraId="7C1AA1CB"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477" w:type="dxa"/>
            <w:gridSpan w:val="2"/>
          </w:tcPr>
          <w:p w14:paraId="24BDD877"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306" w:type="dxa"/>
          </w:tcPr>
          <w:p w14:paraId="2226207A"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287" w:type="dxa"/>
          </w:tcPr>
          <w:p w14:paraId="2BB8BA98"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r>
      <w:tr w:rsidR="007F5638" w:rsidRPr="007F5638" w14:paraId="2C68CED5" w14:textId="77777777" w:rsidTr="001A7B9D">
        <w:tc>
          <w:tcPr>
            <w:tcW w:w="1298" w:type="dxa"/>
          </w:tcPr>
          <w:p w14:paraId="390C7D1C" w14:textId="77777777" w:rsidR="007F5638" w:rsidRPr="007F5638" w:rsidRDefault="007F5638" w:rsidP="007F5638">
            <w:pPr>
              <w:jc w:val="right"/>
              <w:rPr>
                <w:rFonts w:cstheme="minorHAnsi"/>
                <w:sz w:val="18"/>
                <w:szCs w:val="18"/>
              </w:rPr>
            </w:pPr>
          </w:p>
        </w:tc>
        <w:tc>
          <w:tcPr>
            <w:tcW w:w="933" w:type="dxa"/>
          </w:tcPr>
          <w:p w14:paraId="2F2869EC" w14:textId="77777777" w:rsidR="007F5638" w:rsidRPr="007F5638" w:rsidRDefault="007F5638" w:rsidP="007F5638">
            <w:pPr>
              <w:jc w:val="right"/>
              <w:rPr>
                <w:rFonts w:cstheme="minorHAnsi"/>
                <w:sz w:val="18"/>
                <w:szCs w:val="18"/>
              </w:rPr>
            </w:pPr>
          </w:p>
        </w:tc>
        <w:tc>
          <w:tcPr>
            <w:tcW w:w="1748" w:type="dxa"/>
            <w:gridSpan w:val="4"/>
          </w:tcPr>
          <w:p w14:paraId="3C7458E7" w14:textId="77777777" w:rsidR="007F5638" w:rsidRPr="007F5638" w:rsidRDefault="007F5638" w:rsidP="007F5638">
            <w:pPr>
              <w:jc w:val="right"/>
              <w:rPr>
                <w:rFonts w:cstheme="minorHAnsi"/>
                <w:sz w:val="18"/>
                <w:szCs w:val="18"/>
              </w:rPr>
            </w:pPr>
          </w:p>
        </w:tc>
        <w:tc>
          <w:tcPr>
            <w:tcW w:w="1323" w:type="dxa"/>
            <w:gridSpan w:val="2"/>
          </w:tcPr>
          <w:p w14:paraId="56836B69"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477" w:type="dxa"/>
            <w:gridSpan w:val="2"/>
          </w:tcPr>
          <w:p w14:paraId="0ABC7EA7"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306" w:type="dxa"/>
          </w:tcPr>
          <w:p w14:paraId="7C538888"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287" w:type="dxa"/>
          </w:tcPr>
          <w:p w14:paraId="2BA9CEA1"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r>
      <w:tr w:rsidR="007F5638" w:rsidRPr="007F5638" w14:paraId="1DA75BE6" w14:textId="77777777" w:rsidTr="001A7B9D">
        <w:tc>
          <w:tcPr>
            <w:tcW w:w="1298" w:type="dxa"/>
            <w:shd w:val="clear" w:color="auto" w:fill="BFBFBF" w:themeFill="background1" w:themeFillShade="BF"/>
          </w:tcPr>
          <w:p w14:paraId="4BD37AC6" w14:textId="77777777" w:rsidR="00601D9B" w:rsidRDefault="000E53A0">
            <w:pPr>
              <w:rPr>
                <w:rFonts w:cstheme="minorHAnsi"/>
                <w:sz w:val="18"/>
                <w:szCs w:val="18"/>
              </w:rPr>
            </w:pPr>
            <w:r w:rsidRPr="007F5638">
              <w:rPr>
                <w:rFonts w:cstheme="minorHAnsi"/>
                <w:sz w:val="18"/>
                <w:szCs w:val="18"/>
              </w:rPr>
              <w:t>Indicateur 7.4</w:t>
            </w:r>
          </w:p>
        </w:tc>
        <w:tc>
          <w:tcPr>
            <w:tcW w:w="6787" w:type="dxa"/>
            <w:gridSpan w:val="10"/>
            <w:shd w:val="clear" w:color="auto" w:fill="BFBFBF" w:themeFill="background1" w:themeFillShade="BF"/>
          </w:tcPr>
          <w:p w14:paraId="0B19DD04" w14:textId="77777777" w:rsidR="00601D9B" w:rsidRPr="000E53A0" w:rsidRDefault="000E53A0">
            <w:pPr>
              <w:rPr>
                <w:rFonts w:cstheme="minorHAnsi"/>
                <w:sz w:val="18"/>
                <w:szCs w:val="18"/>
                <w:lang w:val="fr-FR"/>
              </w:rPr>
            </w:pPr>
            <w:r w:rsidRPr="000E53A0">
              <w:rPr>
                <w:rFonts w:cstheme="minorHAnsi"/>
                <w:sz w:val="18"/>
                <w:szCs w:val="18"/>
                <w:lang w:val="fr-FR"/>
              </w:rPr>
              <w:t>Niveau d'engagement dans IWLEARN par la participation et la livraison de produits clés</w:t>
            </w:r>
          </w:p>
        </w:tc>
        <w:tc>
          <w:tcPr>
            <w:tcW w:w="1287" w:type="dxa"/>
            <w:shd w:val="clear" w:color="auto" w:fill="BFBFBF" w:themeFill="background1" w:themeFillShade="BF"/>
          </w:tcPr>
          <w:p w14:paraId="7A40A92F"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r>
      <w:tr w:rsidR="007F5638" w:rsidRPr="007F5638" w14:paraId="390ECB8E" w14:textId="77777777" w:rsidTr="001A7B9D">
        <w:trPr>
          <w:trHeight w:val="125"/>
        </w:trPr>
        <w:tc>
          <w:tcPr>
            <w:tcW w:w="1298" w:type="dxa"/>
            <w:vMerge w:val="restart"/>
          </w:tcPr>
          <w:p w14:paraId="387D48B8" w14:textId="77777777" w:rsidR="007F5638" w:rsidRPr="007F5638" w:rsidRDefault="007F5638" w:rsidP="007F5638">
            <w:pPr>
              <w:rPr>
                <w:rFonts w:cstheme="minorHAnsi"/>
                <w:sz w:val="18"/>
                <w:szCs w:val="18"/>
              </w:rPr>
            </w:pPr>
          </w:p>
        </w:tc>
        <w:tc>
          <w:tcPr>
            <w:tcW w:w="933" w:type="dxa"/>
            <w:vMerge w:val="restart"/>
          </w:tcPr>
          <w:p w14:paraId="395B7D3B" w14:textId="77777777" w:rsidR="007F5638" w:rsidRPr="007F5638" w:rsidRDefault="007F5638" w:rsidP="007F5638">
            <w:pPr>
              <w:rPr>
                <w:rFonts w:cstheme="minorHAnsi"/>
                <w:sz w:val="18"/>
                <w:szCs w:val="18"/>
              </w:rPr>
            </w:pPr>
          </w:p>
        </w:tc>
        <w:tc>
          <w:tcPr>
            <w:tcW w:w="1748" w:type="dxa"/>
            <w:gridSpan w:val="4"/>
            <w:vMerge w:val="restart"/>
            <w:vAlign w:val="center"/>
          </w:tcPr>
          <w:p w14:paraId="05E017BB" w14:textId="77777777" w:rsidR="00601D9B" w:rsidRDefault="000E53A0">
            <w:pPr>
              <w:rPr>
                <w:rFonts w:cstheme="minorHAnsi"/>
                <w:sz w:val="18"/>
                <w:szCs w:val="18"/>
              </w:rPr>
            </w:pPr>
            <w:r w:rsidRPr="007F5638">
              <w:rPr>
                <w:rFonts w:cstheme="minorHAnsi"/>
                <w:sz w:val="18"/>
                <w:szCs w:val="18"/>
              </w:rPr>
              <w:t>Écosystème partagé de l'eau</w:t>
            </w:r>
          </w:p>
        </w:tc>
        <w:tc>
          <w:tcPr>
            <w:tcW w:w="5393" w:type="dxa"/>
            <w:gridSpan w:val="6"/>
          </w:tcPr>
          <w:p w14:paraId="00FB0581" w14:textId="77777777" w:rsidR="00601D9B" w:rsidRDefault="000E53A0">
            <w:pPr>
              <w:jc w:val="center"/>
              <w:rPr>
                <w:rFonts w:cstheme="minorHAnsi"/>
                <w:sz w:val="18"/>
                <w:szCs w:val="18"/>
              </w:rPr>
            </w:pPr>
            <w:r w:rsidRPr="007F5638">
              <w:rPr>
                <w:rFonts w:cstheme="minorHAnsi"/>
                <w:sz w:val="18"/>
                <w:szCs w:val="18"/>
              </w:rPr>
              <w:t>Evaluation (échelle 1-4)</w:t>
            </w:r>
          </w:p>
        </w:tc>
      </w:tr>
      <w:tr w:rsidR="007F5638" w:rsidRPr="007F5638" w14:paraId="0C468CC8" w14:textId="77777777" w:rsidTr="001A7B9D">
        <w:trPr>
          <w:trHeight w:val="58"/>
        </w:trPr>
        <w:tc>
          <w:tcPr>
            <w:tcW w:w="1298" w:type="dxa"/>
            <w:vMerge/>
          </w:tcPr>
          <w:p w14:paraId="07A3C814" w14:textId="77777777" w:rsidR="007F5638" w:rsidRPr="007F5638" w:rsidRDefault="007F5638" w:rsidP="007F5638">
            <w:pPr>
              <w:rPr>
                <w:rFonts w:cstheme="minorHAnsi"/>
                <w:sz w:val="18"/>
                <w:szCs w:val="18"/>
              </w:rPr>
            </w:pPr>
          </w:p>
        </w:tc>
        <w:tc>
          <w:tcPr>
            <w:tcW w:w="933" w:type="dxa"/>
            <w:vMerge/>
          </w:tcPr>
          <w:p w14:paraId="313F5CC4" w14:textId="77777777" w:rsidR="007F5638" w:rsidRPr="007F5638" w:rsidRDefault="007F5638" w:rsidP="007F5638">
            <w:pPr>
              <w:rPr>
                <w:rFonts w:cstheme="minorHAnsi"/>
                <w:sz w:val="18"/>
                <w:szCs w:val="18"/>
              </w:rPr>
            </w:pPr>
          </w:p>
        </w:tc>
        <w:tc>
          <w:tcPr>
            <w:tcW w:w="1748" w:type="dxa"/>
            <w:gridSpan w:val="4"/>
            <w:vMerge/>
          </w:tcPr>
          <w:p w14:paraId="66D69934" w14:textId="77777777" w:rsidR="007F5638" w:rsidRPr="007F5638" w:rsidRDefault="007F5638" w:rsidP="007F5638">
            <w:pPr>
              <w:rPr>
                <w:rFonts w:cstheme="minorHAnsi"/>
                <w:sz w:val="18"/>
                <w:szCs w:val="18"/>
              </w:rPr>
            </w:pPr>
          </w:p>
        </w:tc>
        <w:tc>
          <w:tcPr>
            <w:tcW w:w="2800" w:type="dxa"/>
            <w:gridSpan w:val="4"/>
          </w:tcPr>
          <w:p w14:paraId="51C03D1A" w14:textId="77777777" w:rsidR="00601D9B" w:rsidRDefault="000E53A0">
            <w:pPr>
              <w:jc w:val="center"/>
              <w:rPr>
                <w:rFonts w:cstheme="minorHAnsi"/>
                <w:sz w:val="18"/>
                <w:szCs w:val="18"/>
              </w:rPr>
            </w:pPr>
            <w:r w:rsidRPr="007F5638">
              <w:rPr>
                <w:rFonts w:cstheme="minorHAnsi"/>
                <w:sz w:val="18"/>
                <w:szCs w:val="18"/>
              </w:rPr>
              <w:t>Classement</w:t>
            </w:r>
          </w:p>
        </w:tc>
        <w:tc>
          <w:tcPr>
            <w:tcW w:w="2593" w:type="dxa"/>
            <w:gridSpan w:val="2"/>
          </w:tcPr>
          <w:p w14:paraId="56F4E6C9" w14:textId="77777777" w:rsidR="00601D9B" w:rsidRDefault="000E53A0">
            <w:pPr>
              <w:jc w:val="center"/>
              <w:rPr>
                <w:rFonts w:cstheme="minorHAnsi"/>
                <w:sz w:val="18"/>
                <w:szCs w:val="18"/>
              </w:rPr>
            </w:pPr>
            <w:r w:rsidRPr="007F5638">
              <w:rPr>
                <w:rFonts w:cstheme="minorHAnsi"/>
                <w:sz w:val="18"/>
                <w:szCs w:val="18"/>
              </w:rPr>
              <w:t>Classement</w:t>
            </w:r>
          </w:p>
        </w:tc>
      </w:tr>
      <w:tr w:rsidR="007F5638" w:rsidRPr="007F5638" w14:paraId="1683CA1D" w14:textId="77777777" w:rsidTr="001A7B9D">
        <w:trPr>
          <w:trHeight w:val="197"/>
        </w:trPr>
        <w:tc>
          <w:tcPr>
            <w:tcW w:w="1298" w:type="dxa"/>
            <w:vMerge/>
          </w:tcPr>
          <w:p w14:paraId="09938D61" w14:textId="77777777" w:rsidR="007F5638" w:rsidRPr="007F5638" w:rsidRDefault="007F5638" w:rsidP="007F5638">
            <w:pPr>
              <w:rPr>
                <w:rFonts w:cstheme="minorHAnsi"/>
                <w:sz w:val="18"/>
                <w:szCs w:val="18"/>
              </w:rPr>
            </w:pPr>
          </w:p>
        </w:tc>
        <w:tc>
          <w:tcPr>
            <w:tcW w:w="933" w:type="dxa"/>
            <w:vMerge/>
          </w:tcPr>
          <w:p w14:paraId="7CA388F8" w14:textId="77777777" w:rsidR="007F5638" w:rsidRPr="007F5638" w:rsidRDefault="007F5638" w:rsidP="007F5638">
            <w:pPr>
              <w:rPr>
                <w:rFonts w:cstheme="minorHAnsi"/>
                <w:sz w:val="18"/>
                <w:szCs w:val="18"/>
              </w:rPr>
            </w:pPr>
          </w:p>
        </w:tc>
        <w:tc>
          <w:tcPr>
            <w:tcW w:w="1748" w:type="dxa"/>
            <w:gridSpan w:val="4"/>
            <w:vMerge/>
          </w:tcPr>
          <w:p w14:paraId="28CA7DEB" w14:textId="77777777" w:rsidR="007F5638" w:rsidRPr="007F5638" w:rsidRDefault="007F5638" w:rsidP="007F5638">
            <w:pPr>
              <w:rPr>
                <w:rFonts w:cstheme="minorHAnsi"/>
                <w:sz w:val="18"/>
                <w:szCs w:val="18"/>
              </w:rPr>
            </w:pPr>
          </w:p>
        </w:tc>
        <w:tc>
          <w:tcPr>
            <w:tcW w:w="1323" w:type="dxa"/>
            <w:gridSpan w:val="2"/>
          </w:tcPr>
          <w:p w14:paraId="7B4D6288" w14:textId="77777777" w:rsidR="00601D9B" w:rsidRDefault="000E53A0">
            <w:pPr>
              <w:jc w:val="center"/>
              <w:rPr>
                <w:rFonts w:cstheme="minorHAnsi"/>
                <w:sz w:val="18"/>
                <w:szCs w:val="18"/>
              </w:rPr>
            </w:pPr>
            <w:r w:rsidRPr="007F5638">
              <w:rPr>
                <w:rFonts w:cstheme="minorHAnsi"/>
                <w:sz w:val="18"/>
                <w:szCs w:val="18"/>
              </w:rPr>
              <w:t>Étape du FIP</w:t>
            </w:r>
          </w:p>
        </w:tc>
        <w:tc>
          <w:tcPr>
            <w:tcW w:w="1477" w:type="dxa"/>
            <w:gridSpan w:val="2"/>
          </w:tcPr>
          <w:p w14:paraId="62C9E427" w14:textId="77777777" w:rsidR="00601D9B" w:rsidRDefault="000E53A0">
            <w:pPr>
              <w:jc w:val="center"/>
              <w:rPr>
                <w:rFonts w:cstheme="minorHAnsi"/>
                <w:sz w:val="18"/>
                <w:szCs w:val="18"/>
              </w:rPr>
            </w:pPr>
            <w:r w:rsidRPr="007F5638">
              <w:rPr>
                <w:rFonts w:cstheme="minorHAnsi"/>
                <w:sz w:val="18"/>
                <w:szCs w:val="18"/>
              </w:rPr>
              <w:t>Endossement</w:t>
            </w:r>
          </w:p>
        </w:tc>
        <w:tc>
          <w:tcPr>
            <w:tcW w:w="1306" w:type="dxa"/>
          </w:tcPr>
          <w:p w14:paraId="7642A9F8" w14:textId="77777777" w:rsidR="00601D9B" w:rsidRDefault="000E53A0">
            <w:pPr>
              <w:jc w:val="center"/>
              <w:rPr>
                <w:rFonts w:cstheme="minorHAnsi"/>
                <w:sz w:val="18"/>
                <w:szCs w:val="18"/>
              </w:rPr>
            </w:pPr>
            <w:r w:rsidRPr="007F5638">
              <w:rPr>
                <w:rFonts w:cstheme="minorHAnsi"/>
                <w:sz w:val="18"/>
                <w:szCs w:val="18"/>
              </w:rPr>
              <w:t>MTR</w:t>
            </w:r>
          </w:p>
        </w:tc>
        <w:tc>
          <w:tcPr>
            <w:tcW w:w="1287" w:type="dxa"/>
          </w:tcPr>
          <w:p w14:paraId="767F8E52" w14:textId="77777777" w:rsidR="00601D9B" w:rsidRDefault="000E53A0">
            <w:pPr>
              <w:jc w:val="center"/>
              <w:rPr>
                <w:rFonts w:cstheme="minorHAnsi"/>
                <w:sz w:val="18"/>
                <w:szCs w:val="18"/>
              </w:rPr>
            </w:pPr>
            <w:r w:rsidRPr="007F5638">
              <w:rPr>
                <w:rFonts w:cstheme="minorHAnsi"/>
                <w:sz w:val="18"/>
                <w:szCs w:val="18"/>
              </w:rPr>
              <w:t>TE</w:t>
            </w:r>
          </w:p>
        </w:tc>
      </w:tr>
      <w:tr w:rsidR="007F5638" w:rsidRPr="007F5638" w14:paraId="7E60831F" w14:textId="77777777" w:rsidTr="001A7B9D">
        <w:tc>
          <w:tcPr>
            <w:tcW w:w="1298" w:type="dxa"/>
          </w:tcPr>
          <w:p w14:paraId="58ED8AC8" w14:textId="77777777" w:rsidR="007F5638" w:rsidRPr="007F5638" w:rsidRDefault="007F5638" w:rsidP="007F5638">
            <w:pPr>
              <w:jc w:val="right"/>
              <w:rPr>
                <w:rFonts w:cstheme="minorHAnsi"/>
                <w:sz w:val="18"/>
                <w:szCs w:val="18"/>
              </w:rPr>
            </w:pPr>
          </w:p>
        </w:tc>
        <w:tc>
          <w:tcPr>
            <w:tcW w:w="933" w:type="dxa"/>
          </w:tcPr>
          <w:p w14:paraId="2BF2091A" w14:textId="77777777" w:rsidR="007F5638" w:rsidRPr="007F5638" w:rsidRDefault="007F5638" w:rsidP="007F5638">
            <w:pPr>
              <w:jc w:val="right"/>
              <w:rPr>
                <w:rFonts w:cstheme="minorHAnsi"/>
                <w:sz w:val="18"/>
                <w:szCs w:val="18"/>
              </w:rPr>
            </w:pPr>
          </w:p>
        </w:tc>
        <w:tc>
          <w:tcPr>
            <w:tcW w:w="1748" w:type="dxa"/>
            <w:gridSpan w:val="4"/>
          </w:tcPr>
          <w:p w14:paraId="7F53FA3E"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323" w:type="dxa"/>
            <w:gridSpan w:val="2"/>
          </w:tcPr>
          <w:p w14:paraId="53B40785"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477" w:type="dxa"/>
            <w:gridSpan w:val="2"/>
          </w:tcPr>
          <w:p w14:paraId="3C9161D8"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306" w:type="dxa"/>
          </w:tcPr>
          <w:p w14:paraId="30635DDB"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287" w:type="dxa"/>
          </w:tcPr>
          <w:p w14:paraId="6F1471D9"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r>
      <w:tr w:rsidR="007F5638" w:rsidRPr="007F5638" w14:paraId="4E49A2AC" w14:textId="77777777" w:rsidTr="001A7B9D">
        <w:tc>
          <w:tcPr>
            <w:tcW w:w="1298" w:type="dxa"/>
          </w:tcPr>
          <w:p w14:paraId="57932EAD" w14:textId="77777777" w:rsidR="007F5638" w:rsidRPr="007F5638" w:rsidRDefault="007F5638" w:rsidP="007F5638">
            <w:pPr>
              <w:jc w:val="right"/>
              <w:rPr>
                <w:rFonts w:cstheme="minorHAnsi"/>
                <w:sz w:val="18"/>
                <w:szCs w:val="18"/>
              </w:rPr>
            </w:pPr>
          </w:p>
        </w:tc>
        <w:tc>
          <w:tcPr>
            <w:tcW w:w="933" w:type="dxa"/>
          </w:tcPr>
          <w:p w14:paraId="44728AC6" w14:textId="77777777" w:rsidR="007F5638" w:rsidRPr="007F5638" w:rsidRDefault="007F5638" w:rsidP="007F5638">
            <w:pPr>
              <w:jc w:val="right"/>
              <w:rPr>
                <w:rFonts w:cstheme="minorHAnsi"/>
                <w:sz w:val="18"/>
                <w:szCs w:val="18"/>
              </w:rPr>
            </w:pPr>
          </w:p>
        </w:tc>
        <w:tc>
          <w:tcPr>
            <w:tcW w:w="1748" w:type="dxa"/>
            <w:gridSpan w:val="4"/>
          </w:tcPr>
          <w:p w14:paraId="7942A54B"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323" w:type="dxa"/>
            <w:gridSpan w:val="2"/>
          </w:tcPr>
          <w:p w14:paraId="0CCC2682"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477" w:type="dxa"/>
            <w:gridSpan w:val="2"/>
          </w:tcPr>
          <w:p w14:paraId="0EEE113C"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306" w:type="dxa"/>
          </w:tcPr>
          <w:p w14:paraId="5E17F3A0"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287" w:type="dxa"/>
          </w:tcPr>
          <w:p w14:paraId="57EA303E"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r>
      <w:tr w:rsidR="007F5638" w:rsidRPr="007F5638" w14:paraId="0938891B" w14:textId="77777777" w:rsidTr="001A7B9D">
        <w:tc>
          <w:tcPr>
            <w:tcW w:w="1298" w:type="dxa"/>
            <w:shd w:val="clear" w:color="auto" w:fill="D9D9D9" w:themeFill="background1" w:themeFillShade="D9"/>
          </w:tcPr>
          <w:p w14:paraId="79F28CC1" w14:textId="77777777" w:rsidR="00601D9B" w:rsidRDefault="000E53A0">
            <w:pPr>
              <w:rPr>
                <w:rFonts w:cstheme="minorHAnsi"/>
                <w:b/>
                <w:sz w:val="18"/>
                <w:szCs w:val="18"/>
              </w:rPr>
            </w:pPr>
            <w:r w:rsidRPr="007F5638">
              <w:rPr>
                <w:rFonts w:cstheme="minorHAnsi"/>
                <w:b/>
                <w:sz w:val="18"/>
                <w:szCs w:val="18"/>
              </w:rPr>
              <w:t>Indicateur de base 8</w:t>
            </w:r>
          </w:p>
        </w:tc>
        <w:tc>
          <w:tcPr>
            <w:tcW w:w="6787" w:type="dxa"/>
            <w:gridSpan w:val="10"/>
            <w:shd w:val="clear" w:color="auto" w:fill="D9D9D9" w:themeFill="background1" w:themeFillShade="D9"/>
          </w:tcPr>
          <w:p w14:paraId="690EB402" w14:textId="77777777" w:rsidR="00601D9B" w:rsidRPr="000E53A0" w:rsidRDefault="000E53A0">
            <w:pPr>
              <w:rPr>
                <w:rFonts w:cstheme="minorHAnsi"/>
                <w:b/>
                <w:sz w:val="18"/>
                <w:szCs w:val="18"/>
                <w:lang w:val="fr-FR"/>
              </w:rPr>
            </w:pPr>
            <w:r w:rsidRPr="000E53A0">
              <w:rPr>
                <w:rFonts w:cstheme="minorHAnsi"/>
                <w:b/>
                <w:sz w:val="18"/>
                <w:szCs w:val="18"/>
                <w:lang w:val="fr-FR"/>
              </w:rPr>
              <w:t>Pêcheries mondialement surexploitées Ramenées à des niveaux plus durables</w:t>
            </w:r>
          </w:p>
        </w:tc>
        <w:tc>
          <w:tcPr>
            <w:tcW w:w="1287" w:type="dxa"/>
            <w:shd w:val="clear" w:color="auto" w:fill="D9D9D9" w:themeFill="background1" w:themeFillShade="D9"/>
          </w:tcPr>
          <w:p w14:paraId="741CA024" w14:textId="77777777" w:rsidR="00601D9B" w:rsidRDefault="000E53A0">
            <w:pPr>
              <w:jc w:val="right"/>
              <w:rPr>
                <w:rFonts w:cstheme="minorHAnsi"/>
                <w:b/>
                <w:sz w:val="18"/>
                <w:szCs w:val="18"/>
              </w:rPr>
            </w:pPr>
            <w:r w:rsidRPr="007F5638">
              <w:rPr>
                <w:rFonts w:cstheme="minorHAnsi"/>
                <w:b/>
                <w:i/>
                <w:color w:val="000000"/>
                <w:sz w:val="18"/>
                <w:szCs w:val="18"/>
              </w:rPr>
              <w:fldChar w:fldCharType="begin">
                <w:ffData>
                  <w:name w:val=""/>
                  <w:enabled/>
                  <w:calcOnExit w:val="0"/>
                  <w:textInput>
                    <w:default w:val="(Tons)"/>
                  </w:textInput>
                </w:ffData>
              </w:fldChar>
            </w:r>
            <w:r w:rsidRPr="007F5638">
              <w:rPr>
                <w:rFonts w:cstheme="minorHAnsi"/>
                <w:b/>
                <w:i/>
                <w:color w:val="000000"/>
                <w:sz w:val="18"/>
                <w:szCs w:val="18"/>
              </w:rPr>
              <w:instrText xml:space="preserve"> FORMTEXT </w:instrText>
            </w:r>
            <w:r w:rsidRPr="007F5638">
              <w:rPr>
                <w:rFonts w:cstheme="minorHAnsi"/>
                <w:b/>
                <w:i/>
                <w:color w:val="000000"/>
                <w:sz w:val="18"/>
                <w:szCs w:val="18"/>
              </w:rPr>
            </w:r>
            <w:r w:rsidRPr="007F5638">
              <w:rPr>
                <w:rFonts w:cstheme="minorHAnsi"/>
                <w:b/>
                <w:i/>
                <w:color w:val="000000"/>
                <w:sz w:val="18"/>
                <w:szCs w:val="18"/>
              </w:rPr>
              <w:fldChar w:fldCharType="separate"/>
            </w:r>
            <w:r w:rsidRPr="007F5638">
              <w:rPr>
                <w:rFonts w:cstheme="minorHAnsi"/>
                <w:b/>
                <w:i/>
                <w:noProof/>
                <w:color w:val="000000"/>
                <w:sz w:val="18"/>
                <w:szCs w:val="18"/>
              </w:rPr>
              <w:t>(Tonnes métriques)</w:t>
            </w:r>
            <w:r w:rsidRPr="007F5638">
              <w:rPr>
                <w:rFonts w:cstheme="minorHAnsi"/>
                <w:b/>
                <w:i/>
                <w:color w:val="000000"/>
                <w:sz w:val="18"/>
                <w:szCs w:val="18"/>
              </w:rPr>
              <w:fldChar w:fldCharType="end"/>
            </w:r>
          </w:p>
        </w:tc>
      </w:tr>
      <w:tr w:rsidR="007F5638" w:rsidRPr="007F5638" w14:paraId="4ABC9EB4" w14:textId="77777777" w:rsidTr="001A7B9D">
        <w:trPr>
          <w:trHeight w:val="197"/>
        </w:trPr>
        <w:tc>
          <w:tcPr>
            <w:tcW w:w="3979" w:type="dxa"/>
            <w:gridSpan w:val="6"/>
            <w:vMerge w:val="restart"/>
          </w:tcPr>
          <w:p w14:paraId="58F08662" w14:textId="77777777" w:rsidR="00601D9B" w:rsidRDefault="000E53A0">
            <w:pPr>
              <w:rPr>
                <w:rFonts w:cstheme="minorHAnsi"/>
                <w:bCs/>
                <w:sz w:val="18"/>
                <w:szCs w:val="18"/>
              </w:rPr>
            </w:pPr>
            <w:r w:rsidRPr="007F5638">
              <w:rPr>
                <w:rFonts w:cstheme="minorHAnsi"/>
                <w:bCs/>
                <w:sz w:val="18"/>
                <w:szCs w:val="18"/>
              </w:rPr>
              <w:t>Détails sur la pêche</w:t>
            </w:r>
          </w:p>
          <w:p w14:paraId="1E603293" w14:textId="77777777" w:rsidR="00601D9B" w:rsidRDefault="000E53A0">
            <w:pPr>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5393" w:type="dxa"/>
            <w:gridSpan w:val="6"/>
          </w:tcPr>
          <w:p w14:paraId="6B80E420" w14:textId="77777777" w:rsidR="00601D9B" w:rsidRDefault="000E53A0">
            <w:pPr>
              <w:jc w:val="center"/>
              <w:rPr>
                <w:rFonts w:cstheme="minorHAnsi"/>
                <w:sz w:val="18"/>
                <w:szCs w:val="18"/>
              </w:rPr>
            </w:pPr>
            <w:r w:rsidRPr="007F5638">
              <w:rPr>
                <w:rFonts w:cstheme="minorHAnsi"/>
                <w:sz w:val="18"/>
                <w:szCs w:val="18"/>
              </w:rPr>
              <w:t>Tonnes métriques</w:t>
            </w:r>
          </w:p>
        </w:tc>
      </w:tr>
      <w:tr w:rsidR="007F5638" w:rsidRPr="007F5638" w14:paraId="7D07A1A1" w14:textId="77777777" w:rsidTr="001A7B9D">
        <w:trPr>
          <w:trHeight w:val="188"/>
        </w:trPr>
        <w:tc>
          <w:tcPr>
            <w:tcW w:w="3979" w:type="dxa"/>
            <w:gridSpan w:val="6"/>
            <w:vMerge/>
          </w:tcPr>
          <w:p w14:paraId="41213BA1" w14:textId="77777777" w:rsidR="007F5638" w:rsidRPr="007F5638" w:rsidRDefault="007F5638" w:rsidP="007F5638">
            <w:pPr>
              <w:rPr>
                <w:rFonts w:cstheme="minorHAnsi"/>
                <w:sz w:val="18"/>
                <w:szCs w:val="18"/>
              </w:rPr>
            </w:pPr>
          </w:p>
        </w:tc>
        <w:tc>
          <w:tcPr>
            <w:tcW w:w="1323" w:type="dxa"/>
            <w:gridSpan w:val="2"/>
          </w:tcPr>
          <w:p w14:paraId="32F959F8" w14:textId="77777777" w:rsidR="00601D9B" w:rsidRDefault="000E53A0">
            <w:pPr>
              <w:rPr>
                <w:rFonts w:cstheme="minorHAnsi"/>
                <w:sz w:val="18"/>
                <w:szCs w:val="18"/>
              </w:rPr>
            </w:pPr>
            <w:r w:rsidRPr="007F5638">
              <w:rPr>
                <w:rFonts w:cstheme="minorHAnsi"/>
                <w:sz w:val="18"/>
                <w:szCs w:val="18"/>
              </w:rPr>
              <w:t>Étape du FIP</w:t>
            </w:r>
          </w:p>
        </w:tc>
        <w:tc>
          <w:tcPr>
            <w:tcW w:w="1477" w:type="dxa"/>
            <w:gridSpan w:val="2"/>
          </w:tcPr>
          <w:p w14:paraId="22FD47B4" w14:textId="77777777" w:rsidR="00601D9B" w:rsidRDefault="000E53A0">
            <w:pPr>
              <w:rPr>
                <w:rFonts w:cstheme="minorHAnsi"/>
                <w:sz w:val="18"/>
                <w:szCs w:val="18"/>
              </w:rPr>
            </w:pPr>
            <w:r w:rsidRPr="007F5638">
              <w:rPr>
                <w:rFonts w:cstheme="minorHAnsi"/>
                <w:sz w:val="18"/>
                <w:szCs w:val="18"/>
              </w:rPr>
              <w:t>Endossement</w:t>
            </w:r>
          </w:p>
        </w:tc>
        <w:tc>
          <w:tcPr>
            <w:tcW w:w="1306" w:type="dxa"/>
          </w:tcPr>
          <w:p w14:paraId="69B4783D" w14:textId="77777777" w:rsidR="00601D9B" w:rsidRDefault="000E53A0">
            <w:pPr>
              <w:rPr>
                <w:rFonts w:cstheme="minorHAnsi"/>
                <w:sz w:val="18"/>
                <w:szCs w:val="18"/>
              </w:rPr>
            </w:pPr>
            <w:r w:rsidRPr="007F5638">
              <w:rPr>
                <w:rFonts w:cstheme="minorHAnsi"/>
                <w:sz w:val="18"/>
                <w:szCs w:val="18"/>
              </w:rPr>
              <w:t>MTR</w:t>
            </w:r>
          </w:p>
        </w:tc>
        <w:tc>
          <w:tcPr>
            <w:tcW w:w="1287" w:type="dxa"/>
          </w:tcPr>
          <w:p w14:paraId="4B75B0AC" w14:textId="77777777" w:rsidR="00601D9B" w:rsidRDefault="000E53A0">
            <w:pPr>
              <w:rPr>
                <w:rFonts w:cstheme="minorHAnsi"/>
                <w:sz w:val="18"/>
                <w:szCs w:val="18"/>
              </w:rPr>
            </w:pPr>
            <w:r w:rsidRPr="007F5638">
              <w:rPr>
                <w:rFonts w:cstheme="minorHAnsi"/>
                <w:sz w:val="18"/>
                <w:szCs w:val="18"/>
              </w:rPr>
              <w:t>TE</w:t>
            </w:r>
          </w:p>
        </w:tc>
      </w:tr>
      <w:tr w:rsidR="007F5638" w:rsidRPr="007F5638" w14:paraId="3C4CE267" w14:textId="77777777" w:rsidTr="001A7B9D">
        <w:tc>
          <w:tcPr>
            <w:tcW w:w="3979" w:type="dxa"/>
            <w:gridSpan w:val="6"/>
            <w:vMerge/>
          </w:tcPr>
          <w:p w14:paraId="28D093F4" w14:textId="77777777" w:rsidR="007F5638" w:rsidRPr="007F5638" w:rsidRDefault="007F5638" w:rsidP="007F5638">
            <w:pPr>
              <w:jc w:val="right"/>
              <w:rPr>
                <w:rFonts w:cstheme="minorHAnsi"/>
                <w:sz w:val="18"/>
                <w:szCs w:val="18"/>
              </w:rPr>
            </w:pPr>
          </w:p>
        </w:tc>
        <w:tc>
          <w:tcPr>
            <w:tcW w:w="1323" w:type="dxa"/>
            <w:gridSpan w:val="2"/>
          </w:tcPr>
          <w:p w14:paraId="64C8B1DC"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477" w:type="dxa"/>
            <w:gridSpan w:val="2"/>
          </w:tcPr>
          <w:p w14:paraId="025C23EF"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306" w:type="dxa"/>
          </w:tcPr>
          <w:p w14:paraId="23DB4797"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287" w:type="dxa"/>
          </w:tcPr>
          <w:p w14:paraId="2E563570"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r>
      <w:tr w:rsidR="007F5638" w:rsidRPr="007F5638" w14:paraId="439E821F" w14:textId="77777777" w:rsidTr="001A7B9D">
        <w:tc>
          <w:tcPr>
            <w:tcW w:w="1298" w:type="dxa"/>
            <w:shd w:val="clear" w:color="auto" w:fill="D9D9D9" w:themeFill="background1" w:themeFillShade="D9"/>
          </w:tcPr>
          <w:p w14:paraId="6C9665A7" w14:textId="77777777" w:rsidR="00601D9B" w:rsidRDefault="000E53A0">
            <w:pPr>
              <w:rPr>
                <w:rFonts w:cstheme="minorHAnsi"/>
                <w:b/>
                <w:sz w:val="18"/>
                <w:szCs w:val="18"/>
              </w:rPr>
            </w:pPr>
            <w:r w:rsidRPr="007F5638">
              <w:rPr>
                <w:rFonts w:cstheme="minorHAnsi"/>
                <w:b/>
                <w:sz w:val="18"/>
                <w:szCs w:val="18"/>
              </w:rPr>
              <w:t>Indicateur de base 9</w:t>
            </w:r>
          </w:p>
        </w:tc>
        <w:tc>
          <w:tcPr>
            <w:tcW w:w="6787" w:type="dxa"/>
            <w:gridSpan w:val="10"/>
            <w:shd w:val="clear" w:color="auto" w:fill="D9D9D9" w:themeFill="background1" w:themeFillShade="D9"/>
          </w:tcPr>
          <w:p w14:paraId="60C6A882" w14:textId="77777777" w:rsidR="00601D9B" w:rsidRPr="000E53A0" w:rsidRDefault="000E53A0">
            <w:pPr>
              <w:rPr>
                <w:rFonts w:cstheme="minorHAnsi"/>
                <w:b/>
                <w:sz w:val="18"/>
                <w:szCs w:val="18"/>
                <w:lang w:val="fr-FR"/>
              </w:rPr>
            </w:pPr>
            <w:r w:rsidRPr="000E53A0">
              <w:rPr>
                <w:rFonts w:cstheme="minorHAnsi"/>
                <w:b/>
                <w:sz w:val="18"/>
                <w:szCs w:val="18"/>
                <w:lang w:val="fr-FR"/>
              </w:rPr>
              <w:t>Réduction, élimination/destruction, suppression progressive, suppression et évitement des produits chimiques de portée mondiale et de leurs déchets dans l'environnement et dans les processus, matériaux et produits.</w:t>
            </w:r>
          </w:p>
        </w:tc>
        <w:tc>
          <w:tcPr>
            <w:tcW w:w="1287" w:type="dxa"/>
            <w:shd w:val="clear" w:color="auto" w:fill="D9D9D9" w:themeFill="background1" w:themeFillShade="D9"/>
          </w:tcPr>
          <w:p w14:paraId="403B7258" w14:textId="77777777" w:rsidR="00601D9B" w:rsidRDefault="000E53A0">
            <w:pPr>
              <w:jc w:val="right"/>
              <w:rPr>
                <w:rFonts w:cstheme="minorHAnsi"/>
                <w:b/>
                <w:sz w:val="18"/>
                <w:szCs w:val="18"/>
              </w:rPr>
            </w:pPr>
            <w:r w:rsidRPr="007F5638">
              <w:rPr>
                <w:rFonts w:cstheme="minorHAnsi"/>
                <w:b/>
                <w:i/>
                <w:color w:val="000000"/>
                <w:sz w:val="18"/>
                <w:szCs w:val="18"/>
              </w:rPr>
              <w:fldChar w:fldCharType="begin">
                <w:ffData>
                  <w:name w:val=""/>
                  <w:enabled/>
                  <w:calcOnExit w:val="0"/>
                  <w:textInput>
                    <w:default w:val="(Tons)"/>
                  </w:textInput>
                </w:ffData>
              </w:fldChar>
            </w:r>
            <w:r w:rsidRPr="007F5638">
              <w:rPr>
                <w:rFonts w:cstheme="minorHAnsi"/>
                <w:b/>
                <w:i/>
                <w:color w:val="000000"/>
                <w:sz w:val="18"/>
                <w:szCs w:val="18"/>
              </w:rPr>
              <w:instrText xml:space="preserve"> FORMTEXT </w:instrText>
            </w:r>
            <w:r w:rsidRPr="007F5638">
              <w:rPr>
                <w:rFonts w:cstheme="minorHAnsi"/>
                <w:b/>
                <w:i/>
                <w:color w:val="000000"/>
                <w:sz w:val="18"/>
                <w:szCs w:val="18"/>
              </w:rPr>
            </w:r>
            <w:r w:rsidRPr="007F5638">
              <w:rPr>
                <w:rFonts w:cstheme="minorHAnsi"/>
                <w:b/>
                <w:i/>
                <w:color w:val="000000"/>
                <w:sz w:val="18"/>
                <w:szCs w:val="18"/>
              </w:rPr>
              <w:fldChar w:fldCharType="separate"/>
            </w:r>
            <w:r w:rsidRPr="007F5638">
              <w:rPr>
                <w:rFonts w:cstheme="minorHAnsi"/>
                <w:b/>
                <w:i/>
                <w:noProof/>
                <w:color w:val="000000"/>
                <w:sz w:val="18"/>
                <w:szCs w:val="18"/>
              </w:rPr>
              <w:t>(Tonnes métriques)</w:t>
            </w:r>
            <w:r w:rsidRPr="007F5638">
              <w:rPr>
                <w:rFonts w:cstheme="minorHAnsi"/>
                <w:b/>
                <w:i/>
                <w:color w:val="000000"/>
                <w:sz w:val="18"/>
                <w:szCs w:val="18"/>
              </w:rPr>
              <w:fldChar w:fldCharType="end"/>
            </w:r>
          </w:p>
        </w:tc>
      </w:tr>
      <w:tr w:rsidR="007F5638" w:rsidRPr="007F5638" w14:paraId="50A9D32C" w14:textId="77777777" w:rsidTr="001A7B9D">
        <w:tc>
          <w:tcPr>
            <w:tcW w:w="1298" w:type="dxa"/>
            <w:shd w:val="clear" w:color="auto" w:fill="auto"/>
          </w:tcPr>
          <w:p w14:paraId="32F2A52C" w14:textId="77777777" w:rsidR="007F5638" w:rsidRPr="007F5638" w:rsidRDefault="007F5638" w:rsidP="007F5638">
            <w:pPr>
              <w:rPr>
                <w:rFonts w:cstheme="minorHAnsi"/>
                <w:sz w:val="18"/>
                <w:szCs w:val="18"/>
              </w:rPr>
            </w:pPr>
          </w:p>
        </w:tc>
        <w:tc>
          <w:tcPr>
            <w:tcW w:w="2681" w:type="dxa"/>
            <w:gridSpan w:val="5"/>
            <w:shd w:val="clear" w:color="auto" w:fill="auto"/>
          </w:tcPr>
          <w:p w14:paraId="21B74E85" w14:textId="77777777" w:rsidR="007F5638" w:rsidRPr="007F5638" w:rsidRDefault="007F5638" w:rsidP="007F5638">
            <w:pPr>
              <w:rPr>
                <w:rFonts w:cstheme="minorHAnsi"/>
                <w:sz w:val="18"/>
                <w:szCs w:val="18"/>
              </w:rPr>
            </w:pPr>
          </w:p>
        </w:tc>
        <w:tc>
          <w:tcPr>
            <w:tcW w:w="5393" w:type="dxa"/>
            <w:gridSpan w:val="6"/>
            <w:shd w:val="clear" w:color="auto" w:fill="F2F2F2" w:themeFill="background1" w:themeFillShade="F2"/>
          </w:tcPr>
          <w:p w14:paraId="104C0D60" w14:textId="77777777" w:rsidR="00601D9B" w:rsidRDefault="000E53A0">
            <w:pPr>
              <w:jc w:val="center"/>
              <w:rPr>
                <w:rFonts w:cstheme="minorHAnsi"/>
                <w:i/>
                <w:color w:val="000000"/>
                <w:sz w:val="18"/>
                <w:szCs w:val="18"/>
              </w:rPr>
            </w:pPr>
            <w:r w:rsidRPr="007F5638">
              <w:rPr>
                <w:rFonts w:cstheme="minorHAnsi"/>
                <w:sz w:val="18"/>
                <w:szCs w:val="18"/>
              </w:rPr>
              <w:t>Tonnes métriques (9.1+9.2+9.3)</w:t>
            </w:r>
          </w:p>
        </w:tc>
      </w:tr>
      <w:tr w:rsidR="007F5638" w:rsidRPr="007F5638" w14:paraId="7465376C" w14:textId="77777777" w:rsidTr="001A7B9D">
        <w:tc>
          <w:tcPr>
            <w:tcW w:w="1298" w:type="dxa"/>
            <w:shd w:val="clear" w:color="auto" w:fill="auto"/>
          </w:tcPr>
          <w:p w14:paraId="1E171AC6" w14:textId="77777777" w:rsidR="007F5638" w:rsidRPr="007F5638" w:rsidRDefault="007F5638" w:rsidP="007F5638">
            <w:pPr>
              <w:rPr>
                <w:rFonts w:cstheme="minorHAnsi"/>
                <w:sz w:val="18"/>
                <w:szCs w:val="18"/>
              </w:rPr>
            </w:pPr>
          </w:p>
        </w:tc>
        <w:tc>
          <w:tcPr>
            <w:tcW w:w="2681" w:type="dxa"/>
            <w:gridSpan w:val="5"/>
            <w:shd w:val="clear" w:color="auto" w:fill="auto"/>
          </w:tcPr>
          <w:p w14:paraId="776AE4F5" w14:textId="77777777" w:rsidR="007F5638" w:rsidRPr="007F5638" w:rsidRDefault="007F5638" w:rsidP="007F5638">
            <w:pPr>
              <w:rPr>
                <w:rFonts w:cstheme="minorHAnsi"/>
                <w:sz w:val="18"/>
                <w:szCs w:val="18"/>
              </w:rPr>
            </w:pPr>
          </w:p>
        </w:tc>
        <w:tc>
          <w:tcPr>
            <w:tcW w:w="2800" w:type="dxa"/>
            <w:gridSpan w:val="4"/>
            <w:shd w:val="clear" w:color="auto" w:fill="F2F2F2" w:themeFill="background1" w:themeFillShade="F2"/>
          </w:tcPr>
          <w:p w14:paraId="5ADE92B3" w14:textId="77777777" w:rsidR="00601D9B" w:rsidRDefault="000E53A0">
            <w:pPr>
              <w:jc w:val="center"/>
              <w:rPr>
                <w:rFonts w:cstheme="minorHAnsi"/>
                <w:sz w:val="18"/>
                <w:szCs w:val="18"/>
              </w:rPr>
            </w:pPr>
            <w:r w:rsidRPr="007F5638">
              <w:rPr>
                <w:rFonts w:cstheme="minorHAnsi"/>
                <w:sz w:val="18"/>
                <w:szCs w:val="18"/>
              </w:rPr>
              <w:t>Attendu</w:t>
            </w:r>
          </w:p>
        </w:tc>
        <w:tc>
          <w:tcPr>
            <w:tcW w:w="2593" w:type="dxa"/>
            <w:gridSpan w:val="2"/>
            <w:shd w:val="clear" w:color="auto" w:fill="F2F2F2" w:themeFill="background1" w:themeFillShade="F2"/>
          </w:tcPr>
          <w:p w14:paraId="27AEB512" w14:textId="77777777" w:rsidR="00601D9B" w:rsidRDefault="000E53A0">
            <w:pPr>
              <w:jc w:val="center"/>
              <w:rPr>
                <w:rFonts w:cstheme="minorHAnsi"/>
                <w:i/>
                <w:color w:val="000000"/>
                <w:sz w:val="18"/>
                <w:szCs w:val="18"/>
              </w:rPr>
            </w:pPr>
            <w:r w:rsidRPr="007F5638">
              <w:rPr>
                <w:rFonts w:cstheme="minorHAnsi"/>
                <w:sz w:val="18"/>
                <w:szCs w:val="18"/>
              </w:rPr>
              <w:t>Réalisé</w:t>
            </w:r>
          </w:p>
        </w:tc>
      </w:tr>
      <w:tr w:rsidR="007F5638" w:rsidRPr="007F5638" w14:paraId="4215CDCD" w14:textId="77777777" w:rsidTr="001A7B9D">
        <w:tc>
          <w:tcPr>
            <w:tcW w:w="1298" w:type="dxa"/>
            <w:shd w:val="clear" w:color="auto" w:fill="auto"/>
          </w:tcPr>
          <w:p w14:paraId="6A0C19CD" w14:textId="77777777" w:rsidR="007F5638" w:rsidRPr="007F5638" w:rsidRDefault="007F5638" w:rsidP="007F5638">
            <w:pPr>
              <w:rPr>
                <w:rFonts w:cstheme="minorHAnsi"/>
                <w:sz w:val="18"/>
                <w:szCs w:val="18"/>
              </w:rPr>
            </w:pPr>
          </w:p>
        </w:tc>
        <w:tc>
          <w:tcPr>
            <w:tcW w:w="2681" w:type="dxa"/>
            <w:gridSpan w:val="5"/>
            <w:shd w:val="clear" w:color="auto" w:fill="auto"/>
          </w:tcPr>
          <w:p w14:paraId="6D46B924" w14:textId="77777777" w:rsidR="007F5638" w:rsidRPr="007F5638" w:rsidRDefault="007F5638" w:rsidP="007F5638">
            <w:pPr>
              <w:rPr>
                <w:rFonts w:cstheme="minorHAnsi"/>
                <w:sz w:val="18"/>
                <w:szCs w:val="18"/>
              </w:rPr>
            </w:pPr>
          </w:p>
        </w:tc>
        <w:tc>
          <w:tcPr>
            <w:tcW w:w="1323" w:type="dxa"/>
            <w:gridSpan w:val="2"/>
            <w:shd w:val="clear" w:color="auto" w:fill="F2F2F2" w:themeFill="background1" w:themeFillShade="F2"/>
          </w:tcPr>
          <w:p w14:paraId="4D399AF4" w14:textId="77777777" w:rsidR="00601D9B" w:rsidRDefault="000E53A0">
            <w:pPr>
              <w:jc w:val="center"/>
              <w:rPr>
                <w:rFonts w:cstheme="minorHAnsi"/>
                <w:sz w:val="18"/>
                <w:szCs w:val="18"/>
              </w:rPr>
            </w:pPr>
            <w:r w:rsidRPr="007F5638">
              <w:rPr>
                <w:rFonts w:cstheme="minorHAnsi"/>
                <w:sz w:val="18"/>
                <w:szCs w:val="18"/>
              </w:rPr>
              <w:t>Étape du FIP</w:t>
            </w:r>
          </w:p>
        </w:tc>
        <w:tc>
          <w:tcPr>
            <w:tcW w:w="1477" w:type="dxa"/>
            <w:gridSpan w:val="2"/>
            <w:shd w:val="clear" w:color="auto" w:fill="F2F2F2" w:themeFill="background1" w:themeFillShade="F2"/>
          </w:tcPr>
          <w:p w14:paraId="35FA6CAA" w14:textId="77777777" w:rsidR="00601D9B" w:rsidRDefault="000E53A0">
            <w:pPr>
              <w:jc w:val="center"/>
              <w:rPr>
                <w:rFonts w:cstheme="minorHAnsi"/>
                <w:sz w:val="18"/>
                <w:szCs w:val="18"/>
              </w:rPr>
            </w:pPr>
            <w:r w:rsidRPr="007F5638">
              <w:rPr>
                <w:rFonts w:cstheme="minorHAnsi"/>
                <w:sz w:val="18"/>
                <w:szCs w:val="18"/>
              </w:rPr>
              <w:t>Étape du FIP</w:t>
            </w:r>
          </w:p>
        </w:tc>
        <w:tc>
          <w:tcPr>
            <w:tcW w:w="1306" w:type="dxa"/>
            <w:shd w:val="clear" w:color="auto" w:fill="F2F2F2" w:themeFill="background1" w:themeFillShade="F2"/>
          </w:tcPr>
          <w:p w14:paraId="6327906B" w14:textId="77777777" w:rsidR="00601D9B" w:rsidRDefault="000E53A0">
            <w:pPr>
              <w:jc w:val="center"/>
              <w:rPr>
                <w:rFonts w:cstheme="minorHAnsi"/>
                <w:sz w:val="18"/>
                <w:szCs w:val="18"/>
              </w:rPr>
            </w:pPr>
            <w:r w:rsidRPr="007F5638">
              <w:rPr>
                <w:rFonts w:cstheme="minorHAnsi"/>
                <w:sz w:val="18"/>
                <w:szCs w:val="18"/>
              </w:rPr>
              <w:t>MTR</w:t>
            </w:r>
          </w:p>
        </w:tc>
        <w:tc>
          <w:tcPr>
            <w:tcW w:w="1287" w:type="dxa"/>
            <w:shd w:val="clear" w:color="auto" w:fill="F2F2F2" w:themeFill="background1" w:themeFillShade="F2"/>
          </w:tcPr>
          <w:p w14:paraId="7FDC50D4" w14:textId="77777777" w:rsidR="00601D9B" w:rsidRDefault="000E53A0">
            <w:pPr>
              <w:jc w:val="center"/>
              <w:rPr>
                <w:rFonts w:cstheme="minorHAnsi"/>
                <w:i/>
                <w:color w:val="000000"/>
                <w:sz w:val="18"/>
                <w:szCs w:val="18"/>
              </w:rPr>
            </w:pPr>
            <w:r w:rsidRPr="007F5638">
              <w:rPr>
                <w:rFonts w:cstheme="minorHAnsi"/>
                <w:sz w:val="18"/>
                <w:szCs w:val="18"/>
              </w:rPr>
              <w:t>TE</w:t>
            </w:r>
          </w:p>
        </w:tc>
      </w:tr>
      <w:tr w:rsidR="007F5638" w:rsidRPr="007F5638" w14:paraId="0F77139E" w14:textId="77777777" w:rsidTr="001A7B9D">
        <w:tc>
          <w:tcPr>
            <w:tcW w:w="1298" w:type="dxa"/>
            <w:shd w:val="clear" w:color="auto" w:fill="auto"/>
          </w:tcPr>
          <w:p w14:paraId="598503D1" w14:textId="77777777" w:rsidR="007F5638" w:rsidRPr="007F5638" w:rsidRDefault="007F5638" w:rsidP="007F5638">
            <w:pPr>
              <w:rPr>
                <w:rFonts w:cstheme="minorHAnsi"/>
                <w:sz w:val="18"/>
                <w:szCs w:val="18"/>
              </w:rPr>
            </w:pPr>
          </w:p>
        </w:tc>
        <w:tc>
          <w:tcPr>
            <w:tcW w:w="2681" w:type="dxa"/>
            <w:gridSpan w:val="5"/>
            <w:shd w:val="clear" w:color="auto" w:fill="auto"/>
          </w:tcPr>
          <w:p w14:paraId="5EF05AAA" w14:textId="77777777" w:rsidR="007F5638" w:rsidRPr="007F5638" w:rsidRDefault="007F5638" w:rsidP="007F5638">
            <w:pPr>
              <w:rPr>
                <w:rFonts w:cstheme="minorHAnsi"/>
                <w:sz w:val="18"/>
                <w:szCs w:val="18"/>
              </w:rPr>
            </w:pPr>
          </w:p>
        </w:tc>
        <w:tc>
          <w:tcPr>
            <w:tcW w:w="1323" w:type="dxa"/>
            <w:gridSpan w:val="2"/>
            <w:shd w:val="clear" w:color="auto" w:fill="F2F2F2" w:themeFill="background1" w:themeFillShade="F2"/>
          </w:tcPr>
          <w:p w14:paraId="45D3219F" w14:textId="77777777" w:rsidR="00601D9B" w:rsidRDefault="000E53A0">
            <w:pPr>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477" w:type="dxa"/>
            <w:gridSpan w:val="2"/>
            <w:shd w:val="clear" w:color="auto" w:fill="F2F2F2" w:themeFill="background1" w:themeFillShade="F2"/>
          </w:tcPr>
          <w:p w14:paraId="4FBD9FE3" w14:textId="77777777" w:rsidR="00601D9B" w:rsidRDefault="000E53A0">
            <w:pPr>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306" w:type="dxa"/>
            <w:shd w:val="clear" w:color="auto" w:fill="F2F2F2" w:themeFill="background1" w:themeFillShade="F2"/>
          </w:tcPr>
          <w:p w14:paraId="38AB9A1D" w14:textId="77777777" w:rsidR="00601D9B" w:rsidRDefault="000E53A0">
            <w:pPr>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287" w:type="dxa"/>
            <w:shd w:val="clear" w:color="auto" w:fill="F2F2F2" w:themeFill="background1" w:themeFillShade="F2"/>
          </w:tcPr>
          <w:p w14:paraId="2A440B6D" w14:textId="77777777" w:rsidR="00601D9B" w:rsidRDefault="000E53A0">
            <w:pPr>
              <w:jc w:val="right"/>
              <w:rPr>
                <w:rFonts w:cstheme="minorHAnsi"/>
                <w:i/>
                <w:color w:val="000000"/>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r>
      <w:tr w:rsidR="007F5638" w:rsidRPr="007F5638" w14:paraId="75631A08" w14:textId="77777777" w:rsidTr="001A7B9D">
        <w:tc>
          <w:tcPr>
            <w:tcW w:w="1298" w:type="dxa"/>
            <w:shd w:val="clear" w:color="auto" w:fill="BFBFBF" w:themeFill="background1" w:themeFillShade="BF"/>
          </w:tcPr>
          <w:p w14:paraId="66383EA8" w14:textId="77777777" w:rsidR="00601D9B" w:rsidRDefault="000E53A0">
            <w:pPr>
              <w:rPr>
                <w:rFonts w:cstheme="minorHAnsi"/>
                <w:sz w:val="18"/>
                <w:szCs w:val="18"/>
              </w:rPr>
            </w:pPr>
            <w:r w:rsidRPr="007F5638">
              <w:rPr>
                <w:rFonts w:cstheme="minorHAnsi"/>
                <w:sz w:val="18"/>
                <w:szCs w:val="18"/>
              </w:rPr>
              <w:t>Indicateur 9.1</w:t>
            </w:r>
          </w:p>
        </w:tc>
        <w:tc>
          <w:tcPr>
            <w:tcW w:w="6787" w:type="dxa"/>
            <w:gridSpan w:val="10"/>
            <w:shd w:val="clear" w:color="auto" w:fill="BFBFBF" w:themeFill="background1" w:themeFillShade="BF"/>
          </w:tcPr>
          <w:p w14:paraId="16C89DF5" w14:textId="77777777" w:rsidR="00601D9B" w:rsidRPr="000E53A0" w:rsidRDefault="000E53A0">
            <w:pPr>
              <w:rPr>
                <w:rFonts w:cstheme="minorHAnsi"/>
                <w:sz w:val="18"/>
                <w:szCs w:val="18"/>
                <w:lang w:val="fr-FR"/>
              </w:rPr>
            </w:pPr>
            <w:r w:rsidRPr="000E53A0">
              <w:rPr>
                <w:rFonts w:cstheme="minorHAnsi"/>
                <w:bCs/>
                <w:sz w:val="18"/>
                <w:szCs w:val="18"/>
                <w:lang w:val="fr-FR"/>
              </w:rPr>
              <w:t>Polluants organiques persistants (POP) solides et liquides retirés ou éliminés (type de POP)</w:t>
            </w:r>
          </w:p>
        </w:tc>
        <w:tc>
          <w:tcPr>
            <w:tcW w:w="1287" w:type="dxa"/>
            <w:shd w:val="clear" w:color="auto" w:fill="BFBFBF" w:themeFill="background1" w:themeFillShade="BF"/>
          </w:tcPr>
          <w:p w14:paraId="29607B33"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r>
      <w:tr w:rsidR="007F5638" w:rsidRPr="007F5638" w14:paraId="161FBA33" w14:textId="77777777" w:rsidTr="001A7B9D">
        <w:trPr>
          <w:trHeight w:val="125"/>
        </w:trPr>
        <w:tc>
          <w:tcPr>
            <w:tcW w:w="3979" w:type="dxa"/>
            <w:gridSpan w:val="6"/>
            <w:vMerge w:val="restart"/>
            <w:vAlign w:val="center"/>
          </w:tcPr>
          <w:p w14:paraId="75EAA22F" w14:textId="77777777" w:rsidR="00601D9B" w:rsidRDefault="000E53A0">
            <w:pPr>
              <w:jc w:val="center"/>
              <w:rPr>
                <w:rFonts w:cstheme="minorHAnsi"/>
                <w:sz w:val="18"/>
                <w:szCs w:val="18"/>
              </w:rPr>
            </w:pPr>
            <w:r w:rsidRPr="007F5638">
              <w:rPr>
                <w:rFonts w:cstheme="minorHAnsi"/>
                <w:sz w:val="18"/>
                <w:szCs w:val="18"/>
              </w:rPr>
              <w:t>Type de POPs</w:t>
            </w:r>
          </w:p>
        </w:tc>
        <w:tc>
          <w:tcPr>
            <w:tcW w:w="5393" w:type="dxa"/>
            <w:gridSpan w:val="6"/>
          </w:tcPr>
          <w:p w14:paraId="455CD9E3" w14:textId="77777777" w:rsidR="00601D9B" w:rsidRDefault="000E53A0">
            <w:pPr>
              <w:jc w:val="center"/>
              <w:rPr>
                <w:rFonts w:cstheme="minorHAnsi"/>
                <w:sz w:val="18"/>
                <w:szCs w:val="18"/>
              </w:rPr>
            </w:pPr>
            <w:r w:rsidRPr="007F5638">
              <w:rPr>
                <w:rFonts w:cstheme="minorHAnsi"/>
                <w:sz w:val="18"/>
                <w:szCs w:val="18"/>
              </w:rPr>
              <w:t>Tonnes métriques</w:t>
            </w:r>
          </w:p>
        </w:tc>
      </w:tr>
      <w:tr w:rsidR="007F5638" w:rsidRPr="007F5638" w14:paraId="33E77953" w14:textId="77777777" w:rsidTr="001A7B9D">
        <w:trPr>
          <w:trHeight w:val="58"/>
        </w:trPr>
        <w:tc>
          <w:tcPr>
            <w:tcW w:w="3979" w:type="dxa"/>
            <w:gridSpan w:val="6"/>
            <w:vMerge/>
          </w:tcPr>
          <w:p w14:paraId="5A36FD1C" w14:textId="77777777" w:rsidR="007F5638" w:rsidRPr="007F5638" w:rsidRDefault="007F5638" w:rsidP="007F5638">
            <w:pPr>
              <w:rPr>
                <w:rFonts w:cstheme="minorHAnsi"/>
                <w:sz w:val="18"/>
                <w:szCs w:val="18"/>
              </w:rPr>
            </w:pPr>
          </w:p>
        </w:tc>
        <w:tc>
          <w:tcPr>
            <w:tcW w:w="2800" w:type="dxa"/>
            <w:gridSpan w:val="4"/>
          </w:tcPr>
          <w:p w14:paraId="0A98F910" w14:textId="77777777" w:rsidR="00601D9B" w:rsidRDefault="000E53A0">
            <w:pPr>
              <w:jc w:val="center"/>
              <w:rPr>
                <w:rFonts w:cstheme="minorHAnsi"/>
                <w:sz w:val="18"/>
                <w:szCs w:val="18"/>
              </w:rPr>
            </w:pPr>
            <w:r w:rsidRPr="007F5638">
              <w:rPr>
                <w:rFonts w:cstheme="minorHAnsi"/>
                <w:sz w:val="18"/>
                <w:szCs w:val="18"/>
              </w:rPr>
              <w:t>Attendu</w:t>
            </w:r>
          </w:p>
        </w:tc>
        <w:tc>
          <w:tcPr>
            <w:tcW w:w="2593" w:type="dxa"/>
            <w:gridSpan w:val="2"/>
          </w:tcPr>
          <w:p w14:paraId="29977EC8" w14:textId="77777777" w:rsidR="00601D9B" w:rsidRDefault="000E53A0">
            <w:pPr>
              <w:jc w:val="center"/>
              <w:rPr>
                <w:rFonts w:cstheme="minorHAnsi"/>
                <w:sz w:val="18"/>
                <w:szCs w:val="18"/>
              </w:rPr>
            </w:pPr>
            <w:r w:rsidRPr="007F5638">
              <w:rPr>
                <w:rFonts w:cstheme="minorHAnsi"/>
                <w:sz w:val="18"/>
                <w:szCs w:val="18"/>
              </w:rPr>
              <w:t>Réalisé</w:t>
            </w:r>
          </w:p>
        </w:tc>
      </w:tr>
      <w:tr w:rsidR="007F5638" w:rsidRPr="007F5638" w14:paraId="559ADC65" w14:textId="77777777" w:rsidTr="001A7B9D">
        <w:trPr>
          <w:trHeight w:val="179"/>
        </w:trPr>
        <w:tc>
          <w:tcPr>
            <w:tcW w:w="3979" w:type="dxa"/>
            <w:gridSpan w:val="6"/>
            <w:vMerge/>
          </w:tcPr>
          <w:p w14:paraId="5226479B" w14:textId="77777777" w:rsidR="007F5638" w:rsidRPr="007F5638" w:rsidRDefault="007F5638" w:rsidP="007F5638">
            <w:pPr>
              <w:rPr>
                <w:rFonts w:cstheme="minorHAnsi"/>
                <w:sz w:val="18"/>
                <w:szCs w:val="18"/>
              </w:rPr>
            </w:pPr>
          </w:p>
        </w:tc>
        <w:tc>
          <w:tcPr>
            <w:tcW w:w="1323" w:type="dxa"/>
            <w:gridSpan w:val="2"/>
          </w:tcPr>
          <w:p w14:paraId="2195F913" w14:textId="77777777" w:rsidR="00601D9B" w:rsidRDefault="000E53A0">
            <w:pPr>
              <w:jc w:val="center"/>
              <w:rPr>
                <w:rFonts w:cstheme="minorHAnsi"/>
                <w:sz w:val="18"/>
                <w:szCs w:val="18"/>
              </w:rPr>
            </w:pPr>
            <w:r w:rsidRPr="007F5638">
              <w:rPr>
                <w:rFonts w:cstheme="minorHAnsi"/>
                <w:sz w:val="18"/>
                <w:szCs w:val="18"/>
              </w:rPr>
              <w:t>Étape du FIP</w:t>
            </w:r>
          </w:p>
        </w:tc>
        <w:tc>
          <w:tcPr>
            <w:tcW w:w="1477" w:type="dxa"/>
            <w:gridSpan w:val="2"/>
          </w:tcPr>
          <w:p w14:paraId="118119BC" w14:textId="77777777" w:rsidR="00601D9B" w:rsidRDefault="000E53A0">
            <w:pPr>
              <w:jc w:val="center"/>
              <w:rPr>
                <w:rFonts w:cstheme="minorHAnsi"/>
                <w:sz w:val="18"/>
                <w:szCs w:val="18"/>
              </w:rPr>
            </w:pPr>
            <w:r w:rsidRPr="007F5638">
              <w:rPr>
                <w:rFonts w:cstheme="minorHAnsi"/>
                <w:sz w:val="18"/>
                <w:szCs w:val="18"/>
              </w:rPr>
              <w:t>Endossement</w:t>
            </w:r>
          </w:p>
        </w:tc>
        <w:tc>
          <w:tcPr>
            <w:tcW w:w="1306" w:type="dxa"/>
          </w:tcPr>
          <w:p w14:paraId="20C4EDE2" w14:textId="77777777" w:rsidR="00601D9B" w:rsidRDefault="000E53A0">
            <w:pPr>
              <w:jc w:val="center"/>
              <w:rPr>
                <w:rFonts w:cstheme="minorHAnsi"/>
                <w:sz w:val="18"/>
                <w:szCs w:val="18"/>
              </w:rPr>
            </w:pPr>
            <w:r w:rsidRPr="007F5638">
              <w:rPr>
                <w:rFonts w:cstheme="minorHAnsi"/>
                <w:sz w:val="18"/>
                <w:szCs w:val="18"/>
              </w:rPr>
              <w:t>MTR</w:t>
            </w:r>
          </w:p>
        </w:tc>
        <w:tc>
          <w:tcPr>
            <w:tcW w:w="1287" w:type="dxa"/>
          </w:tcPr>
          <w:p w14:paraId="3DE6AD80" w14:textId="77777777" w:rsidR="00601D9B" w:rsidRDefault="000E53A0">
            <w:pPr>
              <w:jc w:val="center"/>
              <w:rPr>
                <w:rFonts w:cstheme="minorHAnsi"/>
                <w:sz w:val="18"/>
                <w:szCs w:val="18"/>
              </w:rPr>
            </w:pPr>
            <w:r w:rsidRPr="007F5638">
              <w:rPr>
                <w:rFonts w:cstheme="minorHAnsi"/>
                <w:sz w:val="18"/>
                <w:szCs w:val="18"/>
              </w:rPr>
              <w:t>TE</w:t>
            </w:r>
          </w:p>
        </w:tc>
      </w:tr>
      <w:tr w:rsidR="007F5638" w:rsidRPr="007F5638" w14:paraId="0E2BF5B0" w14:textId="77777777" w:rsidTr="001A7B9D">
        <w:tc>
          <w:tcPr>
            <w:tcW w:w="1298" w:type="dxa"/>
          </w:tcPr>
          <w:p w14:paraId="3105E0D0" w14:textId="77777777" w:rsidR="00601D9B" w:rsidRDefault="000E53A0">
            <w:pPr>
              <w:jc w:val="right"/>
              <w:rPr>
                <w:rFonts w:cstheme="minorHAnsi"/>
                <w:sz w:val="18"/>
                <w:szCs w:val="18"/>
              </w:rPr>
            </w:pPr>
            <w:r w:rsidRPr="007F5638">
              <w:rPr>
                <w:rFonts w:cstheme="minorHAnsi"/>
                <w:color w:val="000000"/>
                <w:szCs w:val="20"/>
              </w:rPr>
              <w:fldChar w:fldCharType="begin">
                <w:ffData>
                  <w:name w:val="GEF_IA_01"/>
                  <w:enabled/>
                  <w:calcOnExit w:val="0"/>
                  <w:helpText w:type="text" w:val="GEF Agency(ies):  In the dropdown menu, select the GEF Agency.  For multi-agency projects, select the other agency(ies) from the other pull down menu that is also provided"/>
                  <w:ddList>
                    <w:listEntry w:val="(select)"/>
                    <w:listEntry w:val="Aldrin"/>
                    <w:listEntry w:val="Alpha hexachlorocyclohexane"/>
                    <w:listEntry w:val="Beta hexachlorocyclohexane"/>
                    <w:listEntry w:val="Chlordane"/>
                    <w:listEntry w:val="DDT"/>
                    <w:listEntry w:val="Dieldrin"/>
                    <w:listEntry w:val="Endosulfan and isomers"/>
                    <w:listEntry w:val="Endrin"/>
                    <w:listEntry w:val="Heptachlor"/>
                  </w:ddList>
                </w:ffData>
              </w:fldChar>
            </w:r>
            <w:r w:rsidRPr="007F5638">
              <w:rPr>
                <w:rFonts w:cstheme="minorHAnsi"/>
                <w:color w:val="000000"/>
                <w:szCs w:val="20"/>
              </w:rPr>
              <w:instrText xml:space="preserve"> FORMDROPDOWN </w:instrText>
            </w:r>
            <w:r w:rsidR="00B330C0">
              <w:rPr>
                <w:rFonts w:cstheme="minorHAnsi"/>
                <w:color w:val="000000"/>
                <w:szCs w:val="20"/>
              </w:rPr>
            </w:r>
            <w:r w:rsidR="00B330C0">
              <w:rPr>
                <w:rFonts w:cstheme="minorHAnsi"/>
                <w:color w:val="000000"/>
                <w:szCs w:val="20"/>
              </w:rPr>
              <w:fldChar w:fldCharType="separate"/>
            </w:r>
            <w:r w:rsidRPr="007F5638">
              <w:rPr>
                <w:rFonts w:cstheme="minorHAnsi"/>
                <w:color w:val="000000"/>
                <w:szCs w:val="20"/>
              </w:rPr>
              <w:fldChar w:fldCharType="end"/>
            </w:r>
            <w:r w:rsidRPr="007F5638">
              <w:rPr>
                <w:rFonts w:cstheme="minorHAnsi"/>
                <w:color w:val="000000"/>
                <w:szCs w:val="20"/>
              </w:rPr>
              <w:t xml:space="preserve">  </w:t>
            </w:r>
          </w:p>
        </w:tc>
        <w:tc>
          <w:tcPr>
            <w:tcW w:w="933" w:type="dxa"/>
          </w:tcPr>
          <w:p w14:paraId="498E6866" w14:textId="77777777" w:rsidR="00601D9B" w:rsidRDefault="000E53A0">
            <w:pPr>
              <w:jc w:val="right"/>
              <w:rPr>
                <w:rFonts w:cstheme="minorHAnsi"/>
                <w:sz w:val="18"/>
                <w:szCs w:val="18"/>
              </w:rPr>
            </w:pPr>
            <w:r w:rsidRPr="007F5638">
              <w:rPr>
                <w:rFonts w:cstheme="minorHAnsi"/>
                <w:color w:val="000000"/>
                <w:szCs w:val="20"/>
              </w:rPr>
              <w:fldChar w:fldCharType="begin">
                <w:ffData>
                  <w:name w:val=""/>
                  <w:enabled/>
                  <w:calcOnExit w:val="0"/>
                  <w:helpText w:type="text" w:val="GEF Agency(ies):  In the dropdown menu, select the GEF Agency.  For multi-agency projects, select the other agency(ies) from the other pull down menu that is also provided"/>
                  <w:ddList>
                    <w:listEntry w:val="(select)"/>
                    <w:listEntry w:val="Hexabromobiphenyl"/>
                    <w:listEntry w:val="Hexabromocyclododecane (HBDC)"/>
                    <w:listEntry w:val="Hexa-Heptabromodiphenyl ether"/>
                    <w:listEntry w:val="Hexachlorobenzene (HCB)"/>
                    <w:listEntry w:val="Hexachlorobutadiene"/>
                    <w:listEntry w:val="Lindane"/>
                    <w:listEntry w:val="Mirex"/>
                    <w:listEntry w:val="Pentachlorophenol/salts/esters"/>
                    <w:listEntry w:val="Perfluorooctane sulfunic acid/salts/PFOS"/>
                  </w:ddList>
                </w:ffData>
              </w:fldChar>
            </w:r>
            <w:r w:rsidRPr="007F5638">
              <w:rPr>
                <w:rFonts w:cstheme="minorHAnsi"/>
                <w:color w:val="000000"/>
                <w:szCs w:val="20"/>
              </w:rPr>
              <w:instrText xml:space="preserve"> FORMDROPDOWN </w:instrText>
            </w:r>
            <w:r w:rsidR="00B330C0">
              <w:rPr>
                <w:rFonts w:cstheme="minorHAnsi"/>
                <w:color w:val="000000"/>
                <w:szCs w:val="20"/>
              </w:rPr>
            </w:r>
            <w:r w:rsidR="00B330C0">
              <w:rPr>
                <w:rFonts w:cstheme="minorHAnsi"/>
                <w:color w:val="000000"/>
                <w:szCs w:val="20"/>
              </w:rPr>
              <w:fldChar w:fldCharType="separate"/>
            </w:r>
            <w:r w:rsidRPr="007F5638">
              <w:rPr>
                <w:rFonts w:cstheme="minorHAnsi"/>
                <w:color w:val="000000"/>
                <w:szCs w:val="20"/>
              </w:rPr>
              <w:fldChar w:fldCharType="end"/>
            </w:r>
            <w:r w:rsidRPr="007F5638">
              <w:rPr>
                <w:rFonts w:cstheme="minorHAnsi"/>
                <w:color w:val="000000"/>
                <w:szCs w:val="20"/>
              </w:rPr>
              <w:t xml:space="preserve">    </w:t>
            </w:r>
          </w:p>
        </w:tc>
        <w:tc>
          <w:tcPr>
            <w:tcW w:w="1748" w:type="dxa"/>
            <w:gridSpan w:val="4"/>
          </w:tcPr>
          <w:p w14:paraId="7747ECEA" w14:textId="77777777" w:rsidR="00601D9B" w:rsidRDefault="000E53A0">
            <w:pPr>
              <w:jc w:val="right"/>
              <w:rPr>
                <w:rFonts w:cstheme="minorHAnsi"/>
                <w:sz w:val="18"/>
                <w:szCs w:val="18"/>
              </w:rPr>
            </w:pPr>
            <w:r w:rsidRPr="007F5638">
              <w:rPr>
                <w:rFonts w:cstheme="minorHAnsi"/>
                <w:color w:val="000000"/>
                <w:szCs w:val="20"/>
              </w:rPr>
              <w:fldChar w:fldCharType="begin">
                <w:ffData>
                  <w:name w:val=""/>
                  <w:enabled/>
                  <w:calcOnExit w:val="0"/>
                  <w:helpText w:type="text" w:val="GEF Agency(ies):  In the dropdown menu, select the GEF Agency.  For multi-agency projects, select the other agency(ies) from the other pull down menu that is also provided"/>
                  <w:ddList>
                    <w:listEntry w:val="(select)"/>
                    <w:listEntry w:val="Polychlorinated biphenyls (PCB)"/>
                    <w:listEntry w:val="Polychlorinated Dibenzofurans (PCDF)"/>
                    <w:listEntry w:val="Polychlorinated Dibenzo-p-dioxins (PCDD)"/>
                    <w:listEntry w:val="Polychlorinated naphthalenes (PCN)"/>
                    <w:listEntry w:val="Tetrabromodiphenyl ether/Pentabromodiphenyl ether"/>
                    <w:listEntry w:val="Toxaphene"/>
                  </w:ddList>
                </w:ffData>
              </w:fldChar>
            </w:r>
            <w:r w:rsidRPr="007F5638">
              <w:rPr>
                <w:rFonts w:cstheme="minorHAnsi"/>
                <w:color w:val="000000"/>
                <w:szCs w:val="20"/>
              </w:rPr>
              <w:instrText xml:space="preserve"> FORMDROPDOWN </w:instrText>
            </w:r>
            <w:r w:rsidR="00B330C0">
              <w:rPr>
                <w:rFonts w:cstheme="minorHAnsi"/>
                <w:color w:val="000000"/>
                <w:szCs w:val="20"/>
              </w:rPr>
            </w:r>
            <w:r w:rsidR="00B330C0">
              <w:rPr>
                <w:rFonts w:cstheme="minorHAnsi"/>
                <w:color w:val="000000"/>
                <w:szCs w:val="20"/>
              </w:rPr>
              <w:fldChar w:fldCharType="separate"/>
            </w:r>
            <w:r w:rsidRPr="007F5638">
              <w:rPr>
                <w:rFonts w:cstheme="minorHAnsi"/>
                <w:color w:val="000000"/>
                <w:szCs w:val="20"/>
              </w:rPr>
              <w:fldChar w:fldCharType="end"/>
            </w:r>
          </w:p>
        </w:tc>
        <w:tc>
          <w:tcPr>
            <w:tcW w:w="1323" w:type="dxa"/>
            <w:gridSpan w:val="2"/>
          </w:tcPr>
          <w:p w14:paraId="1D58C160"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477" w:type="dxa"/>
            <w:gridSpan w:val="2"/>
          </w:tcPr>
          <w:p w14:paraId="70FF36CB"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306" w:type="dxa"/>
          </w:tcPr>
          <w:p w14:paraId="09E60F6C"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287" w:type="dxa"/>
          </w:tcPr>
          <w:p w14:paraId="59EA5782"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r>
      <w:tr w:rsidR="007F5638" w:rsidRPr="007F5638" w14:paraId="00A4B3B8" w14:textId="77777777" w:rsidTr="001A7B9D">
        <w:tc>
          <w:tcPr>
            <w:tcW w:w="1298" w:type="dxa"/>
          </w:tcPr>
          <w:p w14:paraId="477D2426" w14:textId="77777777" w:rsidR="00601D9B" w:rsidRDefault="000E53A0">
            <w:pPr>
              <w:jc w:val="right"/>
              <w:rPr>
                <w:rFonts w:cstheme="minorHAnsi"/>
                <w:sz w:val="18"/>
                <w:szCs w:val="18"/>
              </w:rPr>
            </w:pPr>
            <w:r w:rsidRPr="007F5638">
              <w:rPr>
                <w:rFonts w:cstheme="minorHAnsi"/>
                <w:color w:val="000000"/>
                <w:szCs w:val="20"/>
              </w:rPr>
              <w:fldChar w:fldCharType="begin">
                <w:ffData>
                  <w:name w:val="GEF_IA_01"/>
                  <w:enabled/>
                  <w:calcOnExit w:val="0"/>
                  <w:helpText w:type="text" w:val="GEF Agency(ies):  In the dropdown menu, select the GEF Agency.  For multi-agency projects, select the other agency(ies) from the other pull down menu that is also provided"/>
                  <w:ddList>
                    <w:listEntry w:val="(select)"/>
                    <w:listEntry w:val="Aldrin"/>
                    <w:listEntry w:val="Alpha hexachlorocyclohexane"/>
                    <w:listEntry w:val="Beta hexachlorocyclohexane"/>
                    <w:listEntry w:val="Chlordane"/>
                    <w:listEntry w:val="DDT"/>
                    <w:listEntry w:val="Dieldrin"/>
                    <w:listEntry w:val="Endosulfan and isomers"/>
                    <w:listEntry w:val="Endrin"/>
                    <w:listEntry w:val="Heptachlor"/>
                  </w:ddList>
                </w:ffData>
              </w:fldChar>
            </w:r>
            <w:r w:rsidRPr="007F5638">
              <w:rPr>
                <w:rFonts w:cstheme="minorHAnsi"/>
                <w:color w:val="000000"/>
                <w:szCs w:val="20"/>
              </w:rPr>
              <w:instrText xml:space="preserve"> FORMDROPDOWN </w:instrText>
            </w:r>
            <w:r w:rsidR="00B330C0">
              <w:rPr>
                <w:rFonts w:cstheme="minorHAnsi"/>
                <w:color w:val="000000"/>
                <w:szCs w:val="20"/>
              </w:rPr>
            </w:r>
            <w:r w:rsidR="00B330C0">
              <w:rPr>
                <w:rFonts w:cstheme="minorHAnsi"/>
                <w:color w:val="000000"/>
                <w:szCs w:val="20"/>
              </w:rPr>
              <w:fldChar w:fldCharType="separate"/>
            </w:r>
            <w:r w:rsidRPr="007F5638">
              <w:rPr>
                <w:rFonts w:cstheme="minorHAnsi"/>
                <w:color w:val="000000"/>
                <w:szCs w:val="20"/>
              </w:rPr>
              <w:fldChar w:fldCharType="end"/>
            </w:r>
            <w:r w:rsidRPr="007F5638">
              <w:rPr>
                <w:rFonts w:cstheme="minorHAnsi"/>
                <w:color w:val="000000"/>
                <w:szCs w:val="20"/>
              </w:rPr>
              <w:t xml:space="preserve">  </w:t>
            </w:r>
          </w:p>
        </w:tc>
        <w:tc>
          <w:tcPr>
            <w:tcW w:w="933" w:type="dxa"/>
          </w:tcPr>
          <w:p w14:paraId="26E09D06" w14:textId="77777777" w:rsidR="00601D9B" w:rsidRDefault="000E53A0">
            <w:pPr>
              <w:jc w:val="right"/>
              <w:rPr>
                <w:rFonts w:cstheme="minorHAnsi"/>
                <w:sz w:val="18"/>
                <w:szCs w:val="18"/>
              </w:rPr>
            </w:pPr>
            <w:r w:rsidRPr="007F5638">
              <w:rPr>
                <w:rFonts w:cstheme="minorHAnsi"/>
                <w:color w:val="000000"/>
                <w:szCs w:val="20"/>
              </w:rPr>
              <w:fldChar w:fldCharType="begin">
                <w:ffData>
                  <w:name w:val=""/>
                  <w:enabled/>
                  <w:calcOnExit w:val="0"/>
                  <w:helpText w:type="text" w:val="GEF Agency(ies):  In the dropdown menu, select the GEF Agency.  For multi-agency projects, select the other agency(ies) from the other pull down menu that is also provided"/>
                  <w:ddList>
                    <w:listEntry w:val="(select)"/>
                    <w:listEntry w:val="Hexabromobiphenyl"/>
                    <w:listEntry w:val="Hexabromocyclododecane (HBDC)"/>
                    <w:listEntry w:val="Hexa-Heptabromodiphenyl ether"/>
                    <w:listEntry w:val="Hexachlorobenzene (HCB)"/>
                    <w:listEntry w:val="Hexachlorobutadiene"/>
                    <w:listEntry w:val="Lindane"/>
                    <w:listEntry w:val="Mirex"/>
                    <w:listEntry w:val="Pentachlorophenol/salts/esters"/>
                    <w:listEntry w:val="Perfluorooctane sulfunic acid/salts/PFOS"/>
                  </w:ddList>
                </w:ffData>
              </w:fldChar>
            </w:r>
            <w:r w:rsidRPr="007F5638">
              <w:rPr>
                <w:rFonts w:cstheme="minorHAnsi"/>
                <w:color w:val="000000"/>
                <w:szCs w:val="20"/>
              </w:rPr>
              <w:instrText xml:space="preserve"> FORMDROPDOWN </w:instrText>
            </w:r>
            <w:r w:rsidR="00B330C0">
              <w:rPr>
                <w:rFonts w:cstheme="minorHAnsi"/>
                <w:color w:val="000000"/>
                <w:szCs w:val="20"/>
              </w:rPr>
            </w:r>
            <w:r w:rsidR="00B330C0">
              <w:rPr>
                <w:rFonts w:cstheme="minorHAnsi"/>
                <w:color w:val="000000"/>
                <w:szCs w:val="20"/>
              </w:rPr>
              <w:fldChar w:fldCharType="separate"/>
            </w:r>
            <w:r w:rsidRPr="007F5638">
              <w:rPr>
                <w:rFonts w:cstheme="minorHAnsi"/>
                <w:color w:val="000000"/>
                <w:szCs w:val="20"/>
              </w:rPr>
              <w:fldChar w:fldCharType="end"/>
            </w:r>
            <w:r w:rsidRPr="007F5638">
              <w:rPr>
                <w:rFonts w:cstheme="minorHAnsi"/>
                <w:color w:val="000000"/>
                <w:szCs w:val="20"/>
              </w:rPr>
              <w:t xml:space="preserve">    </w:t>
            </w:r>
          </w:p>
        </w:tc>
        <w:tc>
          <w:tcPr>
            <w:tcW w:w="1748" w:type="dxa"/>
            <w:gridSpan w:val="4"/>
          </w:tcPr>
          <w:p w14:paraId="11F4B325" w14:textId="77777777" w:rsidR="00601D9B" w:rsidRDefault="000E53A0">
            <w:pPr>
              <w:jc w:val="right"/>
              <w:rPr>
                <w:rFonts w:cstheme="minorHAnsi"/>
                <w:sz w:val="18"/>
                <w:szCs w:val="18"/>
              </w:rPr>
            </w:pPr>
            <w:r w:rsidRPr="007F5638">
              <w:rPr>
                <w:rFonts w:cstheme="minorHAnsi"/>
                <w:color w:val="000000"/>
                <w:szCs w:val="20"/>
              </w:rPr>
              <w:fldChar w:fldCharType="begin">
                <w:ffData>
                  <w:name w:val=""/>
                  <w:enabled/>
                  <w:calcOnExit w:val="0"/>
                  <w:helpText w:type="text" w:val="GEF Agency(ies):  In the dropdown menu, select the GEF Agency.  For multi-agency projects, select the other agency(ies) from the other pull down menu that is also provided"/>
                  <w:ddList>
                    <w:listEntry w:val="(select)"/>
                    <w:listEntry w:val="Polychlorinated biphenyls (PCB)"/>
                    <w:listEntry w:val="Polychlorinated Dibenzofurans (PCDF)"/>
                    <w:listEntry w:val="Polychlorinated Dibenzo-p-dioxins (PCDD)"/>
                    <w:listEntry w:val="Polychlorinated naphthalenes (PCN)"/>
                    <w:listEntry w:val="Tetrabromodiphenyl ether/Pentabromodiphenyl ether"/>
                    <w:listEntry w:val="Toxaphene"/>
                  </w:ddList>
                </w:ffData>
              </w:fldChar>
            </w:r>
            <w:r w:rsidRPr="007F5638">
              <w:rPr>
                <w:rFonts w:cstheme="minorHAnsi"/>
                <w:color w:val="000000"/>
                <w:szCs w:val="20"/>
              </w:rPr>
              <w:instrText xml:space="preserve"> FORMDROPDOWN </w:instrText>
            </w:r>
            <w:r w:rsidR="00B330C0">
              <w:rPr>
                <w:rFonts w:cstheme="minorHAnsi"/>
                <w:color w:val="000000"/>
                <w:szCs w:val="20"/>
              </w:rPr>
            </w:r>
            <w:r w:rsidR="00B330C0">
              <w:rPr>
                <w:rFonts w:cstheme="minorHAnsi"/>
                <w:color w:val="000000"/>
                <w:szCs w:val="20"/>
              </w:rPr>
              <w:fldChar w:fldCharType="separate"/>
            </w:r>
            <w:r w:rsidRPr="007F5638">
              <w:rPr>
                <w:rFonts w:cstheme="minorHAnsi"/>
                <w:color w:val="000000"/>
                <w:szCs w:val="20"/>
              </w:rPr>
              <w:fldChar w:fldCharType="end"/>
            </w:r>
          </w:p>
        </w:tc>
        <w:tc>
          <w:tcPr>
            <w:tcW w:w="1323" w:type="dxa"/>
            <w:gridSpan w:val="2"/>
          </w:tcPr>
          <w:p w14:paraId="73893C40"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477" w:type="dxa"/>
            <w:gridSpan w:val="2"/>
          </w:tcPr>
          <w:p w14:paraId="72D94AB9"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306" w:type="dxa"/>
          </w:tcPr>
          <w:p w14:paraId="15149591"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287" w:type="dxa"/>
          </w:tcPr>
          <w:p w14:paraId="51BAA6FA"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r>
      <w:tr w:rsidR="007F5638" w:rsidRPr="007F5638" w14:paraId="5E4B3E74" w14:textId="77777777" w:rsidTr="001A7B9D">
        <w:tc>
          <w:tcPr>
            <w:tcW w:w="1298" w:type="dxa"/>
          </w:tcPr>
          <w:p w14:paraId="498F46BA" w14:textId="77777777" w:rsidR="00601D9B" w:rsidRDefault="000E53A0">
            <w:pPr>
              <w:jc w:val="right"/>
              <w:rPr>
                <w:rFonts w:cstheme="minorHAnsi"/>
                <w:sz w:val="18"/>
                <w:szCs w:val="18"/>
              </w:rPr>
            </w:pPr>
            <w:r w:rsidRPr="007F5638">
              <w:rPr>
                <w:rFonts w:cstheme="minorHAnsi"/>
                <w:color w:val="000000"/>
                <w:szCs w:val="20"/>
              </w:rPr>
              <w:fldChar w:fldCharType="begin">
                <w:ffData>
                  <w:name w:val="GEF_IA_01"/>
                  <w:enabled/>
                  <w:calcOnExit w:val="0"/>
                  <w:helpText w:type="text" w:val="GEF Agency(ies):  In the dropdown menu, select the GEF Agency.  For multi-agency projects, select the other agency(ies) from the other pull down menu that is also provided"/>
                  <w:ddList>
                    <w:listEntry w:val="(select)"/>
                    <w:listEntry w:val="Aldrin"/>
                    <w:listEntry w:val="Alpha hexachlorocyclohexane"/>
                    <w:listEntry w:val="Beta hexachlorocyclohexane"/>
                    <w:listEntry w:val="Chlordane"/>
                    <w:listEntry w:val="DDT"/>
                    <w:listEntry w:val="Dieldrin"/>
                    <w:listEntry w:val="Endosulfan and isomers"/>
                    <w:listEntry w:val="Endrin"/>
                    <w:listEntry w:val="Heptachlor"/>
                  </w:ddList>
                </w:ffData>
              </w:fldChar>
            </w:r>
            <w:r w:rsidRPr="007F5638">
              <w:rPr>
                <w:rFonts w:cstheme="minorHAnsi"/>
                <w:color w:val="000000"/>
                <w:szCs w:val="20"/>
              </w:rPr>
              <w:instrText xml:space="preserve"> FORMDROPDOWN </w:instrText>
            </w:r>
            <w:r w:rsidR="00B330C0">
              <w:rPr>
                <w:rFonts w:cstheme="minorHAnsi"/>
                <w:color w:val="000000"/>
                <w:szCs w:val="20"/>
              </w:rPr>
            </w:r>
            <w:r w:rsidR="00B330C0">
              <w:rPr>
                <w:rFonts w:cstheme="minorHAnsi"/>
                <w:color w:val="000000"/>
                <w:szCs w:val="20"/>
              </w:rPr>
              <w:fldChar w:fldCharType="separate"/>
            </w:r>
            <w:r w:rsidRPr="007F5638">
              <w:rPr>
                <w:rFonts w:cstheme="minorHAnsi"/>
                <w:color w:val="000000"/>
                <w:szCs w:val="20"/>
              </w:rPr>
              <w:fldChar w:fldCharType="end"/>
            </w:r>
            <w:r w:rsidRPr="007F5638">
              <w:rPr>
                <w:rFonts w:cstheme="minorHAnsi"/>
                <w:color w:val="000000"/>
                <w:szCs w:val="20"/>
              </w:rPr>
              <w:t xml:space="preserve">  </w:t>
            </w:r>
          </w:p>
        </w:tc>
        <w:tc>
          <w:tcPr>
            <w:tcW w:w="933" w:type="dxa"/>
          </w:tcPr>
          <w:p w14:paraId="18991FD8" w14:textId="77777777" w:rsidR="00601D9B" w:rsidRDefault="000E53A0">
            <w:pPr>
              <w:jc w:val="right"/>
              <w:rPr>
                <w:rFonts w:cstheme="minorHAnsi"/>
                <w:sz w:val="18"/>
                <w:szCs w:val="18"/>
              </w:rPr>
            </w:pPr>
            <w:r w:rsidRPr="007F5638">
              <w:rPr>
                <w:rFonts w:cstheme="minorHAnsi"/>
                <w:color w:val="000000"/>
                <w:szCs w:val="20"/>
              </w:rPr>
              <w:fldChar w:fldCharType="begin">
                <w:ffData>
                  <w:name w:val=""/>
                  <w:enabled/>
                  <w:calcOnExit w:val="0"/>
                  <w:helpText w:type="text" w:val="GEF Agency(ies):  In the dropdown menu, select the GEF Agency.  For multi-agency projects, select the other agency(ies) from the other pull down menu that is also provided"/>
                  <w:ddList>
                    <w:listEntry w:val="(select)"/>
                    <w:listEntry w:val="Hexabromobiphenyl"/>
                    <w:listEntry w:val="Hexabromocyclododecane (HBDC)"/>
                    <w:listEntry w:val="Hexa-Heptabromodiphenyl ether"/>
                    <w:listEntry w:val="Hexachlorobenzene (HCB)"/>
                    <w:listEntry w:val="Hexachlorobutadiene"/>
                    <w:listEntry w:val="Lindane"/>
                    <w:listEntry w:val="Mirex"/>
                    <w:listEntry w:val="Pentachlorophenol/salts/esters"/>
                    <w:listEntry w:val="Perfluorooctane sulfunic acid/salts/PFOS"/>
                  </w:ddList>
                </w:ffData>
              </w:fldChar>
            </w:r>
            <w:r w:rsidRPr="007F5638">
              <w:rPr>
                <w:rFonts w:cstheme="minorHAnsi"/>
                <w:color w:val="000000"/>
                <w:szCs w:val="20"/>
              </w:rPr>
              <w:instrText xml:space="preserve"> FORMDROPDOWN </w:instrText>
            </w:r>
            <w:r w:rsidR="00B330C0">
              <w:rPr>
                <w:rFonts w:cstheme="minorHAnsi"/>
                <w:color w:val="000000"/>
                <w:szCs w:val="20"/>
              </w:rPr>
            </w:r>
            <w:r w:rsidR="00B330C0">
              <w:rPr>
                <w:rFonts w:cstheme="minorHAnsi"/>
                <w:color w:val="000000"/>
                <w:szCs w:val="20"/>
              </w:rPr>
              <w:fldChar w:fldCharType="separate"/>
            </w:r>
            <w:r w:rsidRPr="007F5638">
              <w:rPr>
                <w:rFonts w:cstheme="minorHAnsi"/>
                <w:color w:val="000000"/>
                <w:szCs w:val="20"/>
              </w:rPr>
              <w:fldChar w:fldCharType="end"/>
            </w:r>
            <w:r w:rsidRPr="007F5638">
              <w:rPr>
                <w:rFonts w:cstheme="minorHAnsi"/>
                <w:color w:val="000000"/>
                <w:szCs w:val="20"/>
              </w:rPr>
              <w:t xml:space="preserve">    </w:t>
            </w:r>
          </w:p>
        </w:tc>
        <w:tc>
          <w:tcPr>
            <w:tcW w:w="1748" w:type="dxa"/>
            <w:gridSpan w:val="4"/>
          </w:tcPr>
          <w:p w14:paraId="45677158" w14:textId="77777777" w:rsidR="00601D9B" w:rsidRDefault="000E53A0">
            <w:pPr>
              <w:jc w:val="right"/>
              <w:rPr>
                <w:rFonts w:cstheme="minorHAnsi"/>
                <w:sz w:val="18"/>
                <w:szCs w:val="18"/>
              </w:rPr>
            </w:pPr>
            <w:r w:rsidRPr="007F5638">
              <w:rPr>
                <w:rFonts w:cstheme="minorHAnsi"/>
                <w:color w:val="000000"/>
                <w:szCs w:val="20"/>
              </w:rPr>
              <w:fldChar w:fldCharType="begin">
                <w:ffData>
                  <w:name w:val=""/>
                  <w:enabled/>
                  <w:calcOnExit w:val="0"/>
                  <w:helpText w:type="text" w:val="GEF Agency(ies):  In the dropdown menu, select the GEF Agency.  For multi-agency projects, select the other agency(ies) from the other pull down menu that is also provided"/>
                  <w:ddList>
                    <w:listEntry w:val="(select)"/>
                    <w:listEntry w:val="Polychlorinated biphenyls (PCB)"/>
                    <w:listEntry w:val="Polychlorinated Dibenzofurans (PCDF)"/>
                    <w:listEntry w:val="Polychlorinated Dibenzo-p-dioxins (PCDD)"/>
                    <w:listEntry w:val="Polychlorinated naphthalenes (PCN)"/>
                    <w:listEntry w:val="Tetrabromodiphenyl ether/Pentabromodiphenyl ether"/>
                    <w:listEntry w:val="Toxaphene"/>
                  </w:ddList>
                </w:ffData>
              </w:fldChar>
            </w:r>
            <w:r w:rsidRPr="007F5638">
              <w:rPr>
                <w:rFonts w:cstheme="minorHAnsi"/>
                <w:color w:val="000000"/>
                <w:szCs w:val="20"/>
              </w:rPr>
              <w:instrText xml:space="preserve"> FORMDROPDOWN </w:instrText>
            </w:r>
            <w:r w:rsidR="00B330C0">
              <w:rPr>
                <w:rFonts w:cstheme="minorHAnsi"/>
                <w:color w:val="000000"/>
                <w:szCs w:val="20"/>
              </w:rPr>
            </w:r>
            <w:r w:rsidR="00B330C0">
              <w:rPr>
                <w:rFonts w:cstheme="minorHAnsi"/>
                <w:color w:val="000000"/>
                <w:szCs w:val="20"/>
              </w:rPr>
              <w:fldChar w:fldCharType="separate"/>
            </w:r>
            <w:r w:rsidRPr="007F5638">
              <w:rPr>
                <w:rFonts w:cstheme="minorHAnsi"/>
                <w:color w:val="000000"/>
                <w:szCs w:val="20"/>
              </w:rPr>
              <w:fldChar w:fldCharType="end"/>
            </w:r>
          </w:p>
        </w:tc>
        <w:tc>
          <w:tcPr>
            <w:tcW w:w="1323" w:type="dxa"/>
            <w:gridSpan w:val="2"/>
          </w:tcPr>
          <w:p w14:paraId="2C740893" w14:textId="77777777" w:rsidR="00601D9B" w:rsidRDefault="000E53A0">
            <w:pPr>
              <w:jc w:val="right"/>
              <w:rPr>
                <w:rFonts w:cstheme="minorHAnsi"/>
                <w:i/>
                <w:color w:val="000000"/>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477" w:type="dxa"/>
            <w:gridSpan w:val="2"/>
          </w:tcPr>
          <w:p w14:paraId="7A79AD71" w14:textId="77777777" w:rsidR="00601D9B" w:rsidRDefault="000E53A0">
            <w:pPr>
              <w:jc w:val="right"/>
              <w:rPr>
                <w:rFonts w:cstheme="minorHAnsi"/>
                <w:i/>
                <w:color w:val="000000"/>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306" w:type="dxa"/>
          </w:tcPr>
          <w:p w14:paraId="28FFB12D" w14:textId="77777777" w:rsidR="00601D9B" w:rsidRDefault="000E53A0">
            <w:pPr>
              <w:jc w:val="right"/>
              <w:rPr>
                <w:rFonts w:cstheme="minorHAnsi"/>
                <w:i/>
                <w:color w:val="000000"/>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287" w:type="dxa"/>
          </w:tcPr>
          <w:p w14:paraId="743CDF31" w14:textId="77777777" w:rsidR="00601D9B" w:rsidRDefault="000E53A0">
            <w:pPr>
              <w:jc w:val="right"/>
              <w:rPr>
                <w:rFonts w:cstheme="minorHAnsi"/>
                <w:i/>
                <w:color w:val="000000"/>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r>
      <w:tr w:rsidR="007F5638" w:rsidRPr="007F5638" w14:paraId="0F4F1A56" w14:textId="77777777" w:rsidTr="001A7B9D">
        <w:tc>
          <w:tcPr>
            <w:tcW w:w="1298" w:type="dxa"/>
            <w:shd w:val="clear" w:color="auto" w:fill="BFBFBF" w:themeFill="background1" w:themeFillShade="BF"/>
          </w:tcPr>
          <w:p w14:paraId="07A7D876" w14:textId="77777777" w:rsidR="00601D9B" w:rsidRDefault="000E53A0">
            <w:pPr>
              <w:rPr>
                <w:rFonts w:cstheme="minorHAnsi"/>
                <w:sz w:val="18"/>
                <w:szCs w:val="18"/>
              </w:rPr>
            </w:pPr>
            <w:r w:rsidRPr="007F5638">
              <w:rPr>
                <w:rFonts w:cstheme="minorHAnsi"/>
                <w:sz w:val="18"/>
                <w:szCs w:val="18"/>
              </w:rPr>
              <w:t>Indicateur 9.2</w:t>
            </w:r>
          </w:p>
        </w:tc>
        <w:tc>
          <w:tcPr>
            <w:tcW w:w="6787" w:type="dxa"/>
            <w:gridSpan w:val="10"/>
            <w:shd w:val="clear" w:color="auto" w:fill="BFBFBF" w:themeFill="background1" w:themeFillShade="BF"/>
          </w:tcPr>
          <w:p w14:paraId="4D27E50F" w14:textId="77777777" w:rsidR="00601D9B" w:rsidRPr="000E53A0" w:rsidRDefault="000E53A0">
            <w:pPr>
              <w:rPr>
                <w:rFonts w:cstheme="minorHAnsi"/>
                <w:sz w:val="18"/>
                <w:szCs w:val="18"/>
                <w:lang w:val="fr-FR"/>
              </w:rPr>
            </w:pPr>
            <w:r w:rsidRPr="000E53A0">
              <w:rPr>
                <w:rFonts w:cstheme="minorHAnsi"/>
                <w:sz w:val="18"/>
                <w:szCs w:val="18"/>
                <w:lang w:val="fr-FR"/>
              </w:rPr>
              <w:t>Réduction de la quantité de mercure</w:t>
            </w:r>
          </w:p>
        </w:tc>
        <w:tc>
          <w:tcPr>
            <w:tcW w:w="1287" w:type="dxa"/>
            <w:shd w:val="clear" w:color="auto" w:fill="BFBFBF" w:themeFill="background1" w:themeFillShade="BF"/>
          </w:tcPr>
          <w:p w14:paraId="0E8B4126"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r>
      <w:tr w:rsidR="007F5638" w:rsidRPr="007F5638" w14:paraId="2C57D6A1" w14:textId="77777777" w:rsidTr="001A7B9D">
        <w:trPr>
          <w:trHeight w:val="125"/>
        </w:trPr>
        <w:tc>
          <w:tcPr>
            <w:tcW w:w="1298" w:type="dxa"/>
            <w:vMerge w:val="restart"/>
          </w:tcPr>
          <w:p w14:paraId="68B20C50" w14:textId="77777777" w:rsidR="007F5638" w:rsidRPr="007F5638" w:rsidRDefault="007F5638" w:rsidP="007F5638">
            <w:pPr>
              <w:rPr>
                <w:rFonts w:cstheme="minorHAnsi"/>
                <w:sz w:val="18"/>
                <w:szCs w:val="18"/>
              </w:rPr>
            </w:pPr>
          </w:p>
        </w:tc>
        <w:tc>
          <w:tcPr>
            <w:tcW w:w="933" w:type="dxa"/>
            <w:vMerge w:val="restart"/>
          </w:tcPr>
          <w:p w14:paraId="118F4650" w14:textId="77777777" w:rsidR="007F5638" w:rsidRPr="007F5638" w:rsidRDefault="007F5638" w:rsidP="007F5638">
            <w:pPr>
              <w:rPr>
                <w:rFonts w:cstheme="minorHAnsi"/>
                <w:sz w:val="18"/>
                <w:szCs w:val="18"/>
              </w:rPr>
            </w:pPr>
          </w:p>
        </w:tc>
        <w:tc>
          <w:tcPr>
            <w:tcW w:w="1748" w:type="dxa"/>
            <w:gridSpan w:val="4"/>
            <w:vMerge w:val="restart"/>
          </w:tcPr>
          <w:p w14:paraId="40891818" w14:textId="77777777" w:rsidR="007F5638" w:rsidRPr="007F5638" w:rsidRDefault="007F5638" w:rsidP="007F5638">
            <w:pPr>
              <w:rPr>
                <w:rFonts w:cstheme="minorHAnsi"/>
                <w:sz w:val="18"/>
                <w:szCs w:val="18"/>
              </w:rPr>
            </w:pPr>
          </w:p>
        </w:tc>
        <w:tc>
          <w:tcPr>
            <w:tcW w:w="5393" w:type="dxa"/>
            <w:gridSpan w:val="6"/>
          </w:tcPr>
          <w:p w14:paraId="666E30ED" w14:textId="77777777" w:rsidR="00601D9B" w:rsidRDefault="000E53A0">
            <w:pPr>
              <w:jc w:val="center"/>
              <w:rPr>
                <w:rFonts w:cstheme="minorHAnsi"/>
                <w:sz w:val="18"/>
                <w:szCs w:val="18"/>
              </w:rPr>
            </w:pPr>
            <w:r w:rsidRPr="007F5638">
              <w:rPr>
                <w:rFonts w:cstheme="minorHAnsi"/>
                <w:sz w:val="18"/>
                <w:szCs w:val="18"/>
              </w:rPr>
              <w:t>Tonnes métriques</w:t>
            </w:r>
          </w:p>
        </w:tc>
      </w:tr>
      <w:tr w:rsidR="007F5638" w:rsidRPr="007F5638" w14:paraId="5AD03699" w14:textId="77777777" w:rsidTr="001A7B9D">
        <w:trPr>
          <w:trHeight w:val="58"/>
        </w:trPr>
        <w:tc>
          <w:tcPr>
            <w:tcW w:w="1298" w:type="dxa"/>
            <w:vMerge/>
          </w:tcPr>
          <w:p w14:paraId="40D1B2DC" w14:textId="77777777" w:rsidR="007F5638" w:rsidRPr="007F5638" w:rsidRDefault="007F5638" w:rsidP="007F5638">
            <w:pPr>
              <w:rPr>
                <w:rFonts w:cstheme="minorHAnsi"/>
                <w:sz w:val="18"/>
                <w:szCs w:val="18"/>
              </w:rPr>
            </w:pPr>
          </w:p>
        </w:tc>
        <w:tc>
          <w:tcPr>
            <w:tcW w:w="933" w:type="dxa"/>
            <w:vMerge/>
          </w:tcPr>
          <w:p w14:paraId="47C769A1" w14:textId="77777777" w:rsidR="007F5638" w:rsidRPr="007F5638" w:rsidRDefault="007F5638" w:rsidP="007F5638">
            <w:pPr>
              <w:rPr>
                <w:rFonts w:cstheme="minorHAnsi"/>
                <w:sz w:val="18"/>
                <w:szCs w:val="18"/>
              </w:rPr>
            </w:pPr>
          </w:p>
        </w:tc>
        <w:tc>
          <w:tcPr>
            <w:tcW w:w="1748" w:type="dxa"/>
            <w:gridSpan w:val="4"/>
            <w:vMerge/>
          </w:tcPr>
          <w:p w14:paraId="482C18CF" w14:textId="77777777" w:rsidR="007F5638" w:rsidRPr="007F5638" w:rsidRDefault="007F5638" w:rsidP="007F5638">
            <w:pPr>
              <w:rPr>
                <w:rFonts w:cstheme="minorHAnsi"/>
                <w:sz w:val="18"/>
                <w:szCs w:val="18"/>
              </w:rPr>
            </w:pPr>
          </w:p>
        </w:tc>
        <w:tc>
          <w:tcPr>
            <w:tcW w:w="2800" w:type="dxa"/>
            <w:gridSpan w:val="4"/>
          </w:tcPr>
          <w:p w14:paraId="5EC09670" w14:textId="77777777" w:rsidR="00601D9B" w:rsidRDefault="000E53A0">
            <w:pPr>
              <w:jc w:val="center"/>
              <w:rPr>
                <w:rFonts w:cstheme="minorHAnsi"/>
                <w:sz w:val="18"/>
                <w:szCs w:val="18"/>
              </w:rPr>
            </w:pPr>
            <w:r w:rsidRPr="007F5638">
              <w:rPr>
                <w:rFonts w:cstheme="minorHAnsi"/>
                <w:sz w:val="18"/>
                <w:szCs w:val="18"/>
              </w:rPr>
              <w:t>Attendu</w:t>
            </w:r>
          </w:p>
        </w:tc>
        <w:tc>
          <w:tcPr>
            <w:tcW w:w="2593" w:type="dxa"/>
            <w:gridSpan w:val="2"/>
          </w:tcPr>
          <w:p w14:paraId="1D582D57" w14:textId="77777777" w:rsidR="00601D9B" w:rsidRDefault="000E53A0">
            <w:pPr>
              <w:jc w:val="center"/>
              <w:rPr>
                <w:rFonts w:cstheme="minorHAnsi"/>
                <w:sz w:val="18"/>
                <w:szCs w:val="18"/>
              </w:rPr>
            </w:pPr>
            <w:r w:rsidRPr="007F5638">
              <w:rPr>
                <w:rFonts w:cstheme="minorHAnsi"/>
                <w:sz w:val="18"/>
                <w:szCs w:val="18"/>
              </w:rPr>
              <w:t>Réalisé</w:t>
            </w:r>
          </w:p>
        </w:tc>
      </w:tr>
      <w:tr w:rsidR="007F5638" w:rsidRPr="007F5638" w14:paraId="4FFEF939" w14:textId="77777777" w:rsidTr="001A7B9D">
        <w:trPr>
          <w:trHeight w:val="206"/>
        </w:trPr>
        <w:tc>
          <w:tcPr>
            <w:tcW w:w="1298" w:type="dxa"/>
            <w:vMerge/>
          </w:tcPr>
          <w:p w14:paraId="00CB7D2D" w14:textId="77777777" w:rsidR="007F5638" w:rsidRPr="007F5638" w:rsidRDefault="007F5638" w:rsidP="007F5638">
            <w:pPr>
              <w:rPr>
                <w:rFonts w:cstheme="minorHAnsi"/>
                <w:sz w:val="18"/>
                <w:szCs w:val="18"/>
              </w:rPr>
            </w:pPr>
          </w:p>
        </w:tc>
        <w:tc>
          <w:tcPr>
            <w:tcW w:w="933" w:type="dxa"/>
            <w:vMerge/>
          </w:tcPr>
          <w:p w14:paraId="198DE8EA" w14:textId="77777777" w:rsidR="007F5638" w:rsidRPr="007F5638" w:rsidRDefault="007F5638" w:rsidP="007F5638">
            <w:pPr>
              <w:rPr>
                <w:rFonts w:cstheme="minorHAnsi"/>
                <w:sz w:val="18"/>
                <w:szCs w:val="18"/>
              </w:rPr>
            </w:pPr>
          </w:p>
        </w:tc>
        <w:tc>
          <w:tcPr>
            <w:tcW w:w="1748" w:type="dxa"/>
            <w:gridSpan w:val="4"/>
            <w:vMerge/>
          </w:tcPr>
          <w:p w14:paraId="742D0A02" w14:textId="77777777" w:rsidR="007F5638" w:rsidRPr="007F5638" w:rsidRDefault="007F5638" w:rsidP="007F5638">
            <w:pPr>
              <w:rPr>
                <w:rFonts w:cstheme="minorHAnsi"/>
                <w:sz w:val="18"/>
                <w:szCs w:val="18"/>
              </w:rPr>
            </w:pPr>
          </w:p>
        </w:tc>
        <w:tc>
          <w:tcPr>
            <w:tcW w:w="1323" w:type="dxa"/>
            <w:gridSpan w:val="2"/>
          </w:tcPr>
          <w:p w14:paraId="7EE5F27C" w14:textId="77777777" w:rsidR="00601D9B" w:rsidRDefault="000E53A0">
            <w:pPr>
              <w:jc w:val="center"/>
              <w:rPr>
                <w:rFonts w:cstheme="minorHAnsi"/>
                <w:sz w:val="18"/>
                <w:szCs w:val="18"/>
              </w:rPr>
            </w:pPr>
            <w:r w:rsidRPr="007F5638">
              <w:rPr>
                <w:rFonts w:cstheme="minorHAnsi"/>
                <w:sz w:val="18"/>
                <w:szCs w:val="18"/>
              </w:rPr>
              <w:t>Étape du FIP</w:t>
            </w:r>
          </w:p>
        </w:tc>
        <w:tc>
          <w:tcPr>
            <w:tcW w:w="1477" w:type="dxa"/>
            <w:gridSpan w:val="2"/>
          </w:tcPr>
          <w:p w14:paraId="56947C1A" w14:textId="77777777" w:rsidR="00601D9B" w:rsidRDefault="000E53A0">
            <w:pPr>
              <w:jc w:val="center"/>
              <w:rPr>
                <w:rFonts w:cstheme="minorHAnsi"/>
                <w:sz w:val="18"/>
                <w:szCs w:val="18"/>
              </w:rPr>
            </w:pPr>
            <w:r w:rsidRPr="007F5638">
              <w:rPr>
                <w:rFonts w:cstheme="minorHAnsi"/>
                <w:sz w:val="18"/>
                <w:szCs w:val="18"/>
              </w:rPr>
              <w:t>Endossement</w:t>
            </w:r>
          </w:p>
        </w:tc>
        <w:tc>
          <w:tcPr>
            <w:tcW w:w="1306" w:type="dxa"/>
          </w:tcPr>
          <w:p w14:paraId="1969D16E" w14:textId="77777777" w:rsidR="00601D9B" w:rsidRDefault="000E53A0">
            <w:pPr>
              <w:jc w:val="center"/>
              <w:rPr>
                <w:rFonts w:cstheme="minorHAnsi"/>
                <w:sz w:val="18"/>
                <w:szCs w:val="18"/>
              </w:rPr>
            </w:pPr>
            <w:r w:rsidRPr="007F5638">
              <w:rPr>
                <w:rFonts w:cstheme="minorHAnsi"/>
                <w:sz w:val="18"/>
                <w:szCs w:val="18"/>
              </w:rPr>
              <w:t>MTR</w:t>
            </w:r>
          </w:p>
        </w:tc>
        <w:tc>
          <w:tcPr>
            <w:tcW w:w="1287" w:type="dxa"/>
          </w:tcPr>
          <w:p w14:paraId="0B943697" w14:textId="77777777" w:rsidR="00601D9B" w:rsidRDefault="000E53A0">
            <w:pPr>
              <w:jc w:val="center"/>
              <w:rPr>
                <w:rFonts w:cstheme="minorHAnsi"/>
                <w:sz w:val="18"/>
                <w:szCs w:val="18"/>
              </w:rPr>
            </w:pPr>
            <w:r w:rsidRPr="007F5638">
              <w:rPr>
                <w:rFonts w:cstheme="minorHAnsi"/>
                <w:sz w:val="18"/>
                <w:szCs w:val="18"/>
              </w:rPr>
              <w:t>TE</w:t>
            </w:r>
          </w:p>
        </w:tc>
      </w:tr>
      <w:tr w:rsidR="007F5638" w:rsidRPr="007F5638" w14:paraId="460AD858" w14:textId="77777777" w:rsidTr="001A7B9D">
        <w:tc>
          <w:tcPr>
            <w:tcW w:w="1298" w:type="dxa"/>
          </w:tcPr>
          <w:p w14:paraId="03ABECA8" w14:textId="77777777" w:rsidR="007F5638" w:rsidRPr="007F5638" w:rsidRDefault="007F5638" w:rsidP="007F5638">
            <w:pPr>
              <w:jc w:val="right"/>
              <w:rPr>
                <w:rFonts w:cstheme="minorHAnsi"/>
                <w:sz w:val="18"/>
                <w:szCs w:val="18"/>
              </w:rPr>
            </w:pPr>
          </w:p>
        </w:tc>
        <w:tc>
          <w:tcPr>
            <w:tcW w:w="2681" w:type="dxa"/>
            <w:gridSpan w:val="5"/>
          </w:tcPr>
          <w:p w14:paraId="75A2A08D" w14:textId="77777777" w:rsidR="007F5638" w:rsidRPr="007F5638" w:rsidRDefault="007F5638" w:rsidP="007F5638">
            <w:pPr>
              <w:jc w:val="right"/>
              <w:rPr>
                <w:rFonts w:cstheme="minorHAnsi"/>
                <w:sz w:val="18"/>
                <w:szCs w:val="18"/>
              </w:rPr>
            </w:pPr>
          </w:p>
        </w:tc>
        <w:tc>
          <w:tcPr>
            <w:tcW w:w="1323" w:type="dxa"/>
            <w:gridSpan w:val="2"/>
          </w:tcPr>
          <w:p w14:paraId="7AF631E9"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477" w:type="dxa"/>
            <w:gridSpan w:val="2"/>
          </w:tcPr>
          <w:p w14:paraId="51E5BF0A"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306" w:type="dxa"/>
          </w:tcPr>
          <w:p w14:paraId="75DEC529"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287" w:type="dxa"/>
          </w:tcPr>
          <w:p w14:paraId="7E3EB0A0"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r>
      <w:tr w:rsidR="007F5638" w:rsidRPr="000E53A0" w14:paraId="256CA878" w14:textId="77777777" w:rsidTr="001A7B9D">
        <w:tc>
          <w:tcPr>
            <w:tcW w:w="1298" w:type="dxa"/>
            <w:shd w:val="clear" w:color="auto" w:fill="BFBFBF" w:themeFill="background1" w:themeFillShade="BF"/>
          </w:tcPr>
          <w:p w14:paraId="291A894D" w14:textId="77777777" w:rsidR="00601D9B" w:rsidRDefault="000E53A0">
            <w:pPr>
              <w:rPr>
                <w:rFonts w:cstheme="minorHAnsi"/>
                <w:sz w:val="18"/>
                <w:szCs w:val="18"/>
              </w:rPr>
            </w:pPr>
            <w:r w:rsidRPr="007F5638">
              <w:rPr>
                <w:rFonts w:cstheme="minorHAnsi"/>
                <w:color w:val="000000"/>
                <w:sz w:val="18"/>
                <w:szCs w:val="18"/>
              </w:rPr>
              <w:t>Indicateur 9.3</w:t>
            </w:r>
          </w:p>
        </w:tc>
        <w:tc>
          <w:tcPr>
            <w:tcW w:w="8074" w:type="dxa"/>
            <w:gridSpan w:val="11"/>
            <w:shd w:val="clear" w:color="auto" w:fill="BFBFBF" w:themeFill="background1" w:themeFillShade="BF"/>
          </w:tcPr>
          <w:p w14:paraId="7A1226EF" w14:textId="77777777" w:rsidR="00601D9B" w:rsidRPr="000E53A0" w:rsidRDefault="000E53A0">
            <w:pPr>
              <w:rPr>
                <w:rFonts w:cstheme="minorHAnsi"/>
                <w:color w:val="000000"/>
                <w:sz w:val="18"/>
                <w:szCs w:val="18"/>
                <w:lang w:val="fr-FR"/>
              </w:rPr>
            </w:pPr>
            <w:r w:rsidRPr="000E53A0">
              <w:rPr>
                <w:rFonts w:cstheme="minorHAnsi"/>
                <w:color w:val="000000"/>
                <w:sz w:val="18"/>
                <w:szCs w:val="18"/>
                <w:lang w:val="fr-FR"/>
              </w:rPr>
              <w:t xml:space="preserve">Réduction/suppression des hydrochlorofluorocarbones (HCFC) </w:t>
            </w:r>
          </w:p>
        </w:tc>
      </w:tr>
      <w:tr w:rsidR="007F5638" w:rsidRPr="007F5638" w14:paraId="34D4452F" w14:textId="77777777" w:rsidTr="001A7B9D">
        <w:tc>
          <w:tcPr>
            <w:tcW w:w="1298" w:type="dxa"/>
          </w:tcPr>
          <w:p w14:paraId="5487D0FE" w14:textId="77777777" w:rsidR="007F5638" w:rsidRPr="000E53A0" w:rsidRDefault="007F5638" w:rsidP="007F5638">
            <w:pPr>
              <w:jc w:val="right"/>
              <w:rPr>
                <w:rFonts w:cstheme="minorHAnsi"/>
                <w:sz w:val="18"/>
                <w:szCs w:val="18"/>
                <w:lang w:val="fr-FR"/>
              </w:rPr>
            </w:pPr>
          </w:p>
        </w:tc>
        <w:tc>
          <w:tcPr>
            <w:tcW w:w="2681" w:type="dxa"/>
            <w:gridSpan w:val="5"/>
          </w:tcPr>
          <w:p w14:paraId="79699276" w14:textId="77777777" w:rsidR="007F5638" w:rsidRPr="000E53A0" w:rsidRDefault="007F5638" w:rsidP="007F5638">
            <w:pPr>
              <w:jc w:val="right"/>
              <w:rPr>
                <w:rFonts w:cstheme="minorHAnsi"/>
                <w:sz w:val="18"/>
                <w:szCs w:val="18"/>
                <w:lang w:val="fr-FR"/>
              </w:rPr>
            </w:pPr>
          </w:p>
        </w:tc>
        <w:tc>
          <w:tcPr>
            <w:tcW w:w="5393" w:type="dxa"/>
            <w:gridSpan w:val="6"/>
          </w:tcPr>
          <w:p w14:paraId="6224B22D" w14:textId="77777777" w:rsidR="00601D9B" w:rsidRDefault="000E53A0">
            <w:pPr>
              <w:jc w:val="center"/>
              <w:rPr>
                <w:rFonts w:cstheme="minorHAnsi"/>
                <w:i/>
                <w:color w:val="000000"/>
                <w:sz w:val="18"/>
                <w:szCs w:val="18"/>
              </w:rPr>
            </w:pPr>
            <w:r w:rsidRPr="007F5638">
              <w:rPr>
                <w:rFonts w:cstheme="minorHAnsi"/>
                <w:sz w:val="18"/>
                <w:szCs w:val="18"/>
              </w:rPr>
              <w:t>Tonnes métriques</w:t>
            </w:r>
          </w:p>
        </w:tc>
      </w:tr>
      <w:tr w:rsidR="007F5638" w:rsidRPr="007F5638" w14:paraId="2312EFB4" w14:textId="77777777" w:rsidTr="001A7B9D">
        <w:tc>
          <w:tcPr>
            <w:tcW w:w="1298" w:type="dxa"/>
          </w:tcPr>
          <w:p w14:paraId="4E6EF7F0" w14:textId="77777777" w:rsidR="007F5638" w:rsidRPr="007F5638" w:rsidRDefault="007F5638" w:rsidP="007F5638">
            <w:pPr>
              <w:jc w:val="right"/>
              <w:rPr>
                <w:rFonts w:cstheme="minorHAnsi"/>
                <w:sz w:val="18"/>
                <w:szCs w:val="18"/>
              </w:rPr>
            </w:pPr>
          </w:p>
        </w:tc>
        <w:tc>
          <w:tcPr>
            <w:tcW w:w="2681" w:type="dxa"/>
            <w:gridSpan w:val="5"/>
          </w:tcPr>
          <w:p w14:paraId="122A8031" w14:textId="77777777" w:rsidR="007F5638" w:rsidRPr="007F5638" w:rsidRDefault="007F5638" w:rsidP="007F5638">
            <w:pPr>
              <w:jc w:val="right"/>
              <w:rPr>
                <w:rFonts w:cstheme="minorHAnsi"/>
                <w:sz w:val="18"/>
                <w:szCs w:val="18"/>
              </w:rPr>
            </w:pPr>
          </w:p>
        </w:tc>
        <w:tc>
          <w:tcPr>
            <w:tcW w:w="2800" w:type="dxa"/>
            <w:gridSpan w:val="4"/>
          </w:tcPr>
          <w:p w14:paraId="03848EA7" w14:textId="77777777" w:rsidR="00601D9B" w:rsidRDefault="000E53A0">
            <w:pPr>
              <w:jc w:val="center"/>
              <w:rPr>
                <w:rFonts w:cstheme="minorHAnsi"/>
                <w:color w:val="000000"/>
                <w:sz w:val="18"/>
                <w:szCs w:val="18"/>
              </w:rPr>
            </w:pPr>
            <w:r w:rsidRPr="007F5638">
              <w:rPr>
                <w:rFonts w:cstheme="minorHAnsi"/>
                <w:color w:val="000000"/>
                <w:sz w:val="18"/>
                <w:szCs w:val="18"/>
              </w:rPr>
              <w:t>Attendu</w:t>
            </w:r>
          </w:p>
        </w:tc>
        <w:tc>
          <w:tcPr>
            <w:tcW w:w="2593" w:type="dxa"/>
            <w:gridSpan w:val="2"/>
          </w:tcPr>
          <w:p w14:paraId="0F614EA6" w14:textId="77777777" w:rsidR="00601D9B" w:rsidRDefault="000E53A0">
            <w:pPr>
              <w:jc w:val="center"/>
              <w:rPr>
                <w:rFonts w:cstheme="minorHAnsi"/>
                <w:color w:val="000000"/>
                <w:sz w:val="18"/>
                <w:szCs w:val="18"/>
              </w:rPr>
            </w:pPr>
            <w:r w:rsidRPr="007F5638">
              <w:rPr>
                <w:rFonts w:cstheme="minorHAnsi"/>
                <w:color w:val="000000"/>
                <w:sz w:val="18"/>
                <w:szCs w:val="18"/>
              </w:rPr>
              <w:t>Réalisé</w:t>
            </w:r>
          </w:p>
        </w:tc>
      </w:tr>
      <w:tr w:rsidR="007F5638" w:rsidRPr="007F5638" w14:paraId="26786FBD" w14:textId="77777777" w:rsidTr="001A7B9D">
        <w:tc>
          <w:tcPr>
            <w:tcW w:w="1298" w:type="dxa"/>
          </w:tcPr>
          <w:p w14:paraId="2882851D" w14:textId="77777777" w:rsidR="007F5638" w:rsidRPr="007F5638" w:rsidRDefault="007F5638" w:rsidP="007F5638">
            <w:pPr>
              <w:jc w:val="right"/>
              <w:rPr>
                <w:rFonts w:cstheme="minorHAnsi"/>
                <w:sz w:val="18"/>
                <w:szCs w:val="18"/>
              </w:rPr>
            </w:pPr>
          </w:p>
        </w:tc>
        <w:tc>
          <w:tcPr>
            <w:tcW w:w="2681" w:type="dxa"/>
            <w:gridSpan w:val="5"/>
          </w:tcPr>
          <w:p w14:paraId="32397045" w14:textId="77777777" w:rsidR="007F5638" w:rsidRPr="007F5638" w:rsidRDefault="007F5638" w:rsidP="007F5638">
            <w:pPr>
              <w:jc w:val="right"/>
              <w:rPr>
                <w:rFonts w:cstheme="minorHAnsi"/>
                <w:sz w:val="18"/>
                <w:szCs w:val="18"/>
              </w:rPr>
            </w:pPr>
          </w:p>
        </w:tc>
        <w:tc>
          <w:tcPr>
            <w:tcW w:w="1323" w:type="dxa"/>
            <w:gridSpan w:val="2"/>
          </w:tcPr>
          <w:p w14:paraId="6094CC86" w14:textId="77777777" w:rsidR="00601D9B" w:rsidRDefault="000E53A0">
            <w:pPr>
              <w:jc w:val="right"/>
              <w:rPr>
                <w:rFonts w:cstheme="minorHAnsi"/>
                <w:i/>
                <w:color w:val="000000"/>
                <w:sz w:val="18"/>
                <w:szCs w:val="18"/>
              </w:rPr>
            </w:pPr>
            <w:r w:rsidRPr="007F5638">
              <w:rPr>
                <w:rFonts w:cstheme="minorHAnsi"/>
                <w:sz w:val="18"/>
                <w:szCs w:val="18"/>
              </w:rPr>
              <w:t>Étape du FIP</w:t>
            </w:r>
          </w:p>
        </w:tc>
        <w:tc>
          <w:tcPr>
            <w:tcW w:w="1477" w:type="dxa"/>
            <w:gridSpan w:val="2"/>
          </w:tcPr>
          <w:p w14:paraId="47771921" w14:textId="77777777" w:rsidR="00601D9B" w:rsidRDefault="000E53A0">
            <w:pPr>
              <w:jc w:val="right"/>
              <w:rPr>
                <w:rFonts w:cstheme="minorHAnsi"/>
                <w:i/>
                <w:color w:val="000000"/>
                <w:sz w:val="18"/>
                <w:szCs w:val="18"/>
              </w:rPr>
            </w:pPr>
            <w:r w:rsidRPr="007F5638">
              <w:rPr>
                <w:rFonts w:cstheme="minorHAnsi"/>
                <w:sz w:val="18"/>
                <w:szCs w:val="18"/>
              </w:rPr>
              <w:t>Endossement</w:t>
            </w:r>
          </w:p>
        </w:tc>
        <w:tc>
          <w:tcPr>
            <w:tcW w:w="1306" w:type="dxa"/>
          </w:tcPr>
          <w:p w14:paraId="3F0BE8C5" w14:textId="77777777" w:rsidR="00601D9B" w:rsidRDefault="000E53A0">
            <w:pPr>
              <w:jc w:val="right"/>
              <w:rPr>
                <w:rFonts w:cstheme="minorHAnsi"/>
                <w:i/>
                <w:color w:val="000000"/>
                <w:sz w:val="18"/>
                <w:szCs w:val="18"/>
              </w:rPr>
            </w:pPr>
            <w:r w:rsidRPr="007F5638">
              <w:rPr>
                <w:rFonts w:cstheme="minorHAnsi"/>
                <w:sz w:val="18"/>
                <w:szCs w:val="18"/>
              </w:rPr>
              <w:t>MTR</w:t>
            </w:r>
          </w:p>
        </w:tc>
        <w:tc>
          <w:tcPr>
            <w:tcW w:w="1287" w:type="dxa"/>
          </w:tcPr>
          <w:p w14:paraId="46EDA8FB" w14:textId="77777777" w:rsidR="00601D9B" w:rsidRDefault="000E53A0">
            <w:pPr>
              <w:jc w:val="right"/>
              <w:rPr>
                <w:rFonts w:cstheme="minorHAnsi"/>
                <w:i/>
                <w:color w:val="000000"/>
                <w:sz w:val="18"/>
                <w:szCs w:val="18"/>
              </w:rPr>
            </w:pPr>
            <w:r w:rsidRPr="007F5638">
              <w:rPr>
                <w:rFonts w:cstheme="minorHAnsi"/>
                <w:sz w:val="18"/>
                <w:szCs w:val="18"/>
              </w:rPr>
              <w:t>TE</w:t>
            </w:r>
          </w:p>
        </w:tc>
      </w:tr>
      <w:tr w:rsidR="007F5638" w:rsidRPr="007F5638" w14:paraId="60287DF4" w14:textId="77777777" w:rsidTr="001A7B9D">
        <w:tc>
          <w:tcPr>
            <w:tcW w:w="1298" w:type="dxa"/>
          </w:tcPr>
          <w:p w14:paraId="7563753B" w14:textId="77777777" w:rsidR="007F5638" w:rsidRPr="007F5638" w:rsidRDefault="007F5638" w:rsidP="007F5638">
            <w:pPr>
              <w:jc w:val="right"/>
              <w:rPr>
                <w:rFonts w:cstheme="minorHAnsi"/>
                <w:sz w:val="18"/>
                <w:szCs w:val="18"/>
              </w:rPr>
            </w:pPr>
          </w:p>
        </w:tc>
        <w:tc>
          <w:tcPr>
            <w:tcW w:w="2681" w:type="dxa"/>
            <w:gridSpan w:val="5"/>
          </w:tcPr>
          <w:p w14:paraId="039554E5" w14:textId="77777777" w:rsidR="007F5638" w:rsidRPr="007F5638" w:rsidRDefault="007F5638" w:rsidP="007F5638">
            <w:pPr>
              <w:jc w:val="right"/>
              <w:rPr>
                <w:rFonts w:cstheme="minorHAnsi"/>
                <w:sz w:val="18"/>
                <w:szCs w:val="18"/>
              </w:rPr>
            </w:pPr>
          </w:p>
        </w:tc>
        <w:tc>
          <w:tcPr>
            <w:tcW w:w="1323" w:type="dxa"/>
            <w:gridSpan w:val="2"/>
          </w:tcPr>
          <w:p w14:paraId="12E67D6E" w14:textId="77777777" w:rsidR="00601D9B" w:rsidRDefault="000E53A0">
            <w:pPr>
              <w:jc w:val="right"/>
              <w:rPr>
                <w:rFonts w:cstheme="minorHAnsi"/>
                <w:i/>
                <w:color w:val="000000"/>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477" w:type="dxa"/>
            <w:gridSpan w:val="2"/>
          </w:tcPr>
          <w:p w14:paraId="2F66AD31" w14:textId="77777777" w:rsidR="00601D9B" w:rsidRDefault="000E53A0">
            <w:pPr>
              <w:jc w:val="right"/>
              <w:rPr>
                <w:rFonts w:cstheme="minorHAnsi"/>
                <w:i/>
                <w:color w:val="000000"/>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306" w:type="dxa"/>
          </w:tcPr>
          <w:p w14:paraId="110F0E8A" w14:textId="77777777" w:rsidR="00601D9B" w:rsidRDefault="000E53A0">
            <w:pPr>
              <w:jc w:val="right"/>
              <w:rPr>
                <w:rFonts w:cstheme="minorHAnsi"/>
                <w:i/>
                <w:color w:val="000000"/>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287" w:type="dxa"/>
          </w:tcPr>
          <w:p w14:paraId="09AD8087" w14:textId="77777777" w:rsidR="00601D9B" w:rsidRDefault="000E53A0">
            <w:pPr>
              <w:jc w:val="right"/>
              <w:rPr>
                <w:rFonts w:cstheme="minorHAnsi"/>
                <w:i/>
                <w:color w:val="000000"/>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r>
      <w:tr w:rsidR="007F5638" w:rsidRPr="007F5638" w14:paraId="465B5A71" w14:textId="77777777" w:rsidTr="001A7B9D">
        <w:tc>
          <w:tcPr>
            <w:tcW w:w="1298" w:type="dxa"/>
            <w:shd w:val="clear" w:color="auto" w:fill="BFBFBF" w:themeFill="background1" w:themeFillShade="BF"/>
          </w:tcPr>
          <w:p w14:paraId="0C74DB5A" w14:textId="77777777" w:rsidR="00601D9B" w:rsidRDefault="000E53A0">
            <w:pPr>
              <w:rPr>
                <w:rFonts w:cstheme="minorHAnsi"/>
                <w:sz w:val="18"/>
                <w:szCs w:val="18"/>
              </w:rPr>
            </w:pPr>
            <w:r w:rsidRPr="007F5638">
              <w:rPr>
                <w:rFonts w:cstheme="minorHAnsi"/>
                <w:sz w:val="18"/>
                <w:szCs w:val="18"/>
              </w:rPr>
              <w:t>Indicateur 9.4</w:t>
            </w:r>
          </w:p>
        </w:tc>
        <w:tc>
          <w:tcPr>
            <w:tcW w:w="6787" w:type="dxa"/>
            <w:gridSpan w:val="10"/>
            <w:shd w:val="clear" w:color="auto" w:fill="BFBFBF" w:themeFill="background1" w:themeFillShade="BF"/>
          </w:tcPr>
          <w:p w14:paraId="7A0FB9C6" w14:textId="77777777" w:rsidR="00601D9B" w:rsidRPr="000E53A0" w:rsidRDefault="000E53A0">
            <w:pPr>
              <w:rPr>
                <w:rFonts w:cstheme="minorHAnsi"/>
                <w:sz w:val="18"/>
                <w:szCs w:val="18"/>
                <w:lang w:val="fr-FR"/>
              </w:rPr>
            </w:pPr>
            <w:r w:rsidRPr="000E53A0">
              <w:rPr>
                <w:rFonts w:cstheme="minorHAnsi"/>
                <w:sz w:val="18"/>
                <w:szCs w:val="18"/>
                <w:lang w:val="fr-FR"/>
              </w:rPr>
              <w:t>Nombre de pays disposant d'une législation et d'une politique mises en œuvre pour contrôler les produits chimiques et les déchets</w:t>
            </w:r>
          </w:p>
        </w:tc>
        <w:tc>
          <w:tcPr>
            <w:tcW w:w="1287" w:type="dxa"/>
            <w:shd w:val="clear" w:color="auto" w:fill="BFBFBF" w:themeFill="background1" w:themeFillShade="BF"/>
          </w:tcPr>
          <w:p w14:paraId="4856D5F8"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r>
      <w:tr w:rsidR="007F5638" w:rsidRPr="007F5638" w14:paraId="4F9D535D" w14:textId="77777777" w:rsidTr="001A7B9D">
        <w:trPr>
          <w:trHeight w:val="125"/>
        </w:trPr>
        <w:tc>
          <w:tcPr>
            <w:tcW w:w="1298" w:type="dxa"/>
            <w:vMerge w:val="restart"/>
          </w:tcPr>
          <w:p w14:paraId="39A9889A" w14:textId="77777777" w:rsidR="007F5638" w:rsidRPr="007F5638" w:rsidRDefault="007F5638" w:rsidP="007F5638">
            <w:pPr>
              <w:rPr>
                <w:rFonts w:cstheme="minorHAnsi"/>
                <w:sz w:val="18"/>
                <w:szCs w:val="18"/>
              </w:rPr>
            </w:pPr>
          </w:p>
        </w:tc>
        <w:tc>
          <w:tcPr>
            <w:tcW w:w="933" w:type="dxa"/>
            <w:vMerge w:val="restart"/>
          </w:tcPr>
          <w:p w14:paraId="37EA56D6" w14:textId="77777777" w:rsidR="007F5638" w:rsidRPr="007F5638" w:rsidRDefault="007F5638" w:rsidP="007F5638">
            <w:pPr>
              <w:rPr>
                <w:rFonts w:cstheme="minorHAnsi"/>
                <w:sz w:val="18"/>
                <w:szCs w:val="18"/>
              </w:rPr>
            </w:pPr>
          </w:p>
        </w:tc>
        <w:tc>
          <w:tcPr>
            <w:tcW w:w="1748" w:type="dxa"/>
            <w:gridSpan w:val="4"/>
            <w:vMerge w:val="restart"/>
          </w:tcPr>
          <w:p w14:paraId="34120FE2" w14:textId="77777777" w:rsidR="007F5638" w:rsidRPr="007F5638" w:rsidRDefault="007F5638" w:rsidP="007F5638">
            <w:pPr>
              <w:rPr>
                <w:rFonts w:cstheme="minorHAnsi"/>
                <w:sz w:val="18"/>
                <w:szCs w:val="18"/>
              </w:rPr>
            </w:pPr>
          </w:p>
        </w:tc>
        <w:tc>
          <w:tcPr>
            <w:tcW w:w="5393" w:type="dxa"/>
            <w:gridSpan w:val="6"/>
          </w:tcPr>
          <w:p w14:paraId="33F81729" w14:textId="77777777" w:rsidR="00601D9B" w:rsidRDefault="000E53A0">
            <w:pPr>
              <w:jc w:val="center"/>
              <w:rPr>
                <w:rFonts w:cstheme="minorHAnsi"/>
                <w:sz w:val="18"/>
                <w:szCs w:val="18"/>
              </w:rPr>
            </w:pPr>
            <w:r w:rsidRPr="007F5638">
              <w:rPr>
                <w:rFonts w:cstheme="minorHAnsi"/>
                <w:sz w:val="18"/>
                <w:szCs w:val="18"/>
              </w:rPr>
              <w:t>Nombre de pays</w:t>
            </w:r>
          </w:p>
        </w:tc>
      </w:tr>
      <w:tr w:rsidR="007F5638" w:rsidRPr="007F5638" w14:paraId="5BE77E4A" w14:textId="77777777" w:rsidTr="001A7B9D">
        <w:trPr>
          <w:trHeight w:val="58"/>
        </w:trPr>
        <w:tc>
          <w:tcPr>
            <w:tcW w:w="1298" w:type="dxa"/>
            <w:vMerge/>
          </w:tcPr>
          <w:p w14:paraId="6193FDF6" w14:textId="77777777" w:rsidR="007F5638" w:rsidRPr="007F5638" w:rsidRDefault="007F5638" w:rsidP="007F5638">
            <w:pPr>
              <w:rPr>
                <w:rFonts w:cstheme="minorHAnsi"/>
                <w:sz w:val="18"/>
                <w:szCs w:val="18"/>
              </w:rPr>
            </w:pPr>
          </w:p>
        </w:tc>
        <w:tc>
          <w:tcPr>
            <w:tcW w:w="933" w:type="dxa"/>
            <w:vMerge/>
          </w:tcPr>
          <w:p w14:paraId="0582A4C8" w14:textId="77777777" w:rsidR="007F5638" w:rsidRPr="007F5638" w:rsidRDefault="007F5638" w:rsidP="007F5638">
            <w:pPr>
              <w:rPr>
                <w:rFonts w:cstheme="minorHAnsi"/>
                <w:sz w:val="18"/>
                <w:szCs w:val="18"/>
              </w:rPr>
            </w:pPr>
          </w:p>
        </w:tc>
        <w:tc>
          <w:tcPr>
            <w:tcW w:w="1748" w:type="dxa"/>
            <w:gridSpan w:val="4"/>
            <w:vMerge/>
          </w:tcPr>
          <w:p w14:paraId="7FF83B09" w14:textId="77777777" w:rsidR="007F5638" w:rsidRPr="007F5638" w:rsidRDefault="007F5638" w:rsidP="007F5638">
            <w:pPr>
              <w:rPr>
                <w:rFonts w:cstheme="minorHAnsi"/>
                <w:sz w:val="18"/>
                <w:szCs w:val="18"/>
              </w:rPr>
            </w:pPr>
          </w:p>
        </w:tc>
        <w:tc>
          <w:tcPr>
            <w:tcW w:w="2800" w:type="dxa"/>
            <w:gridSpan w:val="4"/>
          </w:tcPr>
          <w:p w14:paraId="70FDB2D1" w14:textId="77777777" w:rsidR="00601D9B" w:rsidRDefault="000E53A0">
            <w:pPr>
              <w:jc w:val="center"/>
              <w:rPr>
                <w:rFonts w:cstheme="minorHAnsi"/>
                <w:sz w:val="18"/>
                <w:szCs w:val="18"/>
              </w:rPr>
            </w:pPr>
            <w:r w:rsidRPr="007F5638">
              <w:rPr>
                <w:rFonts w:cstheme="minorHAnsi"/>
                <w:sz w:val="18"/>
                <w:szCs w:val="18"/>
              </w:rPr>
              <w:t>Attendu</w:t>
            </w:r>
          </w:p>
        </w:tc>
        <w:tc>
          <w:tcPr>
            <w:tcW w:w="2593" w:type="dxa"/>
            <w:gridSpan w:val="2"/>
          </w:tcPr>
          <w:p w14:paraId="4FC1E127" w14:textId="77777777" w:rsidR="00601D9B" w:rsidRDefault="000E53A0">
            <w:pPr>
              <w:jc w:val="center"/>
              <w:rPr>
                <w:rFonts w:cstheme="minorHAnsi"/>
                <w:sz w:val="18"/>
                <w:szCs w:val="18"/>
              </w:rPr>
            </w:pPr>
            <w:r w:rsidRPr="007F5638">
              <w:rPr>
                <w:rFonts w:cstheme="minorHAnsi"/>
                <w:sz w:val="18"/>
                <w:szCs w:val="18"/>
              </w:rPr>
              <w:t>Réalisé</w:t>
            </w:r>
          </w:p>
        </w:tc>
      </w:tr>
      <w:tr w:rsidR="007F5638" w:rsidRPr="007F5638" w14:paraId="3FFA6371" w14:textId="77777777" w:rsidTr="001A7B9D">
        <w:trPr>
          <w:trHeight w:val="206"/>
        </w:trPr>
        <w:tc>
          <w:tcPr>
            <w:tcW w:w="1298" w:type="dxa"/>
            <w:vMerge/>
          </w:tcPr>
          <w:p w14:paraId="5AE4D704" w14:textId="77777777" w:rsidR="007F5638" w:rsidRPr="007F5638" w:rsidRDefault="007F5638" w:rsidP="007F5638">
            <w:pPr>
              <w:rPr>
                <w:rFonts w:cstheme="minorHAnsi"/>
                <w:sz w:val="18"/>
                <w:szCs w:val="18"/>
              </w:rPr>
            </w:pPr>
          </w:p>
        </w:tc>
        <w:tc>
          <w:tcPr>
            <w:tcW w:w="933" w:type="dxa"/>
            <w:vMerge/>
          </w:tcPr>
          <w:p w14:paraId="18199124" w14:textId="77777777" w:rsidR="007F5638" w:rsidRPr="007F5638" w:rsidRDefault="007F5638" w:rsidP="007F5638">
            <w:pPr>
              <w:rPr>
                <w:rFonts w:cstheme="minorHAnsi"/>
                <w:sz w:val="18"/>
                <w:szCs w:val="18"/>
              </w:rPr>
            </w:pPr>
          </w:p>
        </w:tc>
        <w:tc>
          <w:tcPr>
            <w:tcW w:w="1748" w:type="dxa"/>
            <w:gridSpan w:val="4"/>
            <w:vMerge/>
          </w:tcPr>
          <w:p w14:paraId="27E1E001" w14:textId="77777777" w:rsidR="007F5638" w:rsidRPr="007F5638" w:rsidRDefault="007F5638" w:rsidP="007F5638">
            <w:pPr>
              <w:rPr>
                <w:rFonts w:cstheme="minorHAnsi"/>
                <w:sz w:val="18"/>
                <w:szCs w:val="18"/>
              </w:rPr>
            </w:pPr>
          </w:p>
        </w:tc>
        <w:tc>
          <w:tcPr>
            <w:tcW w:w="1323" w:type="dxa"/>
            <w:gridSpan w:val="2"/>
          </w:tcPr>
          <w:p w14:paraId="1F5B5C9C" w14:textId="77777777" w:rsidR="00601D9B" w:rsidRDefault="000E53A0">
            <w:pPr>
              <w:jc w:val="center"/>
              <w:rPr>
                <w:rFonts w:cstheme="minorHAnsi"/>
                <w:sz w:val="18"/>
                <w:szCs w:val="18"/>
              </w:rPr>
            </w:pPr>
            <w:r w:rsidRPr="007F5638">
              <w:rPr>
                <w:rFonts w:cstheme="minorHAnsi"/>
                <w:sz w:val="18"/>
                <w:szCs w:val="18"/>
              </w:rPr>
              <w:t>Étape du FIP</w:t>
            </w:r>
          </w:p>
        </w:tc>
        <w:tc>
          <w:tcPr>
            <w:tcW w:w="1477" w:type="dxa"/>
            <w:gridSpan w:val="2"/>
          </w:tcPr>
          <w:p w14:paraId="0EFC82C6" w14:textId="77777777" w:rsidR="00601D9B" w:rsidRDefault="000E53A0">
            <w:pPr>
              <w:jc w:val="center"/>
              <w:rPr>
                <w:rFonts w:cstheme="minorHAnsi"/>
                <w:sz w:val="18"/>
                <w:szCs w:val="18"/>
              </w:rPr>
            </w:pPr>
            <w:r w:rsidRPr="007F5638">
              <w:rPr>
                <w:rFonts w:cstheme="minorHAnsi"/>
                <w:sz w:val="18"/>
                <w:szCs w:val="18"/>
              </w:rPr>
              <w:t>Endossement</w:t>
            </w:r>
          </w:p>
        </w:tc>
        <w:tc>
          <w:tcPr>
            <w:tcW w:w="1306" w:type="dxa"/>
          </w:tcPr>
          <w:p w14:paraId="08319EF4" w14:textId="77777777" w:rsidR="00601D9B" w:rsidRDefault="000E53A0">
            <w:pPr>
              <w:jc w:val="center"/>
              <w:rPr>
                <w:rFonts w:cstheme="minorHAnsi"/>
                <w:sz w:val="18"/>
                <w:szCs w:val="18"/>
              </w:rPr>
            </w:pPr>
            <w:r w:rsidRPr="007F5638">
              <w:rPr>
                <w:rFonts w:cstheme="minorHAnsi"/>
                <w:sz w:val="18"/>
                <w:szCs w:val="18"/>
              </w:rPr>
              <w:t>MTR</w:t>
            </w:r>
          </w:p>
        </w:tc>
        <w:tc>
          <w:tcPr>
            <w:tcW w:w="1287" w:type="dxa"/>
          </w:tcPr>
          <w:p w14:paraId="72ABB2E1" w14:textId="77777777" w:rsidR="00601D9B" w:rsidRDefault="000E53A0">
            <w:pPr>
              <w:jc w:val="center"/>
              <w:rPr>
                <w:rFonts w:cstheme="minorHAnsi"/>
                <w:sz w:val="18"/>
                <w:szCs w:val="18"/>
              </w:rPr>
            </w:pPr>
            <w:r w:rsidRPr="007F5638">
              <w:rPr>
                <w:rFonts w:cstheme="minorHAnsi"/>
                <w:sz w:val="18"/>
                <w:szCs w:val="18"/>
              </w:rPr>
              <w:t>TE</w:t>
            </w:r>
          </w:p>
        </w:tc>
      </w:tr>
      <w:tr w:rsidR="007F5638" w:rsidRPr="007F5638" w14:paraId="4986BFC3" w14:textId="77777777" w:rsidTr="001A7B9D">
        <w:tc>
          <w:tcPr>
            <w:tcW w:w="1298" w:type="dxa"/>
          </w:tcPr>
          <w:p w14:paraId="03C5A9B7" w14:textId="77777777" w:rsidR="007F5638" w:rsidRPr="007F5638" w:rsidRDefault="007F5638" w:rsidP="007F5638">
            <w:pPr>
              <w:jc w:val="right"/>
              <w:rPr>
                <w:rFonts w:cstheme="minorHAnsi"/>
                <w:sz w:val="18"/>
                <w:szCs w:val="18"/>
              </w:rPr>
            </w:pPr>
          </w:p>
        </w:tc>
        <w:tc>
          <w:tcPr>
            <w:tcW w:w="933" w:type="dxa"/>
          </w:tcPr>
          <w:p w14:paraId="510C85C8" w14:textId="77777777" w:rsidR="007F5638" w:rsidRPr="007F5638" w:rsidRDefault="007F5638" w:rsidP="007F5638">
            <w:pPr>
              <w:jc w:val="right"/>
              <w:rPr>
                <w:rFonts w:cstheme="minorHAnsi"/>
                <w:sz w:val="18"/>
                <w:szCs w:val="18"/>
              </w:rPr>
            </w:pPr>
          </w:p>
        </w:tc>
        <w:tc>
          <w:tcPr>
            <w:tcW w:w="1748" w:type="dxa"/>
            <w:gridSpan w:val="4"/>
          </w:tcPr>
          <w:p w14:paraId="68751B40" w14:textId="77777777" w:rsidR="007F5638" w:rsidRPr="007F5638" w:rsidRDefault="007F5638" w:rsidP="007F5638">
            <w:pPr>
              <w:jc w:val="right"/>
              <w:rPr>
                <w:rFonts w:cstheme="minorHAnsi"/>
                <w:sz w:val="18"/>
                <w:szCs w:val="18"/>
              </w:rPr>
            </w:pPr>
          </w:p>
        </w:tc>
        <w:tc>
          <w:tcPr>
            <w:tcW w:w="1323" w:type="dxa"/>
            <w:gridSpan w:val="2"/>
          </w:tcPr>
          <w:p w14:paraId="6FA35F08" w14:textId="77777777" w:rsidR="00601D9B" w:rsidRDefault="000E53A0">
            <w:pPr>
              <w:jc w:val="center"/>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477" w:type="dxa"/>
            <w:gridSpan w:val="2"/>
          </w:tcPr>
          <w:p w14:paraId="6981AE9D" w14:textId="77777777" w:rsidR="00601D9B" w:rsidRDefault="000E53A0">
            <w:pPr>
              <w:jc w:val="center"/>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306" w:type="dxa"/>
          </w:tcPr>
          <w:p w14:paraId="2F14AEDA" w14:textId="77777777" w:rsidR="00601D9B" w:rsidRDefault="000E53A0">
            <w:pPr>
              <w:jc w:val="center"/>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287" w:type="dxa"/>
          </w:tcPr>
          <w:p w14:paraId="4784B7AA" w14:textId="77777777" w:rsidR="00601D9B" w:rsidRDefault="000E53A0">
            <w:pPr>
              <w:jc w:val="center"/>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r>
      <w:tr w:rsidR="007F5638" w:rsidRPr="007F5638" w14:paraId="3BBBF5B3" w14:textId="77777777" w:rsidTr="001A7B9D">
        <w:tc>
          <w:tcPr>
            <w:tcW w:w="1298" w:type="dxa"/>
            <w:shd w:val="clear" w:color="auto" w:fill="BFBFBF" w:themeFill="background1" w:themeFillShade="BF"/>
          </w:tcPr>
          <w:p w14:paraId="51776EDC" w14:textId="77777777" w:rsidR="00601D9B" w:rsidRDefault="000E53A0">
            <w:pPr>
              <w:rPr>
                <w:rFonts w:cstheme="minorHAnsi"/>
                <w:sz w:val="18"/>
                <w:szCs w:val="18"/>
              </w:rPr>
            </w:pPr>
            <w:r w:rsidRPr="007F5638">
              <w:rPr>
                <w:rFonts w:cstheme="minorHAnsi"/>
                <w:sz w:val="18"/>
                <w:szCs w:val="18"/>
              </w:rPr>
              <w:t>Indicateur 9.5</w:t>
            </w:r>
          </w:p>
        </w:tc>
        <w:tc>
          <w:tcPr>
            <w:tcW w:w="6787" w:type="dxa"/>
            <w:gridSpan w:val="10"/>
            <w:shd w:val="clear" w:color="auto" w:fill="BFBFBF" w:themeFill="background1" w:themeFillShade="BF"/>
          </w:tcPr>
          <w:p w14:paraId="6DE4D1A6" w14:textId="77777777" w:rsidR="00601D9B" w:rsidRPr="000E53A0" w:rsidRDefault="000E53A0">
            <w:pPr>
              <w:rPr>
                <w:rFonts w:cstheme="minorHAnsi"/>
                <w:sz w:val="18"/>
                <w:szCs w:val="18"/>
                <w:lang w:val="fr-FR"/>
              </w:rPr>
            </w:pPr>
            <w:r w:rsidRPr="000E53A0">
              <w:rPr>
                <w:rFonts w:cstheme="minorHAnsi"/>
                <w:sz w:val="18"/>
                <w:szCs w:val="18"/>
                <w:lang w:val="fr-FR"/>
              </w:rPr>
              <w:t>Nombre de systèmes à faible teneur en produits chimiques/non chimiques mis en œuvre, notamment dans la production alimentaire, l'industrie et les villes.</w:t>
            </w:r>
          </w:p>
        </w:tc>
        <w:tc>
          <w:tcPr>
            <w:tcW w:w="1287" w:type="dxa"/>
            <w:shd w:val="clear" w:color="auto" w:fill="BFBFBF" w:themeFill="background1" w:themeFillShade="BF"/>
          </w:tcPr>
          <w:p w14:paraId="7E4BC470"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r>
      <w:tr w:rsidR="007F5638" w:rsidRPr="007F5638" w14:paraId="5F5C446F" w14:textId="77777777" w:rsidTr="001A7B9D">
        <w:trPr>
          <w:trHeight w:val="125"/>
        </w:trPr>
        <w:tc>
          <w:tcPr>
            <w:tcW w:w="1298" w:type="dxa"/>
            <w:vMerge w:val="restart"/>
          </w:tcPr>
          <w:p w14:paraId="34CD94FE" w14:textId="77777777" w:rsidR="007F5638" w:rsidRPr="007F5638" w:rsidRDefault="007F5638" w:rsidP="007F5638">
            <w:pPr>
              <w:rPr>
                <w:rFonts w:cstheme="minorHAnsi"/>
                <w:sz w:val="18"/>
                <w:szCs w:val="18"/>
              </w:rPr>
            </w:pPr>
          </w:p>
        </w:tc>
        <w:tc>
          <w:tcPr>
            <w:tcW w:w="933" w:type="dxa"/>
            <w:vMerge w:val="restart"/>
          </w:tcPr>
          <w:p w14:paraId="4DD99A42" w14:textId="77777777" w:rsidR="007F5638" w:rsidRPr="007F5638" w:rsidRDefault="007F5638" w:rsidP="007F5638">
            <w:pPr>
              <w:rPr>
                <w:rFonts w:cstheme="minorHAnsi"/>
                <w:sz w:val="18"/>
                <w:szCs w:val="18"/>
              </w:rPr>
            </w:pPr>
          </w:p>
        </w:tc>
        <w:tc>
          <w:tcPr>
            <w:tcW w:w="1748" w:type="dxa"/>
            <w:gridSpan w:val="4"/>
            <w:vMerge w:val="restart"/>
            <w:vAlign w:val="center"/>
          </w:tcPr>
          <w:p w14:paraId="2FFFA27B" w14:textId="77777777" w:rsidR="00601D9B" w:rsidRDefault="000E53A0">
            <w:pPr>
              <w:rPr>
                <w:rFonts w:cstheme="minorHAnsi"/>
                <w:sz w:val="18"/>
                <w:szCs w:val="18"/>
              </w:rPr>
            </w:pPr>
            <w:r w:rsidRPr="007F5638">
              <w:rPr>
                <w:rFonts w:cstheme="minorHAnsi"/>
                <w:sz w:val="18"/>
                <w:szCs w:val="18"/>
              </w:rPr>
              <w:t>Technologie</w:t>
            </w:r>
          </w:p>
        </w:tc>
        <w:tc>
          <w:tcPr>
            <w:tcW w:w="5393" w:type="dxa"/>
            <w:gridSpan w:val="6"/>
          </w:tcPr>
          <w:p w14:paraId="7D090D9D" w14:textId="77777777" w:rsidR="00601D9B" w:rsidRDefault="000E53A0">
            <w:pPr>
              <w:jc w:val="center"/>
              <w:rPr>
                <w:rFonts w:cstheme="minorHAnsi"/>
                <w:sz w:val="18"/>
                <w:szCs w:val="18"/>
              </w:rPr>
            </w:pPr>
            <w:r w:rsidRPr="007F5638">
              <w:rPr>
                <w:rFonts w:cstheme="minorHAnsi"/>
                <w:sz w:val="18"/>
                <w:szCs w:val="18"/>
              </w:rPr>
              <w:t>Numéro</w:t>
            </w:r>
          </w:p>
        </w:tc>
      </w:tr>
      <w:tr w:rsidR="007F5638" w:rsidRPr="007F5638" w14:paraId="2740CA3E" w14:textId="77777777" w:rsidTr="001A7B9D">
        <w:trPr>
          <w:trHeight w:val="58"/>
        </w:trPr>
        <w:tc>
          <w:tcPr>
            <w:tcW w:w="1298" w:type="dxa"/>
            <w:vMerge/>
          </w:tcPr>
          <w:p w14:paraId="71BA2EA9" w14:textId="77777777" w:rsidR="007F5638" w:rsidRPr="007F5638" w:rsidRDefault="007F5638" w:rsidP="007F5638">
            <w:pPr>
              <w:rPr>
                <w:rFonts w:cstheme="minorHAnsi"/>
                <w:sz w:val="18"/>
                <w:szCs w:val="18"/>
              </w:rPr>
            </w:pPr>
          </w:p>
        </w:tc>
        <w:tc>
          <w:tcPr>
            <w:tcW w:w="933" w:type="dxa"/>
            <w:vMerge/>
          </w:tcPr>
          <w:p w14:paraId="0E9D0F85" w14:textId="77777777" w:rsidR="007F5638" w:rsidRPr="007F5638" w:rsidRDefault="007F5638" w:rsidP="007F5638">
            <w:pPr>
              <w:rPr>
                <w:rFonts w:cstheme="minorHAnsi"/>
                <w:sz w:val="18"/>
                <w:szCs w:val="18"/>
              </w:rPr>
            </w:pPr>
          </w:p>
        </w:tc>
        <w:tc>
          <w:tcPr>
            <w:tcW w:w="1748" w:type="dxa"/>
            <w:gridSpan w:val="4"/>
            <w:vMerge/>
          </w:tcPr>
          <w:p w14:paraId="3A691A30" w14:textId="77777777" w:rsidR="007F5638" w:rsidRPr="007F5638" w:rsidRDefault="007F5638" w:rsidP="007F5638">
            <w:pPr>
              <w:rPr>
                <w:rFonts w:cstheme="minorHAnsi"/>
                <w:sz w:val="18"/>
                <w:szCs w:val="18"/>
              </w:rPr>
            </w:pPr>
          </w:p>
        </w:tc>
        <w:tc>
          <w:tcPr>
            <w:tcW w:w="2800" w:type="dxa"/>
            <w:gridSpan w:val="4"/>
          </w:tcPr>
          <w:p w14:paraId="6D1E781B" w14:textId="77777777" w:rsidR="00601D9B" w:rsidRDefault="000E53A0">
            <w:pPr>
              <w:jc w:val="center"/>
              <w:rPr>
                <w:rFonts w:cstheme="minorHAnsi"/>
                <w:sz w:val="18"/>
                <w:szCs w:val="18"/>
              </w:rPr>
            </w:pPr>
            <w:r w:rsidRPr="007F5638">
              <w:rPr>
                <w:rFonts w:cstheme="minorHAnsi"/>
                <w:sz w:val="18"/>
                <w:szCs w:val="18"/>
              </w:rPr>
              <w:t>Attendu</w:t>
            </w:r>
          </w:p>
        </w:tc>
        <w:tc>
          <w:tcPr>
            <w:tcW w:w="2593" w:type="dxa"/>
            <w:gridSpan w:val="2"/>
          </w:tcPr>
          <w:p w14:paraId="44F28763" w14:textId="77777777" w:rsidR="00601D9B" w:rsidRDefault="000E53A0">
            <w:pPr>
              <w:jc w:val="center"/>
              <w:rPr>
                <w:rFonts w:cstheme="minorHAnsi"/>
                <w:sz w:val="18"/>
                <w:szCs w:val="18"/>
              </w:rPr>
            </w:pPr>
            <w:r w:rsidRPr="007F5638">
              <w:rPr>
                <w:rFonts w:cstheme="minorHAnsi"/>
                <w:sz w:val="18"/>
                <w:szCs w:val="18"/>
              </w:rPr>
              <w:t>Réalisé</w:t>
            </w:r>
          </w:p>
        </w:tc>
      </w:tr>
      <w:tr w:rsidR="007F5638" w:rsidRPr="007F5638" w14:paraId="08BBDDA6" w14:textId="77777777" w:rsidTr="001A7B9D">
        <w:trPr>
          <w:trHeight w:val="58"/>
        </w:trPr>
        <w:tc>
          <w:tcPr>
            <w:tcW w:w="1298" w:type="dxa"/>
            <w:vMerge/>
          </w:tcPr>
          <w:p w14:paraId="7B9B67DD" w14:textId="77777777" w:rsidR="007F5638" w:rsidRPr="007F5638" w:rsidRDefault="007F5638" w:rsidP="007F5638">
            <w:pPr>
              <w:rPr>
                <w:rFonts w:cstheme="minorHAnsi"/>
                <w:sz w:val="18"/>
                <w:szCs w:val="18"/>
              </w:rPr>
            </w:pPr>
          </w:p>
        </w:tc>
        <w:tc>
          <w:tcPr>
            <w:tcW w:w="933" w:type="dxa"/>
            <w:vMerge/>
          </w:tcPr>
          <w:p w14:paraId="13EC8418" w14:textId="77777777" w:rsidR="007F5638" w:rsidRPr="007F5638" w:rsidRDefault="007F5638" w:rsidP="007F5638">
            <w:pPr>
              <w:rPr>
                <w:rFonts w:cstheme="minorHAnsi"/>
                <w:sz w:val="18"/>
                <w:szCs w:val="18"/>
              </w:rPr>
            </w:pPr>
          </w:p>
        </w:tc>
        <w:tc>
          <w:tcPr>
            <w:tcW w:w="1748" w:type="dxa"/>
            <w:gridSpan w:val="4"/>
            <w:vMerge/>
          </w:tcPr>
          <w:p w14:paraId="73945B77" w14:textId="77777777" w:rsidR="007F5638" w:rsidRPr="007F5638" w:rsidRDefault="007F5638" w:rsidP="007F5638">
            <w:pPr>
              <w:rPr>
                <w:rFonts w:cstheme="minorHAnsi"/>
                <w:sz w:val="18"/>
                <w:szCs w:val="18"/>
              </w:rPr>
            </w:pPr>
          </w:p>
        </w:tc>
        <w:tc>
          <w:tcPr>
            <w:tcW w:w="1323" w:type="dxa"/>
            <w:gridSpan w:val="2"/>
          </w:tcPr>
          <w:p w14:paraId="1D85E0C4" w14:textId="77777777" w:rsidR="00601D9B" w:rsidRDefault="000E53A0">
            <w:pPr>
              <w:jc w:val="center"/>
              <w:rPr>
                <w:rFonts w:cstheme="minorHAnsi"/>
                <w:sz w:val="18"/>
                <w:szCs w:val="18"/>
              </w:rPr>
            </w:pPr>
            <w:r w:rsidRPr="007F5638">
              <w:rPr>
                <w:rFonts w:cstheme="minorHAnsi"/>
                <w:sz w:val="18"/>
                <w:szCs w:val="18"/>
              </w:rPr>
              <w:t>Étape du FIP</w:t>
            </w:r>
          </w:p>
        </w:tc>
        <w:tc>
          <w:tcPr>
            <w:tcW w:w="1477" w:type="dxa"/>
            <w:gridSpan w:val="2"/>
          </w:tcPr>
          <w:p w14:paraId="340C6E7C" w14:textId="77777777" w:rsidR="00601D9B" w:rsidRDefault="000E53A0">
            <w:pPr>
              <w:jc w:val="center"/>
              <w:rPr>
                <w:rFonts w:cstheme="minorHAnsi"/>
                <w:sz w:val="18"/>
                <w:szCs w:val="18"/>
              </w:rPr>
            </w:pPr>
            <w:r w:rsidRPr="007F5638">
              <w:rPr>
                <w:rFonts w:cstheme="minorHAnsi"/>
                <w:sz w:val="18"/>
                <w:szCs w:val="18"/>
              </w:rPr>
              <w:t>Endossement</w:t>
            </w:r>
          </w:p>
        </w:tc>
        <w:tc>
          <w:tcPr>
            <w:tcW w:w="1306" w:type="dxa"/>
          </w:tcPr>
          <w:p w14:paraId="5BF75620" w14:textId="77777777" w:rsidR="00601D9B" w:rsidRDefault="000E53A0">
            <w:pPr>
              <w:jc w:val="center"/>
              <w:rPr>
                <w:rFonts w:cstheme="minorHAnsi"/>
                <w:sz w:val="18"/>
                <w:szCs w:val="18"/>
              </w:rPr>
            </w:pPr>
            <w:r w:rsidRPr="007F5638">
              <w:rPr>
                <w:rFonts w:cstheme="minorHAnsi"/>
                <w:sz w:val="18"/>
                <w:szCs w:val="18"/>
              </w:rPr>
              <w:t>MTR</w:t>
            </w:r>
          </w:p>
        </w:tc>
        <w:tc>
          <w:tcPr>
            <w:tcW w:w="1287" w:type="dxa"/>
          </w:tcPr>
          <w:p w14:paraId="3AAFE39D" w14:textId="77777777" w:rsidR="00601D9B" w:rsidRDefault="000E53A0">
            <w:pPr>
              <w:jc w:val="center"/>
              <w:rPr>
                <w:rFonts w:cstheme="minorHAnsi"/>
                <w:sz w:val="18"/>
                <w:szCs w:val="18"/>
              </w:rPr>
            </w:pPr>
            <w:r w:rsidRPr="007F5638">
              <w:rPr>
                <w:rFonts w:cstheme="minorHAnsi"/>
                <w:sz w:val="18"/>
                <w:szCs w:val="18"/>
              </w:rPr>
              <w:t>TE</w:t>
            </w:r>
          </w:p>
        </w:tc>
      </w:tr>
      <w:tr w:rsidR="007F5638" w:rsidRPr="007F5638" w14:paraId="71C47E19" w14:textId="77777777" w:rsidTr="001A7B9D">
        <w:tc>
          <w:tcPr>
            <w:tcW w:w="1298" w:type="dxa"/>
          </w:tcPr>
          <w:p w14:paraId="2A32D417" w14:textId="77777777" w:rsidR="007F5638" w:rsidRPr="007F5638" w:rsidRDefault="007F5638" w:rsidP="007F5638">
            <w:pPr>
              <w:jc w:val="right"/>
              <w:rPr>
                <w:rFonts w:cstheme="minorHAnsi"/>
                <w:sz w:val="18"/>
                <w:szCs w:val="18"/>
              </w:rPr>
            </w:pPr>
          </w:p>
        </w:tc>
        <w:tc>
          <w:tcPr>
            <w:tcW w:w="933" w:type="dxa"/>
          </w:tcPr>
          <w:p w14:paraId="7AFF4554" w14:textId="77777777" w:rsidR="007F5638" w:rsidRPr="007F5638" w:rsidRDefault="007F5638" w:rsidP="007F5638">
            <w:pPr>
              <w:jc w:val="right"/>
              <w:rPr>
                <w:rFonts w:cstheme="minorHAnsi"/>
                <w:sz w:val="18"/>
                <w:szCs w:val="18"/>
              </w:rPr>
            </w:pPr>
          </w:p>
        </w:tc>
        <w:tc>
          <w:tcPr>
            <w:tcW w:w="1748" w:type="dxa"/>
            <w:gridSpan w:val="4"/>
          </w:tcPr>
          <w:p w14:paraId="2E139297"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323" w:type="dxa"/>
            <w:gridSpan w:val="2"/>
          </w:tcPr>
          <w:p w14:paraId="3FEB7410"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477" w:type="dxa"/>
            <w:gridSpan w:val="2"/>
          </w:tcPr>
          <w:p w14:paraId="46D04F0C"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306" w:type="dxa"/>
          </w:tcPr>
          <w:p w14:paraId="407552E8"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287" w:type="dxa"/>
          </w:tcPr>
          <w:p w14:paraId="6FFA560F"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r>
      <w:tr w:rsidR="007F5638" w:rsidRPr="007F5638" w14:paraId="084FD299" w14:textId="77777777" w:rsidTr="001A7B9D">
        <w:tc>
          <w:tcPr>
            <w:tcW w:w="1298" w:type="dxa"/>
          </w:tcPr>
          <w:p w14:paraId="1A2680A4" w14:textId="77777777" w:rsidR="007F5638" w:rsidRPr="007F5638" w:rsidRDefault="007F5638" w:rsidP="007F5638">
            <w:pPr>
              <w:jc w:val="right"/>
              <w:rPr>
                <w:rFonts w:cstheme="minorHAnsi"/>
                <w:sz w:val="18"/>
                <w:szCs w:val="18"/>
              </w:rPr>
            </w:pPr>
          </w:p>
        </w:tc>
        <w:tc>
          <w:tcPr>
            <w:tcW w:w="933" w:type="dxa"/>
          </w:tcPr>
          <w:p w14:paraId="5221DB49" w14:textId="77777777" w:rsidR="007F5638" w:rsidRPr="007F5638" w:rsidRDefault="007F5638" w:rsidP="007F5638">
            <w:pPr>
              <w:jc w:val="right"/>
              <w:rPr>
                <w:rFonts w:cstheme="minorHAnsi"/>
                <w:sz w:val="18"/>
                <w:szCs w:val="18"/>
              </w:rPr>
            </w:pPr>
          </w:p>
        </w:tc>
        <w:tc>
          <w:tcPr>
            <w:tcW w:w="1748" w:type="dxa"/>
            <w:gridSpan w:val="4"/>
          </w:tcPr>
          <w:p w14:paraId="77E652D6"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323" w:type="dxa"/>
            <w:gridSpan w:val="2"/>
          </w:tcPr>
          <w:p w14:paraId="5A04DB58"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477" w:type="dxa"/>
            <w:gridSpan w:val="2"/>
          </w:tcPr>
          <w:p w14:paraId="075FA5B3"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306" w:type="dxa"/>
          </w:tcPr>
          <w:p w14:paraId="7B6478A0"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287" w:type="dxa"/>
          </w:tcPr>
          <w:p w14:paraId="58747F98"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r>
      <w:tr w:rsidR="007F5638" w:rsidRPr="000E53A0" w14:paraId="1D198F4F" w14:textId="77777777" w:rsidTr="001A7B9D">
        <w:tc>
          <w:tcPr>
            <w:tcW w:w="1298" w:type="dxa"/>
            <w:shd w:val="clear" w:color="auto" w:fill="BFBFBF" w:themeFill="background1" w:themeFillShade="BF"/>
          </w:tcPr>
          <w:p w14:paraId="794EEC07" w14:textId="77777777" w:rsidR="00601D9B" w:rsidRDefault="000E53A0">
            <w:pPr>
              <w:rPr>
                <w:rFonts w:cstheme="minorHAnsi"/>
                <w:sz w:val="18"/>
                <w:szCs w:val="18"/>
              </w:rPr>
            </w:pPr>
            <w:r w:rsidRPr="007F5638">
              <w:rPr>
                <w:rFonts w:cstheme="minorHAnsi"/>
                <w:sz w:val="18"/>
                <w:szCs w:val="18"/>
              </w:rPr>
              <w:t>Indicateur 9.6</w:t>
            </w:r>
          </w:p>
        </w:tc>
        <w:tc>
          <w:tcPr>
            <w:tcW w:w="8074" w:type="dxa"/>
            <w:gridSpan w:val="11"/>
            <w:shd w:val="clear" w:color="auto" w:fill="BFBFBF" w:themeFill="background1" w:themeFillShade="BF"/>
          </w:tcPr>
          <w:p w14:paraId="63C1CE70" w14:textId="77777777" w:rsidR="00601D9B" w:rsidRPr="000E53A0" w:rsidRDefault="000E53A0">
            <w:pPr>
              <w:rPr>
                <w:rFonts w:cstheme="minorHAnsi"/>
                <w:color w:val="000000"/>
                <w:sz w:val="18"/>
                <w:szCs w:val="18"/>
                <w:lang w:val="fr-FR"/>
              </w:rPr>
            </w:pPr>
            <w:r w:rsidRPr="000E53A0">
              <w:rPr>
                <w:rFonts w:cstheme="minorHAnsi"/>
                <w:color w:val="000000"/>
                <w:sz w:val="18"/>
                <w:szCs w:val="18"/>
                <w:lang w:val="fr-FR"/>
              </w:rPr>
              <w:t>Quantité de matériaux et de produits contenant des POP/du mercure directement évités</w:t>
            </w:r>
          </w:p>
        </w:tc>
      </w:tr>
      <w:tr w:rsidR="007F5638" w:rsidRPr="007F5638" w14:paraId="1CEB99D3" w14:textId="77777777" w:rsidTr="001A7B9D">
        <w:tc>
          <w:tcPr>
            <w:tcW w:w="1298" w:type="dxa"/>
          </w:tcPr>
          <w:p w14:paraId="789B7D66" w14:textId="77777777" w:rsidR="007F5638" w:rsidRPr="000E53A0" w:rsidRDefault="007F5638" w:rsidP="007F5638">
            <w:pPr>
              <w:jc w:val="right"/>
              <w:rPr>
                <w:rFonts w:cstheme="minorHAnsi"/>
                <w:sz w:val="18"/>
                <w:szCs w:val="18"/>
                <w:lang w:val="fr-FR"/>
              </w:rPr>
            </w:pPr>
          </w:p>
        </w:tc>
        <w:tc>
          <w:tcPr>
            <w:tcW w:w="933" w:type="dxa"/>
          </w:tcPr>
          <w:p w14:paraId="002698A3" w14:textId="77777777" w:rsidR="007F5638" w:rsidRPr="000E53A0" w:rsidRDefault="007F5638" w:rsidP="007F5638">
            <w:pPr>
              <w:jc w:val="right"/>
              <w:rPr>
                <w:rFonts w:cstheme="minorHAnsi"/>
                <w:sz w:val="18"/>
                <w:szCs w:val="18"/>
                <w:lang w:val="fr-FR"/>
              </w:rPr>
            </w:pPr>
          </w:p>
        </w:tc>
        <w:tc>
          <w:tcPr>
            <w:tcW w:w="1748" w:type="dxa"/>
            <w:gridSpan w:val="4"/>
          </w:tcPr>
          <w:p w14:paraId="63BA4BF3" w14:textId="77777777" w:rsidR="007F5638" w:rsidRPr="000E53A0" w:rsidRDefault="007F5638" w:rsidP="007F5638">
            <w:pPr>
              <w:jc w:val="right"/>
              <w:rPr>
                <w:rFonts w:cstheme="minorHAnsi"/>
                <w:i/>
                <w:color w:val="000000"/>
                <w:sz w:val="18"/>
                <w:szCs w:val="18"/>
                <w:lang w:val="fr-FR"/>
              </w:rPr>
            </w:pPr>
          </w:p>
        </w:tc>
        <w:tc>
          <w:tcPr>
            <w:tcW w:w="5393" w:type="dxa"/>
            <w:gridSpan w:val="6"/>
          </w:tcPr>
          <w:p w14:paraId="7D00A5F5" w14:textId="77777777" w:rsidR="00601D9B" w:rsidRDefault="000E53A0">
            <w:pPr>
              <w:jc w:val="center"/>
              <w:rPr>
                <w:rFonts w:cstheme="minorHAnsi"/>
                <w:color w:val="000000"/>
                <w:sz w:val="18"/>
                <w:szCs w:val="18"/>
              </w:rPr>
            </w:pPr>
            <w:r w:rsidRPr="007F5638">
              <w:rPr>
                <w:rFonts w:cstheme="minorHAnsi"/>
                <w:color w:val="000000"/>
                <w:sz w:val="18"/>
                <w:szCs w:val="18"/>
              </w:rPr>
              <w:t>Tonnes métriques</w:t>
            </w:r>
          </w:p>
        </w:tc>
      </w:tr>
      <w:tr w:rsidR="007F5638" w:rsidRPr="007F5638" w14:paraId="0FE0AAAD" w14:textId="77777777" w:rsidTr="001A7B9D">
        <w:tc>
          <w:tcPr>
            <w:tcW w:w="1298" w:type="dxa"/>
          </w:tcPr>
          <w:p w14:paraId="1578E3D6" w14:textId="77777777" w:rsidR="007F5638" w:rsidRPr="007F5638" w:rsidRDefault="007F5638" w:rsidP="007F5638">
            <w:pPr>
              <w:jc w:val="right"/>
              <w:rPr>
                <w:rFonts w:cstheme="minorHAnsi"/>
                <w:sz w:val="18"/>
                <w:szCs w:val="18"/>
              </w:rPr>
            </w:pPr>
          </w:p>
        </w:tc>
        <w:tc>
          <w:tcPr>
            <w:tcW w:w="933" w:type="dxa"/>
          </w:tcPr>
          <w:p w14:paraId="59C93459" w14:textId="77777777" w:rsidR="007F5638" w:rsidRPr="007F5638" w:rsidRDefault="007F5638" w:rsidP="007F5638">
            <w:pPr>
              <w:jc w:val="right"/>
              <w:rPr>
                <w:rFonts w:cstheme="minorHAnsi"/>
                <w:sz w:val="18"/>
                <w:szCs w:val="18"/>
              </w:rPr>
            </w:pPr>
          </w:p>
        </w:tc>
        <w:tc>
          <w:tcPr>
            <w:tcW w:w="1748" w:type="dxa"/>
            <w:gridSpan w:val="4"/>
          </w:tcPr>
          <w:p w14:paraId="16EA2F99" w14:textId="77777777" w:rsidR="007F5638" w:rsidRPr="007F5638" w:rsidRDefault="007F5638" w:rsidP="007F5638">
            <w:pPr>
              <w:jc w:val="right"/>
              <w:rPr>
                <w:rFonts w:cstheme="minorHAnsi"/>
                <w:i/>
                <w:color w:val="000000"/>
                <w:sz w:val="18"/>
                <w:szCs w:val="18"/>
              </w:rPr>
            </w:pPr>
          </w:p>
        </w:tc>
        <w:tc>
          <w:tcPr>
            <w:tcW w:w="2800" w:type="dxa"/>
            <w:gridSpan w:val="4"/>
          </w:tcPr>
          <w:p w14:paraId="3130BE53" w14:textId="77777777" w:rsidR="00601D9B" w:rsidRDefault="000E53A0">
            <w:pPr>
              <w:jc w:val="right"/>
              <w:rPr>
                <w:rFonts w:cstheme="minorHAnsi"/>
                <w:i/>
                <w:color w:val="000000"/>
                <w:sz w:val="18"/>
                <w:szCs w:val="18"/>
              </w:rPr>
            </w:pPr>
            <w:r w:rsidRPr="007F5638">
              <w:rPr>
                <w:rFonts w:cstheme="minorHAnsi"/>
                <w:sz w:val="18"/>
                <w:szCs w:val="18"/>
              </w:rPr>
              <w:t>Attendu</w:t>
            </w:r>
          </w:p>
        </w:tc>
        <w:tc>
          <w:tcPr>
            <w:tcW w:w="2593" w:type="dxa"/>
            <w:gridSpan w:val="2"/>
          </w:tcPr>
          <w:p w14:paraId="36024368" w14:textId="77777777" w:rsidR="00601D9B" w:rsidRDefault="000E53A0">
            <w:pPr>
              <w:jc w:val="right"/>
              <w:rPr>
                <w:rFonts w:cstheme="minorHAnsi"/>
                <w:i/>
                <w:color w:val="000000"/>
                <w:sz w:val="18"/>
                <w:szCs w:val="18"/>
              </w:rPr>
            </w:pPr>
            <w:r w:rsidRPr="007F5638">
              <w:rPr>
                <w:rFonts w:cstheme="minorHAnsi"/>
                <w:sz w:val="18"/>
                <w:szCs w:val="18"/>
              </w:rPr>
              <w:t>Réalisé</w:t>
            </w:r>
          </w:p>
        </w:tc>
      </w:tr>
      <w:tr w:rsidR="007F5638" w:rsidRPr="007F5638" w14:paraId="60EA03D4" w14:textId="77777777" w:rsidTr="001A7B9D">
        <w:tc>
          <w:tcPr>
            <w:tcW w:w="1298" w:type="dxa"/>
          </w:tcPr>
          <w:p w14:paraId="390063AC" w14:textId="77777777" w:rsidR="007F5638" w:rsidRPr="007F5638" w:rsidRDefault="007F5638" w:rsidP="007F5638">
            <w:pPr>
              <w:jc w:val="right"/>
              <w:rPr>
                <w:rFonts w:cstheme="minorHAnsi"/>
                <w:sz w:val="18"/>
                <w:szCs w:val="18"/>
              </w:rPr>
            </w:pPr>
          </w:p>
        </w:tc>
        <w:tc>
          <w:tcPr>
            <w:tcW w:w="933" w:type="dxa"/>
          </w:tcPr>
          <w:p w14:paraId="5EFC997F" w14:textId="77777777" w:rsidR="007F5638" w:rsidRPr="007F5638" w:rsidRDefault="007F5638" w:rsidP="007F5638">
            <w:pPr>
              <w:jc w:val="right"/>
              <w:rPr>
                <w:rFonts w:cstheme="minorHAnsi"/>
                <w:sz w:val="18"/>
                <w:szCs w:val="18"/>
              </w:rPr>
            </w:pPr>
          </w:p>
        </w:tc>
        <w:tc>
          <w:tcPr>
            <w:tcW w:w="1748" w:type="dxa"/>
            <w:gridSpan w:val="4"/>
          </w:tcPr>
          <w:p w14:paraId="1B997914" w14:textId="77777777" w:rsidR="007F5638" w:rsidRPr="007F5638" w:rsidRDefault="007F5638" w:rsidP="007F5638">
            <w:pPr>
              <w:jc w:val="right"/>
              <w:rPr>
                <w:rFonts w:cstheme="minorHAnsi"/>
                <w:i/>
                <w:color w:val="000000"/>
                <w:sz w:val="18"/>
                <w:szCs w:val="18"/>
              </w:rPr>
            </w:pPr>
          </w:p>
        </w:tc>
        <w:tc>
          <w:tcPr>
            <w:tcW w:w="1323" w:type="dxa"/>
            <w:gridSpan w:val="2"/>
          </w:tcPr>
          <w:p w14:paraId="69C6A2DE" w14:textId="77777777" w:rsidR="00601D9B" w:rsidRDefault="000E53A0">
            <w:pPr>
              <w:jc w:val="right"/>
              <w:rPr>
                <w:rFonts w:cstheme="minorHAnsi"/>
                <w:i/>
                <w:color w:val="000000"/>
                <w:sz w:val="18"/>
                <w:szCs w:val="18"/>
              </w:rPr>
            </w:pPr>
            <w:r w:rsidRPr="007F5638">
              <w:rPr>
                <w:rFonts w:cstheme="minorHAnsi"/>
                <w:sz w:val="18"/>
                <w:szCs w:val="18"/>
              </w:rPr>
              <w:t>Étape du FIP</w:t>
            </w:r>
          </w:p>
        </w:tc>
        <w:tc>
          <w:tcPr>
            <w:tcW w:w="1477" w:type="dxa"/>
            <w:gridSpan w:val="2"/>
          </w:tcPr>
          <w:p w14:paraId="04631E1B" w14:textId="77777777" w:rsidR="00601D9B" w:rsidRDefault="000E53A0">
            <w:pPr>
              <w:jc w:val="right"/>
              <w:rPr>
                <w:rFonts w:cstheme="minorHAnsi"/>
                <w:i/>
                <w:color w:val="000000"/>
                <w:sz w:val="18"/>
                <w:szCs w:val="18"/>
              </w:rPr>
            </w:pPr>
            <w:r w:rsidRPr="007F5638">
              <w:rPr>
                <w:rFonts w:cstheme="minorHAnsi"/>
                <w:sz w:val="18"/>
                <w:szCs w:val="18"/>
              </w:rPr>
              <w:t>Endossement</w:t>
            </w:r>
          </w:p>
        </w:tc>
        <w:tc>
          <w:tcPr>
            <w:tcW w:w="1306" w:type="dxa"/>
          </w:tcPr>
          <w:p w14:paraId="6986A428" w14:textId="77777777" w:rsidR="00601D9B" w:rsidRDefault="000E53A0">
            <w:pPr>
              <w:jc w:val="right"/>
              <w:rPr>
                <w:rFonts w:cstheme="minorHAnsi"/>
                <w:i/>
                <w:color w:val="000000"/>
                <w:sz w:val="18"/>
                <w:szCs w:val="18"/>
              </w:rPr>
            </w:pPr>
            <w:r w:rsidRPr="007F5638">
              <w:rPr>
                <w:rFonts w:cstheme="minorHAnsi"/>
                <w:sz w:val="18"/>
                <w:szCs w:val="18"/>
              </w:rPr>
              <w:t>Étape du FIP</w:t>
            </w:r>
          </w:p>
        </w:tc>
        <w:tc>
          <w:tcPr>
            <w:tcW w:w="1287" w:type="dxa"/>
          </w:tcPr>
          <w:p w14:paraId="6D549521" w14:textId="77777777" w:rsidR="00601D9B" w:rsidRDefault="000E53A0">
            <w:pPr>
              <w:jc w:val="right"/>
              <w:rPr>
                <w:rFonts w:cstheme="minorHAnsi"/>
                <w:i/>
                <w:color w:val="000000"/>
                <w:sz w:val="18"/>
                <w:szCs w:val="18"/>
              </w:rPr>
            </w:pPr>
            <w:r w:rsidRPr="007F5638">
              <w:rPr>
                <w:rFonts w:cstheme="minorHAnsi"/>
                <w:sz w:val="18"/>
                <w:szCs w:val="18"/>
              </w:rPr>
              <w:t>Endossement</w:t>
            </w:r>
          </w:p>
        </w:tc>
      </w:tr>
      <w:tr w:rsidR="007F5638" w:rsidRPr="007F5638" w14:paraId="10368389" w14:textId="77777777" w:rsidTr="001A7B9D">
        <w:tc>
          <w:tcPr>
            <w:tcW w:w="1298" w:type="dxa"/>
          </w:tcPr>
          <w:p w14:paraId="0CA1CB23" w14:textId="77777777" w:rsidR="007F5638" w:rsidRPr="007F5638" w:rsidRDefault="007F5638" w:rsidP="007F5638">
            <w:pPr>
              <w:jc w:val="right"/>
              <w:rPr>
                <w:rFonts w:cstheme="minorHAnsi"/>
                <w:sz w:val="18"/>
                <w:szCs w:val="18"/>
              </w:rPr>
            </w:pPr>
          </w:p>
        </w:tc>
        <w:tc>
          <w:tcPr>
            <w:tcW w:w="933" w:type="dxa"/>
          </w:tcPr>
          <w:p w14:paraId="35FABF81" w14:textId="77777777" w:rsidR="007F5638" w:rsidRPr="007F5638" w:rsidRDefault="007F5638" w:rsidP="007F5638">
            <w:pPr>
              <w:jc w:val="right"/>
              <w:rPr>
                <w:rFonts w:cstheme="minorHAnsi"/>
                <w:sz w:val="18"/>
                <w:szCs w:val="18"/>
              </w:rPr>
            </w:pPr>
          </w:p>
        </w:tc>
        <w:tc>
          <w:tcPr>
            <w:tcW w:w="1748" w:type="dxa"/>
            <w:gridSpan w:val="4"/>
          </w:tcPr>
          <w:p w14:paraId="6F917DC5" w14:textId="77777777" w:rsidR="007F5638" w:rsidRPr="007F5638" w:rsidRDefault="007F5638" w:rsidP="007F5638">
            <w:pPr>
              <w:jc w:val="right"/>
              <w:rPr>
                <w:rFonts w:cstheme="minorHAnsi"/>
                <w:i/>
                <w:color w:val="000000"/>
                <w:sz w:val="18"/>
                <w:szCs w:val="18"/>
              </w:rPr>
            </w:pPr>
          </w:p>
        </w:tc>
        <w:tc>
          <w:tcPr>
            <w:tcW w:w="1323" w:type="dxa"/>
            <w:gridSpan w:val="2"/>
          </w:tcPr>
          <w:p w14:paraId="3B92DA77" w14:textId="77777777" w:rsidR="00601D9B" w:rsidRDefault="000E53A0">
            <w:pPr>
              <w:jc w:val="right"/>
              <w:rPr>
                <w:rFonts w:cstheme="minorHAnsi"/>
                <w:i/>
                <w:color w:val="000000"/>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477" w:type="dxa"/>
            <w:gridSpan w:val="2"/>
          </w:tcPr>
          <w:p w14:paraId="0BD3D04A" w14:textId="77777777" w:rsidR="00601D9B" w:rsidRDefault="000E53A0">
            <w:pPr>
              <w:jc w:val="right"/>
              <w:rPr>
                <w:rFonts w:cstheme="minorHAnsi"/>
                <w:i/>
                <w:color w:val="000000"/>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306" w:type="dxa"/>
          </w:tcPr>
          <w:p w14:paraId="57EA5E2E" w14:textId="77777777" w:rsidR="00601D9B" w:rsidRDefault="000E53A0">
            <w:pPr>
              <w:jc w:val="right"/>
              <w:rPr>
                <w:rFonts w:cstheme="minorHAnsi"/>
                <w:i/>
                <w:color w:val="000000"/>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287" w:type="dxa"/>
          </w:tcPr>
          <w:p w14:paraId="552BE67F" w14:textId="77777777" w:rsidR="00601D9B" w:rsidRDefault="000E53A0">
            <w:pPr>
              <w:jc w:val="right"/>
              <w:rPr>
                <w:rFonts w:cstheme="minorHAnsi"/>
                <w:i/>
                <w:color w:val="000000"/>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r>
      <w:tr w:rsidR="007F5638" w:rsidRPr="007F5638" w14:paraId="07A8D3C7" w14:textId="77777777" w:rsidTr="001A7B9D">
        <w:tc>
          <w:tcPr>
            <w:tcW w:w="1298" w:type="dxa"/>
          </w:tcPr>
          <w:p w14:paraId="1660D9BE" w14:textId="77777777" w:rsidR="007F5638" w:rsidRPr="007F5638" w:rsidRDefault="007F5638" w:rsidP="007F5638">
            <w:pPr>
              <w:jc w:val="right"/>
              <w:rPr>
                <w:rFonts w:cstheme="minorHAnsi"/>
                <w:sz w:val="18"/>
                <w:szCs w:val="18"/>
              </w:rPr>
            </w:pPr>
          </w:p>
        </w:tc>
        <w:tc>
          <w:tcPr>
            <w:tcW w:w="933" w:type="dxa"/>
          </w:tcPr>
          <w:p w14:paraId="1C8DFFA1" w14:textId="77777777" w:rsidR="007F5638" w:rsidRPr="007F5638" w:rsidRDefault="007F5638" w:rsidP="007F5638">
            <w:pPr>
              <w:jc w:val="right"/>
              <w:rPr>
                <w:rFonts w:cstheme="minorHAnsi"/>
                <w:sz w:val="18"/>
                <w:szCs w:val="18"/>
              </w:rPr>
            </w:pPr>
          </w:p>
        </w:tc>
        <w:tc>
          <w:tcPr>
            <w:tcW w:w="1748" w:type="dxa"/>
            <w:gridSpan w:val="4"/>
          </w:tcPr>
          <w:p w14:paraId="0E948069" w14:textId="77777777" w:rsidR="007F5638" w:rsidRPr="007F5638" w:rsidRDefault="007F5638" w:rsidP="007F5638">
            <w:pPr>
              <w:jc w:val="right"/>
              <w:rPr>
                <w:rFonts w:cstheme="minorHAnsi"/>
                <w:i/>
                <w:color w:val="000000"/>
                <w:sz w:val="18"/>
                <w:szCs w:val="18"/>
              </w:rPr>
            </w:pPr>
          </w:p>
        </w:tc>
        <w:tc>
          <w:tcPr>
            <w:tcW w:w="1323" w:type="dxa"/>
            <w:gridSpan w:val="2"/>
          </w:tcPr>
          <w:p w14:paraId="720EE31B" w14:textId="77777777" w:rsidR="00601D9B" w:rsidRDefault="000E53A0">
            <w:pPr>
              <w:jc w:val="right"/>
              <w:rPr>
                <w:rFonts w:cstheme="minorHAnsi"/>
                <w:i/>
                <w:color w:val="000000"/>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477" w:type="dxa"/>
            <w:gridSpan w:val="2"/>
          </w:tcPr>
          <w:p w14:paraId="402B6E08" w14:textId="77777777" w:rsidR="00601D9B" w:rsidRDefault="000E53A0">
            <w:pPr>
              <w:jc w:val="right"/>
              <w:rPr>
                <w:rFonts w:cstheme="minorHAnsi"/>
                <w:i/>
                <w:color w:val="000000"/>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306" w:type="dxa"/>
          </w:tcPr>
          <w:p w14:paraId="5D29000C" w14:textId="77777777" w:rsidR="00601D9B" w:rsidRDefault="000E53A0">
            <w:pPr>
              <w:jc w:val="right"/>
              <w:rPr>
                <w:rFonts w:cstheme="minorHAnsi"/>
                <w:i/>
                <w:color w:val="000000"/>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287" w:type="dxa"/>
          </w:tcPr>
          <w:p w14:paraId="08F3AFB8" w14:textId="77777777" w:rsidR="00601D9B" w:rsidRDefault="000E53A0">
            <w:pPr>
              <w:jc w:val="right"/>
              <w:rPr>
                <w:rFonts w:cstheme="minorHAnsi"/>
                <w:i/>
                <w:color w:val="000000"/>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r>
      <w:tr w:rsidR="007F5638" w:rsidRPr="007F5638" w14:paraId="69625735" w14:textId="77777777" w:rsidTr="001A7B9D">
        <w:tc>
          <w:tcPr>
            <w:tcW w:w="1298" w:type="dxa"/>
            <w:shd w:val="clear" w:color="auto" w:fill="D9D9D9" w:themeFill="background1" w:themeFillShade="D9"/>
          </w:tcPr>
          <w:p w14:paraId="72D13A07" w14:textId="77777777" w:rsidR="00601D9B" w:rsidRDefault="000E53A0">
            <w:pPr>
              <w:rPr>
                <w:rFonts w:cstheme="minorHAnsi"/>
                <w:b/>
                <w:sz w:val="18"/>
                <w:szCs w:val="18"/>
              </w:rPr>
            </w:pPr>
            <w:r w:rsidRPr="007F5638">
              <w:rPr>
                <w:rFonts w:cstheme="minorHAnsi"/>
                <w:b/>
                <w:sz w:val="18"/>
                <w:szCs w:val="18"/>
              </w:rPr>
              <w:t>Indicateur de base 10</w:t>
            </w:r>
          </w:p>
        </w:tc>
        <w:tc>
          <w:tcPr>
            <w:tcW w:w="6787" w:type="dxa"/>
            <w:gridSpan w:val="10"/>
            <w:shd w:val="clear" w:color="auto" w:fill="D9D9D9" w:themeFill="background1" w:themeFillShade="D9"/>
          </w:tcPr>
          <w:p w14:paraId="5FAC1C59" w14:textId="77777777" w:rsidR="00601D9B" w:rsidRPr="000E53A0" w:rsidRDefault="000E53A0">
            <w:pPr>
              <w:rPr>
                <w:rFonts w:cstheme="minorHAnsi"/>
                <w:b/>
                <w:sz w:val="18"/>
                <w:szCs w:val="18"/>
                <w:lang w:val="fr-FR"/>
              </w:rPr>
            </w:pPr>
            <w:r w:rsidRPr="000E53A0">
              <w:rPr>
                <w:rFonts w:cstheme="minorHAnsi"/>
                <w:b/>
                <w:sz w:val="18"/>
                <w:szCs w:val="18"/>
                <w:lang w:val="fr-FR"/>
              </w:rPr>
              <w:t xml:space="preserve">Réduction, évitement des émissions de POP dans l'air à partir de sources ponctuelles et non ponctuelles </w:t>
            </w:r>
          </w:p>
        </w:tc>
        <w:tc>
          <w:tcPr>
            <w:tcW w:w="1287" w:type="dxa"/>
            <w:shd w:val="clear" w:color="auto" w:fill="D9D9D9" w:themeFill="background1" w:themeFillShade="D9"/>
          </w:tcPr>
          <w:p w14:paraId="68C85B45" w14:textId="77777777" w:rsidR="00601D9B" w:rsidRDefault="000E53A0">
            <w:pPr>
              <w:jc w:val="right"/>
              <w:rPr>
                <w:rFonts w:cstheme="minorHAnsi"/>
                <w:b/>
                <w:sz w:val="18"/>
                <w:szCs w:val="18"/>
              </w:rPr>
            </w:pPr>
            <w:r w:rsidRPr="007F5638">
              <w:rPr>
                <w:rFonts w:cstheme="minorHAnsi"/>
                <w:b/>
                <w:i/>
                <w:color w:val="000000"/>
                <w:sz w:val="18"/>
                <w:szCs w:val="18"/>
              </w:rPr>
              <w:fldChar w:fldCharType="begin">
                <w:ffData>
                  <w:name w:val=""/>
                  <w:enabled/>
                  <w:calcOnExit w:val="0"/>
                  <w:textInput>
                    <w:default w:val="(Grams)"/>
                  </w:textInput>
                </w:ffData>
              </w:fldChar>
            </w:r>
            <w:r w:rsidRPr="007F5638">
              <w:rPr>
                <w:rFonts w:cstheme="minorHAnsi"/>
                <w:b/>
                <w:i/>
                <w:color w:val="000000"/>
                <w:sz w:val="18"/>
                <w:szCs w:val="18"/>
              </w:rPr>
              <w:instrText xml:space="preserve"> FORMTEXT </w:instrText>
            </w:r>
            <w:r w:rsidRPr="007F5638">
              <w:rPr>
                <w:rFonts w:cstheme="minorHAnsi"/>
                <w:b/>
                <w:i/>
                <w:color w:val="000000"/>
                <w:sz w:val="18"/>
                <w:szCs w:val="18"/>
              </w:rPr>
            </w:r>
            <w:r w:rsidRPr="007F5638">
              <w:rPr>
                <w:rFonts w:cstheme="minorHAnsi"/>
                <w:b/>
                <w:i/>
                <w:color w:val="000000"/>
                <w:sz w:val="18"/>
                <w:szCs w:val="18"/>
              </w:rPr>
              <w:fldChar w:fldCharType="separate"/>
            </w:r>
            <w:r w:rsidRPr="007F5638">
              <w:rPr>
                <w:rFonts w:cstheme="minorHAnsi"/>
                <w:b/>
                <w:i/>
                <w:noProof/>
                <w:color w:val="000000"/>
                <w:sz w:val="18"/>
                <w:szCs w:val="18"/>
              </w:rPr>
              <w:t>(</w:t>
            </w:r>
            <w:r w:rsidRPr="007F5638">
              <w:rPr>
                <w:rFonts w:cstheme="minorHAnsi"/>
                <w:b/>
                <w:bCs/>
                <w:i/>
                <w:noProof/>
                <w:color w:val="000000"/>
                <w:sz w:val="18"/>
                <w:szCs w:val="18"/>
              </w:rPr>
              <w:t xml:space="preserve">grammes d'équivalent toxique </w:t>
            </w:r>
            <w:r w:rsidRPr="007F5638">
              <w:rPr>
                <w:rFonts w:cstheme="minorHAnsi"/>
                <w:b/>
                <w:bCs/>
                <w:i/>
                <w:noProof/>
                <w:color w:val="000000"/>
                <w:sz w:val="18"/>
                <w:szCs w:val="18"/>
              </w:rPr>
              <w:lastRenderedPageBreak/>
              <w:t>gTEQ</w:t>
            </w:r>
            <w:r w:rsidRPr="007F5638">
              <w:rPr>
                <w:rFonts w:cstheme="minorHAnsi"/>
                <w:b/>
                <w:i/>
                <w:noProof/>
                <w:color w:val="000000"/>
                <w:sz w:val="18"/>
                <w:szCs w:val="18"/>
              </w:rPr>
              <w:t>)</w:t>
            </w:r>
            <w:r w:rsidRPr="007F5638">
              <w:rPr>
                <w:rFonts w:cstheme="minorHAnsi"/>
                <w:b/>
                <w:i/>
                <w:color w:val="000000"/>
                <w:sz w:val="18"/>
                <w:szCs w:val="18"/>
              </w:rPr>
              <w:fldChar w:fldCharType="end"/>
            </w:r>
          </w:p>
        </w:tc>
      </w:tr>
      <w:tr w:rsidR="007F5638" w:rsidRPr="007F5638" w14:paraId="6FA676DC" w14:textId="77777777" w:rsidTr="001A7B9D">
        <w:tc>
          <w:tcPr>
            <w:tcW w:w="1298" w:type="dxa"/>
            <w:shd w:val="clear" w:color="auto" w:fill="BFBFBF" w:themeFill="background1" w:themeFillShade="BF"/>
          </w:tcPr>
          <w:p w14:paraId="7CB870BB" w14:textId="77777777" w:rsidR="00601D9B" w:rsidRDefault="000E53A0">
            <w:pPr>
              <w:rPr>
                <w:rFonts w:cstheme="minorHAnsi"/>
                <w:sz w:val="18"/>
                <w:szCs w:val="18"/>
              </w:rPr>
            </w:pPr>
            <w:r w:rsidRPr="007F5638">
              <w:rPr>
                <w:rFonts w:cstheme="minorHAnsi"/>
                <w:sz w:val="18"/>
                <w:szCs w:val="18"/>
              </w:rPr>
              <w:lastRenderedPageBreak/>
              <w:t>Indicateur 10.1</w:t>
            </w:r>
          </w:p>
        </w:tc>
        <w:tc>
          <w:tcPr>
            <w:tcW w:w="6787" w:type="dxa"/>
            <w:gridSpan w:val="10"/>
            <w:shd w:val="clear" w:color="auto" w:fill="BFBFBF" w:themeFill="background1" w:themeFillShade="BF"/>
          </w:tcPr>
          <w:p w14:paraId="4AC9A607" w14:textId="77777777" w:rsidR="00601D9B" w:rsidRPr="000E53A0" w:rsidRDefault="000E53A0">
            <w:pPr>
              <w:rPr>
                <w:rFonts w:cstheme="minorHAnsi"/>
                <w:sz w:val="18"/>
                <w:szCs w:val="18"/>
                <w:lang w:val="fr-FR"/>
              </w:rPr>
            </w:pPr>
            <w:r w:rsidRPr="000E53A0">
              <w:rPr>
                <w:rFonts w:cstheme="minorHAnsi"/>
                <w:sz w:val="18"/>
                <w:szCs w:val="18"/>
                <w:lang w:val="fr-FR"/>
              </w:rPr>
              <w:t>Nombre de pays ayant mis en œuvre une législation et une politique visant à contrôler les émissions de POP dans l'atmosphère</w:t>
            </w:r>
          </w:p>
        </w:tc>
        <w:tc>
          <w:tcPr>
            <w:tcW w:w="1287" w:type="dxa"/>
            <w:shd w:val="clear" w:color="auto" w:fill="BFBFBF" w:themeFill="background1" w:themeFillShade="BF"/>
          </w:tcPr>
          <w:p w14:paraId="34F32A31"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r>
      <w:tr w:rsidR="007F5638" w:rsidRPr="007F5638" w14:paraId="61530103" w14:textId="77777777" w:rsidTr="001A7B9D">
        <w:trPr>
          <w:trHeight w:val="125"/>
        </w:trPr>
        <w:tc>
          <w:tcPr>
            <w:tcW w:w="1298" w:type="dxa"/>
            <w:vMerge w:val="restart"/>
          </w:tcPr>
          <w:p w14:paraId="602AC6B0" w14:textId="77777777" w:rsidR="007F5638" w:rsidRPr="007F5638" w:rsidRDefault="007F5638" w:rsidP="007F5638">
            <w:pPr>
              <w:rPr>
                <w:rFonts w:cstheme="minorHAnsi"/>
                <w:sz w:val="18"/>
                <w:szCs w:val="18"/>
              </w:rPr>
            </w:pPr>
          </w:p>
        </w:tc>
        <w:tc>
          <w:tcPr>
            <w:tcW w:w="933" w:type="dxa"/>
            <w:vMerge w:val="restart"/>
          </w:tcPr>
          <w:p w14:paraId="64153603" w14:textId="77777777" w:rsidR="007F5638" w:rsidRPr="007F5638" w:rsidRDefault="007F5638" w:rsidP="007F5638">
            <w:pPr>
              <w:rPr>
                <w:rFonts w:cstheme="minorHAnsi"/>
                <w:sz w:val="18"/>
                <w:szCs w:val="18"/>
              </w:rPr>
            </w:pPr>
          </w:p>
        </w:tc>
        <w:tc>
          <w:tcPr>
            <w:tcW w:w="1748" w:type="dxa"/>
            <w:gridSpan w:val="4"/>
            <w:vMerge w:val="restart"/>
          </w:tcPr>
          <w:p w14:paraId="1CC5F665" w14:textId="77777777" w:rsidR="007F5638" w:rsidRPr="007F5638" w:rsidRDefault="007F5638" w:rsidP="007F5638">
            <w:pPr>
              <w:rPr>
                <w:rFonts w:cstheme="minorHAnsi"/>
                <w:sz w:val="18"/>
                <w:szCs w:val="18"/>
              </w:rPr>
            </w:pPr>
          </w:p>
        </w:tc>
        <w:tc>
          <w:tcPr>
            <w:tcW w:w="5393" w:type="dxa"/>
            <w:gridSpan w:val="6"/>
          </w:tcPr>
          <w:p w14:paraId="718A4A58" w14:textId="77777777" w:rsidR="00601D9B" w:rsidRDefault="000E53A0">
            <w:pPr>
              <w:jc w:val="center"/>
              <w:rPr>
                <w:rFonts w:cstheme="minorHAnsi"/>
                <w:sz w:val="18"/>
                <w:szCs w:val="18"/>
              </w:rPr>
            </w:pPr>
            <w:r w:rsidRPr="007F5638">
              <w:rPr>
                <w:rFonts w:cstheme="minorHAnsi"/>
                <w:sz w:val="18"/>
                <w:szCs w:val="18"/>
              </w:rPr>
              <w:t>Nombre de pays</w:t>
            </w:r>
          </w:p>
        </w:tc>
      </w:tr>
      <w:tr w:rsidR="007F5638" w:rsidRPr="007F5638" w14:paraId="23CC30FD" w14:textId="77777777" w:rsidTr="001A7B9D">
        <w:trPr>
          <w:trHeight w:val="58"/>
        </w:trPr>
        <w:tc>
          <w:tcPr>
            <w:tcW w:w="1298" w:type="dxa"/>
            <w:vMerge/>
          </w:tcPr>
          <w:p w14:paraId="485AB16C" w14:textId="77777777" w:rsidR="007F5638" w:rsidRPr="007F5638" w:rsidRDefault="007F5638" w:rsidP="007F5638">
            <w:pPr>
              <w:rPr>
                <w:rFonts w:cstheme="minorHAnsi"/>
                <w:sz w:val="18"/>
                <w:szCs w:val="18"/>
              </w:rPr>
            </w:pPr>
          </w:p>
        </w:tc>
        <w:tc>
          <w:tcPr>
            <w:tcW w:w="933" w:type="dxa"/>
            <w:vMerge/>
          </w:tcPr>
          <w:p w14:paraId="5A555433" w14:textId="77777777" w:rsidR="007F5638" w:rsidRPr="007F5638" w:rsidRDefault="007F5638" w:rsidP="007F5638">
            <w:pPr>
              <w:rPr>
                <w:rFonts w:cstheme="minorHAnsi"/>
                <w:sz w:val="18"/>
                <w:szCs w:val="18"/>
              </w:rPr>
            </w:pPr>
          </w:p>
        </w:tc>
        <w:tc>
          <w:tcPr>
            <w:tcW w:w="1748" w:type="dxa"/>
            <w:gridSpan w:val="4"/>
            <w:vMerge/>
          </w:tcPr>
          <w:p w14:paraId="168C0BCF" w14:textId="77777777" w:rsidR="007F5638" w:rsidRPr="007F5638" w:rsidRDefault="007F5638" w:rsidP="007F5638">
            <w:pPr>
              <w:rPr>
                <w:rFonts w:cstheme="minorHAnsi"/>
                <w:sz w:val="18"/>
                <w:szCs w:val="18"/>
              </w:rPr>
            </w:pPr>
          </w:p>
        </w:tc>
        <w:tc>
          <w:tcPr>
            <w:tcW w:w="2800" w:type="dxa"/>
            <w:gridSpan w:val="4"/>
          </w:tcPr>
          <w:p w14:paraId="15ADD187" w14:textId="77777777" w:rsidR="00601D9B" w:rsidRDefault="000E53A0">
            <w:pPr>
              <w:jc w:val="center"/>
              <w:rPr>
                <w:rFonts w:cstheme="minorHAnsi"/>
                <w:sz w:val="18"/>
                <w:szCs w:val="18"/>
              </w:rPr>
            </w:pPr>
            <w:r w:rsidRPr="007F5638">
              <w:rPr>
                <w:rFonts w:cstheme="minorHAnsi"/>
                <w:sz w:val="18"/>
                <w:szCs w:val="18"/>
              </w:rPr>
              <w:t>Attendu</w:t>
            </w:r>
          </w:p>
        </w:tc>
        <w:tc>
          <w:tcPr>
            <w:tcW w:w="2593" w:type="dxa"/>
            <w:gridSpan w:val="2"/>
          </w:tcPr>
          <w:p w14:paraId="484BECE7" w14:textId="77777777" w:rsidR="00601D9B" w:rsidRDefault="000E53A0">
            <w:pPr>
              <w:jc w:val="center"/>
              <w:rPr>
                <w:rFonts w:cstheme="minorHAnsi"/>
                <w:sz w:val="18"/>
                <w:szCs w:val="18"/>
              </w:rPr>
            </w:pPr>
            <w:r w:rsidRPr="007F5638">
              <w:rPr>
                <w:rFonts w:cstheme="minorHAnsi"/>
                <w:sz w:val="18"/>
                <w:szCs w:val="18"/>
              </w:rPr>
              <w:t>Réalisé</w:t>
            </w:r>
          </w:p>
        </w:tc>
      </w:tr>
      <w:tr w:rsidR="007F5638" w:rsidRPr="007F5638" w14:paraId="3427CAEA" w14:textId="77777777" w:rsidTr="001A7B9D">
        <w:trPr>
          <w:trHeight w:val="125"/>
        </w:trPr>
        <w:tc>
          <w:tcPr>
            <w:tcW w:w="1298" w:type="dxa"/>
            <w:vMerge/>
          </w:tcPr>
          <w:p w14:paraId="6B800FEE" w14:textId="77777777" w:rsidR="007F5638" w:rsidRPr="007F5638" w:rsidRDefault="007F5638" w:rsidP="007F5638">
            <w:pPr>
              <w:rPr>
                <w:rFonts w:cstheme="minorHAnsi"/>
                <w:sz w:val="18"/>
                <w:szCs w:val="18"/>
              </w:rPr>
            </w:pPr>
          </w:p>
        </w:tc>
        <w:tc>
          <w:tcPr>
            <w:tcW w:w="933" w:type="dxa"/>
            <w:vMerge/>
          </w:tcPr>
          <w:p w14:paraId="2AF01C3E" w14:textId="77777777" w:rsidR="007F5638" w:rsidRPr="007F5638" w:rsidRDefault="007F5638" w:rsidP="007F5638">
            <w:pPr>
              <w:rPr>
                <w:rFonts w:cstheme="minorHAnsi"/>
                <w:sz w:val="18"/>
                <w:szCs w:val="18"/>
              </w:rPr>
            </w:pPr>
          </w:p>
        </w:tc>
        <w:tc>
          <w:tcPr>
            <w:tcW w:w="1748" w:type="dxa"/>
            <w:gridSpan w:val="4"/>
            <w:vMerge/>
          </w:tcPr>
          <w:p w14:paraId="587836E3" w14:textId="77777777" w:rsidR="007F5638" w:rsidRPr="007F5638" w:rsidRDefault="007F5638" w:rsidP="007F5638">
            <w:pPr>
              <w:rPr>
                <w:rFonts w:cstheme="minorHAnsi"/>
                <w:sz w:val="18"/>
                <w:szCs w:val="18"/>
              </w:rPr>
            </w:pPr>
          </w:p>
        </w:tc>
        <w:tc>
          <w:tcPr>
            <w:tcW w:w="1323" w:type="dxa"/>
            <w:gridSpan w:val="2"/>
          </w:tcPr>
          <w:p w14:paraId="16DE7D6E" w14:textId="77777777" w:rsidR="00601D9B" w:rsidRDefault="000E53A0">
            <w:pPr>
              <w:jc w:val="center"/>
              <w:rPr>
                <w:rFonts w:cstheme="minorHAnsi"/>
                <w:sz w:val="18"/>
                <w:szCs w:val="18"/>
              </w:rPr>
            </w:pPr>
            <w:r w:rsidRPr="007F5638">
              <w:rPr>
                <w:rFonts w:cstheme="minorHAnsi"/>
                <w:sz w:val="18"/>
                <w:szCs w:val="18"/>
              </w:rPr>
              <w:t>Étape du FIP</w:t>
            </w:r>
          </w:p>
        </w:tc>
        <w:tc>
          <w:tcPr>
            <w:tcW w:w="1477" w:type="dxa"/>
            <w:gridSpan w:val="2"/>
          </w:tcPr>
          <w:p w14:paraId="707EAC11" w14:textId="77777777" w:rsidR="00601D9B" w:rsidRDefault="000E53A0">
            <w:pPr>
              <w:jc w:val="center"/>
              <w:rPr>
                <w:rFonts w:cstheme="minorHAnsi"/>
                <w:sz w:val="18"/>
                <w:szCs w:val="18"/>
              </w:rPr>
            </w:pPr>
            <w:r w:rsidRPr="007F5638">
              <w:rPr>
                <w:rFonts w:cstheme="minorHAnsi"/>
                <w:sz w:val="18"/>
                <w:szCs w:val="18"/>
              </w:rPr>
              <w:t>Endossement</w:t>
            </w:r>
          </w:p>
        </w:tc>
        <w:tc>
          <w:tcPr>
            <w:tcW w:w="1306" w:type="dxa"/>
          </w:tcPr>
          <w:p w14:paraId="469BF07A" w14:textId="77777777" w:rsidR="00601D9B" w:rsidRDefault="000E53A0">
            <w:pPr>
              <w:jc w:val="center"/>
              <w:rPr>
                <w:rFonts w:cstheme="minorHAnsi"/>
                <w:sz w:val="18"/>
                <w:szCs w:val="18"/>
              </w:rPr>
            </w:pPr>
            <w:r w:rsidRPr="007F5638">
              <w:rPr>
                <w:rFonts w:cstheme="minorHAnsi"/>
                <w:sz w:val="18"/>
                <w:szCs w:val="18"/>
              </w:rPr>
              <w:t>MTR</w:t>
            </w:r>
          </w:p>
        </w:tc>
        <w:tc>
          <w:tcPr>
            <w:tcW w:w="1287" w:type="dxa"/>
          </w:tcPr>
          <w:p w14:paraId="67654C2A" w14:textId="77777777" w:rsidR="00601D9B" w:rsidRDefault="000E53A0">
            <w:pPr>
              <w:jc w:val="center"/>
              <w:rPr>
                <w:rFonts w:cstheme="minorHAnsi"/>
                <w:sz w:val="18"/>
                <w:szCs w:val="18"/>
              </w:rPr>
            </w:pPr>
            <w:r w:rsidRPr="007F5638">
              <w:rPr>
                <w:rFonts w:cstheme="minorHAnsi"/>
                <w:sz w:val="18"/>
                <w:szCs w:val="18"/>
              </w:rPr>
              <w:t>TE</w:t>
            </w:r>
          </w:p>
        </w:tc>
      </w:tr>
      <w:tr w:rsidR="007F5638" w:rsidRPr="007F5638" w14:paraId="6CD144CF" w14:textId="77777777" w:rsidTr="001A7B9D">
        <w:tc>
          <w:tcPr>
            <w:tcW w:w="1298" w:type="dxa"/>
          </w:tcPr>
          <w:p w14:paraId="75A03CCF" w14:textId="77777777" w:rsidR="007F5638" w:rsidRPr="007F5638" w:rsidRDefault="007F5638" w:rsidP="007F5638">
            <w:pPr>
              <w:jc w:val="right"/>
              <w:rPr>
                <w:rFonts w:cstheme="minorHAnsi"/>
                <w:sz w:val="18"/>
                <w:szCs w:val="18"/>
              </w:rPr>
            </w:pPr>
          </w:p>
        </w:tc>
        <w:tc>
          <w:tcPr>
            <w:tcW w:w="933" w:type="dxa"/>
          </w:tcPr>
          <w:p w14:paraId="1F49CE2F" w14:textId="77777777" w:rsidR="007F5638" w:rsidRPr="007F5638" w:rsidRDefault="007F5638" w:rsidP="007F5638">
            <w:pPr>
              <w:jc w:val="right"/>
              <w:rPr>
                <w:rFonts w:cstheme="minorHAnsi"/>
                <w:sz w:val="18"/>
                <w:szCs w:val="18"/>
              </w:rPr>
            </w:pPr>
          </w:p>
        </w:tc>
        <w:tc>
          <w:tcPr>
            <w:tcW w:w="1748" w:type="dxa"/>
            <w:gridSpan w:val="4"/>
          </w:tcPr>
          <w:p w14:paraId="6D7793A6" w14:textId="77777777" w:rsidR="007F5638" w:rsidRPr="007F5638" w:rsidRDefault="007F5638" w:rsidP="007F5638">
            <w:pPr>
              <w:jc w:val="right"/>
              <w:rPr>
                <w:rFonts w:cstheme="minorHAnsi"/>
                <w:sz w:val="18"/>
                <w:szCs w:val="18"/>
              </w:rPr>
            </w:pPr>
          </w:p>
        </w:tc>
        <w:tc>
          <w:tcPr>
            <w:tcW w:w="1323" w:type="dxa"/>
            <w:gridSpan w:val="2"/>
          </w:tcPr>
          <w:p w14:paraId="1F683873" w14:textId="77777777" w:rsidR="00601D9B" w:rsidRDefault="000E53A0">
            <w:pPr>
              <w:jc w:val="center"/>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477" w:type="dxa"/>
            <w:gridSpan w:val="2"/>
          </w:tcPr>
          <w:p w14:paraId="7C4A520A" w14:textId="77777777" w:rsidR="00601D9B" w:rsidRDefault="000E53A0">
            <w:pPr>
              <w:jc w:val="center"/>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306" w:type="dxa"/>
          </w:tcPr>
          <w:p w14:paraId="4A3A47A9" w14:textId="77777777" w:rsidR="00601D9B" w:rsidRDefault="000E53A0">
            <w:pPr>
              <w:jc w:val="center"/>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287" w:type="dxa"/>
          </w:tcPr>
          <w:p w14:paraId="38DC0C51" w14:textId="77777777" w:rsidR="00601D9B" w:rsidRDefault="000E53A0">
            <w:pPr>
              <w:jc w:val="center"/>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r>
      <w:tr w:rsidR="007F5638" w:rsidRPr="007F5638" w14:paraId="3969495E" w14:textId="77777777" w:rsidTr="001A7B9D">
        <w:tc>
          <w:tcPr>
            <w:tcW w:w="1298" w:type="dxa"/>
            <w:shd w:val="clear" w:color="auto" w:fill="BFBFBF" w:themeFill="background1" w:themeFillShade="BF"/>
          </w:tcPr>
          <w:p w14:paraId="33499AAF" w14:textId="77777777" w:rsidR="00601D9B" w:rsidRDefault="000E53A0">
            <w:pPr>
              <w:rPr>
                <w:rFonts w:cstheme="minorHAnsi"/>
                <w:sz w:val="18"/>
                <w:szCs w:val="18"/>
              </w:rPr>
            </w:pPr>
            <w:r w:rsidRPr="007F5638">
              <w:rPr>
                <w:rFonts w:cstheme="minorHAnsi"/>
                <w:sz w:val="18"/>
                <w:szCs w:val="18"/>
              </w:rPr>
              <w:t>Indicateur 10.2</w:t>
            </w:r>
          </w:p>
        </w:tc>
        <w:tc>
          <w:tcPr>
            <w:tcW w:w="6787" w:type="dxa"/>
            <w:gridSpan w:val="10"/>
            <w:shd w:val="clear" w:color="auto" w:fill="BFBFBF" w:themeFill="background1" w:themeFillShade="BF"/>
          </w:tcPr>
          <w:p w14:paraId="29BFEB31" w14:textId="77777777" w:rsidR="00601D9B" w:rsidRPr="000E53A0" w:rsidRDefault="000E53A0">
            <w:pPr>
              <w:rPr>
                <w:rFonts w:cstheme="minorHAnsi"/>
                <w:sz w:val="18"/>
                <w:szCs w:val="18"/>
                <w:lang w:val="fr-FR"/>
              </w:rPr>
            </w:pPr>
            <w:r w:rsidRPr="000E53A0">
              <w:rPr>
                <w:rFonts w:cstheme="minorHAnsi"/>
                <w:sz w:val="18"/>
                <w:szCs w:val="18"/>
                <w:lang w:val="fr-FR"/>
              </w:rPr>
              <w:t>Nombre de technologies/pratiques de contrôle des émissions mises en œuvre</w:t>
            </w:r>
          </w:p>
        </w:tc>
        <w:tc>
          <w:tcPr>
            <w:tcW w:w="1287" w:type="dxa"/>
            <w:shd w:val="clear" w:color="auto" w:fill="BFBFBF" w:themeFill="background1" w:themeFillShade="BF"/>
          </w:tcPr>
          <w:p w14:paraId="42AE7272"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r>
      <w:tr w:rsidR="007F5638" w:rsidRPr="007F5638" w14:paraId="17EDEA05" w14:textId="77777777" w:rsidTr="001A7B9D">
        <w:trPr>
          <w:trHeight w:val="125"/>
        </w:trPr>
        <w:tc>
          <w:tcPr>
            <w:tcW w:w="1298" w:type="dxa"/>
            <w:vMerge w:val="restart"/>
          </w:tcPr>
          <w:p w14:paraId="17307FB4" w14:textId="77777777" w:rsidR="007F5638" w:rsidRPr="007F5638" w:rsidRDefault="007F5638" w:rsidP="007F5638">
            <w:pPr>
              <w:rPr>
                <w:rFonts w:cstheme="minorHAnsi"/>
                <w:sz w:val="18"/>
                <w:szCs w:val="18"/>
              </w:rPr>
            </w:pPr>
          </w:p>
        </w:tc>
        <w:tc>
          <w:tcPr>
            <w:tcW w:w="933" w:type="dxa"/>
            <w:vMerge w:val="restart"/>
          </w:tcPr>
          <w:p w14:paraId="3A9FED17" w14:textId="77777777" w:rsidR="007F5638" w:rsidRPr="007F5638" w:rsidRDefault="007F5638" w:rsidP="007F5638">
            <w:pPr>
              <w:rPr>
                <w:rFonts w:cstheme="minorHAnsi"/>
                <w:sz w:val="18"/>
                <w:szCs w:val="18"/>
              </w:rPr>
            </w:pPr>
          </w:p>
        </w:tc>
        <w:tc>
          <w:tcPr>
            <w:tcW w:w="1748" w:type="dxa"/>
            <w:gridSpan w:val="4"/>
            <w:vMerge w:val="restart"/>
          </w:tcPr>
          <w:p w14:paraId="245756E3" w14:textId="77777777" w:rsidR="007F5638" w:rsidRPr="007F5638" w:rsidRDefault="007F5638" w:rsidP="007F5638">
            <w:pPr>
              <w:rPr>
                <w:rFonts w:cstheme="minorHAnsi"/>
                <w:sz w:val="18"/>
                <w:szCs w:val="18"/>
              </w:rPr>
            </w:pPr>
          </w:p>
        </w:tc>
        <w:tc>
          <w:tcPr>
            <w:tcW w:w="5393" w:type="dxa"/>
            <w:gridSpan w:val="6"/>
          </w:tcPr>
          <w:p w14:paraId="45ACF98A" w14:textId="77777777" w:rsidR="00601D9B" w:rsidRDefault="000E53A0">
            <w:pPr>
              <w:jc w:val="center"/>
              <w:rPr>
                <w:rFonts w:cstheme="minorHAnsi"/>
                <w:sz w:val="18"/>
                <w:szCs w:val="18"/>
              </w:rPr>
            </w:pPr>
            <w:r w:rsidRPr="007F5638">
              <w:rPr>
                <w:rFonts w:cstheme="minorHAnsi"/>
                <w:sz w:val="18"/>
                <w:szCs w:val="18"/>
              </w:rPr>
              <w:t>Numéro</w:t>
            </w:r>
          </w:p>
        </w:tc>
      </w:tr>
      <w:tr w:rsidR="007F5638" w:rsidRPr="007F5638" w14:paraId="03BC8F61" w14:textId="77777777" w:rsidTr="001A7B9D">
        <w:trPr>
          <w:trHeight w:val="58"/>
        </w:trPr>
        <w:tc>
          <w:tcPr>
            <w:tcW w:w="1298" w:type="dxa"/>
            <w:vMerge/>
          </w:tcPr>
          <w:p w14:paraId="1D376EDA" w14:textId="77777777" w:rsidR="007F5638" w:rsidRPr="007F5638" w:rsidRDefault="007F5638" w:rsidP="007F5638">
            <w:pPr>
              <w:rPr>
                <w:rFonts w:cstheme="minorHAnsi"/>
                <w:sz w:val="18"/>
                <w:szCs w:val="18"/>
              </w:rPr>
            </w:pPr>
          </w:p>
        </w:tc>
        <w:tc>
          <w:tcPr>
            <w:tcW w:w="933" w:type="dxa"/>
            <w:vMerge/>
          </w:tcPr>
          <w:p w14:paraId="72A45B0A" w14:textId="77777777" w:rsidR="007F5638" w:rsidRPr="007F5638" w:rsidRDefault="007F5638" w:rsidP="007F5638">
            <w:pPr>
              <w:rPr>
                <w:rFonts w:cstheme="minorHAnsi"/>
                <w:sz w:val="18"/>
                <w:szCs w:val="18"/>
              </w:rPr>
            </w:pPr>
          </w:p>
        </w:tc>
        <w:tc>
          <w:tcPr>
            <w:tcW w:w="1748" w:type="dxa"/>
            <w:gridSpan w:val="4"/>
            <w:vMerge/>
          </w:tcPr>
          <w:p w14:paraId="2645712A" w14:textId="77777777" w:rsidR="007F5638" w:rsidRPr="007F5638" w:rsidRDefault="007F5638" w:rsidP="007F5638">
            <w:pPr>
              <w:rPr>
                <w:rFonts w:cstheme="minorHAnsi"/>
                <w:sz w:val="18"/>
                <w:szCs w:val="18"/>
              </w:rPr>
            </w:pPr>
          </w:p>
        </w:tc>
        <w:tc>
          <w:tcPr>
            <w:tcW w:w="2800" w:type="dxa"/>
            <w:gridSpan w:val="4"/>
          </w:tcPr>
          <w:p w14:paraId="51132CB4" w14:textId="77777777" w:rsidR="00601D9B" w:rsidRDefault="000E53A0">
            <w:pPr>
              <w:jc w:val="center"/>
              <w:rPr>
                <w:rFonts w:cstheme="minorHAnsi"/>
                <w:sz w:val="18"/>
                <w:szCs w:val="18"/>
              </w:rPr>
            </w:pPr>
            <w:r w:rsidRPr="007F5638">
              <w:rPr>
                <w:rFonts w:cstheme="minorHAnsi"/>
                <w:sz w:val="18"/>
                <w:szCs w:val="18"/>
              </w:rPr>
              <w:t>Attendu</w:t>
            </w:r>
          </w:p>
        </w:tc>
        <w:tc>
          <w:tcPr>
            <w:tcW w:w="2593" w:type="dxa"/>
            <w:gridSpan w:val="2"/>
          </w:tcPr>
          <w:p w14:paraId="67A6C410" w14:textId="77777777" w:rsidR="00601D9B" w:rsidRDefault="000E53A0">
            <w:pPr>
              <w:jc w:val="center"/>
              <w:rPr>
                <w:rFonts w:cstheme="minorHAnsi"/>
                <w:sz w:val="18"/>
                <w:szCs w:val="18"/>
              </w:rPr>
            </w:pPr>
            <w:r w:rsidRPr="007F5638">
              <w:rPr>
                <w:rFonts w:cstheme="minorHAnsi"/>
                <w:sz w:val="18"/>
                <w:szCs w:val="18"/>
              </w:rPr>
              <w:t>Réalisé</w:t>
            </w:r>
          </w:p>
        </w:tc>
      </w:tr>
      <w:tr w:rsidR="007F5638" w:rsidRPr="007F5638" w14:paraId="35DDCC8E" w14:textId="77777777" w:rsidTr="001A7B9D">
        <w:trPr>
          <w:trHeight w:val="206"/>
        </w:trPr>
        <w:tc>
          <w:tcPr>
            <w:tcW w:w="1298" w:type="dxa"/>
            <w:vMerge/>
          </w:tcPr>
          <w:p w14:paraId="73D52F7D" w14:textId="77777777" w:rsidR="007F5638" w:rsidRPr="007F5638" w:rsidRDefault="007F5638" w:rsidP="007F5638">
            <w:pPr>
              <w:rPr>
                <w:rFonts w:cstheme="minorHAnsi"/>
                <w:sz w:val="18"/>
                <w:szCs w:val="18"/>
              </w:rPr>
            </w:pPr>
          </w:p>
        </w:tc>
        <w:tc>
          <w:tcPr>
            <w:tcW w:w="933" w:type="dxa"/>
            <w:vMerge/>
          </w:tcPr>
          <w:p w14:paraId="548BB18A" w14:textId="77777777" w:rsidR="007F5638" w:rsidRPr="007F5638" w:rsidRDefault="007F5638" w:rsidP="007F5638">
            <w:pPr>
              <w:rPr>
                <w:rFonts w:cstheme="minorHAnsi"/>
                <w:sz w:val="18"/>
                <w:szCs w:val="18"/>
              </w:rPr>
            </w:pPr>
          </w:p>
        </w:tc>
        <w:tc>
          <w:tcPr>
            <w:tcW w:w="1748" w:type="dxa"/>
            <w:gridSpan w:val="4"/>
            <w:vMerge/>
          </w:tcPr>
          <w:p w14:paraId="0E26E0F7" w14:textId="77777777" w:rsidR="007F5638" w:rsidRPr="007F5638" w:rsidRDefault="007F5638" w:rsidP="007F5638">
            <w:pPr>
              <w:rPr>
                <w:rFonts w:cstheme="minorHAnsi"/>
                <w:sz w:val="18"/>
                <w:szCs w:val="18"/>
              </w:rPr>
            </w:pPr>
          </w:p>
        </w:tc>
        <w:tc>
          <w:tcPr>
            <w:tcW w:w="1323" w:type="dxa"/>
            <w:gridSpan w:val="2"/>
          </w:tcPr>
          <w:p w14:paraId="04911171" w14:textId="77777777" w:rsidR="00601D9B" w:rsidRDefault="000E53A0">
            <w:pPr>
              <w:jc w:val="center"/>
              <w:rPr>
                <w:rFonts w:cstheme="minorHAnsi"/>
                <w:sz w:val="18"/>
                <w:szCs w:val="18"/>
              </w:rPr>
            </w:pPr>
            <w:r w:rsidRPr="007F5638">
              <w:rPr>
                <w:rFonts w:cstheme="minorHAnsi"/>
                <w:sz w:val="18"/>
                <w:szCs w:val="18"/>
              </w:rPr>
              <w:t>Étape du FIP</w:t>
            </w:r>
          </w:p>
        </w:tc>
        <w:tc>
          <w:tcPr>
            <w:tcW w:w="1477" w:type="dxa"/>
            <w:gridSpan w:val="2"/>
          </w:tcPr>
          <w:p w14:paraId="4C56C7E2" w14:textId="77777777" w:rsidR="00601D9B" w:rsidRDefault="000E53A0">
            <w:pPr>
              <w:jc w:val="center"/>
              <w:rPr>
                <w:rFonts w:cstheme="minorHAnsi"/>
                <w:sz w:val="18"/>
                <w:szCs w:val="18"/>
              </w:rPr>
            </w:pPr>
            <w:r w:rsidRPr="007F5638">
              <w:rPr>
                <w:rFonts w:cstheme="minorHAnsi"/>
                <w:sz w:val="18"/>
                <w:szCs w:val="18"/>
              </w:rPr>
              <w:t>Endossement</w:t>
            </w:r>
          </w:p>
        </w:tc>
        <w:tc>
          <w:tcPr>
            <w:tcW w:w="1306" w:type="dxa"/>
          </w:tcPr>
          <w:p w14:paraId="383F0CE8" w14:textId="77777777" w:rsidR="00601D9B" w:rsidRDefault="000E53A0">
            <w:pPr>
              <w:jc w:val="center"/>
              <w:rPr>
                <w:rFonts w:cstheme="minorHAnsi"/>
                <w:sz w:val="18"/>
                <w:szCs w:val="18"/>
              </w:rPr>
            </w:pPr>
            <w:r w:rsidRPr="007F5638">
              <w:rPr>
                <w:rFonts w:cstheme="minorHAnsi"/>
                <w:sz w:val="18"/>
                <w:szCs w:val="18"/>
              </w:rPr>
              <w:t>MTR</w:t>
            </w:r>
          </w:p>
        </w:tc>
        <w:tc>
          <w:tcPr>
            <w:tcW w:w="1287" w:type="dxa"/>
          </w:tcPr>
          <w:p w14:paraId="65DEF805" w14:textId="77777777" w:rsidR="00601D9B" w:rsidRDefault="000E53A0">
            <w:pPr>
              <w:jc w:val="center"/>
              <w:rPr>
                <w:rFonts w:cstheme="minorHAnsi"/>
                <w:sz w:val="18"/>
                <w:szCs w:val="18"/>
              </w:rPr>
            </w:pPr>
            <w:r w:rsidRPr="007F5638">
              <w:rPr>
                <w:rFonts w:cstheme="minorHAnsi"/>
                <w:sz w:val="18"/>
                <w:szCs w:val="18"/>
              </w:rPr>
              <w:t>TE</w:t>
            </w:r>
          </w:p>
        </w:tc>
      </w:tr>
      <w:tr w:rsidR="007F5638" w:rsidRPr="007F5638" w14:paraId="2DEE1795" w14:textId="77777777" w:rsidTr="001A7B9D">
        <w:tc>
          <w:tcPr>
            <w:tcW w:w="1298" w:type="dxa"/>
          </w:tcPr>
          <w:p w14:paraId="18FD3D47" w14:textId="77777777" w:rsidR="007F5638" w:rsidRPr="007F5638" w:rsidRDefault="007F5638" w:rsidP="007F5638">
            <w:pPr>
              <w:jc w:val="right"/>
              <w:rPr>
                <w:rFonts w:cstheme="minorHAnsi"/>
                <w:sz w:val="18"/>
                <w:szCs w:val="18"/>
              </w:rPr>
            </w:pPr>
          </w:p>
        </w:tc>
        <w:tc>
          <w:tcPr>
            <w:tcW w:w="2681" w:type="dxa"/>
            <w:gridSpan w:val="5"/>
          </w:tcPr>
          <w:p w14:paraId="46249087" w14:textId="77777777" w:rsidR="007F5638" w:rsidRPr="007F5638" w:rsidRDefault="007F5638" w:rsidP="007F5638">
            <w:pPr>
              <w:jc w:val="right"/>
              <w:rPr>
                <w:rFonts w:cstheme="minorHAnsi"/>
                <w:sz w:val="18"/>
                <w:szCs w:val="18"/>
              </w:rPr>
            </w:pPr>
          </w:p>
        </w:tc>
        <w:tc>
          <w:tcPr>
            <w:tcW w:w="1323" w:type="dxa"/>
            <w:gridSpan w:val="2"/>
          </w:tcPr>
          <w:p w14:paraId="03C96CAE"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477" w:type="dxa"/>
            <w:gridSpan w:val="2"/>
          </w:tcPr>
          <w:p w14:paraId="615AF652"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306" w:type="dxa"/>
          </w:tcPr>
          <w:p w14:paraId="79A8A0F2"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287" w:type="dxa"/>
          </w:tcPr>
          <w:p w14:paraId="5533591A"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r>
      <w:tr w:rsidR="007F5638" w:rsidRPr="007F5638" w14:paraId="13214189" w14:textId="77777777" w:rsidTr="001A7B9D">
        <w:tc>
          <w:tcPr>
            <w:tcW w:w="1298" w:type="dxa"/>
            <w:shd w:val="clear" w:color="auto" w:fill="D9D9D9" w:themeFill="background1" w:themeFillShade="D9"/>
          </w:tcPr>
          <w:p w14:paraId="220B8081" w14:textId="77777777" w:rsidR="00601D9B" w:rsidRDefault="000E53A0">
            <w:pPr>
              <w:rPr>
                <w:rFonts w:cstheme="minorHAnsi"/>
                <w:b/>
                <w:sz w:val="18"/>
                <w:szCs w:val="18"/>
              </w:rPr>
            </w:pPr>
            <w:r w:rsidRPr="007F5638">
              <w:rPr>
                <w:rFonts w:cstheme="minorHAnsi"/>
                <w:b/>
                <w:sz w:val="18"/>
                <w:szCs w:val="18"/>
              </w:rPr>
              <w:t>Indicateur de base 11</w:t>
            </w:r>
          </w:p>
        </w:tc>
        <w:tc>
          <w:tcPr>
            <w:tcW w:w="6787" w:type="dxa"/>
            <w:gridSpan w:val="10"/>
            <w:shd w:val="clear" w:color="auto" w:fill="D9D9D9" w:themeFill="background1" w:themeFillShade="D9"/>
          </w:tcPr>
          <w:p w14:paraId="2E4D9261" w14:textId="77777777" w:rsidR="00601D9B" w:rsidRPr="000E53A0" w:rsidRDefault="000E53A0">
            <w:pPr>
              <w:rPr>
                <w:rFonts w:cstheme="minorHAnsi"/>
                <w:b/>
                <w:sz w:val="18"/>
                <w:szCs w:val="18"/>
                <w:lang w:val="fr-FR"/>
              </w:rPr>
            </w:pPr>
            <w:r w:rsidRPr="000E53A0">
              <w:rPr>
                <w:rFonts w:cstheme="minorHAnsi"/>
                <w:b/>
                <w:sz w:val="18"/>
                <w:szCs w:val="18"/>
                <w:lang w:val="fr-FR"/>
              </w:rPr>
              <w:t>Nombre de bénéficiaires directs, ventilés par sexe, en tant que co-bénéfice de l'investissement du FEM.</w:t>
            </w:r>
          </w:p>
        </w:tc>
        <w:tc>
          <w:tcPr>
            <w:tcW w:w="1287" w:type="dxa"/>
            <w:shd w:val="clear" w:color="auto" w:fill="D9D9D9" w:themeFill="background1" w:themeFillShade="D9"/>
          </w:tcPr>
          <w:p w14:paraId="70F571F2" w14:textId="77777777" w:rsidR="00601D9B" w:rsidRDefault="000E53A0">
            <w:pPr>
              <w:jc w:val="right"/>
              <w:rPr>
                <w:rFonts w:cstheme="minorHAnsi"/>
                <w:b/>
                <w:sz w:val="18"/>
                <w:szCs w:val="18"/>
              </w:rPr>
            </w:pPr>
            <w:r w:rsidRPr="007F5638">
              <w:rPr>
                <w:rFonts w:cstheme="minorHAnsi"/>
                <w:b/>
                <w:i/>
                <w:color w:val="000000"/>
                <w:sz w:val="18"/>
                <w:szCs w:val="18"/>
              </w:rPr>
              <w:fldChar w:fldCharType="begin">
                <w:ffData>
                  <w:name w:val=""/>
                  <w:enabled/>
                  <w:calcOnExit w:val="0"/>
                  <w:textInput>
                    <w:default w:val="(Number)"/>
                  </w:textInput>
                </w:ffData>
              </w:fldChar>
            </w:r>
            <w:r w:rsidRPr="007F5638">
              <w:rPr>
                <w:rFonts w:cstheme="minorHAnsi"/>
                <w:b/>
                <w:i/>
                <w:color w:val="000000"/>
                <w:sz w:val="18"/>
                <w:szCs w:val="18"/>
              </w:rPr>
              <w:instrText xml:space="preserve"> FORMTEXT </w:instrText>
            </w:r>
            <w:r w:rsidRPr="007F5638">
              <w:rPr>
                <w:rFonts w:cstheme="minorHAnsi"/>
                <w:b/>
                <w:i/>
                <w:color w:val="000000"/>
                <w:sz w:val="18"/>
                <w:szCs w:val="18"/>
              </w:rPr>
            </w:r>
            <w:r w:rsidRPr="007F5638">
              <w:rPr>
                <w:rFonts w:cstheme="minorHAnsi"/>
                <w:b/>
                <w:i/>
                <w:color w:val="000000"/>
                <w:sz w:val="18"/>
                <w:szCs w:val="18"/>
              </w:rPr>
              <w:fldChar w:fldCharType="separate"/>
            </w:r>
            <w:r w:rsidRPr="007F5638">
              <w:rPr>
                <w:rFonts w:cstheme="minorHAnsi"/>
                <w:b/>
                <w:i/>
                <w:noProof/>
                <w:color w:val="000000"/>
                <w:sz w:val="18"/>
                <w:szCs w:val="18"/>
              </w:rPr>
              <w:t>(Nombre)</w:t>
            </w:r>
            <w:r w:rsidRPr="007F5638">
              <w:rPr>
                <w:rFonts w:cstheme="minorHAnsi"/>
                <w:b/>
                <w:i/>
                <w:color w:val="000000"/>
                <w:sz w:val="18"/>
                <w:szCs w:val="18"/>
              </w:rPr>
              <w:fldChar w:fldCharType="end"/>
            </w:r>
          </w:p>
        </w:tc>
      </w:tr>
      <w:tr w:rsidR="007F5638" w:rsidRPr="007F5638" w14:paraId="5B444442" w14:textId="77777777" w:rsidTr="001A7B9D">
        <w:trPr>
          <w:trHeight w:val="58"/>
        </w:trPr>
        <w:tc>
          <w:tcPr>
            <w:tcW w:w="1298" w:type="dxa"/>
            <w:vMerge w:val="restart"/>
          </w:tcPr>
          <w:p w14:paraId="7DDBD88B" w14:textId="77777777" w:rsidR="007F5638" w:rsidRPr="007F5638" w:rsidRDefault="007F5638" w:rsidP="007F5638">
            <w:pPr>
              <w:rPr>
                <w:rFonts w:cstheme="minorHAnsi"/>
                <w:sz w:val="18"/>
                <w:szCs w:val="18"/>
              </w:rPr>
            </w:pPr>
          </w:p>
        </w:tc>
        <w:tc>
          <w:tcPr>
            <w:tcW w:w="933" w:type="dxa"/>
            <w:vMerge w:val="restart"/>
          </w:tcPr>
          <w:p w14:paraId="760F3A0A" w14:textId="77777777" w:rsidR="007F5638" w:rsidRPr="007F5638" w:rsidRDefault="007F5638" w:rsidP="007F5638">
            <w:pPr>
              <w:rPr>
                <w:rFonts w:cstheme="minorHAnsi"/>
                <w:sz w:val="18"/>
                <w:szCs w:val="18"/>
              </w:rPr>
            </w:pPr>
          </w:p>
        </w:tc>
        <w:tc>
          <w:tcPr>
            <w:tcW w:w="1748" w:type="dxa"/>
            <w:gridSpan w:val="4"/>
            <w:vMerge w:val="restart"/>
          </w:tcPr>
          <w:p w14:paraId="4132810D" w14:textId="77777777" w:rsidR="007F5638" w:rsidRPr="007F5638" w:rsidRDefault="007F5638" w:rsidP="007F5638">
            <w:pPr>
              <w:rPr>
                <w:rFonts w:cstheme="minorHAnsi"/>
                <w:sz w:val="18"/>
                <w:szCs w:val="18"/>
              </w:rPr>
            </w:pPr>
          </w:p>
        </w:tc>
        <w:tc>
          <w:tcPr>
            <w:tcW w:w="5393" w:type="dxa"/>
            <w:gridSpan w:val="6"/>
          </w:tcPr>
          <w:p w14:paraId="498DAD75" w14:textId="77777777" w:rsidR="00601D9B" w:rsidRDefault="000E53A0">
            <w:pPr>
              <w:jc w:val="center"/>
              <w:rPr>
                <w:rFonts w:cstheme="minorHAnsi"/>
                <w:sz w:val="18"/>
                <w:szCs w:val="18"/>
              </w:rPr>
            </w:pPr>
            <w:r w:rsidRPr="007F5638">
              <w:rPr>
                <w:rFonts w:cstheme="minorHAnsi"/>
                <w:sz w:val="18"/>
                <w:szCs w:val="18"/>
              </w:rPr>
              <w:t xml:space="preserve">Numéro </w:t>
            </w:r>
          </w:p>
        </w:tc>
      </w:tr>
      <w:tr w:rsidR="007F5638" w:rsidRPr="007F5638" w14:paraId="311765F7" w14:textId="77777777" w:rsidTr="001A7B9D">
        <w:trPr>
          <w:trHeight w:val="161"/>
        </w:trPr>
        <w:tc>
          <w:tcPr>
            <w:tcW w:w="1298" w:type="dxa"/>
            <w:vMerge/>
          </w:tcPr>
          <w:p w14:paraId="64FB8140" w14:textId="77777777" w:rsidR="007F5638" w:rsidRPr="007F5638" w:rsidRDefault="007F5638" w:rsidP="007F5638">
            <w:pPr>
              <w:rPr>
                <w:rFonts w:cstheme="minorHAnsi"/>
                <w:sz w:val="18"/>
                <w:szCs w:val="18"/>
              </w:rPr>
            </w:pPr>
          </w:p>
        </w:tc>
        <w:tc>
          <w:tcPr>
            <w:tcW w:w="933" w:type="dxa"/>
            <w:vMerge/>
          </w:tcPr>
          <w:p w14:paraId="1F9A55F5" w14:textId="77777777" w:rsidR="007F5638" w:rsidRPr="007F5638" w:rsidRDefault="007F5638" w:rsidP="007F5638">
            <w:pPr>
              <w:rPr>
                <w:rFonts w:cstheme="minorHAnsi"/>
                <w:sz w:val="18"/>
                <w:szCs w:val="18"/>
              </w:rPr>
            </w:pPr>
          </w:p>
        </w:tc>
        <w:tc>
          <w:tcPr>
            <w:tcW w:w="1748" w:type="dxa"/>
            <w:gridSpan w:val="4"/>
            <w:vMerge/>
          </w:tcPr>
          <w:p w14:paraId="7EE06C72" w14:textId="77777777" w:rsidR="007F5638" w:rsidRPr="007F5638" w:rsidRDefault="007F5638" w:rsidP="007F5638">
            <w:pPr>
              <w:rPr>
                <w:rFonts w:cstheme="minorHAnsi"/>
                <w:sz w:val="18"/>
                <w:szCs w:val="18"/>
              </w:rPr>
            </w:pPr>
          </w:p>
        </w:tc>
        <w:tc>
          <w:tcPr>
            <w:tcW w:w="2800" w:type="dxa"/>
            <w:gridSpan w:val="4"/>
          </w:tcPr>
          <w:p w14:paraId="02AD4675" w14:textId="77777777" w:rsidR="00601D9B" w:rsidRDefault="000E53A0">
            <w:pPr>
              <w:jc w:val="center"/>
              <w:rPr>
                <w:rFonts w:cstheme="minorHAnsi"/>
                <w:sz w:val="18"/>
                <w:szCs w:val="18"/>
              </w:rPr>
            </w:pPr>
            <w:r w:rsidRPr="007F5638">
              <w:rPr>
                <w:rFonts w:cstheme="minorHAnsi"/>
                <w:sz w:val="18"/>
                <w:szCs w:val="18"/>
              </w:rPr>
              <w:t>Attendu</w:t>
            </w:r>
          </w:p>
        </w:tc>
        <w:tc>
          <w:tcPr>
            <w:tcW w:w="2593" w:type="dxa"/>
            <w:gridSpan w:val="2"/>
          </w:tcPr>
          <w:p w14:paraId="4C749F7D" w14:textId="77777777" w:rsidR="00601D9B" w:rsidRDefault="000E53A0">
            <w:pPr>
              <w:jc w:val="center"/>
              <w:rPr>
                <w:rFonts w:cstheme="minorHAnsi"/>
                <w:sz w:val="18"/>
                <w:szCs w:val="18"/>
              </w:rPr>
            </w:pPr>
            <w:r w:rsidRPr="007F5638">
              <w:rPr>
                <w:rFonts w:cstheme="minorHAnsi"/>
                <w:sz w:val="18"/>
                <w:szCs w:val="18"/>
              </w:rPr>
              <w:t>Réalisé</w:t>
            </w:r>
          </w:p>
        </w:tc>
      </w:tr>
      <w:tr w:rsidR="007F5638" w:rsidRPr="007F5638" w14:paraId="5CA3E911" w14:textId="77777777" w:rsidTr="001A7B9D">
        <w:tc>
          <w:tcPr>
            <w:tcW w:w="1298" w:type="dxa"/>
          </w:tcPr>
          <w:p w14:paraId="69AF8042" w14:textId="77777777" w:rsidR="007F5638" w:rsidRPr="007F5638" w:rsidRDefault="007F5638" w:rsidP="007F5638">
            <w:pPr>
              <w:jc w:val="right"/>
              <w:rPr>
                <w:rFonts w:cstheme="minorHAnsi"/>
                <w:sz w:val="18"/>
                <w:szCs w:val="18"/>
              </w:rPr>
            </w:pPr>
          </w:p>
        </w:tc>
        <w:tc>
          <w:tcPr>
            <w:tcW w:w="933" w:type="dxa"/>
          </w:tcPr>
          <w:p w14:paraId="0CD8416A" w14:textId="77777777" w:rsidR="007F5638" w:rsidRPr="007F5638" w:rsidRDefault="007F5638" w:rsidP="007F5638">
            <w:pPr>
              <w:jc w:val="right"/>
              <w:rPr>
                <w:rFonts w:cstheme="minorHAnsi"/>
                <w:sz w:val="18"/>
                <w:szCs w:val="18"/>
              </w:rPr>
            </w:pPr>
          </w:p>
        </w:tc>
        <w:tc>
          <w:tcPr>
            <w:tcW w:w="1748" w:type="dxa"/>
            <w:gridSpan w:val="4"/>
          </w:tcPr>
          <w:p w14:paraId="5F524663" w14:textId="77777777" w:rsidR="007F5638" w:rsidRPr="007F5638" w:rsidRDefault="007F5638" w:rsidP="007F5638">
            <w:pPr>
              <w:jc w:val="right"/>
              <w:rPr>
                <w:rFonts w:cstheme="minorHAnsi"/>
                <w:sz w:val="18"/>
                <w:szCs w:val="18"/>
              </w:rPr>
            </w:pPr>
          </w:p>
        </w:tc>
        <w:tc>
          <w:tcPr>
            <w:tcW w:w="1323" w:type="dxa"/>
            <w:gridSpan w:val="2"/>
          </w:tcPr>
          <w:p w14:paraId="72633DB8" w14:textId="77777777" w:rsidR="00601D9B" w:rsidRDefault="000E53A0">
            <w:pPr>
              <w:jc w:val="right"/>
              <w:rPr>
                <w:rFonts w:cstheme="minorHAnsi"/>
                <w:sz w:val="18"/>
                <w:szCs w:val="18"/>
              </w:rPr>
            </w:pPr>
            <w:r w:rsidRPr="007F5638">
              <w:rPr>
                <w:rFonts w:cstheme="minorHAnsi"/>
                <w:sz w:val="18"/>
                <w:szCs w:val="18"/>
              </w:rPr>
              <w:t>Étape du FIP</w:t>
            </w:r>
          </w:p>
        </w:tc>
        <w:tc>
          <w:tcPr>
            <w:tcW w:w="1477" w:type="dxa"/>
            <w:gridSpan w:val="2"/>
          </w:tcPr>
          <w:p w14:paraId="6443C26A" w14:textId="77777777" w:rsidR="00601D9B" w:rsidRDefault="000E53A0">
            <w:pPr>
              <w:jc w:val="right"/>
              <w:rPr>
                <w:rFonts w:cstheme="minorHAnsi"/>
                <w:sz w:val="18"/>
                <w:szCs w:val="18"/>
              </w:rPr>
            </w:pPr>
            <w:r w:rsidRPr="007F5638">
              <w:rPr>
                <w:rFonts w:cstheme="minorHAnsi"/>
                <w:sz w:val="18"/>
                <w:szCs w:val="18"/>
              </w:rPr>
              <w:t>Endossement</w:t>
            </w:r>
          </w:p>
        </w:tc>
        <w:tc>
          <w:tcPr>
            <w:tcW w:w="1306" w:type="dxa"/>
          </w:tcPr>
          <w:p w14:paraId="16863F0B" w14:textId="77777777" w:rsidR="00601D9B" w:rsidRDefault="000E53A0">
            <w:pPr>
              <w:jc w:val="right"/>
              <w:rPr>
                <w:rFonts w:cstheme="minorHAnsi"/>
                <w:sz w:val="18"/>
                <w:szCs w:val="18"/>
              </w:rPr>
            </w:pPr>
            <w:r w:rsidRPr="007F5638">
              <w:rPr>
                <w:rFonts w:cstheme="minorHAnsi"/>
                <w:sz w:val="18"/>
                <w:szCs w:val="18"/>
              </w:rPr>
              <w:t>MTR</w:t>
            </w:r>
          </w:p>
        </w:tc>
        <w:tc>
          <w:tcPr>
            <w:tcW w:w="1287" w:type="dxa"/>
          </w:tcPr>
          <w:p w14:paraId="372D3701" w14:textId="77777777" w:rsidR="00601D9B" w:rsidRDefault="000E53A0">
            <w:pPr>
              <w:jc w:val="right"/>
              <w:rPr>
                <w:rFonts w:cstheme="minorHAnsi"/>
                <w:sz w:val="18"/>
                <w:szCs w:val="18"/>
              </w:rPr>
            </w:pPr>
            <w:r w:rsidRPr="007F5638">
              <w:rPr>
                <w:rFonts w:cstheme="minorHAnsi"/>
                <w:sz w:val="18"/>
                <w:szCs w:val="18"/>
              </w:rPr>
              <w:t>TE</w:t>
            </w:r>
          </w:p>
        </w:tc>
      </w:tr>
      <w:tr w:rsidR="007F5638" w:rsidRPr="007F5638" w14:paraId="2662650E" w14:textId="77777777" w:rsidTr="001A7B9D">
        <w:tc>
          <w:tcPr>
            <w:tcW w:w="1298" w:type="dxa"/>
          </w:tcPr>
          <w:p w14:paraId="17312ADD" w14:textId="77777777" w:rsidR="007F5638" w:rsidRPr="007F5638" w:rsidRDefault="007F5638" w:rsidP="007F5638">
            <w:pPr>
              <w:jc w:val="right"/>
              <w:rPr>
                <w:rFonts w:cstheme="minorHAnsi"/>
                <w:sz w:val="18"/>
                <w:szCs w:val="18"/>
              </w:rPr>
            </w:pPr>
          </w:p>
        </w:tc>
        <w:tc>
          <w:tcPr>
            <w:tcW w:w="933" w:type="dxa"/>
          </w:tcPr>
          <w:p w14:paraId="54461329" w14:textId="77777777" w:rsidR="007F5638" w:rsidRPr="007F5638" w:rsidRDefault="007F5638" w:rsidP="007F5638">
            <w:pPr>
              <w:jc w:val="right"/>
              <w:rPr>
                <w:rFonts w:cstheme="minorHAnsi"/>
                <w:sz w:val="18"/>
                <w:szCs w:val="18"/>
              </w:rPr>
            </w:pPr>
          </w:p>
        </w:tc>
        <w:tc>
          <w:tcPr>
            <w:tcW w:w="1748" w:type="dxa"/>
            <w:gridSpan w:val="4"/>
          </w:tcPr>
          <w:p w14:paraId="1F59F28C" w14:textId="77777777" w:rsidR="00601D9B" w:rsidRDefault="000E53A0">
            <w:pPr>
              <w:jc w:val="right"/>
              <w:rPr>
                <w:rFonts w:cstheme="minorHAnsi"/>
                <w:sz w:val="18"/>
                <w:szCs w:val="18"/>
              </w:rPr>
            </w:pPr>
            <w:r w:rsidRPr="007F5638">
              <w:rPr>
                <w:rFonts w:cstheme="minorHAnsi"/>
                <w:sz w:val="18"/>
                <w:szCs w:val="18"/>
              </w:rPr>
              <w:t>Femme</w:t>
            </w:r>
          </w:p>
        </w:tc>
        <w:tc>
          <w:tcPr>
            <w:tcW w:w="1323" w:type="dxa"/>
            <w:gridSpan w:val="2"/>
          </w:tcPr>
          <w:p w14:paraId="58BAB8DA"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477" w:type="dxa"/>
            <w:gridSpan w:val="2"/>
          </w:tcPr>
          <w:p w14:paraId="0E5274CA"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306" w:type="dxa"/>
          </w:tcPr>
          <w:p w14:paraId="0C572AF3"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287" w:type="dxa"/>
          </w:tcPr>
          <w:p w14:paraId="07175D49" w14:textId="77777777" w:rsidR="00601D9B" w:rsidRDefault="000E53A0">
            <w:pPr>
              <w:jc w:val="right"/>
              <w:rPr>
                <w:rFonts w:cstheme="minorHAnsi"/>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r>
      <w:tr w:rsidR="007F5638" w:rsidRPr="007F5638" w14:paraId="4D18523A" w14:textId="77777777" w:rsidTr="001A7B9D">
        <w:tc>
          <w:tcPr>
            <w:tcW w:w="1298" w:type="dxa"/>
          </w:tcPr>
          <w:p w14:paraId="27CB9205" w14:textId="77777777" w:rsidR="007F5638" w:rsidRPr="007F5638" w:rsidRDefault="007F5638" w:rsidP="007F5638">
            <w:pPr>
              <w:jc w:val="right"/>
              <w:rPr>
                <w:rFonts w:cstheme="minorHAnsi"/>
                <w:sz w:val="18"/>
                <w:szCs w:val="18"/>
              </w:rPr>
            </w:pPr>
          </w:p>
        </w:tc>
        <w:tc>
          <w:tcPr>
            <w:tcW w:w="933" w:type="dxa"/>
          </w:tcPr>
          <w:p w14:paraId="47AD8BAE" w14:textId="77777777" w:rsidR="007F5638" w:rsidRPr="007F5638" w:rsidRDefault="007F5638" w:rsidP="007F5638">
            <w:pPr>
              <w:jc w:val="right"/>
              <w:rPr>
                <w:rFonts w:cstheme="minorHAnsi"/>
                <w:sz w:val="18"/>
                <w:szCs w:val="18"/>
              </w:rPr>
            </w:pPr>
          </w:p>
        </w:tc>
        <w:tc>
          <w:tcPr>
            <w:tcW w:w="1748" w:type="dxa"/>
            <w:gridSpan w:val="4"/>
          </w:tcPr>
          <w:p w14:paraId="67D45F16" w14:textId="77777777" w:rsidR="00601D9B" w:rsidRDefault="000E53A0">
            <w:pPr>
              <w:jc w:val="right"/>
              <w:rPr>
                <w:rFonts w:cstheme="minorHAnsi"/>
                <w:sz w:val="18"/>
                <w:szCs w:val="18"/>
              </w:rPr>
            </w:pPr>
            <w:r w:rsidRPr="007F5638">
              <w:rPr>
                <w:rFonts w:cstheme="minorHAnsi"/>
                <w:sz w:val="18"/>
                <w:szCs w:val="18"/>
              </w:rPr>
              <w:t>Homme</w:t>
            </w:r>
          </w:p>
        </w:tc>
        <w:tc>
          <w:tcPr>
            <w:tcW w:w="1323" w:type="dxa"/>
            <w:gridSpan w:val="2"/>
          </w:tcPr>
          <w:p w14:paraId="5950B6C4" w14:textId="77777777" w:rsidR="00601D9B" w:rsidRDefault="000E53A0">
            <w:pPr>
              <w:jc w:val="right"/>
              <w:rPr>
                <w:rFonts w:cstheme="minorHAnsi"/>
                <w:i/>
                <w:color w:val="000000"/>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477" w:type="dxa"/>
            <w:gridSpan w:val="2"/>
          </w:tcPr>
          <w:p w14:paraId="08806D00" w14:textId="77777777" w:rsidR="00601D9B" w:rsidRDefault="000E53A0">
            <w:pPr>
              <w:jc w:val="right"/>
              <w:rPr>
                <w:rFonts w:cstheme="minorHAnsi"/>
                <w:i/>
                <w:color w:val="000000"/>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306" w:type="dxa"/>
          </w:tcPr>
          <w:p w14:paraId="41E24CC7" w14:textId="77777777" w:rsidR="00601D9B" w:rsidRDefault="000E53A0">
            <w:pPr>
              <w:jc w:val="right"/>
              <w:rPr>
                <w:rFonts w:cstheme="minorHAnsi"/>
                <w:i/>
                <w:color w:val="000000"/>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287" w:type="dxa"/>
          </w:tcPr>
          <w:p w14:paraId="21A8357A" w14:textId="77777777" w:rsidR="00601D9B" w:rsidRDefault="000E53A0">
            <w:pPr>
              <w:jc w:val="right"/>
              <w:rPr>
                <w:rFonts w:cstheme="minorHAnsi"/>
                <w:i/>
                <w:color w:val="000000"/>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r>
      <w:tr w:rsidR="007F5638" w:rsidRPr="007F5638" w14:paraId="6C49DAE6" w14:textId="77777777" w:rsidTr="001A7B9D">
        <w:tc>
          <w:tcPr>
            <w:tcW w:w="1298" w:type="dxa"/>
          </w:tcPr>
          <w:p w14:paraId="39174ACB" w14:textId="77777777" w:rsidR="007F5638" w:rsidRPr="007F5638" w:rsidRDefault="007F5638" w:rsidP="007F5638">
            <w:pPr>
              <w:jc w:val="right"/>
              <w:rPr>
                <w:rFonts w:cstheme="minorHAnsi"/>
                <w:sz w:val="18"/>
                <w:szCs w:val="18"/>
              </w:rPr>
            </w:pPr>
          </w:p>
        </w:tc>
        <w:tc>
          <w:tcPr>
            <w:tcW w:w="933" w:type="dxa"/>
          </w:tcPr>
          <w:p w14:paraId="4D9D31C6" w14:textId="77777777" w:rsidR="007F5638" w:rsidRPr="007F5638" w:rsidRDefault="007F5638" w:rsidP="007F5638">
            <w:pPr>
              <w:jc w:val="right"/>
              <w:rPr>
                <w:rFonts w:cstheme="minorHAnsi"/>
                <w:sz w:val="18"/>
                <w:szCs w:val="18"/>
              </w:rPr>
            </w:pPr>
          </w:p>
        </w:tc>
        <w:tc>
          <w:tcPr>
            <w:tcW w:w="1748" w:type="dxa"/>
            <w:gridSpan w:val="4"/>
          </w:tcPr>
          <w:p w14:paraId="228B6594" w14:textId="77777777" w:rsidR="00601D9B" w:rsidRDefault="000E53A0">
            <w:pPr>
              <w:jc w:val="right"/>
              <w:rPr>
                <w:rFonts w:cstheme="minorHAnsi"/>
                <w:sz w:val="18"/>
                <w:szCs w:val="18"/>
              </w:rPr>
            </w:pPr>
            <w:r w:rsidRPr="007F5638">
              <w:rPr>
                <w:rFonts w:cstheme="minorHAnsi"/>
                <w:i/>
                <w:color w:val="000000"/>
                <w:sz w:val="18"/>
                <w:szCs w:val="18"/>
              </w:rPr>
              <w:t>Total</w:t>
            </w:r>
          </w:p>
        </w:tc>
        <w:tc>
          <w:tcPr>
            <w:tcW w:w="1323" w:type="dxa"/>
            <w:gridSpan w:val="2"/>
          </w:tcPr>
          <w:p w14:paraId="58C4A0C7" w14:textId="77777777" w:rsidR="00601D9B" w:rsidRDefault="000E53A0">
            <w:pPr>
              <w:jc w:val="right"/>
              <w:rPr>
                <w:rFonts w:cstheme="minorHAnsi"/>
                <w:i/>
                <w:color w:val="000000"/>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477" w:type="dxa"/>
            <w:gridSpan w:val="2"/>
          </w:tcPr>
          <w:p w14:paraId="0A58CD1C" w14:textId="77777777" w:rsidR="00601D9B" w:rsidRDefault="000E53A0">
            <w:pPr>
              <w:jc w:val="right"/>
              <w:rPr>
                <w:rFonts w:cstheme="minorHAnsi"/>
                <w:i/>
                <w:color w:val="000000"/>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306" w:type="dxa"/>
          </w:tcPr>
          <w:p w14:paraId="0BC16458" w14:textId="77777777" w:rsidR="00601D9B" w:rsidRDefault="000E53A0">
            <w:pPr>
              <w:jc w:val="right"/>
              <w:rPr>
                <w:rFonts w:cstheme="minorHAnsi"/>
                <w:i/>
                <w:color w:val="000000"/>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c>
          <w:tcPr>
            <w:tcW w:w="1287" w:type="dxa"/>
          </w:tcPr>
          <w:p w14:paraId="15334E27" w14:textId="77777777" w:rsidR="00601D9B" w:rsidRDefault="000E53A0">
            <w:pPr>
              <w:jc w:val="right"/>
              <w:rPr>
                <w:rFonts w:cstheme="minorHAnsi"/>
                <w:i/>
                <w:color w:val="000000"/>
                <w:sz w:val="18"/>
                <w:szCs w:val="18"/>
              </w:rPr>
            </w:pPr>
            <w:r w:rsidRPr="007F5638">
              <w:rPr>
                <w:rFonts w:cstheme="minorHAnsi"/>
                <w:i/>
                <w:color w:val="000000"/>
                <w:sz w:val="18"/>
                <w:szCs w:val="18"/>
              </w:rPr>
              <w:fldChar w:fldCharType="begin">
                <w:ffData>
                  <w:name w:val="F_GEB_BD_target"/>
                  <w:enabled/>
                  <w:calcOnExit w:val="0"/>
                  <w:textInput/>
                </w:ffData>
              </w:fldChar>
            </w:r>
            <w:r w:rsidRPr="007F5638">
              <w:rPr>
                <w:rFonts w:cstheme="minorHAnsi"/>
                <w:i/>
                <w:color w:val="000000"/>
                <w:sz w:val="18"/>
                <w:szCs w:val="18"/>
              </w:rPr>
              <w:instrText xml:space="preserve"> FORMTEXT </w:instrText>
            </w:r>
            <w:r w:rsidRPr="007F5638">
              <w:rPr>
                <w:rFonts w:cstheme="minorHAnsi"/>
                <w:i/>
                <w:color w:val="000000"/>
                <w:sz w:val="18"/>
                <w:szCs w:val="18"/>
              </w:rPr>
            </w:r>
            <w:r w:rsidRPr="007F5638">
              <w:rPr>
                <w:rFonts w:cstheme="minorHAnsi"/>
                <w:i/>
                <w:color w:val="000000"/>
                <w:sz w:val="18"/>
                <w:szCs w:val="18"/>
              </w:rPr>
              <w:fldChar w:fldCharType="separate"/>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noProof/>
                <w:color w:val="000000"/>
                <w:sz w:val="18"/>
                <w:szCs w:val="18"/>
              </w:rPr>
              <w:t> </w:t>
            </w:r>
            <w:r w:rsidRPr="007F5638">
              <w:rPr>
                <w:rFonts w:cstheme="minorHAnsi"/>
                <w:i/>
                <w:color w:val="000000"/>
                <w:sz w:val="18"/>
                <w:szCs w:val="18"/>
              </w:rPr>
              <w:fldChar w:fldCharType="end"/>
            </w:r>
          </w:p>
        </w:tc>
      </w:tr>
    </w:tbl>
    <w:p w14:paraId="685F9440" w14:textId="77777777" w:rsidR="007F5638" w:rsidRDefault="007F5638" w:rsidP="002367DC">
      <w:pPr>
        <w:rPr>
          <w:b/>
          <w:szCs w:val="22"/>
        </w:rPr>
      </w:pPr>
    </w:p>
    <w:p w14:paraId="35C74E44" w14:textId="77777777" w:rsidR="00DE69A6" w:rsidRDefault="002367DC" w:rsidP="00D25A9F">
      <w:pPr>
        <w:pStyle w:val="Titre2"/>
        <w:ind w:left="0"/>
        <w:sectPr w:rsidR="00DE69A6" w:rsidSect="009A7C5F">
          <w:pgSz w:w="15840" w:h="12240" w:orient="landscape" w:code="1"/>
          <w:pgMar w:top="1440" w:right="1440" w:bottom="1440" w:left="1440" w:header="720" w:footer="720" w:gutter="0"/>
          <w:cols w:space="720"/>
          <w:docGrid w:linePitch="360"/>
        </w:sectPr>
      </w:pPr>
      <w:r>
        <w:br w:type="page"/>
      </w:r>
    </w:p>
    <w:p w14:paraId="3A125993" w14:textId="77777777" w:rsidR="00601D9B" w:rsidRDefault="000E53A0">
      <w:pPr>
        <w:pStyle w:val="Titre2"/>
        <w:ind w:left="0"/>
        <w:rPr>
          <w:rFonts w:asciiTheme="minorHAnsi" w:hAnsiTheme="minorHAnsi"/>
        </w:rPr>
      </w:pPr>
      <w:bookmarkStart w:id="99" w:name="_Toc46749103"/>
      <w:r w:rsidRPr="00D25A9F">
        <w:rPr>
          <w:rFonts w:asciiTheme="minorHAnsi" w:hAnsiTheme="minorHAnsi"/>
        </w:rPr>
        <w:lastRenderedPageBreak/>
        <w:t xml:space="preserve">Annexe </w:t>
      </w:r>
      <w:r w:rsidR="005561F1">
        <w:rPr>
          <w:rFonts w:asciiTheme="minorHAnsi" w:hAnsiTheme="minorHAnsi"/>
        </w:rPr>
        <w:t xml:space="preserve">16 </w:t>
      </w:r>
      <w:r w:rsidRPr="00D25A9F">
        <w:rPr>
          <w:rFonts w:asciiTheme="minorHAnsi" w:hAnsiTheme="minorHAnsi"/>
        </w:rPr>
        <w:t xml:space="preserve">: </w:t>
      </w:r>
      <w:r w:rsidR="00D25A9F">
        <w:rPr>
          <w:rFonts w:asciiTheme="minorHAnsi" w:hAnsiTheme="minorHAnsi"/>
        </w:rPr>
        <w:t>Taxonomie du</w:t>
      </w:r>
      <w:r w:rsidR="00ED625F" w:rsidRPr="00D25A9F">
        <w:rPr>
          <w:rFonts w:asciiTheme="minorHAnsi" w:hAnsiTheme="minorHAnsi"/>
        </w:rPr>
        <w:t xml:space="preserve"> FEM 7 </w:t>
      </w:r>
      <w:bookmarkEnd w:id="99"/>
    </w:p>
    <w:p w14:paraId="6D033231" w14:textId="77777777" w:rsidR="009F3374" w:rsidRDefault="009F3374" w:rsidP="009F3374">
      <w:pPr>
        <w:rPr>
          <w:color w:val="000000" w:themeColor="text1"/>
        </w:rPr>
      </w:pPr>
    </w:p>
    <w:tbl>
      <w:tblPr>
        <w:tblW w:w="5000" w:type="pct"/>
        <w:tblLook w:val="04A0" w:firstRow="1" w:lastRow="0" w:firstColumn="1" w:lastColumn="0" w:noHBand="0" w:noVBand="1"/>
      </w:tblPr>
      <w:tblGrid>
        <w:gridCol w:w="5137"/>
        <w:gridCol w:w="2142"/>
        <w:gridCol w:w="2919"/>
        <w:gridCol w:w="2978"/>
      </w:tblGrid>
      <w:tr w:rsidR="009F3374" w14:paraId="7BBC9774" w14:textId="77777777" w:rsidTr="009F3374">
        <w:trPr>
          <w:trHeight w:val="68"/>
        </w:trPr>
        <w:tc>
          <w:tcPr>
            <w:tcW w:w="1966" w:type="pct"/>
            <w:tcBorders>
              <w:top w:val="nil"/>
              <w:left w:val="nil"/>
              <w:bottom w:val="single" w:sz="12" w:space="0" w:color="4472C4"/>
              <w:right w:val="nil"/>
            </w:tcBorders>
            <w:hideMark/>
          </w:tcPr>
          <w:p w14:paraId="2EA9812E" w14:textId="77777777" w:rsidR="00601D9B" w:rsidRDefault="000E53A0">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Niveau 1</w:t>
            </w:r>
          </w:p>
        </w:tc>
        <w:tc>
          <w:tcPr>
            <w:tcW w:w="825" w:type="pct"/>
            <w:tcBorders>
              <w:top w:val="nil"/>
              <w:left w:val="nil"/>
              <w:bottom w:val="single" w:sz="12" w:space="0" w:color="4472C4"/>
              <w:right w:val="nil"/>
            </w:tcBorders>
            <w:hideMark/>
          </w:tcPr>
          <w:p w14:paraId="37CD9375" w14:textId="77777777" w:rsidR="00601D9B" w:rsidRDefault="000E53A0">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Niveau 2</w:t>
            </w:r>
          </w:p>
        </w:tc>
        <w:tc>
          <w:tcPr>
            <w:tcW w:w="1129" w:type="pct"/>
            <w:tcBorders>
              <w:top w:val="nil"/>
              <w:left w:val="nil"/>
              <w:bottom w:val="single" w:sz="12" w:space="0" w:color="4472C4"/>
              <w:right w:val="nil"/>
            </w:tcBorders>
            <w:hideMark/>
          </w:tcPr>
          <w:p w14:paraId="649ECFDC" w14:textId="77777777" w:rsidR="00601D9B" w:rsidRDefault="000E53A0">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Niveau 3</w:t>
            </w:r>
          </w:p>
        </w:tc>
        <w:tc>
          <w:tcPr>
            <w:tcW w:w="1080" w:type="pct"/>
            <w:tcBorders>
              <w:top w:val="nil"/>
              <w:left w:val="nil"/>
              <w:bottom w:val="single" w:sz="12" w:space="0" w:color="4472C4"/>
              <w:right w:val="nil"/>
            </w:tcBorders>
            <w:hideMark/>
          </w:tcPr>
          <w:p w14:paraId="3B991B64" w14:textId="77777777" w:rsidR="00601D9B" w:rsidRDefault="000E53A0">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Niveau 4</w:t>
            </w:r>
          </w:p>
        </w:tc>
      </w:tr>
      <w:tr w:rsidR="009F3374" w14:paraId="64B8F9C0" w14:textId="77777777" w:rsidTr="009F3374">
        <w:trPr>
          <w:trHeight w:val="51"/>
        </w:trPr>
        <w:tc>
          <w:tcPr>
            <w:tcW w:w="1966" w:type="pct"/>
            <w:tcBorders>
              <w:top w:val="single" w:sz="4" w:space="0" w:color="auto"/>
              <w:left w:val="single" w:sz="4" w:space="0" w:color="auto"/>
              <w:bottom w:val="single" w:sz="4" w:space="0" w:color="auto"/>
              <w:right w:val="single" w:sz="4" w:space="0" w:color="auto"/>
            </w:tcBorders>
            <w:hideMark/>
          </w:tcPr>
          <w:p w14:paraId="0D0B2BF7" w14:textId="77777777" w:rsidR="00601D9B" w:rsidRDefault="000E53A0">
            <w:pPr>
              <w:rPr>
                <w:rFonts w:ascii="Avenir Next Regular" w:hAnsi="Avenir Next Regular" w:cs="Calibri"/>
                <w:b/>
                <w:bCs/>
                <w:color w:val="000000" w:themeColor="text1"/>
                <w:sz w:val="16"/>
                <w:szCs w:val="16"/>
              </w:rPr>
            </w:pPr>
            <w:r>
              <w:rPr>
                <w:color w:val="000000" w:themeColor="text1"/>
              </w:rPr>
              <w:sym w:font="Symbol" w:char="F0C4"/>
            </w:r>
            <w:r>
              <w:rPr>
                <w:rFonts w:ascii="Avenir Next Regular" w:hAnsi="Avenir Next Regular" w:cs="Calibri"/>
                <w:b/>
                <w:bCs/>
                <w:color w:val="000000" w:themeColor="text1"/>
                <w:sz w:val="16"/>
                <w:szCs w:val="16"/>
              </w:rPr>
              <w:t>Modèles d'influence</w:t>
            </w:r>
          </w:p>
        </w:tc>
        <w:tc>
          <w:tcPr>
            <w:tcW w:w="825" w:type="pct"/>
            <w:noWrap/>
            <w:vAlign w:val="bottom"/>
            <w:hideMark/>
          </w:tcPr>
          <w:p w14:paraId="00A248B9"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single" w:sz="4" w:space="0" w:color="auto"/>
              <w:left w:val="single" w:sz="4" w:space="0" w:color="auto"/>
              <w:bottom w:val="single" w:sz="4" w:space="0" w:color="auto"/>
              <w:right w:val="single" w:sz="4" w:space="0" w:color="auto"/>
            </w:tcBorders>
            <w:hideMark/>
          </w:tcPr>
          <w:p w14:paraId="6CCC9834" w14:textId="77777777" w:rsidR="009F3374" w:rsidRDefault="009F3374">
            <w:pPr>
              <w:rPr>
                <w:rFonts w:ascii="Avenir Next Regular" w:hAnsi="Avenir Next Regular" w:cs="Calibri"/>
                <w:color w:val="000000" w:themeColor="text1"/>
                <w:sz w:val="16"/>
                <w:szCs w:val="16"/>
              </w:rPr>
            </w:pPr>
            <w:r>
              <w:rPr>
                <w:rFonts w:ascii="Avenir Next Regular" w:hAnsi="Avenir Next Regular" w:cs="Calibri"/>
                <w:color w:val="000000" w:themeColor="text1"/>
                <w:sz w:val="16"/>
                <w:szCs w:val="16"/>
              </w:rPr>
              <w:t> </w:t>
            </w:r>
          </w:p>
        </w:tc>
        <w:tc>
          <w:tcPr>
            <w:tcW w:w="1080" w:type="pct"/>
            <w:tcBorders>
              <w:top w:val="single" w:sz="4" w:space="0" w:color="auto"/>
              <w:left w:val="nil"/>
              <w:bottom w:val="single" w:sz="4" w:space="0" w:color="auto"/>
              <w:right w:val="single" w:sz="4" w:space="0" w:color="auto"/>
            </w:tcBorders>
            <w:hideMark/>
          </w:tcPr>
          <w:p w14:paraId="7FF7E92A" w14:textId="77777777" w:rsidR="009F3374" w:rsidRDefault="009F3374">
            <w:pPr>
              <w:rPr>
                <w:rFonts w:ascii="Avenir Next Regular" w:hAnsi="Avenir Next Regular" w:cs="Calibri"/>
                <w:color w:val="000000" w:themeColor="text1"/>
                <w:sz w:val="16"/>
                <w:szCs w:val="16"/>
              </w:rPr>
            </w:pPr>
            <w:r>
              <w:rPr>
                <w:rFonts w:ascii="Avenir Next Regular" w:hAnsi="Avenir Next Regular" w:cs="Calibri"/>
                <w:color w:val="000000" w:themeColor="text1"/>
                <w:sz w:val="16"/>
                <w:szCs w:val="16"/>
              </w:rPr>
              <w:t> </w:t>
            </w:r>
          </w:p>
        </w:tc>
      </w:tr>
      <w:tr w:rsidR="009F3374" w:rsidRPr="000E53A0" w14:paraId="6B867A03" w14:textId="77777777" w:rsidTr="009F3374">
        <w:trPr>
          <w:trHeight w:val="233"/>
        </w:trPr>
        <w:tc>
          <w:tcPr>
            <w:tcW w:w="1966" w:type="pct"/>
            <w:tcBorders>
              <w:top w:val="nil"/>
              <w:left w:val="single" w:sz="4" w:space="0" w:color="auto"/>
              <w:bottom w:val="single" w:sz="4" w:space="0" w:color="auto"/>
              <w:right w:val="single" w:sz="4" w:space="0" w:color="auto"/>
            </w:tcBorders>
            <w:hideMark/>
          </w:tcPr>
          <w:p w14:paraId="27522094"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single" w:sz="4" w:space="0" w:color="auto"/>
              <w:left w:val="nil"/>
              <w:bottom w:val="single" w:sz="4" w:space="0" w:color="auto"/>
              <w:right w:val="single" w:sz="4" w:space="0" w:color="auto"/>
            </w:tcBorders>
            <w:hideMark/>
          </w:tcPr>
          <w:p w14:paraId="14B8A1D7" w14:textId="77777777" w:rsidR="00601D9B" w:rsidRPr="000E53A0" w:rsidRDefault="000E53A0">
            <w:pPr>
              <w:ind w:left="204" w:hanging="204"/>
              <w:rPr>
                <w:rFonts w:ascii="Avenir Next Regular" w:hAnsi="Avenir Next Regular" w:cs="Calibri"/>
                <w:b/>
                <w:bCs/>
                <w:color w:val="000000" w:themeColor="text1"/>
                <w:sz w:val="16"/>
                <w:szCs w:val="16"/>
                <w:lang w:val="fr-FR"/>
              </w:rPr>
            </w:pPr>
            <w:r>
              <w:rPr>
                <w:color w:val="000000" w:themeColor="text1"/>
              </w:rPr>
              <w:sym w:font="Symbol" w:char="F0C4"/>
            </w:r>
            <w:r w:rsidRPr="000E53A0">
              <w:rPr>
                <w:rFonts w:ascii="Avenir Next Regular" w:hAnsi="Avenir Next Regular" w:cs="Calibri"/>
                <w:b/>
                <w:bCs/>
                <w:color w:val="000000" w:themeColor="text1"/>
                <w:sz w:val="16"/>
                <w:szCs w:val="16"/>
                <w:lang w:val="fr-FR"/>
              </w:rPr>
              <w:t>Transformer les environnements politiques et réglementaires</w:t>
            </w:r>
          </w:p>
        </w:tc>
        <w:tc>
          <w:tcPr>
            <w:tcW w:w="1129" w:type="pct"/>
            <w:tcBorders>
              <w:top w:val="nil"/>
              <w:left w:val="nil"/>
              <w:bottom w:val="single" w:sz="4" w:space="0" w:color="auto"/>
              <w:right w:val="single" w:sz="4" w:space="0" w:color="auto"/>
            </w:tcBorders>
            <w:hideMark/>
          </w:tcPr>
          <w:p w14:paraId="0A2560F1" w14:textId="77777777" w:rsidR="009F3374" w:rsidRPr="000E53A0" w:rsidRDefault="009F3374">
            <w:pPr>
              <w:rPr>
                <w:rFonts w:ascii="Avenir Next Regular" w:hAnsi="Avenir Next Regular" w:cs="Calibri"/>
                <w:color w:val="000000" w:themeColor="text1"/>
                <w:sz w:val="16"/>
                <w:szCs w:val="16"/>
                <w:lang w:val="fr-FR"/>
              </w:rPr>
            </w:pPr>
            <w:r w:rsidRPr="000E53A0">
              <w:rPr>
                <w:rFonts w:ascii="Avenir Next Regular" w:hAnsi="Avenir Next Regular" w:cs="Calibri"/>
                <w:color w:val="000000" w:themeColor="text1"/>
                <w:sz w:val="16"/>
                <w:szCs w:val="16"/>
                <w:lang w:val="fr-FR"/>
              </w:rPr>
              <w:t> </w:t>
            </w:r>
          </w:p>
        </w:tc>
        <w:tc>
          <w:tcPr>
            <w:tcW w:w="1080" w:type="pct"/>
            <w:tcBorders>
              <w:top w:val="nil"/>
              <w:left w:val="nil"/>
              <w:bottom w:val="single" w:sz="4" w:space="0" w:color="auto"/>
              <w:right w:val="single" w:sz="4" w:space="0" w:color="auto"/>
            </w:tcBorders>
            <w:hideMark/>
          </w:tcPr>
          <w:p w14:paraId="5704BAFE" w14:textId="77777777" w:rsidR="009F3374" w:rsidRPr="000E53A0" w:rsidRDefault="009F3374">
            <w:pPr>
              <w:rPr>
                <w:rFonts w:ascii="Avenir Next Regular" w:hAnsi="Avenir Next Regular" w:cs="Calibri"/>
                <w:color w:val="000000" w:themeColor="text1"/>
                <w:sz w:val="16"/>
                <w:szCs w:val="16"/>
                <w:lang w:val="fr-FR"/>
              </w:rPr>
            </w:pPr>
            <w:r w:rsidRPr="000E53A0">
              <w:rPr>
                <w:rFonts w:ascii="Avenir Next Regular" w:hAnsi="Avenir Next Regular" w:cs="Calibri"/>
                <w:color w:val="000000" w:themeColor="text1"/>
                <w:sz w:val="16"/>
                <w:szCs w:val="16"/>
                <w:lang w:val="fr-FR"/>
              </w:rPr>
              <w:t> </w:t>
            </w:r>
          </w:p>
        </w:tc>
      </w:tr>
      <w:tr w:rsidR="009F3374" w:rsidRPr="000E53A0" w14:paraId="002176E2" w14:textId="77777777" w:rsidTr="009F3374">
        <w:trPr>
          <w:trHeight w:val="386"/>
        </w:trPr>
        <w:tc>
          <w:tcPr>
            <w:tcW w:w="1966" w:type="pct"/>
            <w:tcBorders>
              <w:top w:val="nil"/>
              <w:left w:val="single" w:sz="4" w:space="0" w:color="auto"/>
              <w:bottom w:val="single" w:sz="4" w:space="0" w:color="auto"/>
              <w:right w:val="single" w:sz="4" w:space="0" w:color="auto"/>
            </w:tcBorders>
            <w:hideMark/>
          </w:tcPr>
          <w:p w14:paraId="2103B9D5" w14:textId="77777777" w:rsidR="009F3374" w:rsidRPr="000E53A0" w:rsidRDefault="009F3374">
            <w:pPr>
              <w:rPr>
                <w:rFonts w:ascii="Avenir Next Regular" w:hAnsi="Avenir Next Regular" w:cs="Calibri"/>
                <w:b/>
                <w:bCs/>
                <w:color w:val="000000" w:themeColor="text1"/>
                <w:sz w:val="16"/>
                <w:szCs w:val="16"/>
                <w:lang w:val="fr-FR"/>
              </w:rPr>
            </w:pPr>
            <w:r w:rsidRPr="000E53A0">
              <w:rPr>
                <w:rFonts w:ascii="Avenir Next Regular" w:hAnsi="Avenir Next Regular" w:cs="Calibri"/>
                <w:b/>
                <w:bCs/>
                <w:color w:val="000000" w:themeColor="text1"/>
                <w:sz w:val="16"/>
                <w:szCs w:val="16"/>
                <w:lang w:val="fr-FR"/>
              </w:rPr>
              <w:t> </w:t>
            </w:r>
          </w:p>
        </w:tc>
        <w:tc>
          <w:tcPr>
            <w:tcW w:w="825" w:type="pct"/>
            <w:tcBorders>
              <w:top w:val="nil"/>
              <w:left w:val="nil"/>
              <w:bottom w:val="single" w:sz="4" w:space="0" w:color="auto"/>
              <w:right w:val="single" w:sz="4" w:space="0" w:color="auto"/>
            </w:tcBorders>
            <w:hideMark/>
          </w:tcPr>
          <w:p w14:paraId="26FCD3DB" w14:textId="77777777" w:rsidR="00601D9B" w:rsidRPr="000E53A0" w:rsidRDefault="000E53A0">
            <w:pPr>
              <w:rPr>
                <w:rFonts w:ascii="Avenir Next Regular" w:hAnsi="Avenir Next Regular" w:cs="Calibri"/>
                <w:b/>
                <w:bCs/>
                <w:color w:val="000000" w:themeColor="text1"/>
                <w:sz w:val="16"/>
                <w:szCs w:val="16"/>
                <w:lang w:val="fr-FR"/>
              </w:rPr>
            </w:pPr>
            <w:r>
              <w:rPr>
                <w:color w:val="000000" w:themeColor="text1"/>
              </w:rPr>
              <w:sym w:font="Symbol" w:char="F0C4"/>
            </w:r>
            <w:r w:rsidRPr="000E53A0">
              <w:rPr>
                <w:rFonts w:ascii="Avenir Next Regular" w:hAnsi="Avenir Next Regular" w:cs="Calibri"/>
                <w:b/>
                <w:bCs/>
                <w:color w:val="000000" w:themeColor="text1"/>
                <w:sz w:val="16"/>
                <w:szCs w:val="16"/>
                <w:lang w:val="fr-FR"/>
              </w:rPr>
              <w:t>Renforcer la capacité institutionnelle et la prise de décision</w:t>
            </w:r>
          </w:p>
        </w:tc>
        <w:tc>
          <w:tcPr>
            <w:tcW w:w="1129" w:type="pct"/>
            <w:tcBorders>
              <w:top w:val="nil"/>
              <w:left w:val="nil"/>
              <w:bottom w:val="single" w:sz="4" w:space="0" w:color="auto"/>
              <w:right w:val="single" w:sz="4" w:space="0" w:color="auto"/>
            </w:tcBorders>
            <w:hideMark/>
          </w:tcPr>
          <w:p w14:paraId="4C584A3B" w14:textId="77777777" w:rsidR="009F3374" w:rsidRPr="000E53A0" w:rsidRDefault="009F3374">
            <w:pPr>
              <w:rPr>
                <w:rFonts w:ascii="Avenir Next Regular" w:hAnsi="Avenir Next Regular" w:cs="Calibri"/>
                <w:color w:val="000000" w:themeColor="text1"/>
                <w:sz w:val="16"/>
                <w:szCs w:val="16"/>
                <w:lang w:val="fr-FR"/>
              </w:rPr>
            </w:pPr>
            <w:r w:rsidRPr="000E53A0">
              <w:rPr>
                <w:rFonts w:ascii="Avenir Next Regular" w:hAnsi="Avenir Next Regular" w:cs="Calibri"/>
                <w:color w:val="000000" w:themeColor="text1"/>
                <w:sz w:val="16"/>
                <w:szCs w:val="16"/>
                <w:lang w:val="fr-FR"/>
              </w:rPr>
              <w:t> </w:t>
            </w:r>
          </w:p>
        </w:tc>
        <w:tc>
          <w:tcPr>
            <w:tcW w:w="1080" w:type="pct"/>
            <w:tcBorders>
              <w:top w:val="nil"/>
              <w:left w:val="nil"/>
              <w:bottom w:val="single" w:sz="4" w:space="0" w:color="auto"/>
              <w:right w:val="single" w:sz="4" w:space="0" w:color="auto"/>
            </w:tcBorders>
            <w:hideMark/>
          </w:tcPr>
          <w:p w14:paraId="722492D2" w14:textId="77777777" w:rsidR="009F3374" w:rsidRPr="000E53A0" w:rsidRDefault="009F3374">
            <w:pPr>
              <w:rPr>
                <w:rFonts w:ascii="Avenir Next Regular" w:hAnsi="Avenir Next Regular" w:cs="Calibri"/>
                <w:color w:val="000000" w:themeColor="text1"/>
                <w:sz w:val="16"/>
                <w:szCs w:val="16"/>
                <w:lang w:val="fr-FR"/>
              </w:rPr>
            </w:pPr>
            <w:r w:rsidRPr="000E53A0">
              <w:rPr>
                <w:rFonts w:ascii="Avenir Next Regular" w:hAnsi="Avenir Next Regular" w:cs="Calibri"/>
                <w:color w:val="000000" w:themeColor="text1"/>
                <w:sz w:val="16"/>
                <w:szCs w:val="16"/>
                <w:lang w:val="fr-FR"/>
              </w:rPr>
              <w:t> </w:t>
            </w:r>
          </w:p>
        </w:tc>
      </w:tr>
      <w:tr w:rsidR="009F3374" w14:paraId="26BF342A" w14:textId="77777777" w:rsidTr="009F3374">
        <w:trPr>
          <w:trHeight w:val="89"/>
        </w:trPr>
        <w:tc>
          <w:tcPr>
            <w:tcW w:w="1966" w:type="pct"/>
            <w:tcBorders>
              <w:top w:val="nil"/>
              <w:left w:val="single" w:sz="4" w:space="0" w:color="auto"/>
              <w:bottom w:val="single" w:sz="4" w:space="0" w:color="auto"/>
              <w:right w:val="single" w:sz="4" w:space="0" w:color="auto"/>
            </w:tcBorders>
            <w:hideMark/>
          </w:tcPr>
          <w:p w14:paraId="1EDA617E" w14:textId="77777777" w:rsidR="009F3374" w:rsidRPr="000E53A0" w:rsidRDefault="009F3374">
            <w:pPr>
              <w:rPr>
                <w:rFonts w:ascii="Avenir Next Regular" w:hAnsi="Avenir Next Regular" w:cs="Calibri"/>
                <w:b/>
                <w:bCs/>
                <w:color w:val="000000" w:themeColor="text1"/>
                <w:sz w:val="16"/>
                <w:szCs w:val="16"/>
                <w:lang w:val="fr-FR"/>
              </w:rPr>
            </w:pPr>
            <w:r w:rsidRPr="000E53A0">
              <w:rPr>
                <w:rFonts w:ascii="Avenir Next Regular" w:hAnsi="Avenir Next Regular" w:cs="Calibri"/>
                <w:b/>
                <w:bCs/>
                <w:color w:val="000000" w:themeColor="text1"/>
                <w:sz w:val="16"/>
                <w:szCs w:val="16"/>
                <w:lang w:val="fr-FR"/>
              </w:rPr>
              <w:t> </w:t>
            </w:r>
          </w:p>
        </w:tc>
        <w:tc>
          <w:tcPr>
            <w:tcW w:w="825" w:type="pct"/>
            <w:tcBorders>
              <w:top w:val="nil"/>
              <w:left w:val="nil"/>
              <w:bottom w:val="single" w:sz="4" w:space="0" w:color="auto"/>
              <w:right w:val="single" w:sz="4" w:space="0" w:color="auto"/>
            </w:tcBorders>
            <w:hideMark/>
          </w:tcPr>
          <w:p w14:paraId="3ADAEAC1" w14:textId="77777777" w:rsidR="00601D9B" w:rsidRDefault="000E53A0">
            <w:pPr>
              <w:ind w:left="204" w:hanging="204"/>
              <w:rPr>
                <w:rFonts w:ascii="Avenir Next Regular" w:hAnsi="Avenir Next Regular" w:cs="Calibri"/>
                <w:b/>
                <w:bCs/>
                <w:color w:val="000000" w:themeColor="text1"/>
                <w:sz w:val="16"/>
                <w:szCs w:val="16"/>
              </w:rPr>
            </w:pPr>
            <w:r>
              <w:rPr>
                <w:color w:val="000000" w:themeColor="text1"/>
              </w:rPr>
              <w:sym w:font="Symbol" w:char="F0C4"/>
            </w:r>
            <w:r>
              <w:rPr>
                <w:rFonts w:ascii="Avenir Next Regular" w:hAnsi="Avenir Next Regular" w:cs="Calibri"/>
                <w:b/>
                <w:bCs/>
                <w:color w:val="000000" w:themeColor="text1"/>
                <w:sz w:val="16"/>
                <w:szCs w:val="16"/>
              </w:rPr>
              <w:t>Convoquer des alliances multipartites</w:t>
            </w:r>
          </w:p>
        </w:tc>
        <w:tc>
          <w:tcPr>
            <w:tcW w:w="1129" w:type="pct"/>
            <w:tcBorders>
              <w:top w:val="nil"/>
              <w:left w:val="nil"/>
              <w:bottom w:val="single" w:sz="4" w:space="0" w:color="auto"/>
              <w:right w:val="single" w:sz="4" w:space="0" w:color="auto"/>
            </w:tcBorders>
            <w:hideMark/>
          </w:tcPr>
          <w:p w14:paraId="7B6CB704" w14:textId="77777777" w:rsidR="009F3374" w:rsidRDefault="009F3374">
            <w:pPr>
              <w:rPr>
                <w:rFonts w:ascii="Avenir Next Regular" w:hAnsi="Avenir Next Regular" w:cs="Calibri"/>
                <w:color w:val="000000" w:themeColor="text1"/>
                <w:sz w:val="16"/>
                <w:szCs w:val="16"/>
              </w:rPr>
            </w:pPr>
            <w:r>
              <w:rPr>
                <w:rFonts w:ascii="Avenir Next Regular" w:hAnsi="Avenir Next Regular" w:cs="Calibri"/>
                <w:color w:val="000000" w:themeColor="text1"/>
                <w:sz w:val="16"/>
                <w:szCs w:val="16"/>
              </w:rPr>
              <w:t> </w:t>
            </w:r>
          </w:p>
        </w:tc>
        <w:tc>
          <w:tcPr>
            <w:tcW w:w="1080" w:type="pct"/>
            <w:tcBorders>
              <w:top w:val="nil"/>
              <w:left w:val="nil"/>
              <w:bottom w:val="single" w:sz="4" w:space="0" w:color="auto"/>
              <w:right w:val="single" w:sz="4" w:space="0" w:color="auto"/>
            </w:tcBorders>
            <w:noWrap/>
            <w:vAlign w:val="bottom"/>
            <w:hideMark/>
          </w:tcPr>
          <w:p w14:paraId="14B60A8B" w14:textId="77777777" w:rsidR="009F3374" w:rsidRDefault="009F3374">
            <w:pPr>
              <w:rPr>
                <w:rFonts w:ascii="Avenir Next Regular" w:hAnsi="Avenir Next Regular" w:cs="Calibri"/>
                <w:iCs/>
                <w:color w:val="000000" w:themeColor="text1"/>
                <w:sz w:val="16"/>
                <w:szCs w:val="16"/>
              </w:rPr>
            </w:pPr>
            <w:r>
              <w:rPr>
                <w:rFonts w:ascii="Avenir Next Regular" w:hAnsi="Avenir Next Regular" w:cs="Calibri"/>
                <w:iCs/>
                <w:color w:val="000000" w:themeColor="text1"/>
                <w:sz w:val="16"/>
                <w:szCs w:val="16"/>
              </w:rPr>
              <w:t> </w:t>
            </w:r>
          </w:p>
        </w:tc>
      </w:tr>
      <w:tr w:rsidR="009F3374" w14:paraId="55BA37E0" w14:textId="77777777" w:rsidTr="009F3374">
        <w:trPr>
          <w:trHeight w:val="323"/>
        </w:trPr>
        <w:tc>
          <w:tcPr>
            <w:tcW w:w="1966" w:type="pct"/>
            <w:tcBorders>
              <w:top w:val="nil"/>
              <w:left w:val="single" w:sz="4" w:space="0" w:color="auto"/>
              <w:bottom w:val="single" w:sz="4" w:space="0" w:color="auto"/>
              <w:right w:val="single" w:sz="4" w:space="0" w:color="auto"/>
            </w:tcBorders>
            <w:hideMark/>
          </w:tcPr>
          <w:p w14:paraId="1040F58B"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27189783" w14:textId="77777777" w:rsidR="00601D9B" w:rsidRDefault="000E53A0">
            <w:pPr>
              <w:ind w:left="114" w:hanging="114"/>
              <w:rPr>
                <w:rFonts w:ascii="Avenir Next Regular" w:hAnsi="Avenir Next Regular" w:cs="Calibri"/>
                <w:b/>
                <w:bCs/>
                <w:color w:val="000000" w:themeColor="text1"/>
                <w:sz w:val="16"/>
                <w:szCs w:val="16"/>
              </w:rPr>
            </w:pPr>
            <w:r>
              <w:rPr>
                <w:color w:val="000000" w:themeColor="text1"/>
              </w:rPr>
              <w:sym w:font="Symbol" w:char="F0C4"/>
            </w:r>
            <w:r>
              <w:rPr>
                <w:rFonts w:ascii="Avenir Next Regular" w:hAnsi="Avenir Next Regular" w:cs="Calibri"/>
                <w:b/>
                <w:bCs/>
                <w:color w:val="000000" w:themeColor="text1"/>
                <w:sz w:val="16"/>
                <w:szCs w:val="16"/>
              </w:rPr>
              <w:t>Démontrer des approches innovantes</w:t>
            </w:r>
          </w:p>
        </w:tc>
        <w:tc>
          <w:tcPr>
            <w:tcW w:w="1129" w:type="pct"/>
            <w:tcBorders>
              <w:top w:val="nil"/>
              <w:left w:val="nil"/>
              <w:bottom w:val="single" w:sz="4" w:space="0" w:color="auto"/>
              <w:right w:val="single" w:sz="4" w:space="0" w:color="auto"/>
            </w:tcBorders>
            <w:hideMark/>
          </w:tcPr>
          <w:p w14:paraId="75793109" w14:textId="77777777" w:rsidR="009F3374" w:rsidRDefault="009F3374">
            <w:pPr>
              <w:rPr>
                <w:rFonts w:ascii="Avenir Next Regular" w:hAnsi="Avenir Next Regular" w:cs="Calibri"/>
                <w:color w:val="000000" w:themeColor="text1"/>
                <w:sz w:val="16"/>
                <w:szCs w:val="16"/>
              </w:rPr>
            </w:pPr>
            <w:r>
              <w:rPr>
                <w:rFonts w:ascii="Avenir Next Regular" w:hAnsi="Avenir Next Regular" w:cs="Calibri"/>
                <w:color w:val="000000" w:themeColor="text1"/>
                <w:sz w:val="16"/>
                <w:szCs w:val="16"/>
              </w:rPr>
              <w:t> </w:t>
            </w:r>
          </w:p>
        </w:tc>
        <w:tc>
          <w:tcPr>
            <w:tcW w:w="1080" w:type="pct"/>
            <w:tcBorders>
              <w:top w:val="nil"/>
              <w:left w:val="nil"/>
              <w:bottom w:val="single" w:sz="4" w:space="0" w:color="auto"/>
              <w:right w:val="single" w:sz="4" w:space="0" w:color="auto"/>
            </w:tcBorders>
            <w:hideMark/>
          </w:tcPr>
          <w:p w14:paraId="455B2C2B" w14:textId="77777777" w:rsidR="009F3374" w:rsidRDefault="009F3374">
            <w:pPr>
              <w:rPr>
                <w:rFonts w:ascii="Avenir Next Regular" w:hAnsi="Avenir Next Regular" w:cs="Calibri"/>
                <w:color w:val="000000" w:themeColor="text1"/>
                <w:sz w:val="16"/>
                <w:szCs w:val="16"/>
              </w:rPr>
            </w:pPr>
            <w:r>
              <w:rPr>
                <w:rFonts w:ascii="Avenir Next Regular" w:hAnsi="Avenir Next Regular" w:cs="Calibri"/>
                <w:color w:val="000000" w:themeColor="text1"/>
                <w:sz w:val="16"/>
                <w:szCs w:val="16"/>
              </w:rPr>
              <w:t> </w:t>
            </w:r>
          </w:p>
        </w:tc>
      </w:tr>
      <w:tr w:rsidR="009F3374" w:rsidRPr="000E53A0" w14:paraId="3C6868B5" w14:textId="77777777" w:rsidTr="009F3374">
        <w:trPr>
          <w:trHeight w:val="305"/>
        </w:trPr>
        <w:tc>
          <w:tcPr>
            <w:tcW w:w="1966" w:type="pct"/>
            <w:tcBorders>
              <w:top w:val="nil"/>
              <w:left w:val="single" w:sz="4" w:space="0" w:color="auto"/>
              <w:bottom w:val="single" w:sz="4" w:space="0" w:color="auto"/>
              <w:right w:val="single" w:sz="4" w:space="0" w:color="auto"/>
            </w:tcBorders>
            <w:hideMark/>
          </w:tcPr>
          <w:p w14:paraId="63FE6670"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31ACBD44" w14:textId="77777777" w:rsidR="00601D9B" w:rsidRPr="000E53A0" w:rsidRDefault="000E53A0">
            <w:pPr>
              <w:ind w:left="114" w:hanging="114"/>
              <w:rPr>
                <w:rFonts w:ascii="Avenir Next Regular" w:hAnsi="Avenir Next Regular" w:cs="Calibri"/>
                <w:b/>
                <w:bCs/>
                <w:color w:val="000000" w:themeColor="text1"/>
                <w:sz w:val="16"/>
                <w:szCs w:val="16"/>
                <w:lang w:val="fr-FR"/>
              </w:rPr>
            </w:pPr>
            <w:r>
              <w:rPr>
                <w:color w:val="000000" w:themeColor="text1"/>
              </w:rPr>
              <w:sym w:font="Symbol" w:char="F0C4"/>
            </w:r>
            <w:r w:rsidRPr="000E53A0">
              <w:rPr>
                <w:rFonts w:ascii="Avenir Next Regular" w:hAnsi="Avenir Next Regular" w:cs="Calibri"/>
                <w:b/>
                <w:bCs/>
                <w:color w:val="000000" w:themeColor="text1"/>
                <w:sz w:val="16"/>
                <w:szCs w:val="16"/>
                <w:lang w:val="fr-FR"/>
              </w:rPr>
              <w:t>Déployer des instruments financiers innovants</w:t>
            </w:r>
          </w:p>
        </w:tc>
        <w:tc>
          <w:tcPr>
            <w:tcW w:w="1129" w:type="pct"/>
            <w:tcBorders>
              <w:top w:val="nil"/>
              <w:left w:val="nil"/>
              <w:bottom w:val="single" w:sz="4" w:space="0" w:color="auto"/>
              <w:right w:val="single" w:sz="4" w:space="0" w:color="auto"/>
            </w:tcBorders>
            <w:hideMark/>
          </w:tcPr>
          <w:p w14:paraId="4AE5A6BB" w14:textId="77777777" w:rsidR="009F3374" w:rsidRPr="000E53A0" w:rsidRDefault="009F3374">
            <w:pPr>
              <w:rPr>
                <w:rFonts w:ascii="Avenir Next Regular" w:hAnsi="Avenir Next Regular" w:cs="Calibri"/>
                <w:color w:val="000000" w:themeColor="text1"/>
                <w:sz w:val="16"/>
                <w:szCs w:val="16"/>
                <w:lang w:val="fr-FR"/>
              </w:rPr>
            </w:pPr>
            <w:r w:rsidRPr="000E53A0">
              <w:rPr>
                <w:rFonts w:ascii="Avenir Next Regular" w:hAnsi="Avenir Next Regular" w:cs="Calibri"/>
                <w:color w:val="000000" w:themeColor="text1"/>
                <w:sz w:val="16"/>
                <w:szCs w:val="16"/>
                <w:lang w:val="fr-FR"/>
              </w:rPr>
              <w:t> </w:t>
            </w:r>
          </w:p>
        </w:tc>
        <w:tc>
          <w:tcPr>
            <w:tcW w:w="1080" w:type="pct"/>
            <w:tcBorders>
              <w:top w:val="nil"/>
              <w:left w:val="nil"/>
              <w:bottom w:val="single" w:sz="4" w:space="0" w:color="auto"/>
              <w:right w:val="single" w:sz="4" w:space="0" w:color="auto"/>
            </w:tcBorders>
            <w:hideMark/>
          </w:tcPr>
          <w:p w14:paraId="673A2348" w14:textId="77777777" w:rsidR="009F3374" w:rsidRPr="000E53A0" w:rsidRDefault="009F3374">
            <w:pPr>
              <w:rPr>
                <w:rFonts w:ascii="Avenir Next Regular" w:hAnsi="Avenir Next Regular" w:cs="Calibri"/>
                <w:color w:val="000000" w:themeColor="text1"/>
                <w:sz w:val="16"/>
                <w:szCs w:val="16"/>
                <w:lang w:val="fr-FR"/>
              </w:rPr>
            </w:pPr>
            <w:r w:rsidRPr="000E53A0">
              <w:rPr>
                <w:rFonts w:ascii="Avenir Next Regular" w:hAnsi="Avenir Next Regular" w:cs="Calibri"/>
                <w:color w:val="000000" w:themeColor="text1"/>
                <w:sz w:val="16"/>
                <w:szCs w:val="16"/>
                <w:lang w:val="fr-FR"/>
              </w:rPr>
              <w:t> </w:t>
            </w:r>
          </w:p>
        </w:tc>
      </w:tr>
      <w:tr w:rsidR="009F3374" w14:paraId="463761F6" w14:textId="77777777" w:rsidTr="009F3374">
        <w:trPr>
          <w:trHeight w:val="188"/>
        </w:trPr>
        <w:tc>
          <w:tcPr>
            <w:tcW w:w="1966" w:type="pct"/>
            <w:tcBorders>
              <w:top w:val="nil"/>
              <w:left w:val="single" w:sz="4" w:space="0" w:color="auto"/>
              <w:bottom w:val="single" w:sz="4" w:space="0" w:color="auto"/>
              <w:right w:val="single" w:sz="4" w:space="0" w:color="auto"/>
            </w:tcBorders>
            <w:hideMark/>
          </w:tcPr>
          <w:p w14:paraId="0C85C2A5" w14:textId="77777777" w:rsidR="00601D9B" w:rsidRDefault="000E53A0">
            <w:pPr>
              <w:rPr>
                <w:rFonts w:ascii="Avenir Next Regular" w:hAnsi="Avenir Next Regular" w:cs="Calibri"/>
                <w:b/>
                <w:bCs/>
                <w:color w:val="000000" w:themeColor="text1"/>
                <w:sz w:val="16"/>
                <w:szCs w:val="16"/>
              </w:rPr>
            </w:pPr>
            <w:r>
              <w:rPr>
                <w:color w:val="000000" w:themeColor="text1"/>
              </w:rPr>
              <w:sym w:font="Symbol" w:char="F0C4"/>
            </w:r>
            <w:r>
              <w:rPr>
                <w:rFonts w:ascii="Avenir Next Regular" w:hAnsi="Avenir Next Regular" w:cs="Calibri"/>
                <w:b/>
                <w:bCs/>
                <w:color w:val="000000" w:themeColor="text1"/>
                <w:sz w:val="16"/>
                <w:szCs w:val="16"/>
              </w:rPr>
              <w:t>Parties prenantes</w:t>
            </w:r>
          </w:p>
        </w:tc>
        <w:tc>
          <w:tcPr>
            <w:tcW w:w="825" w:type="pct"/>
            <w:tcBorders>
              <w:top w:val="nil"/>
              <w:left w:val="nil"/>
              <w:bottom w:val="single" w:sz="4" w:space="0" w:color="auto"/>
              <w:right w:val="single" w:sz="4" w:space="0" w:color="auto"/>
            </w:tcBorders>
            <w:hideMark/>
          </w:tcPr>
          <w:p w14:paraId="0288F416"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5B088FAF" w14:textId="77777777" w:rsidR="009F3374" w:rsidRDefault="009F3374">
            <w:pPr>
              <w:rPr>
                <w:rFonts w:ascii="Avenir Next Regular" w:hAnsi="Avenir Next Regular" w:cs="Calibri"/>
                <w:color w:val="000000" w:themeColor="text1"/>
                <w:sz w:val="16"/>
                <w:szCs w:val="16"/>
              </w:rPr>
            </w:pPr>
            <w:r>
              <w:rPr>
                <w:rFonts w:ascii="Avenir Next Regular" w:hAnsi="Avenir Next Regular" w:cs="Calibri"/>
                <w:color w:val="000000" w:themeColor="text1"/>
                <w:sz w:val="16"/>
                <w:szCs w:val="16"/>
              </w:rPr>
              <w:t> </w:t>
            </w:r>
          </w:p>
        </w:tc>
        <w:tc>
          <w:tcPr>
            <w:tcW w:w="1080" w:type="pct"/>
            <w:tcBorders>
              <w:top w:val="nil"/>
              <w:left w:val="nil"/>
              <w:bottom w:val="single" w:sz="4" w:space="0" w:color="auto"/>
              <w:right w:val="single" w:sz="4" w:space="0" w:color="auto"/>
            </w:tcBorders>
            <w:hideMark/>
          </w:tcPr>
          <w:p w14:paraId="727D2668" w14:textId="77777777" w:rsidR="009F3374" w:rsidRDefault="009F3374">
            <w:pPr>
              <w:rPr>
                <w:rFonts w:ascii="Avenir Next Regular" w:hAnsi="Avenir Next Regular" w:cs="Calibri"/>
                <w:color w:val="000000" w:themeColor="text1"/>
                <w:sz w:val="16"/>
                <w:szCs w:val="16"/>
              </w:rPr>
            </w:pPr>
            <w:r>
              <w:rPr>
                <w:rFonts w:ascii="Avenir Next Regular" w:hAnsi="Avenir Next Regular" w:cs="Calibri"/>
                <w:color w:val="000000" w:themeColor="text1"/>
                <w:sz w:val="16"/>
                <w:szCs w:val="16"/>
              </w:rPr>
              <w:t> </w:t>
            </w:r>
          </w:p>
        </w:tc>
      </w:tr>
      <w:tr w:rsidR="009F3374" w14:paraId="5A8F86D4" w14:textId="77777777" w:rsidTr="009F3374">
        <w:trPr>
          <w:trHeight w:val="161"/>
        </w:trPr>
        <w:tc>
          <w:tcPr>
            <w:tcW w:w="1966" w:type="pct"/>
            <w:tcBorders>
              <w:top w:val="nil"/>
              <w:left w:val="single" w:sz="4" w:space="0" w:color="auto"/>
              <w:bottom w:val="single" w:sz="4" w:space="0" w:color="auto"/>
              <w:right w:val="single" w:sz="4" w:space="0" w:color="auto"/>
            </w:tcBorders>
            <w:hideMark/>
          </w:tcPr>
          <w:p w14:paraId="55B5EFB6"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3FB9EEB0" w14:textId="77777777" w:rsidR="00601D9B" w:rsidRDefault="000E53A0">
            <w:pPr>
              <w:rPr>
                <w:rFonts w:ascii="Avenir Next Regular" w:hAnsi="Avenir Next Regular" w:cs="Calibri"/>
                <w:b/>
                <w:bCs/>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b/>
                <w:bCs/>
                <w:color w:val="000000" w:themeColor="text1"/>
                <w:sz w:val="16"/>
                <w:szCs w:val="16"/>
              </w:rPr>
              <w:t xml:space="preserve">Peuples autochtones </w:t>
            </w:r>
          </w:p>
        </w:tc>
        <w:tc>
          <w:tcPr>
            <w:tcW w:w="1129" w:type="pct"/>
            <w:tcBorders>
              <w:top w:val="nil"/>
              <w:left w:val="nil"/>
              <w:bottom w:val="single" w:sz="4" w:space="0" w:color="auto"/>
              <w:right w:val="single" w:sz="4" w:space="0" w:color="auto"/>
            </w:tcBorders>
            <w:hideMark/>
          </w:tcPr>
          <w:p w14:paraId="5B069A0C" w14:textId="77777777" w:rsidR="009F3374" w:rsidRDefault="009F3374">
            <w:pPr>
              <w:rPr>
                <w:rFonts w:ascii="Avenir Next Regular" w:hAnsi="Avenir Next Regular" w:cs="Calibri"/>
                <w:color w:val="000000" w:themeColor="text1"/>
                <w:sz w:val="16"/>
                <w:szCs w:val="16"/>
              </w:rPr>
            </w:pPr>
            <w:r>
              <w:rPr>
                <w:rFonts w:ascii="Avenir Next Regular" w:hAnsi="Avenir Next Regular" w:cs="Calibri"/>
                <w:color w:val="000000" w:themeColor="text1"/>
                <w:sz w:val="16"/>
                <w:szCs w:val="16"/>
              </w:rPr>
              <w:t> </w:t>
            </w:r>
          </w:p>
        </w:tc>
        <w:tc>
          <w:tcPr>
            <w:tcW w:w="1080" w:type="pct"/>
            <w:tcBorders>
              <w:top w:val="nil"/>
              <w:left w:val="nil"/>
              <w:bottom w:val="single" w:sz="4" w:space="0" w:color="auto"/>
              <w:right w:val="single" w:sz="4" w:space="0" w:color="auto"/>
            </w:tcBorders>
            <w:hideMark/>
          </w:tcPr>
          <w:p w14:paraId="27509C79" w14:textId="77777777" w:rsidR="009F3374" w:rsidRDefault="009F3374">
            <w:pPr>
              <w:rPr>
                <w:rFonts w:ascii="Avenir Next Regular" w:hAnsi="Avenir Next Regular" w:cs="Calibri"/>
                <w:color w:val="000000" w:themeColor="text1"/>
                <w:sz w:val="16"/>
                <w:szCs w:val="16"/>
              </w:rPr>
            </w:pPr>
            <w:r>
              <w:rPr>
                <w:rFonts w:ascii="Avenir Next Regular" w:hAnsi="Avenir Next Regular" w:cs="Calibri"/>
                <w:color w:val="000000" w:themeColor="text1"/>
                <w:sz w:val="16"/>
                <w:szCs w:val="16"/>
              </w:rPr>
              <w:t> </w:t>
            </w:r>
          </w:p>
        </w:tc>
      </w:tr>
      <w:tr w:rsidR="009F3374" w14:paraId="1C791E08" w14:textId="77777777" w:rsidTr="009F3374">
        <w:trPr>
          <w:trHeight w:val="152"/>
        </w:trPr>
        <w:tc>
          <w:tcPr>
            <w:tcW w:w="1966" w:type="pct"/>
            <w:tcBorders>
              <w:top w:val="nil"/>
              <w:left w:val="single" w:sz="4" w:space="0" w:color="auto"/>
              <w:bottom w:val="single" w:sz="4" w:space="0" w:color="auto"/>
              <w:right w:val="single" w:sz="4" w:space="0" w:color="auto"/>
            </w:tcBorders>
            <w:hideMark/>
          </w:tcPr>
          <w:p w14:paraId="4F3447AF"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23AEE828" w14:textId="77777777" w:rsidR="00601D9B" w:rsidRDefault="000E53A0">
            <w:pPr>
              <w:rPr>
                <w:rFonts w:ascii="Avenir Next Regular" w:hAnsi="Avenir Next Regular" w:cs="Calibri"/>
                <w:b/>
                <w:bCs/>
                <w:color w:val="000000" w:themeColor="text1"/>
                <w:sz w:val="16"/>
                <w:szCs w:val="16"/>
              </w:rPr>
            </w:pPr>
            <w:r>
              <w:rPr>
                <w:color w:val="000000" w:themeColor="text1"/>
              </w:rPr>
              <w:sym w:font="Symbol" w:char="F0C4"/>
            </w:r>
            <w:r>
              <w:rPr>
                <w:rFonts w:ascii="Avenir Next Regular" w:hAnsi="Avenir Next Regular" w:cs="Calibri"/>
                <w:b/>
                <w:bCs/>
                <w:color w:val="000000" w:themeColor="text1"/>
                <w:sz w:val="16"/>
                <w:szCs w:val="16"/>
              </w:rPr>
              <w:t>Secteur privé</w:t>
            </w:r>
          </w:p>
        </w:tc>
        <w:tc>
          <w:tcPr>
            <w:tcW w:w="1129" w:type="pct"/>
            <w:tcBorders>
              <w:top w:val="nil"/>
              <w:left w:val="nil"/>
              <w:bottom w:val="single" w:sz="4" w:space="0" w:color="auto"/>
              <w:right w:val="single" w:sz="4" w:space="0" w:color="auto"/>
            </w:tcBorders>
            <w:hideMark/>
          </w:tcPr>
          <w:p w14:paraId="080D095F" w14:textId="77777777" w:rsidR="009F3374" w:rsidRDefault="009F3374">
            <w:pPr>
              <w:rPr>
                <w:rFonts w:ascii="Avenir Next Regular" w:hAnsi="Avenir Next Regular" w:cs="Calibri"/>
                <w:color w:val="000000" w:themeColor="text1"/>
                <w:sz w:val="16"/>
                <w:szCs w:val="16"/>
              </w:rPr>
            </w:pPr>
            <w:r>
              <w:rPr>
                <w:rFonts w:ascii="Avenir Next Regular" w:hAnsi="Avenir Next Regular" w:cs="Calibri"/>
                <w:color w:val="000000" w:themeColor="text1"/>
                <w:sz w:val="16"/>
                <w:szCs w:val="16"/>
              </w:rPr>
              <w:t> </w:t>
            </w:r>
          </w:p>
        </w:tc>
        <w:tc>
          <w:tcPr>
            <w:tcW w:w="1080" w:type="pct"/>
            <w:tcBorders>
              <w:top w:val="nil"/>
              <w:left w:val="nil"/>
              <w:bottom w:val="single" w:sz="4" w:space="0" w:color="auto"/>
              <w:right w:val="single" w:sz="4" w:space="0" w:color="auto"/>
            </w:tcBorders>
            <w:hideMark/>
          </w:tcPr>
          <w:p w14:paraId="772D35E2" w14:textId="77777777" w:rsidR="009F3374" w:rsidRDefault="009F3374">
            <w:pPr>
              <w:rPr>
                <w:rFonts w:ascii="Avenir Next Regular" w:hAnsi="Avenir Next Regular" w:cs="Calibri"/>
                <w:color w:val="000000" w:themeColor="text1"/>
                <w:sz w:val="16"/>
                <w:szCs w:val="16"/>
              </w:rPr>
            </w:pPr>
            <w:r>
              <w:rPr>
                <w:rFonts w:ascii="Avenir Next Regular" w:hAnsi="Avenir Next Regular" w:cs="Calibri"/>
                <w:color w:val="000000" w:themeColor="text1"/>
                <w:sz w:val="16"/>
                <w:szCs w:val="16"/>
              </w:rPr>
              <w:t> </w:t>
            </w:r>
          </w:p>
        </w:tc>
      </w:tr>
      <w:tr w:rsidR="009F3374" w14:paraId="5C834953" w14:textId="77777777" w:rsidTr="009F3374">
        <w:trPr>
          <w:trHeight w:val="58"/>
        </w:trPr>
        <w:tc>
          <w:tcPr>
            <w:tcW w:w="1966" w:type="pct"/>
            <w:tcBorders>
              <w:top w:val="nil"/>
              <w:left w:val="single" w:sz="4" w:space="0" w:color="auto"/>
              <w:bottom w:val="single" w:sz="4" w:space="0" w:color="auto"/>
              <w:right w:val="single" w:sz="4" w:space="0" w:color="auto"/>
            </w:tcBorders>
            <w:hideMark/>
          </w:tcPr>
          <w:p w14:paraId="6D81E75B"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2B956EB8"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1EC5489C" w14:textId="77777777" w:rsidR="00601D9B" w:rsidRDefault="000E53A0">
            <w:pPr>
              <w:rPr>
                <w:rFonts w:ascii="Avenir Next Regular" w:hAnsi="Avenir Next Regular" w:cs="Calibri"/>
                <w:color w:val="000000" w:themeColor="text1"/>
                <w:sz w:val="16"/>
                <w:szCs w:val="16"/>
              </w:rPr>
            </w:pPr>
            <w:r>
              <w:rPr>
                <w:color w:val="000000" w:themeColor="text1"/>
              </w:rPr>
              <w:sym w:font="Symbol" w:char="F0C4"/>
            </w:r>
            <w:r>
              <w:rPr>
                <w:rFonts w:ascii="Avenir Next Regular" w:hAnsi="Avenir Next Regular" w:cs="Calibri"/>
                <w:color w:val="000000" w:themeColor="text1"/>
                <w:sz w:val="16"/>
                <w:szCs w:val="16"/>
              </w:rPr>
              <w:t>Fournisseurs de capitaux</w:t>
            </w:r>
          </w:p>
        </w:tc>
        <w:tc>
          <w:tcPr>
            <w:tcW w:w="1080" w:type="pct"/>
            <w:tcBorders>
              <w:top w:val="nil"/>
              <w:left w:val="nil"/>
              <w:bottom w:val="single" w:sz="4" w:space="0" w:color="auto"/>
              <w:right w:val="single" w:sz="4" w:space="0" w:color="auto"/>
            </w:tcBorders>
            <w:hideMark/>
          </w:tcPr>
          <w:p w14:paraId="117F5241" w14:textId="77777777" w:rsidR="009F3374" w:rsidRDefault="009F3374">
            <w:pPr>
              <w:rPr>
                <w:rFonts w:ascii="Avenir Next Regular" w:hAnsi="Avenir Next Regular" w:cs="Calibri"/>
                <w:color w:val="000000" w:themeColor="text1"/>
                <w:sz w:val="16"/>
                <w:szCs w:val="16"/>
              </w:rPr>
            </w:pPr>
            <w:r>
              <w:rPr>
                <w:rFonts w:ascii="Avenir Next Regular" w:hAnsi="Avenir Next Regular" w:cs="Calibri"/>
                <w:color w:val="000000" w:themeColor="text1"/>
                <w:sz w:val="16"/>
                <w:szCs w:val="16"/>
              </w:rPr>
              <w:t> </w:t>
            </w:r>
          </w:p>
        </w:tc>
      </w:tr>
      <w:tr w:rsidR="009F3374" w:rsidRPr="000E53A0" w14:paraId="1EC63586" w14:textId="77777777" w:rsidTr="009F3374">
        <w:trPr>
          <w:trHeight w:val="179"/>
        </w:trPr>
        <w:tc>
          <w:tcPr>
            <w:tcW w:w="1966" w:type="pct"/>
            <w:tcBorders>
              <w:top w:val="nil"/>
              <w:left w:val="single" w:sz="4" w:space="0" w:color="auto"/>
              <w:bottom w:val="single" w:sz="4" w:space="0" w:color="auto"/>
              <w:right w:val="single" w:sz="4" w:space="0" w:color="auto"/>
            </w:tcBorders>
            <w:hideMark/>
          </w:tcPr>
          <w:p w14:paraId="33A0DA75"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3CE98429"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657FE193" w14:textId="77777777" w:rsidR="00601D9B" w:rsidRPr="000E53A0" w:rsidRDefault="000E53A0">
            <w:pPr>
              <w:ind w:left="150" w:hanging="150"/>
              <w:rPr>
                <w:rFonts w:ascii="Avenir Next Regular" w:hAnsi="Avenir Next Regular" w:cs="Calibri"/>
                <w:color w:val="000000" w:themeColor="text1"/>
                <w:sz w:val="16"/>
                <w:szCs w:val="16"/>
                <w:lang w:val="fr-FR"/>
              </w:rPr>
            </w:pPr>
            <w:r>
              <w:rPr>
                <w:color w:val="000000" w:themeColor="text1"/>
              </w:rPr>
              <w:sym w:font="Symbol" w:char="F0C4"/>
            </w:r>
            <w:r w:rsidRPr="000E53A0">
              <w:rPr>
                <w:rFonts w:ascii="Avenir Next Regular" w:hAnsi="Avenir Next Regular" w:cs="Calibri"/>
                <w:color w:val="000000" w:themeColor="text1"/>
                <w:sz w:val="16"/>
                <w:szCs w:val="16"/>
                <w:lang w:val="fr-FR"/>
              </w:rPr>
              <w:t>Intermédiaires financiers et facilitateurs de marché</w:t>
            </w:r>
          </w:p>
        </w:tc>
        <w:tc>
          <w:tcPr>
            <w:tcW w:w="1080" w:type="pct"/>
            <w:tcBorders>
              <w:top w:val="nil"/>
              <w:left w:val="nil"/>
              <w:bottom w:val="single" w:sz="4" w:space="0" w:color="auto"/>
              <w:right w:val="single" w:sz="4" w:space="0" w:color="auto"/>
            </w:tcBorders>
            <w:hideMark/>
          </w:tcPr>
          <w:p w14:paraId="75FDA595" w14:textId="77777777" w:rsidR="009F3374" w:rsidRPr="000E53A0" w:rsidRDefault="009F3374">
            <w:pPr>
              <w:rPr>
                <w:rFonts w:ascii="Avenir Next Regular" w:hAnsi="Avenir Next Regular" w:cs="Calibri"/>
                <w:color w:val="000000" w:themeColor="text1"/>
                <w:sz w:val="16"/>
                <w:szCs w:val="16"/>
                <w:lang w:val="fr-FR"/>
              </w:rPr>
            </w:pPr>
            <w:r w:rsidRPr="000E53A0">
              <w:rPr>
                <w:rFonts w:ascii="Avenir Next Regular" w:hAnsi="Avenir Next Regular" w:cs="Calibri"/>
                <w:color w:val="000000" w:themeColor="text1"/>
                <w:sz w:val="16"/>
                <w:szCs w:val="16"/>
                <w:lang w:val="fr-FR"/>
              </w:rPr>
              <w:t> </w:t>
            </w:r>
          </w:p>
        </w:tc>
      </w:tr>
      <w:tr w:rsidR="009F3374" w14:paraId="7E516B6F" w14:textId="77777777" w:rsidTr="009F3374">
        <w:trPr>
          <w:trHeight w:val="197"/>
        </w:trPr>
        <w:tc>
          <w:tcPr>
            <w:tcW w:w="1966" w:type="pct"/>
            <w:tcBorders>
              <w:top w:val="nil"/>
              <w:left w:val="single" w:sz="4" w:space="0" w:color="auto"/>
              <w:bottom w:val="single" w:sz="4" w:space="0" w:color="auto"/>
              <w:right w:val="single" w:sz="4" w:space="0" w:color="auto"/>
            </w:tcBorders>
            <w:hideMark/>
          </w:tcPr>
          <w:p w14:paraId="35001AD7" w14:textId="77777777" w:rsidR="009F3374" w:rsidRPr="000E53A0" w:rsidRDefault="009F3374">
            <w:pPr>
              <w:rPr>
                <w:rFonts w:ascii="Avenir Next Regular" w:hAnsi="Avenir Next Regular" w:cs="Calibri"/>
                <w:b/>
                <w:bCs/>
                <w:color w:val="000000" w:themeColor="text1"/>
                <w:sz w:val="16"/>
                <w:szCs w:val="16"/>
                <w:lang w:val="fr-FR"/>
              </w:rPr>
            </w:pPr>
            <w:r w:rsidRPr="000E53A0">
              <w:rPr>
                <w:rFonts w:ascii="Avenir Next Regular" w:hAnsi="Avenir Next Regular" w:cs="Calibri"/>
                <w:b/>
                <w:bCs/>
                <w:color w:val="000000" w:themeColor="text1"/>
                <w:sz w:val="16"/>
                <w:szCs w:val="16"/>
                <w:lang w:val="fr-FR"/>
              </w:rPr>
              <w:t> </w:t>
            </w:r>
          </w:p>
        </w:tc>
        <w:tc>
          <w:tcPr>
            <w:tcW w:w="825" w:type="pct"/>
            <w:tcBorders>
              <w:top w:val="nil"/>
              <w:left w:val="nil"/>
              <w:bottom w:val="single" w:sz="4" w:space="0" w:color="auto"/>
              <w:right w:val="single" w:sz="4" w:space="0" w:color="auto"/>
            </w:tcBorders>
            <w:hideMark/>
          </w:tcPr>
          <w:p w14:paraId="601276AE" w14:textId="77777777" w:rsidR="009F3374" w:rsidRPr="000E53A0" w:rsidRDefault="009F3374">
            <w:pPr>
              <w:rPr>
                <w:rFonts w:ascii="Avenir Next Regular" w:hAnsi="Avenir Next Regular" w:cs="Calibri"/>
                <w:b/>
                <w:bCs/>
                <w:color w:val="000000" w:themeColor="text1"/>
                <w:sz w:val="16"/>
                <w:szCs w:val="16"/>
                <w:lang w:val="fr-FR"/>
              </w:rPr>
            </w:pPr>
            <w:r w:rsidRPr="000E53A0">
              <w:rPr>
                <w:rFonts w:ascii="Avenir Next Regular" w:hAnsi="Avenir Next Regular" w:cs="Calibri"/>
                <w:b/>
                <w:bCs/>
                <w:color w:val="000000" w:themeColor="text1"/>
                <w:sz w:val="16"/>
                <w:szCs w:val="16"/>
                <w:lang w:val="fr-FR"/>
              </w:rPr>
              <w:t> </w:t>
            </w:r>
          </w:p>
        </w:tc>
        <w:tc>
          <w:tcPr>
            <w:tcW w:w="1129" w:type="pct"/>
            <w:tcBorders>
              <w:top w:val="nil"/>
              <w:left w:val="nil"/>
              <w:bottom w:val="single" w:sz="4" w:space="0" w:color="auto"/>
              <w:right w:val="single" w:sz="4" w:space="0" w:color="auto"/>
            </w:tcBorders>
            <w:hideMark/>
          </w:tcPr>
          <w:p w14:paraId="3F5FE37A" w14:textId="77777777" w:rsidR="00601D9B" w:rsidRDefault="000E53A0">
            <w:pPr>
              <w:rPr>
                <w:rFonts w:ascii="Avenir Next Regular" w:hAnsi="Avenir Next Regular" w:cs="Calibri"/>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color w:val="000000" w:themeColor="text1"/>
                <w:sz w:val="16"/>
                <w:szCs w:val="16"/>
              </w:rPr>
              <w:t>Grandes entreprises</w:t>
            </w:r>
          </w:p>
        </w:tc>
        <w:tc>
          <w:tcPr>
            <w:tcW w:w="1080" w:type="pct"/>
            <w:tcBorders>
              <w:top w:val="nil"/>
              <w:left w:val="nil"/>
              <w:bottom w:val="single" w:sz="4" w:space="0" w:color="auto"/>
              <w:right w:val="single" w:sz="4" w:space="0" w:color="auto"/>
            </w:tcBorders>
            <w:hideMark/>
          </w:tcPr>
          <w:p w14:paraId="5CA6993C" w14:textId="77777777" w:rsidR="009F3374" w:rsidRDefault="009F3374">
            <w:pPr>
              <w:rPr>
                <w:rFonts w:ascii="Avenir Next Regular" w:hAnsi="Avenir Next Regular" w:cs="Calibri"/>
                <w:color w:val="000000" w:themeColor="text1"/>
                <w:sz w:val="16"/>
                <w:szCs w:val="16"/>
              </w:rPr>
            </w:pPr>
            <w:r>
              <w:rPr>
                <w:rFonts w:ascii="Avenir Next Regular" w:hAnsi="Avenir Next Regular" w:cs="Calibri"/>
                <w:color w:val="000000" w:themeColor="text1"/>
                <w:sz w:val="16"/>
                <w:szCs w:val="16"/>
              </w:rPr>
              <w:t> </w:t>
            </w:r>
          </w:p>
        </w:tc>
      </w:tr>
      <w:tr w:rsidR="009F3374" w14:paraId="54896D8D" w14:textId="77777777" w:rsidTr="009F3374">
        <w:trPr>
          <w:trHeight w:val="179"/>
        </w:trPr>
        <w:tc>
          <w:tcPr>
            <w:tcW w:w="1966" w:type="pct"/>
            <w:tcBorders>
              <w:top w:val="nil"/>
              <w:left w:val="single" w:sz="4" w:space="0" w:color="auto"/>
              <w:bottom w:val="single" w:sz="4" w:space="0" w:color="auto"/>
              <w:right w:val="single" w:sz="4" w:space="0" w:color="auto"/>
            </w:tcBorders>
            <w:hideMark/>
          </w:tcPr>
          <w:p w14:paraId="14937CF5"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792D91C0"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643D6F47" w14:textId="77777777" w:rsidR="00601D9B" w:rsidRDefault="000E53A0">
            <w:pPr>
              <w:rPr>
                <w:rFonts w:ascii="Avenir Next Regular" w:hAnsi="Avenir Next Regular" w:cs="Calibri"/>
                <w:color w:val="000000" w:themeColor="text1"/>
                <w:sz w:val="16"/>
                <w:szCs w:val="16"/>
              </w:rPr>
            </w:pPr>
            <w:r>
              <w:rPr>
                <w:color w:val="000000" w:themeColor="text1"/>
              </w:rPr>
              <w:sym w:font="Symbol" w:char="F0C4"/>
            </w:r>
            <w:r>
              <w:rPr>
                <w:rFonts w:ascii="Avenir Next Regular" w:hAnsi="Avenir Next Regular" w:cs="Calibri"/>
                <w:color w:val="000000" w:themeColor="text1"/>
                <w:sz w:val="16"/>
                <w:szCs w:val="16"/>
              </w:rPr>
              <w:t>PME</w:t>
            </w:r>
          </w:p>
        </w:tc>
        <w:tc>
          <w:tcPr>
            <w:tcW w:w="1080" w:type="pct"/>
            <w:tcBorders>
              <w:top w:val="nil"/>
              <w:left w:val="nil"/>
              <w:bottom w:val="single" w:sz="4" w:space="0" w:color="auto"/>
              <w:right w:val="single" w:sz="4" w:space="0" w:color="auto"/>
            </w:tcBorders>
            <w:hideMark/>
          </w:tcPr>
          <w:p w14:paraId="23E2F2CD" w14:textId="77777777" w:rsidR="009F3374" w:rsidRDefault="009F3374">
            <w:pPr>
              <w:rPr>
                <w:rFonts w:ascii="Avenir Next Regular" w:hAnsi="Avenir Next Regular" w:cs="Calibri"/>
                <w:color w:val="000000" w:themeColor="text1"/>
                <w:sz w:val="16"/>
                <w:szCs w:val="16"/>
              </w:rPr>
            </w:pPr>
            <w:r>
              <w:rPr>
                <w:rFonts w:ascii="Avenir Next Regular" w:hAnsi="Avenir Next Regular" w:cs="Calibri"/>
                <w:color w:val="000000" w:themeColor="text1"/>
                <w:sz w:val="16"/>
                <w:szCs w:val="16"/>
              </w:rPr>
              <w:t> </w:t>
            </w:r>
          </w:p>
        </w:tc>
      </w:tr>
      <w:tr w:rsidR="009F3374" w14:paraId="2F9D4E80" w14:textId="77777777" w:rsidTr="009F3374">
        <w:trPr>
          <w:trHeight w:val="152"/>
        </w:trPr>
        <w:tc>
          <w:tcPr>
            <w:tcW w:w="1966" w:type="pct"/>
            <w:tcBorders>
              <w:top w:val="nil"/>
              <w:left w:val="single" w:sz="4" w:space="0" w:color="auto"/>
              <w:bottom w:val="single" w:sz="4" w:space="0" w:color="auto"/>
              <w:right w:val="single" w:sz="4" w:space="0" w:color="auto"/>
            </w:tcBorders>
            <w:hideMark/>
          </w:tcPr>
          <w:p w14:paraId="373C9436"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2A0EBB3A"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12317139" w14:textId="77777777" w:rsidR="00601D9B" w:rsidRDefault="000E53A0">
            <w:pPr>
              <w:rPr>
                <w:rFonts w:ascii="Avenir Next Regular" w:hAnsi="Avenir Next Regular" w:cs="Calibri"/>
                <w:color w:val="000000" w:themeColor="text1"/>
                <w:sz w:val="16"/>
                <w:szCs w:val="16"/>
              </w:rPr>
            </w:pPr>
            <w:r>
              <w:rPr>
                <w:color w:val="000000" w:themeColor="text1"/>
              </w:rPr>
              <w:sym w:font="Symbol" w:char="F0C4"/>
            </w:r>
            <w:r>
              <w:rPr>
                <w:rFonts w:ascii="Avenir Next Regular" w:hAnsi="Avenir Next Regular" w:cs="Calibri"/>
                <w:color w:val="000000" w:themeColor="text1"/>
                <w:sz w:val="16"/>
                <w:szCs w:val="16"/>
              </w:rPr>
              <w:t>Individus/entrepreneurs</w:t>
            </w:r>
          </w:p>
        </w:tc>
        <w:tc>
          <w:tcPr>
            <w:tcW w:w="1080" w:type="pct"/>
            <w:tcBorders>
              <w:top w:val="nil"/>
              <w:left w:val="nil"/>
              <w:bottom w:val="single" w:sz="4" w:space="0" w:color="auto"/>
              <w:right w:val="single" w:sz="4" w:space="0" w:color="auto"/>
            </w:tcBorders>
            <w:hideMark/>
          </w:tcPr>
          <w:p w14:paraId="0DD14052" w14:textId="77777777" w:rsidR="009F3374" w:rsidRDefault="009F3374">
            <w:pPr>
              <w:rPr>
                <w:rFonts w:ascii="Avenir Next Regular" w:hAnsi="Avenir Next Regular" w:cs="Calibri"/>
                <w:color w:val="000000" w:themeColor="text1"/>
                <w:sz w:val="16"/>
                <w:szCs w:val="16"/>
              </w:rPr>
            </w:pPr>
            <w:r>
              <w:rPr>
                <w:rFonts w:ascii="Avenir Next Regular" w:hAnsi="Avenir Next Regular" w:cs="Calibri"/>
                <w:color w:val="000000" w:themeColor="text1"/>
                <w:sz w:val="16"/>
                <w:szCs w:val="16"/>
              </w:rPr>
              <w:t> </w:t>
            </w:r>
          </w:p>
        </w:tc>
      </w:tr>
      <w:tr w:rsidR="009F3374" w14:paraId="5F09792E" w14:textId="77777777" w:rsidTr="009F3374">
        <w:trPr>
          <w:trHeight w:val="58"/>
        </w:trPr>
        <w:tc>
          <w:tcPr>
            <w:tcW w:w="1966" w:type="pct"/>
            <w:tcBorders>
              <w:top w:val="nil"/>
              <w:left w:val="single" w:sz="4" w:space="0" w:color="auto"/>
              <w:bottom w:val="single" w:sz="4" w:space="0" w:color="auto"/>
              <w:right w:val="single" w:sz="4" w:space="0" w:color="auto"/>
            </w:tcBorders>
            <w:hideMark/>
          </w:tcPr>
          <w:p w14:paraId="40D94DA1"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6B83FE1D"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single" w:sz="4" w:space="0" w:color="7F7F7F"/>
              <w:left w:val="single" w:sz="4" w:space="0" w:color="7F7F7F"/>
              <w:bottom w:val="single" w:sz="4" w:space="0" w:color="7F7F7F"/>
              <w:right w:val="single" w:sz="4" w:space="0" w:color="7F7F7F"/>
            </w:tcBorders>
            <w:hideMark/>
          </w:tcPr>
          <w:p w14:paraId="41B89C91" w14:textId="77777777" w:rsidR="00601D9B" w:rsidRDefault="000E53A0">
            <w:pPr>
              <w:rPr>
                <w:rFonts w:ascii="Avenir Next Regular" w:hAnsi="Avenir Next Regular" w:cs="Calibri"/>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color w:val="000000" w:themeColor="text1"/>
                <w:sz w:val="16"/>
                <w:szCs w:val="16"/>
              </w:rPr>
              <w:t>Pilote non subventionné</w:t>
            </w:r>
          </w:p>
        </w:tc>
        <w:tc>
          <w:tcPr>
            <w:tcW w:w="1080" w:type="pct"/>
            <w:hideMark/>
          </w:tcPr>
          <w:p w14:paraId="625B2E3B" w14:textId="77777777" w:rsidR="009F3374" w:rsidRDefault="009F3374">
            <w:pPr>
              <w:rPr>
                <w:rFonts w:ascii="Avenir Next Regular" w:hAnsi="Avenir Next Regular" w:cs="Calibri"/>
                <w:color w:val="000000" w:themeColor="text1"/>
                <w:sz w:val="16"/>
                <w:szCs w:val="16"/>
              </w:rPr>
            </w:pPr>
            <w:r>
              <w:rPr>
                <w:rFonts w:ascii="Avenir Next Regular" w:hAnsi="Avenir Next Regular" w:cs="Calibri"/>
                <w:color w:val="000000" w:themeColor="text1"/>
                <w:sz w:val="16"/>
                <w:szCs w:val="16"/>
              </w:rPr>
              <w:t> </w:t>
            </w:r>
          </w:p>
        </w:tc>
      </w:tr>
      <w:tr w:rsidR="009F3374" w14:paraId="4FF46F73" w14:textId="77777777" w:rsidTr="009F3374">
        <w:trPr>
          <w:trHeight w:val="161"/>
        </w:trPr>
        <w:tc>
          <w:tcPr>
            <w:tcW w:w="1966" w:type="pct"/>
            <w:tcBorders>
              <w:top w:val="nil"/>
              <w:left w:val="single" w:sz="4" w:space="0" w:color="auto"/>
              <w:bottom w:val="single" w:sz="4" w:space="0" w:color="auto"/>
              <w:right w:val="single" w:sz="4" w:space="0" w:color="auto"/>
            </w:tcBorders>
            <w:hideMark/>
          </w:tcPr>
          <w:p w14:paraId="097ABB32"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446C2CB4"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single" w:sz="4" w:space="0" w:color="7F7F7F"/>
              <w:bottom w:val="single" w:sz="4" w:space="0" w:color="7F7F7F"/>
              <w:right w:val="single" w:sz="4" w:space="0" w:color="7F7F7F"/>
            </w:tcBorders>
            <w:hideMark/>
          </w:tcPr>
          <w:p w14:paraId="04FBD06F" w14:textId="77777777" w:rsidR="00601D9B" w:rsidRDefault="000E53A0">
            <w:pPr>
              <w:rPr>
                <w:rFonts w:ascii="Avenir Next Regular" w:hAnsi="Avenir Next Regular" w:cs="Calibri"/>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color w:val="000000" w:themeColor="text1"/>
                <w:sz w:val="16"/>
                <w:szCs w:val="16"/>
              </w:rPr>
              <w:t>Projet Reflow</w:t>
            </w:r>
          </w:p>
        </w:tc>
        <w:tc>
          <w:tcPr>
            <w:tcW w:w="1080" w:type="pct"/>
            <w:hideMark/>
          </w:tcPr>
          <w:p w14:paraId="4B77DA09" w14:textId="77777777" w:rsidR="009F3374" w:rsidRDefault="009F3374">
            <w:pPr>
              <w:rPr>
                <w:rFonts w:ascii="Avenir Next Regular" w:hAnsi="Avenir Next Regular" w:cs="Calibri"/>
                <w:color w:val="000000" w:themeColor="text1"/>
                <w:sz w:val="16"/>
                <w:szCs w:val="16"/>
              </w:rPr>
            </w:pPr>
            <w:r>
              <w:rPr>
                <w:rFonts w:ascii="Avenir Next Regular" w:hAnsi="Avenir Next Regular" w:cs="Calibri"/>
                <w:color w:val="000000" w:themeColor="text1"/>
                <w:sz w:val="16"/>
                <w:szCs w:val="16"/>
              </w:rPr>
              <w:t> </w:t>
            </w:r>
          </w:p>
        </w:tc>
      </w:tr>
      <w:tr w:rsidR="009F3374" w14:paraId="274F7AC7" w14:textId="77777777" w:rsidTr="009F3374">
        <w:trPr>
          <w:trHeight w:val="170"/>
        </w:trPr>
        <w:tc>
          <w:tcPr>
            <w:tcW w:w="1966" w:type="pct"/>
            <w:tcBorders>
              <w:top w:val="nil"/>
              <w:left w:val="single" w:sz="4" w:space="0" w:color="auto"/>
              <w:bottom w:val="single" w:sz="4" w:space="0" w:color="auto"/>
              <w:right w:val="single" w:sz="4" w:space="0" w:color="auto"/>
            </w:tcBorders>
            <w:hideMark/>
          </w:tcPr>
          <w:p w14:paraId="6F6462FF"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7936B0C4" w14:textId="77777777" w:rsidR="00601D9B" w:rsidRDefault="000E53A0">
            <w:pPr>
              <w:rPr>
                <w:rFonts w:ascii="Avenir Next Regular" w:hAnsi="Avenir Next Regular" w:cs="Calibri"/>
                <w:b/>
                <w:bCs/>
                <w:color w:val="000000" w:themeColor="text1"/>
                <w:sz w:val="16"/>
                <w:szCs w:val="16"/>
              </w:rPr>
            </w:pPr>
            <w:r>
              <w:rPr>
                <w:color w:val="000000" w:themeColor="text1"/>
              </w:rPr>
              <w:sym w:font="Symbol" w:char="F0C4"/>
            </w:r>
            <w:r>
              <w:rPr>
                <w:rFonts w:ascii="Avenir Next Regular" w:hAnsi="Avenir Next Regular" w:cs="Calibri"/>
                <w:b/>
                <w:bCs/>
                <w:color w:val="000000" w:themeColor="text1"/>
                <w:sz w:val="16"/>
                <w:szCs w:val="16"/>
              </w:rPr>
              <w:t>Bénéficiaires</w:t>
            </w:r>
          </w:p>
        </w:tc>
        <w:tc>
          <w:tcPr>
            <w:tcW w:w="1129" w:type="pct"/>
            <w:tcBorders>
              <w:top w:val="single" w:sz="4" w:space="0" w:color="auto"/>
              <w:left w:val="nil"/>
              <w:bottom w:val="single" w:sz="4" w:space="0" w:color="auto"/>
              <w:right w:val="single" w:sz="4" w:space="0" w:color="auto"/>
            </w:tcBorders>
            <w:hideMark/>
          </w:tcPr>
          <w:p w14:paraId="42285134" w14:textId="77777777" w:rsidR="009F3374" w:rsidRDefault="009F3374">
            <w:pPr>
              <w:rPr>
                <w:rFonts w:ascii="Avenir Next Regular" w:hAnsi="Avenir Next Regular" w:cs="Calibri"/>
                <w:color w:val="000000" w:themeColor="text1"/>
                <w:sz w:val="16"/>
                <w:szCs w:val="16"/>
              </w:rPr>
            </w:pPr>
            <w:r>
              <w:rPr>
                <w:rFonts w:ascii="Avenir Next Regular" w:hAnsi="Avenir Next Regular" w:cs="Calibri"/>
                <w:color w:val="000000" w:themeColor="text1"/>
                <w:sz w:val="16"/>
                <w:szCs w:val="16"/>
              </w:rPr>
              <w:t> </w:t>
            </w:r>
          </w:p>
        </w:tc>
        <w:tc>
          <w:tcPr>
            <w:tcW w:w="1080" w:type="pct"/>
            <w:tcBorders>
              <w:top w:val="single" w:sz="4" w:space="0" w:color="auto"/>
              <w:left w:val="nil"/>
              <w:bottom w:val="single" w:sz="4" w:space="0" w:color="auto"/>
              <w:right w:val="single" w:sz="4" w:space="0" w:color="auto"/>
            </w:tcBorders>
            <w:hideMark/>
          </w:tcPr>
          <w:p w14:paraId="1FC0176D" w14:textId="77777777" w:rsidR="009F3374" w:rsidRDefault="009F3374">
            <w:pPr>
              <w:rPr>
                <w:rFonts w:ascii="Avenir Next Regular" w:hAnsi="Avenir Next Regular" w:cs="Calibri"/>
                <w:color w:val="000000" w:themeColor="text1"/>
                <w:sz w:val="16"/>
                <w:szCs w:val="16"/>
              </w:rPr>
            </w:pPr>
            <w:r>
              <w:rPr>
                <w:rFonts w:ascii="Avenir Next Regular" w:hAnsi="Avenir Next Regular" w:cs="Calibri"/>
                <w:color w:val="000000" w:themeColor="text1"/>
                <w:sz w:val="16"/>
                <w:szCs w:val="16"/>
              </w:rPr>
              <w:t> </w:t>
            </w:r>
          </w:p>
        </w:tc>
      </w:tr>
      <w:tr w:rsidR="009F3374" w14:paraId="184CBF40" w14:textId="77777777" w:rsidTr="009F3374">
        <w:trPr>
          <w:trHeight w:val="161"/>
        </w:trPr>
        <w:tc>
          <w:tcPr>
            <w:tcW w:w="1966" w:type="pct"/>
            <w:tcBorders>
              <w:top w:val="nil"/>
              <w:left w:val="single" w:sz="4" w:space="0" w:color="auto"/>
              <w:bottom w:val="single" w:sz="4" w:space="0" w:color="auto"/>
              <w:right w:val="single" w:sz="4" w:space="0" w:color="auto"/>
            </w:tcBorders>
            <w:hideMark/>
          </w:tcPr>
          <w:p w14:paraId="2F25F764"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5E907BA9" w14:textId="77777777" w:rsidR="00601D9B" w:rsidRDefault="000E53A0">
            <w:pPr>
              <w:rPr>
                <w:rFonts w:ascii="Avenir Next Regular" w:hAnsi="Avenir Next Regular" w:cs="Calibri"/>
                <w:b/>
                <w:bCs/>
                <w:color w:val="000000" w:themeColor="text1"/>
                <w:sz w:val="16"/>
                <w:szCs w:val="16"/>
              </w:rPr>
            </w:pPr>
            <w:r>
              <w:rPr>
                <w:color w:val="000000" w:themeColor="text1"/>
              </w:rPr>
              <w:sym w:font="Symbol" w:char="F0C4"/>
            </w:r>
            <w:r>
              <w:rPr>
                <w:rFonts w:ascii="Avenir Next Regular" w:hAnsi="Avenir Next Regular" w:cs="Calibri"/>
                <w:b/>
                <w:bCs/>
                <w:color w:val="000000" w:themeColor="text1"/>
                <w:sz w:val="16"/>
                <w:szCs w:val="16"/>
              </w:rPr>
              <w:t>Communautés locales</w:t>
            </w:r>
          </w:p>
        </w:tc>
        <w:tc>
          <w:tcPr>
            <w:tcW w:w="1129" w:type="pct"/>
            <w:tcBorders>
              <w:top w:val="nil"/>
              <w:left w:val="nil"/>
              <w:bottom w:val="single" w:sz="4" w:space="0" w:color="auto"/>
              <w:right w:val="single" w:sz="4" w:space="0" w:color="auto"/>
            </w:tcBorders>
            <w:hideMark/>
          </w:tcPr>
          <w:p w14:paraId="67E4F568" w14:textId="77777777" w:rsidR="009F3374" w:rsidRDefault="009F3374">
            <w:pPr>
              <w:rPr>
                <w:rFonts w:ascii="Avenir Next Regular" w:hAnsi="Avenir Next Regular" w:cs="Calibri"/>
                <w:color w:val="000000" w:themeColor="text1"/>
                <w:sz w:val="16"/>
                <w:szCs w:val="16"/>
              </w:rPr>
            </w:pPr>
            <w:r>
              <w:rPr>
                <w:rFonts w:ascii="Avenir Next Regular" w:hAnsi="Avenir Next Regular" w:cs="Calibri"/>
                <w:color w:val="000000" w:themeColor="text1"/>
                <w:sz w:val="16"/>
                <w:szCs w:val="16"/>
              </w:rPr>
              <w:t> </w:t>
            </w:r>
          </w:p>
        </w:tc>
        <w:tc>
          <w:tcPr>
            <w:tcW w:w="1080" w:type="pct"/>
            <w:tcBorders>
              <w:top w:val="nil"/>
              <w:left w:val="nil"/>
              <w:bottom w:val="single" w:sz="4" w:space="0" w:color="auto"/>
              <w:right w:val="single" w:sz="4" w:space="0" w:color="auto"/>
            </w:tcBorders>
            <w:hideMark/>
          </w:tcPr>
          <w:p w14:paraId="55A79004" w14:textId="77777777" w:rsidR="009F3374" w:rsidRDefault="009F3374">
            <w:pPr>
              <w:rPr>
                <w:rFonts w:ascii="Avenir Next Regular" w:hAnsi="Avenir Next Regular" w:cs="Calibri"/>
                <w:color w:val="000000" w:themeColor="text1"/>
                <w:sz w:val="16"/>
                <w:szCs w:val="16"/>
              </w:rPr>
            </w:pPr>
            <w:r>
              <w:rPr>
                <w:rFonts w:ascii="Avenir Next Regular" w:hAnsi="Avenir Next Regular" w:cs="Calibri"/>
                <w:color w:val="000000" w:themeColor="text1"/>
                <w:sz w:val="16"/>
                <w:szCs w:val="16"/>
              </w:rPr>
              <w:t> </w:t>
            </w:r>
          </w:p>
        </w:tc>
      </w:tr>
      <w:tr w:rsidR="009F3374" w14:paraId="3E45783B" w14:textId="77777777" w:rsidTr="009F3374">
        <w:trPr>
          <w:trHeight w:val="58"/>
        </w:trPr>
        <w:tc>
          <w:tcPr>
            <w:tcW w:w="1966" w:type="pct"/>
            <w:tcBorders>
              <w:top w:val="nil"/>
              <w:left w:val="single" w:sz="4" w:space="0" w:color="auto"/>
              <w:bottom w:val="single" w:sz="4" w:space="0" w:color="auto"/>
              <w:right w:val="single" w:sz="4" w:space="0" w:color="auto"/>
            </w:tcBorders>
            <w:hideMark/>
          </w:tcPr>
          <w:p w14:paraId="5351ACE7"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7F62EBA9" w14:textId="77777777" w:rsidR="00601D9B" w:rsidRDefault="000E53A0">
            <w:pPr>
              <w:rPr>
                <w:rFonts w:ascii="Avenir Next Regular" w:hAnsi="Avenir Next Regular" w:cs="Calibri"/>
                <w:b/>
                <w:bCs/>
                <w:color w:val="000000" w:themeColor="text1"/>
                <w:sz w:val="16"/>
                <w:szCs w:val="16"/>
              </w:rPr>
            </w:pPr>
            <w:r>
              <w:rPr>
                <w:color w:val="000000" w:themeColor="text1"/>
              </w:rPr>
              <w:sym w:font="Symbol" w:char="F0C4"/>
            </w:r>
            <w:r>
              <w:rPr>
                <w:rFonts w:ascii="Avenir Next Regular" w:hAnsi="Avenir Next Regular" w:cs="Calibri"/>
                <w:b/>
                <w:bCs/>
                <w:color w:val="000000" w:themeColor="text1"/>
                <w:sz w:val="16"/>
                <w:szCs w:val="16"/>
              </w:rPr>
              <w:t>Société civile</w:t>
            </w:r>
          </w:p>
        </w:tc>
        <w:tc>
          <w:tcPr>
            <w:tcW w:w="1129" w:type="pct"/>
            <w:tcBorders>
              <w:top w:val="nil"/>
              <w:left w:val="nil"/>
              <w:bottom w:val="single" w:sz="4" w:space="0" w:color="auto"/>
              <w:right w:val="single" w:sz="4" w:space="0" w:color="auto"/>
            </w:tcBorders>
            <w:hideMark/>
          </w:tcPr>
          <w:p w14:paraId="10F7B91E" w14:textId="77777777" w:rsidR="009F3374" w:rsidRDefault="009F3374">
            <w:pPr>
              <w:rPr>
                <w:rFonts w:ascii="Avenir Next Regular" w:hAnsi="Avenir Next Regular" w:cs="Calibri"/>
                <w:color w:val="000000" w:themeColor="text1"/>
                <w:sz w:val="16"/>
                <w:szCs w:val="16"/>
              </w:rPr>
            </w:pPr>
            <w:r>
              <w:rPr>
                <w:rFonts w:ascii="Avenir Next Regular" w:hAnsi="Avenir Next Regular" w:cs="Calibri"/>
                <w:color w:val="000000" w:themeColor="text1"/>
                <w:sz w:val="16"/>
                <w:szCs w:val="16"/>
              </w:rPr>
              <w:t> </w:t>
            </w:r>
          </w:p>
        </w:tc>
        <w:tc>
          <w:tcPr>
            <w:tcW w:w="1080" w:type="pct"/>
            <w:tcBorders>
              <w:top w:val="nil"/>
              <w:left w:val="nil"/>
              <w:bottom w:val="single" w:sz="4" w:space="0" w:color="auto"/>
              <w:right w:val="single" w:sz="4" w:space="0" w:color="auto"/>
            </w:tcBorders>
            <w:hideMark/>
          </w:tcPr>
          <w:p w14:paraId="0A857E28" w14:textId="77777777" w:rsidR="009F3374" w:rsidRDefault="009F3374">
            <w:pPr>
              <w:rPr>
                <w:rFonts w:ascii="Avenir Next Regular" w:hAnsi="Avenir Next Regular" w:cs="Calibri"/>
                <w:color w:val="000000" w:themeColor="text1"/>
                <w:sz w:val="16"/>
                <w:szCs w:val="16"/>
              </w:rPr>
            </w:pPr>
            <w:r>
              <w:rPr>
                <w:rFonts w:ascii="Avenir Next Regular" w:hAnsi="Avenir Next Regular" w:cs="Calibri"/>
                <w:color w:val="000000" w:themeColor="text1"/>
                <w:sz w:val="16"/>
                <w:szCs w:val="16"/>
              </w:rPr>
              <w:t> </w:t>
            </w:r>
          </w:p>
        </w:tc>
      </w:tr>
      <w:tr w:rsidR="009F3374" w14:paraId="745C4F93" w14:textId="77777777" w:rsidTr="009F3374">
        <w:trPr>
          <w:trHeight w:val="58"/>
        </w:trPr>
        <w:tc>
          <w:tcPr>
            <w:tcW w:w="1966" w:type="pct"/>
            <w:tcBorders>
              <w:top w:val="nil"/>
              <w:left w:val="single" w:sz="4" w:space="0" w:color="auto"/>
              <w:bottom w:val="single" w:sz="4" w:space="0" w:color="auto"/>
              <w:right w:val="single" w:sz="4" w:space="0" w:color="auto"/>
            </w:tcBorders>
            <w:hideMark/>
          </w:tcPr>
          <w:p w14:paraId="0A225604"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624A7E1D"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5ED5143F" w14:textId="77777777" w:rsidR="00601D9B" w:rsidRDefault="000E53A0">
            <w:pPr>
              <w:rPr>
                <w:rFonts w:ascii="Avenir Next Regular" w:hAnsi="Avenir Next Regular" w:cs="Calibri"/>
                <w:color w:val="000000" w:themeColor="text1"/>
                <w:sz w:val="16"/>
                <w:szCs w:val="16"/>
              </w:rPr>
            </w:pPr>
            <w:r>
              <w:rPr>
                <w:color w:val="000000" w:themeColor="text1"/>
              </w:rPr>
              <w:sym w:font="Symbol" w:char="F0C4"/>
            </w:r>
            <w:r>
              <w:rPr>
                <w:rFonts w:ascii="Avenir Next Regular" w:hAnsi="Avenir Next Regular" w:cs="Calibri"/>
                <w:color w:val="000000" w:themeColor="text1"/>
                <w:sz w:val="16"/>
                <w:szCs w:val="16"/>
              </w:rPr>
              <w:t xml:space="preserve">Organisation à base communautaire </w:t>
            </w:r>
          </w:p>
        </w:tc>
        <w:tc>
          <w:tcPr>
            <w:tcW w:w="1080" w:type="pct"/>
            <w:tcBorders>
              <w:top w:val="nil"/>
              <w:left w:val="nil"/>
              <w:bottom w:val="single" w:sz="4" w:space="0" w:color="auto"/>
              <w:right w:val="single" w:sz="4" w:space="0" w:color="auto"/>
            </w:tcBorders>
            <w:hideMark/>
          </w:tcPr>
          <w:p w14:paraId="2F769C70" w14:textId="77777777" w:rsidR="009F3374" w:rsidRDefault="009F3374">
            <w:pPr>
              <w:rPr>
                <w:rFonts w:ascii="Avenir Next Regular" w:hAnsi="Avenir Next Regular" w:cs="Calibri"/>
                <w:color w:val="000000" w:themeColor="text1"/>
                <w:sz w:val="16"/>
                <w:szCs w:val="16"/>
              </w:rPr>
            </w:pPr>
            <w:r>
              <w:rPr>
                <w:rFonts w:ascii="Avenir Next Regular" w:hAnsi="Avenir Next Regular" w:cs="Calibri"/>
                <w:color w:val="000000" w:themeColor="text1"/>
                <w:sz w:val="16"/>
                <w:szCs w:val="16"/>
              </w:rPr>
              <w:t> </w:t>
            </w:r>
          </w:p>
        </w:tc>
      </w:tr>
      <w:tr w:rsidR="009F3374" w14:paraId="7CD574BF" w14:textId="77777777" w:rsidTr="009F3374">
        <w:trPr>
          <w:trHeight w:val="58"/>
        </w:trPr>
        <w:tc>
          <w:tcPr>
            <w:tcW w:w="1966" w:type="pct"/>
            <w:tcBorders>
              <w:top w:val="nil"/>
              <w:left w:val="single" w:sz="4" w:space="0" w:color="auto"/>
              <w:bottom w:val="single" w:sz="4" w:space="0" w:color="auto"/>
              <w:right w:val="single" w:sz="4" w:space="0" w:color="auto"/>
            </w:tcBorders>
            <w:hideMark/>
          </w:tcPr>
          <w:p w14:paraId="1465A0E8"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19DAAA58"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74C59F13" w14:textId="77777777" w:rsidR="00601D9B" w:rsidRDefault="000E53A0">
            <w:pPr>
              <w:rPr>
                <w:rFonts w:ascii="Avenir Next Regular" w:hAnsi="Avenir Next Regular" w:cs="Calibri"/>
                <w:color w:val="000000" w:themeColor="text1"/>
                <w:sz w:val="16"/>
                <w:szCs w:val="16"/>
              </w:rPr>
            </w:pPr>
            <w:r>
              <w:rPr>
                <w:color w:val="000000" w:themeColor="text1"/>
              </w:rPr>
              <w:sym w:font="Symbol" w:char="F0C4"/>
            </w:r>
            <w:r>
              <w:rPr>
                <w:rFonts w:ascii="Avenir Next Regular" w:hAnsi="Avenir Next Regular" w:cs="Calibri"/>
                <w:color w:val="000000" w:themeColor="text1"/>
                <w:sz w:val="16"/>
                <w:szCs w:val="16"/>
              </w:rPr>
              <w:t>Organisation non gouvernementale</w:t>
            </w:r>
          </w:p>
        </w:tc>
        <w:tc>
          <w:tcPr>
            <w:tcW w:w="1080" w:type="pct"/>
            <w:tcBorders>
              <w:top w:val="nil"/>
              <w:left w:val="nil"/>
              <w:bottom w:val="single" w:sz="4" w:space="0" w:color="auto"/>
              <w:right w:val="single" w:sz="4" w:space="0" w:color="auto"/>
            </w:tcBorders>
            <w:hideMark/>
          </w:tcPr>
          <w:p w14:paraId="5C748314" w14:textId="77777777" w:rsidR="009F3374" w:rsidRDefault="009F3374">
            <w:pPr>
              <w:rPr>
                <w:rFonts w:ascii="Avenir Next Regular" w:hAnsi="Avenir Next Regular" w:cs="Calibri"/>
                <w:color w:val="000000" w:themeColor="text1"/>
                <w:sz w:val="16"/>
                <w:szCs w:val="16"/>
              </w:rPr>
            </w:pPr>
            <w:r>
              <w:rPr>
                <w:rFonts w:ascii="Avenir Next Regular" w:hAnsi="Avenir Next Regular" w:cs="Calibri"/>
                <w:color w:val="000000" w:themeColor="text1"/>
                <w:sz w:val="16"/>
                <w:szCs w:val="16"/>
              </w:rPr>
              <w:t> </w:t>
            </w:r>
          </w:p>
        </w:tc>
      </w:tr>
      <w:tr w:rsidR="009F3374" w14:paraId="4366C646" w14:textId="77777777" w:rsidTr="009F3374">
        <w:trPr>
          <w:trHeight w:val="58"/>
        </w:trPr>
        <w:tc>
          <w:tcPr>
            <w:tcW w:w="1966" w:type="pct"/>
            <w:tcBorders>
              <w:top w:val="nil"/>
              <w:left w:val="single" w:sz="4" w:space="0" w:color="auto"/>
              <w:bottom w:val="single" w:sz="4" w:space="0" w:color="auto"/>
              <w:right w:val="single" w:sz="4" w:space="0" w:color="auto"/>
            </w:tcBorders>
            <w:hideMark/>
          </w:tcPr>
          <w:p w14:paraId="23ECC577"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4D60264B"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7CA9F0B2" w14:textId="77777777" w:rsidR="00601D9B" w:rsidRDefault="000E53A0">
            <w:pPr>
              <w:rPr>
                <w:rFonts w:ascii="Avenir Next Regular" w:hAnsi="Avenir Next Regular" w:cs="Calibri"/>
                <w:color w:val="000000" w:themeColor="text1"/>
                <w:sz w:val="16"/>
                <w:szCs w:val="16"/>
              </w:rPr>
            </w:pPr>
            <w:r>
              <w:rPr>
                <w:color w:val="000000" w:themeColor="text1"/>
              </w:rPr>
              <w:sym w:font="Symbol" w:char="F0C4"/>
            </w:r>
            <w:r>
              <w:rPr>
                <w:rFonts w:ascii="Avenir Next Regular" w:hAnsi="Avenir Next Regular" w:cs="Calibri"/>
                <w:color w:val="000000" w:themeColor="text1"/>
                <w:sz w:val="16"/>
                <w:szCs w:val="16"/>
              </w:rPr>
              <w:t>Academia</w:t>
            </w:r>
          </w:p>
        </w:tc>
        <w:tc>
          <w:tcPr>
            <w:tcW w:w="1080" w:type="pct"/>
            <w:tcBorders>
              <w:top w:val="nil"/>
              <w:left w:val="nil"/>
              <w:bottom w:val="single" w:sz="4" w:space="0" w:color="auto"/>
              <w:right w:val="single" w:sz="4" w:space="0" w:color="auto"/>
            </w:tcBorders>
            <w:hideMark/>
          </w:tcPr>
          <w:p w14:paraId="1E83DA9F" w14:textId="77777777" w:rsidR="009F3374" w:rsidRDefault="009F3374">
            <w:pPr>
              <w:rPr>
                <w:rFonts w:ascii="Avenir Next Regular" w:hAnsi="Avenir Next Regular" w:cs="Calibri"/>
                <w:color w:val="000000" w:themeColor="text1"/>
                <w:sz w:val="16"/>
                <w:szCs w:val="16"/>
              </w:rPr>
            </w:pPr>
            <w:r>
              <w:rPr>
                <w:rFonts w:ascii="Avenir Next Regular" w:hAnsi="Avenir Next Regular" w:cs="Calibri"/>
                <w:color w:val="000000" w:themeColor="text1"/>
                <w:sz w:val="16"/>
                <w:szCs w:val="16"/>
              </w:rPr>
              <w:t> </w:t>
            </w:r>
          </w:p>
        </w:tc>
      </w:tr>
      <w:tr w:rsidR="009F3374" w:rsidRPr="000E53A0" w14:paraId="4D7B77F0" w14:textId="77777777" w:rsidTr="009F3374">
        <w:trPr>
          <w:trHeight w:val="71"/>
        </w:trPr>
        <w:tc>
          <w:tcPr>
            <w:tcW w:w="1966" w:type="pct"/>
            <w:tcBorders>
              <w:top w:val="nil"/>
              <w:left w:val="single" w:sz="4" w:space="0" w:color="auto"/>
              <w:bottom w:val="single" w:sz="4" w:space="0" w:color="auto"/>
              <w:right w:val="single" w:sz="4" w:space="0" w:color="auto"/>
            </w:tcBorders>
            <w:hideMark/>
          </w:tcPr>
          <w:p w14:paraId="58D15454"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719CFFBE"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2F0C0513" w14:textId="77777777" w:rsidR="00601D9B" w:rsidRPr="000E53A0" w:rsidRDefault="000E53A0">
            <w:pPr>
              <w:ind w:left="150" w:hanging="150"/>
              <w:rPr>
                <w:rFonts w:ascii="Avenir Next Regular" w:hAnsi="Avenir Next Regular" w:cs="Calibri"/>
                <w:color w:val="000000" w:themeColor="text1"/>
                <w:sz w:val="16"/>
                <w:szCs w:val="16"/>
                <w:lang w:val="fr-FR"/>
              </w:rPr>
            </w:pPr>
            <w:r>
              <w:rPr>
                <w:color w:val="000000" w:themeColor="text1"/>
                <w:sz w:val="16"/>
                <w:szCs w:val="16"/>
              </w:rPr>
              <w:fldChar w:fldCharType="begin">
                <w:ffData>
                  <w:name w:val="IAP_cities"/>
                  <w:enabled/>
                  <w:calcOnExit w:val="0"/>
                  <w:checkBox>
                    <w:sizeAuto/>
                    <w:default w:val="0"/>
                  </w:checkBox>
                </w:ffData>
              </w:fldChar>
            </w:r>
            <w:r w:rsidRPr="000E53A0">
              <w:rPr>
                <w:color w:val="000000" w:themeColor="text1"/>
                <w:sz w:val="16"/>
                <w:szCs w:val="16"/>
                <w:lang w:val="fr-FR"/>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sidRPr="000E53A0">
              <w:rPr>
                <w:rFonts w:ascii="Avenir Next Regular" w:hAnsi="Avenir Next Regular" w:cs="Calibri"/>
                <w:color w:val="000000" w:themeColor="text1"/>
                <w:sz w:val="16"/>
                <w:szCs w:val="16"/>
                <w:lang w:val="fr-FR"/>
              </w:rPr>
              <w:t>Syndicats et unions de travailleurs</w:t>
            </w:r>
          </w:p>
        </w:tc>
        <w:tc>
          <w:tcPr>
            <w:tcW w:w="1080" w:type="pct"/>
            <w:tcBorders>
              <w:top w:val="nil"/>
              <w:left w:val="nil"/>
              <w:bottom w:val="single" w:sz="4" w:space="0" w:color="auto"/>
              <w:right w:val="single" w:sz="4" w:space="0" w:color="auto"/>
            </w:tcBorders>
            <w:hideMark/>
          </w:tcPr>
          <w:p w14:paraId="7B2B76DA" w14:textId="77777777" w:rsidR="009F3374" w:rsidRPr="000E53A0" w:rsidRDefault="009F3374">
            <w:pPr>
              <w:rPr>
                <w:rFonts w:ascii="Avenir Next Regular" w:hAnsi="Avenir Next Regular" w:cs="Calibri"/>
                <w:color w:val="000000" w:themeColor="text1"/>
                <w:sz w:val="16"/>
                <w:szCs w:val="16"/>
                <w:lang w:val="fr-FR"/>
              </w:rPr>
            </w:pPr>
            <w:r w:rsidRPr="000E53A0">
              <w:rPr>
                <w:rFonts w:ascii="Avenir Next Regular" w:hAnsi="Avenir Next Regular" w:cs="Calibri"/>
                <w:color w:val="000000" w:themeColor="text1"/>
                <w:sz w:val="16"/>
                <w:szCs w:val="16"/>
                <w:lang w:val="fr-FR"/>
              </w:rPr>
              <w:t> </w:t>
            </w:r>
          </w:p>
        </w:tc>
      </w:tr>
      <w:tr w:rsidR="009F3374" w14:paraId="4323F0FA" w14:textId="77777777" w:rsidTr="009F3374">
        <w:trPr>
          <w:trHeight w:val="197"/>
        </w:trPr>
        <w:tc>
          <w:tcPr>
            <w:tcW w:w="1966" w:type="pct"/>
            <w:tcBorders>
              <w:top w:val="nil"/>
              <w:left w:val="single" w:sz="4" w:space="0" w:color="auto"/>
              <w:bottom w:val="single" w:sz="4" w:space="0" w:color="auto"/>
              <w:right w:val="single" w:sz="4" w:space="0" w:color="auto"/>
            </w:tcBorders>
            <w:hideMark/>
          </w:tcPr>
          <w:p w14:paraId="14B51E03" w14:textId="77777777" w:rsidR="009F3374" w:rsidRPr="000E53A0" w:rsidRDefault="009F3374">
            <w:pPr>
              <w:rPr>
                <w:rFonts w:ascii="Avenir Next Regular" w:hAnsi="Avenir Next Regular" w:cs="Calibri"/>
                <w:b/>
                <w:bCs/>
                <w:color w:val="000000" w:themeColor="text1"/>
                <w:sz w:val="16"/>
                <w:szCs w:val="16"/>
                <w:lang w:val="fr-FR"/>
              </w:rPr>
            </w:pPr>
            <w:r w:rsidRPr="000E53A0">
              <w:rPr>
                <w:rFonts w:ascii="Avenir Next Regular" w:hAnsi="Avenir Next Regular" w:cs="Calibri"/>
                <w:b/>
                <w:bCs/>
                <w:color w:val="000000" w:themeColor="text1"/>
                <w:sz w:val="16"/>
                <w:szCs w:val="16"/>
                <w:lang w:val="fr-FR"/>
              </w:rPr>
              <w:lastRenderedPageBreak/>
              <w:t> </w:t>
            </w:r>
          </w:p>
        </w:tc>
        <w:tc>
          <w:tcPr>
            <w:tcW w:w="825" w:type="pct"/>
            <w:tcBorders>
              <w:top w:val="nil"/>
              <w:left w:val="nil"/>
              <w:bottom w:val="single" w:sz="4" w:space="0" w:color="auto"/>
              <w:right w:val="single" w:sz="4" w:space="0" w:color="auto"/>
            </w:tcBorders>
            <w:hideMark/>
          </w:tcPr>
          <w:p w14:paraId="034D1B2E" w14:textId="77777777" w:rsidR="00601D9B" w:rsidRDefault="000E53A0">
            <w:pPr>
              <w:rPr>
                <w:rFonts w:ascii="Avenir Next Regular" w:hAnsi="Avenir Next Regular" w:cs="Calibri"/>
                <w:b/>
                <w:bCs/>
                <w:color w:val="000000" w:themeColor="text1"/>
                <w:sz w:val="16"/>
                <w:szCs w:val="16"/>
              </w:rPr>
            </w:pPr>
            <w:r>
              <w:rPr>
                <w:color w:val="000000" w:themeColor="text1"/>
              </w:rPr>
              <w:sym w:font="Symbol" w:char="F0C4"/>
            </w:r>
            <w:r>
              <w:rPr>
                <w:rFonts w:ascii="Avenir Next Regular" w:hAnsi="Avenir Next Regular" w:cs="Calibri"/>
                <w:b/>
                <w:bCs/>
                <w:color w:val="000000" w:themeColor="text1"/>
                <w:sz w:val="16"/>
                <w:szCs w:val="16"/>
              </w:rPr>
              <w:t>Type d'engagement</w:t>
            </w:r>
          </w:p>
        </w:tc>
        <w:tc>
          <w:tcPr>
            <w:tcW w:w="1129" w:type="pct"/>
            <w:tcBorders>
              <w:top w:val="nil"/>
              <w:left w:val="nil"/>
              <w:bottom w:val="single" w:sz="4" w:space="0" w:color="auto"/>
              <w:right w:val="single" w:sz="4" w:space="0" w:color="auto"/>
            </w:tcBorders>
            <w:hideMark/>
          </w:tcPr>
          <w:p w14:paraId="40186F21" w14:textId="77777777" w:rsidR="009F3374" w:rsidRDefault="009F3374">
            <w:pPr>
              <w:rPr>
                <w:rFonts w:ascii="Avenir Next Regular" w:hAnsi="Avenir Next Regular" w:cs="Calibri"/>
                <w:color w:val="000000" w:themeColor="text1"/>
                <w:sz w:val="16"/>
                <w:szCs w:val="16"/>
              </w:rPr>
            </w:pPr>
            <w:r>
              <w:rPr>
                <w:rFonts w:ascii="Avenir Next Regular" w:hAnsi="Avenir Next Regular" w:cs="Calibri"/>
                <w:color w:val="000000" w:themeColor="text1"/>
                <w:sz w:val="16"/>
                <w:szCs w:val="16"/>
              </w:rPr>
              <w:t> </w:t>
            </w:r>
          </w:p>
        </w:tc>
        <w:tc>
          <w:tcPr>
            <w:tcW w:w="1080" w:type="pct"/>
            <w:tcBorders>
              <w:top w:val="nil"/>
              <w:left w:val="nil"/>
              <w:bottom w:val="single" w:sz="4" w:space="0" w:color="auto"/>
              <w:right w:val="single" w:sz="4" w:space="0" w:color="auto"/>
            </w:tcBorders>
            <w:hideMark/>
          </w:tcPr>
          <w:p w14:paraId="046C2068" w14:textId="77777777" w:rsidR="009F3374" w:rsidRDefault="009F3374">
            <w:pPr>
              <w:rPr>
                <w:rFonts w:ascii="Avenir Next Regular" w:hAnsi="Avenir Next Regular" w:cs="Calibri"/>
                <w:color w:val="000000" w:themeColor="text1"/>
                <w:sz w:val="16"/>
                <w:szCs w:val="16"/>
              </w:rPr>
            </w:pPr>
            <w:r>
              <w:rPr>
                <w:rFonts w:ascii="Avenir Next Regular" w:hAnsi="Avenir Next Regular" w:cs="Calibri"/>
                <w:color w:val="000000" w:themeColor="text1"/>
                <w:sz w:val="16"/>
                <w:szCs w:val="16"/>
              </w:rPr>
              <w:t> </w:t>
            </w:r>
          </w:p>
        </w:tc>
      </w:tr>
      <w:tr w:rsidR="009F3374" w14:paraId="52E84A78" w14:textId="77777777" w:rsidTr="009F3374">
        <w:trPr>
          <w:trHeight w:val="161"/>
        </w:trPr>
        <w:tc>
          <w:tcPr>
            <w:tcW w:w="1966" w:type="pct"/>
            <w:tcBorders>
              <w:top w:val="nil"/>
              <w:left w:val="single" w:sz="4" w:space="0" w:color="auto"/>
              <w:bottom w:val="single" w:sz="4" w:space="0" w:color="auto"/>
              <w:right w:val="single" w:sz="4" w:space="0" w:color="auto"/>
            </w:tcBorders>
            <w:hideMark/>
          </w:tcPr>
          <w:p w14:paraId="54E06D54"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40CF066F"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61369EC6" w14:textId="77777777" w:rsidR="00601D9B" w:rsidRDefault="000E53A0">
            <w:pPr>
              <w:rPr>
                <w:rFonts w:ascii="Avenir Next Regular" w:hAnsi="Avenir Next Regular" w:cs="Calibri"/>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color w:val="000000" w:themeColor="text1"/>
                <w:sz w:val="16"/>
                <w:szCs w:val="16"/>
              </w:rPr>
              <w:t>Diffusion de l'information</w:t>
            </w:r>
          </w:p>
        </w:tc>
        <w:tc>
          <w:tcPr>
            <w:tcW w:w="1080" w:type="pct"/>
            <w:tcBorders>
              <w:top w:val="nil"/>
              <w:left w:val="nil"/>
              <w:bottom w:val="single" w:sz="4" w:space="0" w:color="auto"/>
              <w:right w:val="single" w:sz="4" w:space="0" w:color="auto"/>
            </w:tcBorders>
            <w:hideMark/>
          </w:tcPr>
          <w:p w14:paraId="0775F297" w14:textId="77777777" w:rsidR="009F3374" w:rsidRDefault="009F3374">
            <w:pPr>
              <w:rPr>
                <w:rFonts w:ascii="Avenir Next Regular" w:hAnsi="Avenir Next Regular" w:cs="Calibri"/>
                <w:color w:val="000000" w:themeColor="text1"/>
                <w:sz w:val="16"/>
                <w:szCs w:val="16"/>
              </w:rPr>
            </w:pPr>
            <w:r>
              <w:rPr>
                <w:rFonts w:ascii="Avenir Next Regular" w:hAnsi="Avenir Next Regular" w:cs="Calibri"/>
                <w:color w:val="000000" w:themeColor="text1"/>
                <w:sz w:val="16"/>
                <w:szCs w:val="16"/>
              </w:rPr>
              <w:t> </w:t>
            </w:r>
          </w:p>
        </w:tc>
      </w:tr>
      <w:tr w:rsidR="009F3374" w14:paraId="6FA06C89" w14:textId="77777777" w:rsidTr="009F3374">
        <w:trPr>
          <w:trHeight w:val="143"/>
        </w:trPr>
        <w:tc>
          <w:tcPr>
            <w:tcW w:w="1966" w:type="pct"/>
            <w:tcBorders>
              <w:top w:val="nil"/>
              <w:left w:val="single" w:sz="4" w:space="0" w:color="auto"/>
              <w:bottom w:val="single" w:sz="4" w:space="0" w:color="auto"/>
              <w:right w:val="single" w:sz="4" w:space="0" w:color="auto"/>
            </w:tcBorders>
            <w:hideMark/>
          </w:tcPr>
          <w:p w14:paraId="347DBF9A"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572C40E6"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57C29C1B" w14:textId="77777777" w:rsidR="00601D9B" w:rsidRDefault="000E53A0">
            <w:pPr>
              <w:rPr>
                <w:rFonts w:ascii="Avenir Next Regular" w:hAnsi="Avenir Next Regular" w:cs="Calibri"/>
                <w:color w:val="000000" w:themeColor="text1"/>
                <w:sz w:val="16"/>
                <w:szCs w:val="16"/>
              </w:rPr>
            </w:pPr>
            <w:r>
              <w:rPr>
                <w:color w:val="000000" w:themeColor="text1"/>
              </w:rPr>
              <w:sym w:font="Symbol" w:char="F0C4"/>
            </w:r>
            <w:r>
              <w:rPr>
                <w:rFonts w:ascii="Avenir Next Regular" w:hAnsi="Avenir Next Regular" w:cs="Calibri"/>
                <w:color w:val="000000" w:themeColor="text1"/>
                <w:sz w:val="16"/>
                <w:szCs w:val="16"/>
              </w:rPr>
              <w:t>Partenariat</w:t>
            </w:r>
          </w:p>
        </w:tc>
        <w:tc>
          <w:tcPr>
            <w:tcW w:w="1080" w:type="pct"/>
            <w:tcBorders>
              <w:top w:val="nil"/>
              <w:left w:val="nil"/>
              <w:bottom w:val="single" w:sz="4" w:space="0" w:color="auto"/>
              <w:right w:val="single" w:sz="4" w:space="0" w:color="auto"/>
            </w:tcBorders>
            <w:hideMark/>
          </w:tcPr>
          <w:p w14:paraId="5FEBAEDE" w14:textId="77777777" w:rsidR="009F3374" w:rsidRDefault="009F3374">
            <w:pPr>
              <w:rPr>
                <w:rFonts w:ascii="Avenir Next Regular" w:hAnsi="Avenir Next Regular" w:cs="Calibri"/>
                <w:color w:val="000000" w:themeColor="text1"/>
                <w:sz w:val="16"/>
                <w:szCs w:val="16"/>
              </w:rPr>
            </w:pPr>
            <w:r>
              <w:rPr>
                <w:rFonts w:ascii="Avenir Next Regular" w:hAnsi="Avenir Next Regular" w:cs="Calibri"/>
                <w:color w:val="000000" w:themeColor="text1"/>
                <w:sz w:val="16"/>
                <w:szCs w:val="16"/>
              </w:rPr>
              <w:t> </w:t>
            </w:r>
          </w:p>
        </w:tc>
      </w:tr>
      <w:tr w:rsidR="009F3374" w14:paraId="569897CA" w14:textId="77777777" w:rsidTr="009F3374">
        <w:trPr>
          <w:trHeight w:val="58"/>
        </w:trPr>
        <w:tc>
          <w:tcPr>
            <w:tcW w:w="1966" w:type="pct"/>
            <w:tcBorders>
              <w:top w:val="nil"/>
              <w:left w:val="single" w:sz="4" w:space="0" w:color="auto"/>
              <w:bottom w:val="single" w:sz="4" w:space="0" w:color="auto"/>
              <w:right w:val="single" w:sz="4" w:space="0" w:color="auto"/>
            </w:tcBorders>
            <w:hideMark/>
          </w:tcPr>
          <w:p w14:paraId="7870C791"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19A4F300"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680AFB13" w14:textId="77777777" w:rsidR="00601D9B" w:rsidRDefault="000E53A0">
            <w:pPr>
              <w:rPr>
                <w:rFonts w:ascii="Avenir Next Regular" w:hAnsi="Avenir Next Regular" w:cs="Calibri"/>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color w:val="000000" w:themeColor="text1"/>
                <w:sz w:val="16"/>
                <w:szCs w:val="16"/>
              </w:rPr>
              <w:t>Consultation</w:t>
            </w:r>
          </w:p>
        </w:tc>
        <w:tc>
          <w:tcPr>
            <w:tcW w:w="1080" w:type="pct"/>
            <w:tcBorders>
              <w:top w:val="nil"/>
              <w:left w:val="nil"/>
              <w:bottom w:val="single" w:sz="4" w:space="0" w:color="auto"/>
              <w:right w:val="single" w:sz="4" w:space="0" w:color="auto"/>
            </w:tcBorders>
            <w:hideMark/>
          </w:tcPr>
          <w:p w14:paraId="084EEAF6" w14:textId="77777777" w:rsidR="009F3374" w:rsidRDefault="009F3374">
            <w:pPr>
              <w:rPr>
                <w:rFonts w:ascii="Avenir Next Regular" w:hAnsi="Avenir Next Regular" w:cs="Calibri"/>
                <w:color w:val="000000" w:themeColor="text1"/>
                <w:sz w:val="16"/>
                <w:szCs w:val="16"/>
              </w:rPr>
            </w:pPr>
            <w:r>
              <w:rPr>
                <w:rFonts w:ascii="Avenir Next Regular" w:hAnsi="Avenir Next Regular" w:cs="Calibri"/>
                <w:color w:val="000000" w:themeColor="text1"/>
                <w:sz w:val="16"/>
                <w:szCs w:val="16"/>
              </w:rPr>
              <w:t> </w:t>
            </w:r>
          </w:p>
        </w:tc>
      </w:tr>
      <w:tr w:rsidR="009F3374" w14:paraId="659FC6CC" w14:textId="77777777" w:rsidTr="009F3374">
        <w:trPr>
          <w:trHeight w:val="170"/>
        </w:trPr>
        <w:tc>
          <w:tcPr>
            <w:tcW w:w="1966" w:type="pct"/>
            <w:tcBorders>
              <w:top w:val="nil"/>
              <w:left w:val="single" w:sz="4" w:space="0" w:color="auto"/>
              <w:bottom w:val="single" w:sz="4" w:space="0" w:color="auto"/>
              <w:right w:val="single" w:sz="4" w:space="0" w:color="auto"/>
            </w:tcBorders>
            <w:hideMark/>
          </w:tcPr>
          <w:p w14:paraId="3703F19B"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2D589D41"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3B958734" w14:textId="77777777" w:rsidR="00601D9B" w:rsidRDefault="000E53A0">
            <w:pPr>
              <w:rPr>
                <w:rFonts w:ascii="Avenir Next Regular" w:hAnsi="Avenir Next Regular" w:cs="Calibri"/>
                <w:color w:val="000000" w:themeColor="text1"/>
                <w:sz w:val="16"/>
                <w:szCs w:val="16"/>
              </w:rPr>
            </w:pPr>
            <w:r>
              <w:rPr>
                <w:color w:val="000000" w:themeColor="text1"/>
              </w:rPr>
              <w:sym w:font="Symbol" w:char="F0C4"/>
            </w:r>
            <w:r>
              <w:rPr>
                <w:rFonts w:ascii="Avenir Next Regular" w:hAnsi="Avenir Next Regular" w:cs="Calibri"/>
                <w:color w:val="000000" w:themeColor="text1"/>
                <w:sz w:val="16"/>
                <w:szCs w:val="16"/>
              </w:rPr>
              <w:t>Participation</w:t>
            </w:r>
          </w:p>
        </w:tc>
        <w:tc>
          <w:tcPr>
            <w:tcW w:w="1080" w:type="pct"/>
            <w:tcBorders>
              <w:top w:val="nil"/>
              <w:left w:val="nil"/>
              <w:bottom w:val="single" w:sz="4" w:space="0" w:color="auto"/>
              <w:right w:val="single" w:sz="4" w:space="0" w:color="auto"/>
            </w:tcBorders>
            <w:hideMark/>
          </w:tcPr>
          <w:p w14:paraId="72709F64" w14:textId="77777777" w:rsidR="009F3374" w:rsidRDefault="009F3374">
            <w:pPr>
              <w:rPr>
                <w:rFonts w:ascii="Avenir Next Regular" w:hAnsi="Avenir Next Regular" w:cs="Calibri"/>
                <w:color w:val="000000" w:themeColor="text1"/>
                <w:sz w:val="16"/>
                <w:szCs w:val="16"/>
              </w:rPr>
            </w:pPr>
            <w:r>
              <w:rPr>
                <w:rFonts w:ascii="Avenir Next Regular" w:hAnsi="Avenir Next Regular" w:cs="Calibri"/>
                <w:color w:val="000000" w:themeColor="text1"/>
                <w:sz w:val="16"/>
                <w:szCs w:val="16"/>
              </w:rPr>
              <w:t> </w:t>
            </w:r>
          </w:p>
        </w:tc>
      </w:tr>
      <w:tr w:rsidR="009F3374" w14:paraId="68177FD5" w14:textId="77777777" w:rsidTr="009F3374">
        <w:trPr>
          <w:trHeight w:val="170"/>
        </w:trPr>
        <w:tc>
          <w:tcPr>
            <w:tcW w:w="1966" w:type="pct"/>
            <w:tcBorders>
              <w:top w:val="nil"/>
              <w:left w:val="single" w:sz="4" w:space="0" w:color="auto"/>
              <w:bottom w:val="single" w:sz="4" w:space="0" w:color="auto"/>
              <w:right w:val="single" w:sz="4" w:space="0" w:color="auto"/>
            </w:tcBorders>
          </w:tcPr>
          <w:p w14:paraId="3D9A6989" w14:textId="77777777" w:rsidR="009F3374" w:rsidRDefault="009F3374">
            <w:pPr>
              <w:rPr>
                <w:rFonts w:ascii="Avenir Next Regular" w:hAnsi="Avenir Next Regular" w:cs="Calibri"/>
                <w:b/>
                <w:bCs/>
                <w:color w:val="000000" w:themeColor="text1"/>
                <w:sz w:val="16"/>
                <w:szCs w:val="16"/>
              </w:rPr>
            </w:pPr>
          </w:p>
        </w:tc>
        <w:tc>
          <w:tcPr>
            <w:tcW w:w="825" w:type="pct"/>
            <w:tcBorders>
              <w:top w:val="nil"/>
              <w:left w:val="nil"/>
              <w:bottom w:val="single" w:sz="4" w:space="0" w:color="auto"/>
              <w:right w:val="single" w:sz="4" w:space="0" w:color="auto"/>
            </w:tcBorders>
            <w:hideMark/>
          </w:tcPr>
          <w:p w14:paraId="67CF760C" w14:textId="77777777" w:rsidR="00601D9B" w:rsidRDefault="000E53A0">
            <w:pPr>
              <w:rPr>
                <w:rFonts w:ascii="Avenir Next Regular" w:hAnsi="Avenir Next Regular" w:cs="Calibri"/>
                <w:b/>
                <w:bCs/>
                <w:color w:val="000000" w:themeColor="text1"/>
                <w:sz w:val="16"/>
                <w:szCs w:val="16"/>
              </w:rPr>
            </w:pPr>
            <w:r>
              <w:rPr>
                <w:color w:val="000000" w:themeColor="text1"/>
              </w:rPr>
              <w:sym w:font="Symbol" w:char="F0C4"/>
            </w:r>
            <w:r>
              <w:rPr>
                <w:rFonts w:ascii="Avenir Next Regular" w:hAnsi="Avenir Next Regular" w:cs="Calibri"/>
                <w:b/>
                <w:bCs/>
                <w:color w:val="000000" w:themeColor="text1"/>
                <w:sz w:val="16"/>
                <w:szCs w:val="16"/>
              </w:rPr>
              <w:t>Communications</w:t>
            </w:r>
          </w:p>
        </w:tc>
        <w:tc>
          <w:tcPr>
            <w:tcW w:w="1129" w:type="pct"/>
            <w:tcBorders>
              <w:top w:val="nil"/>
              <w:left w:val="nil"/>
              <w:bottom w:val="single" w:sz="4" w:space="0" w:color="auto"/>
              <w:right w:val="single" w:sz="4" w:space="0" w:color="auto"/>
            </w:tcBorders>
          </w:tcPr>
          <w:p w14:paraId="1CF09CED" w14:textId="77777777" w:rsidR="009F3374" w:rsidRDefault="009F3374">
            <w:pPr>
              <w:rPr>
                <w:color w:val="000000" w:themeColor="text1"/>
                <w:sz w:val="16"/>
                <w:szCs w:val="16"/>
              </w:rPr>
            </w:pPr>
          </w:p>
        </w:tc>
        <w:tc>
          <w:tcPr>
            <w:tcW w:w="1080" w:type="pct"/>
            <w:tcBorders>
              <w:top w:val="nil"/>
              <w:left w:val="nil"/>
              <w:bottom w:val="single" w:sz="4" w:space="0" w:color="auto"/>
              <w:right w:val="single" w:sz="4" w:space="0" w:color="auto"/>
            </w:tcBorders>
          </w:tcPr>
          <w:p w14:paraId="55C0FF85" w14:textId="77777777" w:rsidR="009F3374" w:rsidRDefault="009F3374">
            <w:pPr>
              <w:rPr>
                <w:rFonts w:ascii="Avenir Next Regular" w:hAnsi="Avenir Next Regular" w:cs="Calibri"/>
                <w:color w:val="000000" w:themeColor="text1"/>
                <w:sz w:val="16"/>
                <w:szCs w:val="16"/>
              </w:rPr>
            </w:pPr>
          </w:p>
        </w:tc>
      </w:tr>
      <w:tr w:rsidR="009F3374" w14:paraId="792BAB36" w14:textId="77777777" w:rsidTr="009F3374">
        <w:trPr>
          <w:trHeight w:val="170"/>
        </w:trPr>
        <w:tc>
          <w:tcPr>
            <w:tcW w:w="1966" w:type="pct"/>
            <w:tcBorders>
              <w:top w:val="nil"/>
              <w:left w:val="single" w:sz="4" w:space="0" w:color="auto"/>
              <w:bottom w:val="single" w:sz="4" w:space="0" w:color="auto"/>
              <w:right w:val="single" w:sz="4" w:space="0" w:color="auto"/>
            </w:tcBorders>
          </w:tcPr>
          <w:p w14:paraId="68900B82" w14:textId="77777777" w:rsidR="009F3374" w:rsidRDefault="009F3374">
            <w:pPr>
              <w:rPr>
                <w:rFonts w:ascii="Avenir Next Regular" w:hAnsi="Avenir Next Regular" w:cs="Calibri"/>
                <w:b/>
                <w:bCs/>
                <w:color w:val="000000" w:themeColor="text1"/>
                <w:sz w:val="16"/>
                <w:szCs w:val="16"/>
              </w:rPr>
            </w:pPr>
          </w:p>
        </w:tc>
        <w:tc>
          <w:tcPr>
            <w:tcW w:w="825" w:type="pct"/>
            <w:tcBorders>
              <w:top w:val="nil"/>
              <w:left w:val="nil"/>
              <w:bottom w:val="single" w:sz="4" w:space="0" w:color="auto"/>
              <w:right w:val="single" w:sz="4" w:space="0" w:color="auto"/>
            </w:tcBorders>
          </w:tcPr>
          <w:p w14:paraId="7916611A" w14:textId="77777777" w:rsidR="009F3374" w:rsidRDefault="009F3374">
            <w:pPr>
              <w:rPr>
                <w:color w:val="000000" w:themeColor="text1"/>
                <w:sz w:val="16"/>
                <w:szCs w:val="16"/>
              </w:rPr>
            </w:pPr>
          </w:p>
        </w:tc>
        <w:tc>
          <w:tcPr>
            <w:tcW w:w="1129" w:type="pct"/>
            <w:tcBorders>
              <w:top w:val="nil"/>
              <w:left w:val="nil"/>
              <w:bottom w:val="single" w:sz="4" w:space="0" w:color="auto"/>
              <w:right w:val="single" w:sz="4" w:space="0" w:color="auto"/>
            </w:tcBorders>
            <w:hideMark/>
          </w:tcPr>
          <w:p w14:paraId="6A980B58" w14:textId="77777777" w:rsidR="00601D9B" w:rsidRDefault="000E53A0">
            <w:pPr>
              <w:rPr>
                <w:color w:val="000000" w:themeColor="text1"/>
                <w:sz w:val="16"/>
                <w:szCs w:val="16"/>
              </w:rPr>
            </w:pPr>
            <w:r>
              <w:rPr>
                <w:color w:val="000000" w:themeColor="text1"/>
              </w:rPr>
              <w:sym w:font="Symbol" w:char="F0C4"/>
            </w:r>
            <w:r>
              <w:rPr>
                <w:color w:val="000000" w:themeColor="text1"/>
                <w:sz w:val="16"/>
                <w:szCs w:val="16"/>
              </w:rPr>
              <w:t>Sensibilisation</w:t>
            </w:r>
          </w:p>
        </w:tc>
        <w:tc>
          <w:tcPr>
            <w:tcW w:w="1080" w:type="pct"/>
            <w:tcBorders>
              <w:top w:val="nil"/>
              <w:left w:val="nil"/>
              <w:bottom w:val="single" w:sz="4" w:space="0" w:color="auto"/>
              <w:right w:val="single" w:sz="4" w:space="0" w:color="auto"/>
            </w:tcBorders>
          </w:tcPr>
          <w:p w14:paraId="65F81432" w14:textId="77777777" w:rsidR="009F3374" w:rsidRDefault="009F3374">
            <w:pPr>
              <w:rPr>
                <w:rFonts w:ascii="Avenir Next Regular" w:hAnsi="Avenir Next Regular" w:cs="Calibri"/>
                <w:color w:val="000000" w:themeColor="text1"/>
                <w:sz w:val="16"/>
                <w:szCs w:val="16"/>
              </w:rPr>
            </w:pPr>
          </w:p>
        </w:tc>
      </w:tr>
      <w:tr w:rsidR="009F3374" w14:paraId="475D7C24" w14:textId="77777777" w:rsidTr="009F3374">
        <w:trPr>
          <w:trHeight w:val="170"/>
        </w:trPr>
        <w:tc>
          <w:tcPr>
            <w:tcW w:w="1966" w:type="pct"/>
            <w:tcBorders>
              <w:top w:val="nil"/>
              <w:left w:val="single" w:sz="4" w:space="0" w:color="auto"/>
              <w:bottom w:val="single" w:sz="4" w:space="0" w:color="auto"/>
              <w:right w:val="single" w:sz="4" w:space="0" w:color="auto"/>
            </w:tcBorders>
          </w:tcPr>
          <w:p w14:paraId="1B5429C9" w14:textId="77777777" w:rsidR="009F3374" w:rsidRDefault="009F3374">
            <w:pPr>
              <w:rPr>
                <w:rFonts w:ascii="Avenir Next Regular" w:hAnsi="Avenir Next Regular" w:cs="Calibri"/>
                <w:b/>
                <w:bCs/>
                <w:color w:val="000000" w:themeColor="text1"/>
                <w:sz w:val="16"/>
                <w:szCs w:val="16"/>
              </w:rPr>
            </w:pPr>
          </w:p>
        </w:tc>
        <w:tc>
          <w:tcPr>
            <w:tcW w:w="825" w:type="pct"/>
            <w:tcBorders>
              <w:top w:val="nil"/>
              <w:left w:val="nil"/>
              <w:bottom w:val="single" w:sz="4" w:space="0" w:color="auto"/>
              <w:right w:val="single" w:sz="4" w:space="0" w:color="auto"/>
            </w:tcBorders>
          </w:tcPr>
          <w:p w14:paraId="06D3BE8B" w14:textId="77777777" w:rsidR="009F3374" w:rsidRDefault="009F3374">
            <w:pPr>
              <w:rPr>
                <w:rFonts w:ascii="Avenir Next Regular" w:hAnsi="Avenir Next Regular" w:cs="Calibri"/>
                <w:b/>
                <w:bCs/>
                <w:color w:val="000000" w:themeColor="text1"/>
                <w:sz w:val="16"/>
                <w:szCs w:val="16"/>
              </w:rPr>
            </w:pPr>
          </w:p>
        </w:tc>
        <w:tc>
          <w:tcPr>
            <w:tcW w:w="1129" w:type="pct"/>
            <w:tcBorders>
              <w:top w:val="nil"/>
              <w:left w:val="nil"/>
              <w:bottom w:val="single" w:sz="4" w:space="0" w:color="auto"/>
              <w:right w:val="single" w:sz="4" w:space="0" w:color="auto"/>
            </w:tcBorders>
            <w:hideMark/>
          </w:tcPr>
          <w:p w14:paraId="044188A8" w14:textId="77777777" w:rsidR="00601D9B" w:rsidRDefault="000E53A0">
            <w:pPr>
              <w:rPr>
                <w:color w:val="000000" w:themeColor="text1"/>
                <w:sz w:val="16"/>
                <w:szCs w:val="16"/>
              </w:rPr>
            </w:pPr>
            <w:r>
              <w:rPr>
                <w:color w:val="000000" w:themeColor="text1"/>
              </w:rPr>
              <w:sym w:font="Symbol" w:char="F0C4"/>
            </w:r>
            <w:r>
              <w:rPr>
                <w:color w:val="000000" w:themeColor="text1"/>
                <w:sz w:val="16"/>
                <w:szCs w:val="16"/>
              </w:rPr>
              <w:t>Éducation</w:t>
            </w:r>
          </w:p>
        </w:tc>
        <w:tc>
          <w:tcPr>
            <w:tcW w:w="1080" w:type="pct"/>
            <w:tcBorders>
              <w:top w:val="nil"/>
              <w:left w:val="nil"/>
              <w:bottom w:val="single" w:sz="4" w:space="0" w:color="auto"/>
              <w:right w:val="single" w:sz="4" w:space="0" w:color="auto"/>
            </w:tcBorders>
          </w:tcPr>
          <w:p w14:paraId="6124444F" w14:textId="77777777" w:rsidR="009F3374" w:rsidRDefault="009F3374">
            <w:pPr>
              <w:rPr>
                <w:rFonts w:ascii="Avenir Next Regular" w:hAnsi="Avenir Next Regular" w:cs="Calibri"/>
                <w:color w:val="000000" w:themeColor="text1"/>
                <w:sz w:val="16"/>
                <w:szCs w:val="16"/>
              </w:rPr>
            </w:pPr>
          </w:p>
        </w:tc>
      </w:tr>
      <w:tr w:rsidR="009F3374" w14:paraId="7A47B44A" w14:textId="77777777" w:rsidTr="009F3374">
        <w:trPr>
          <w:trHeight w:val="170"/>
        </w:trPr>
        <w:tc>
          <w:tcPr>
            <w:tcW w:w="1966" w:type="pct"/>
            <w:tcBorders>
              <w:top w:val="nil"/>
              <w:left w:val="single" w:sz="4" w:space="0" w:color="auto"/>
              <w:bottom w:val="single" w:sz="4" w:space="0" w:color="auto"/>
              <w:right w:val="single" w:sz="4" w:space="0" w:color="auto"/>
            </w:tcBorders>
          </w:tcPr>
          <w:p w14:paraId="68704B11" w14:textId="77777777" w:rsidR="009F3374" w:rsidRDefault="009F3374">
            <w:pPr>
              <w:rPr>
                <w:rFonts w:ascii="Avenir Next Regular" w:hAnsi="Avenir Next Regular" w:cs="Calibri"/>
                <w:b/>
                <w:bCs/>
                <w:color w:val="000000" w:themeColor="text1"/>
                <w:sz w:val="16"/>
                <w:szCs w:val="16"/>
              </w:rPr>
            </w:pPr>
          </w:p>
        </w:tc>
        <w:tc>
          <w:tcPr>
            <w:tcW w:w="825" w:type="pct"/>
            <w:tcBorders>
              <w:top w:val="nil"/>
              <w:left w:val="nil"/>
              <w:bottom w:val="single" w:sz="4" w:space="0" w:color="auto"/>
              <w:right w:val="single" w:sz="4" w:space="0" w:color="auto"/>
            </w:tcBorders>
          </w:tcPr>
          <w:p w14:paraId="36FCAAC9" w14:textId="77777777" w:rsidR="009F3374" w:rsidRDefault="009F3374">
            <w:pPr>
              <w:rPr>
                <w:rFonts w:ascii="Avenir Next Regular" w:hAnsi="Avenir Next Regular" w:cs="Calibri"/>
                <w:b/>
                <w:bCs/>
                <w:color w:val="000000" w:themeColor="text1"/>
                <w:sz w:val="16"/>
                <w:szCs w:val="16"/>
              </w:rPr>
            </w:pPr>
          </w:p>
        </w:tc>
        <w:tc>
          <w:tcPr>
            <w:tcW w:w="1129" w:type="pct"/>
            <w:tcBorders>
              <w:top w:val="nil"/>
              <w:left w:val="nil"/>
              <w:bottom w:val="single" w:sz="4" w:space="0" w:color="auto"/>
              <w:right w:val="single" w:sz="4" w:space="0" w:color="auto"/>
            </w:tcBorders>
            <w:hideMark/>
          </w:tcPr>
          <w:p w14:paraId="1630B22B" w14:textId="77777777" w:rsidR="00601D9B" w:rsidRDefault="000E53A0">
            <w:pPr>
              <w:rPr>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color w:val="000000" w:themeColor="text1"/>
                <w:sz w:val="16"/>
                <w:szCs w:val="16"/>
              </w:rPr>
              <w:t>Campagnes publiques</w:t>
            </w:r>
          </w:p>
        </w:tc>
        <w:tc>
          <w:tcPr>
            <w:tcW w:w="1080" w:type="pct"/>
            <w:tcBorders>
              <w:top w:val="nil"/>
              <w:left w:val="nil"/>
              <w:bottom w:val="single" w:sz="4" w:space="0" w:color="auto"/>
              <w:right w:val="single" w:sz="4" w:space="0" w:color="auto"/>
            </w:tcBorders>
          </w:tcPr>
          <w:p w14:paraId="652FEA98" w14:textId="77777777" w:rsidR="009F3374" w:rsidRDefault="009F3374">
            <w:pPr>
              <w:rPr>
                <w:rFonts w:ascii="Avenir Next Regular" w:hAnsi="Avenir Next Regular" w:cs="Calibri"/>
                <w:color w:val="000000" w:themeColor="text1"/>
                <w:sz w:val="16"/>
                <w:szCs w:val="16"/>
              </w:rPr>
            </w:pPr>
          </w:p>
        </w:tc>
      </w:tr>
      <w:tr w:rsidR="009F3374" w14:paraId="5C7F0A5F" w14:textId="77777777" w:rsidTr="009F3374">
        <w:trPr>
          <w:trHeight w:val="170"/>
        </w:trPr>
        <w:tc>
          <w:tcPr>
            <w:tcW w:w="1966" w:type="pct"/>
            <w:tcBorders>
              <w:top w:val="nil"/>
              <w:left w:val="single" w:sz="4" w:space="0" w:color="auto"/>
              <w:bottom w:val="single" w:sz="4" w:space="0" w:color="auto"/>
              <w:right w:val="single" w:sz="4" w:space="0" w:color="auto"/>
            </w:tcBorders>
          </w:tcPr>
          <w:p w14:paraId="2BDC6A61" w14:textId="77777777" w:rsidR="009F3374" w:rsidRDefault="009F3374">
            <w:pPr>
              <w:rPr>
                <w:rFonts w:ascii="Avenir Next Regular" w:hAnsi="Avenir Next Regular" w:cs="Calibri"/>
                <w:b/>
                <w:bCs/>
                <w:color w:val="000000" w:themeColor="text1"/>
                <w:sz w:val="16"/>
                <w:szCs w:val="16"/>
              </w:rPr>
            </w:pPr>
          </w:p>
        </w:tc>
        <w:tc>
          <w:tcPr>
            <w:tcW w:w="825" w:type="pct"/>
            <w:tcBorders>
              <w:top w:val="nil"/>
              <w:left w:val="nil"/>
              <w:bottom w:val="single" w:sz="4" w:space="0" w:color="auto"/>
              <w:right w:val="single" w:sz="4" w:space="0" w:color="auto"/>
            </w:tcBorders>
          </w:tcPr>
          <w:p w14:paraId="41E9C981" w14:textId="77777777" w:rsidR="009F3374" w:rsidRDefault="009F3374">
            <w:pPr>
              <w:rPr>
                <w:rFonts w:ascii="Avenir Next Regular" w:hAnsi="Avenir Next Regular" w:cs="Calibri"/>
                <w:b/>
                <w:bCs/>
                <w:color w:val="000000" w:themeColor="text1"/>
                <w:sz w:val="16"/>
                <w:szCs w:val="16"/>
              </w:rPr>
            </w:pPr>
          </w:p>
        </w:tc>
        <w:tc>
          <w:tcPr>
            <w:tcW w:w="1129" w:type="pct"/>
            <w:tcBorders>
              <w:top w:val="nil"/>
              <w:left w:val="nil"/>
              <w:bottom w:val="single" w:sz="4" w:space="0" w:color="auto"/>
              <w:right w:val="single" w:sz="4" w:space="0" w:color="auto"/>
            </w:tcBorders>
            <w:hideMark/>
          </w:tcPr>
          <w:p w14:paraId="40E43188" w14:textId="77777777" w:rsidR="00601D9B" w:rsidRDefault="000E53A0">
            <w:pPr>
              <w:rPr>
                <w:color w:val="000000" w:themeColor="text1"/>
                <w:sz w:val="16"/>
                <w:szCs w:val="16"/>
              </w:rPr>
            </w:pPr>
            <w:r>
              <w:rPr>
                <w:color w:val="000000" w:themeColor="text1"/>
              </w:rPr>
              <w:sym w:font="Symbol" w:char="F0C4"/>
            </w:r>
            <w:r>
              <w:rPr>
                <w:color w:val="000000" w:themeColor="text1"/>
                <w:sz w:val="16"/>
                <w:szCs w:val="16"/>
              </w:rPr>
              <w:t>Changement de comportement</w:t>
            </w:r>
          </w:p>
        </w:tc>
        <w:tc>
          <w:tcPr>
            <w:tcW w:w="1080" w:type="pct"/>
            <w:tcBorders>
              <w:top w:val="nil"/>
              <w:left w:val="nil"/>
              <w:bottom w:val="single" w:sz="4" w:space="0" w:color="auto"/>
              <w:right w:val="single" w:sz="4" w:space="0" w:color="auto"/>
            </w:tcBorders>
          </w:tcPr>
          <w:p w14:paraId="0D4CF5D1" w14:textId="77777777" w:rsidR="009F3374" w:rsidRDefault="009F3374">
            <w:pPr>
              <w:rPr>
                <w:rFonts w:ascii="Avenir Next Regular" w:hAnsi="Avenir Next Regular" w:cs="Calibri"/>
                <w:color w:val="000000" w:themeColor="text1"/>
                <w:sz w:val="16"/>
                <w:szCs w:val="16"/>
              </w:rPr>
            </w:pPr>
          </w:p>
        </w:tc>
      </w:tr>
      <w:tr w:rsidR="009F3374" w14:paraId="45D66067" w14:textId="77777777" w:rsidTr="009F3374">
        <w:trPr>
          <w:trHeight w:val="170"/>
        </w:trPr>
        <w:tc>
          <w:tcPr>
            <w:tcW w:w="1966" w:type="pct"/>
            <w:tcBorders>
              <w:top w:val="nil"/>
              <w:left w:val="single" w:sz="4" w:space="0" w:color="auto"/>
              <w:bottom w:val="single" w:sz="4" w:space="0" w:color="auto"/>
              <w:right w:val="single" w:sz="4" w:space="0" w:color="auto"/>
            </w:tcBorders>
            <w:hideMark/>
          </w:tcPr>
          <w:p w14:paraId="10BDC83D" w14:textId="77777777" w:rsidR="00601D9B" w:rsidRDefault="000E53A0">
            <w:pPr>
              <w:ind w:left="162" w:hanging="162"/>
              <w:rPr>
                <w:rFonts w:ascii="Avenir Next Regular" w:hAnsi="Avenir Next Regular" w:cs="Calibri"/>
                <w:b/>
                <w:bCs/>
                <w:color w:val="000000" w:themeColor="text1"/>
                <w:sz w:val="16"/>
                <w:szCs w:val="16"/>
              </w:rPr>
            </w:pPr>
            <w:r>
              <w:rPr>
                <w:color w:val="000000" w:themeColor="text1"/>
              </w:rPr>
              <w:sym w:font="Symbol" w:char="F0C4"/>
            </w:r>
            <w:r>
              <w:rPr>
                <w:rFonts w:ascii="Avenir Next Regular" w:hAnsi="Avenir Next Regular" w:cs="Calibri"/>
                <w:b/>
                <w:bCs/>
                <w:color w:val="000000" w:themeColor="text1"/>
                <w:sz w:val="16"/>
                <w:szCs w:val="16"/>
              </w:rPr>
              <w:t>Capacité, connaissance et recherche</w:t>
            </w:r>
          </w:p>
        </w:tc>
        <w:tc>
          <w:tcPr>
            <w:tcW w:w="825" w:type="pct"/>
            <w:tcBorders>
              <w:top w:val="nil"/>
              <w:left w:val="nil"/>
              <w:bottom w:val="single" w:sz="4" w:space="0" w:color="auto"/>
              <w:right w:val="single" w:sz="4" w:space="0" w:color="auto"/>
            </w:tcBorders>
          </w:tcPr>
          <w:p w14:paraId="5BB78AF3" w14:textId="77777777" w:rsidR="009F3374" w:rsidRDefault="009F3374">
            <w:pPr>
              <w:rPr>
                <w:rFonts w:ascii="Avenir Next Regular" w:hAnsi="Avenir Next Regular" w:cs="Calibri"/>
                <w:b/>
                <w:bCs/>
                <w:color w:val="000000" w:themeColor="text1"/>
                <w:sz w:val="16"/>
                <w:szCs w:val="16"/>
              </w:rPr>
            </w:pPr>
          </w:p>
        </w:tc>
        <w:tc>
          <w:tcPr>
            <w:tcW w:w="1129" w:type="pct"/>
            <w:tcBorders>
              <w:top w:val="nil"/>
              <w:left w:val="nil"/>
              <w:bottom w:val="single" w:sz="4" w:space="0" w:color="auto"/>
              <w:right w:val="single" w:sz="4" w:space="0" w:color="auto"/>
            </w:tcBorders>
          </w:tcPr>
          <w:p w14:paraId="2B5A6E5C" w14:textId="77777777" w:rsidR="009F3374" w:rsidRDefault="009F3374">
            <w:pPr>
              <w:rPr>
                <w:color w:val="000000" w:themeColor="text1"/>
                <w:sz w:val="16"/>
                <w:szCs w:val="16"/>
              </w:rPr>
            </w:pPr>
          </w:p>
        </w:tc>
        <w:tc>
          <w:tcPr>
            <w:tcW w:w="1080" w:type="pct"/>
            <w:tcBorders>
              <w:top w:val="nil"/>
              <w:left w:val="nil"/>
              <w:bottom w:val="single" w:sz="4" w:space="0" w:color="auto"/>
              <w:right w:val="single" w:sz="4" w:space="0" w:color="auto"/>
            </w:tcBorders>
          </w:tcPr>
          <w:p w14:paraId="47489058" w14:textId="77777777" w:rsidR="009F3374" w:rsidRDefault="009F3374">
            <w:pPr>
              <w:rPr>
                <w:rFonts w:ascii="Avenir Next Regular" w:hAnsi="Avenir Next Regular" w:cs="Calibri"/>
                <w:color w:val="000000" w:themeColor="text1"/>
                <w:sz w:val="16"/>
                <w:szCs w:val="16"/>
              </w:rPr>
            </w:pPr>
          </w:p>
        </w:tc>
      </w:tr>
      <w:tr w:rsidR="009F3374" w14:paraId="6B9A1D68" w14:textId="77777777" w:rsidTr="009F3374">
        <w:trPr>
          <w:trHeight w:val="170"/>
        </w:trPr>
        <w:tc>
          <w:tcPr>
            <w:tcW w:w="1966" w:type="pct"/>
            <w:tcBorders>
              <w:top w:val="nil"/>
              <w:left w:val="single" w:sz="4" w:space="0" w:color="auto"/>
              <w:bottom w:val="single" w:sz="4" w:space="0" w:color="auto"/>
              <w:right w:val="single" w:sz="4" w:space="0" w:color="auto"/>
            </w:tcBorders>
          </w:tcPr>
          <w:p w14:paraId="4C3D207D" w14:textId="77777777" w:rsidR="009F3374" w:rsidRDefault="009F3374">
            <w:pPr>
              <w:rPr>
                <w:color w:val="000000" w:themeColor="text1"/>
                <w:sz w:val="16"/>
                <w:szCs w:val="16"/>
              </w:rPr>
            </w:pPr>
          </w:p>
        </w:tc>
        <w:tc>
          <w:tcPr>
            <w:tcW w:w="825" w:type="pct"/>
            <w:tcBorders>
              <w:top w:val="nil"/>
              <w:left w:val="nil"/>
              <w:bottom w:val="single" w:sz="4" w:space="0" w:color="auto"/>
              <w:right w:val="single" w:sz="4" w:space="0" w:color="auto"/>
            </w:tcBorders>
            <w:hideMark/>
          </w:tcPr>
          <w:p w14:paraId="601449C7" w14:textId="77777777" w:rsidR="00601D9B" w:rsidRDefault="000E53A0">
            <w:pPr>
              <w:rPr>
                <w:color w:val="000000" w:themeColor="text1"/>
                <w:sz w:val="16"/>
                <w:szCs w:val="16"/>
              </w:rPr>
            </w:pPr>
            <w:r>
              <w:rPr>
                <w:color w:val="000000" w:themeColor="text1"/>
              </w:rPr>
              <w:sym w:font="Symbol" w:char="F0C4"/>
            </w:r>
            <w:r>
              <w:rPr>
                <w:rFonts w:ascii="Avenir Next Regular" w:hAnsi="Avenir Next Regular" w:cs="Calibri"/>
                <w:b/>
                <w:bCs/>
                <w:color w:val="000000" w:themeColor="text1"/>
                <w:sz w:val="16"/>
                <w:szCs w:val="16"/>
              </w:rPr>
              <w:t>Activités habilitantes</w:t>
            </w:r>
          </w:p>
        </w:tc>
        <w:tc>
          <w:tcPr>
            <w:tcW w:w="1129" w:type="pct"/>
            <w:tcBorders>
              <w:top w:val="nil"/>
              <w:left w:val="nil"/>
              <w:bottom w:val="single" w:sz="4" w:space="0" w:color="auto"/>
              <w:right w:val="single" w:sz="4" w:space="0" w:color="auto"/>
            </w:tcBorders>
          </w:tcPr>
          <w:p w14:paraId="055F467E" w14:textId="77777777" w:rsidR="009F3374" w:rsidRDefault="009F3374">
            <w:pPr>
              <w:rPr>
                <w:color w:val="000000" w:themeColor="text1"/>
                <w:sz w:val="16"/>
                <w:szCs w:val="16"/>
              </w:rPr>
            </w:pPr>
          </w:p>
        </w:tc>
        <w:tc>
          <w:tcPr>
            <w:tcW w:w="1080" w:type="pct"/>
            <w:tcBorders>
              <w:top w:val="nil"/>
              <w:left w:val="nil"/>
              <w:bottom w:val="single" w:sz="4" w:space="0" w:color="auto"/>
              <w:right w:val="single" w:sz="4" w:space="0" w:color="auto"/>
            </w:tcBorders>
          </w:tcPr>
          <w:p w14:paraId="331FF22B" w14:textId="77777777" w:rsidR="009F3374" w:rsidRDefault="009F3374">
            <w:pPr>
              <w:rPr>
                <w:rFonts w:ascii="Avenir Next Regular" w:hAnsi="Avenir Next Regular" w:cs="Calibri"/>
                <w:color w:val="000000" w:themeColor="text1"/>
                <w:sz w:val="16"/>
                <w:szCs w:val="16"/>
              </w:rPr>
            </w:pPr>
          </w:p>
        </w:tc>
      </w:tr>
      <w:tr w:rsidR="009F3374" w14:paraId="41A8867B" w14:textId="77777777" w:rsidTr="009F3374">
        <w:trPr>
          <w:trHeight w:val="215"/>
        </w:trPr>
        <w:tc>
          <w:tcPr>
            <w:tcW w:w="1966" w:type="pct"/>
            <w:tcBorders>
              <w:top w:val="nil"/>
              <w:left w:val="single" w:sz="4" w:space="0" w:color="auto"/>
              <w:bottom w:val="single" w:sz="4" w:space="0" w:color="auto"/>
              <w:right w:val="single" w:sz="4" w:space="0" w:color="auto"/>
            </w:tcBorders>
          </w:tcPr>
          <w:p w14:paraId="12670B0E" w14:textId="77777777" w:rsidR="009F3374" w:rsidRDefault="009F3374">
            <w:pPr>
              <w:rPr>
                <w:rFonts w:ascii="Avenir Next Regular" w:hAnsi="Avenir Next Regular" w:cs="Calibri"/>
                <w:b/>
                <w:bCs/>
                <w:color w:val="000000" w:themeColor="text1"/>
                <w:sz w:val="16"/>
                <w:szCs w:val="16"/>
              </w:rPr>
            </w:pPr>
          </w:p>
        </w:tc>
        <w:tc>
          <w:tcPr>
            <w:tcW w:w="825" w:type="pct"/>
            <w:tcBorders>
              <w:top w:val="nil"/>
              <w:left w:val="nil"/>
              <w:bottom w:val="single" w:sz="4" w:space="0" w:color="auto"/>
              <w:right w:val="single" w:sz="4" w:space="0" w:color="auto"/>
            </w:tcBorders>
            <w:hideMark/>
          </w:tcPr>
          <w:p w14:paraId="161FDDB2" w14:textId="77777777" w:rsidR="00601D9B" w:rsidRDefault="000E53A0">
            <w:pPr>
              <w:rPr>
                <w:rFonts w:ascii="Avenir Next Regular" w:hAnsi="Avenir Next Regular" w:cs="Calibri"/>
                <w:b/>
                <w:bCs/>
                <w:color w:val="000000" w:themeColor="text1"/>
                <w:sz w:val="16"/>
                <w:szCs w:val="16"/>
              </w:rPr>
            </w:pPr>
            <w:r>
              <w:rPr>
                <w:color w:val="000000" w:themeColor="text1"/>
              </w:rPr>
              <w:sym w:font="Symbol" w:char="F0C4"/>
            </w:r>
            <w:r>
              <w:rPr>
                <w:rFonts w:ascii="Avenir Next Regular" w:hAnsi="Avenir Next Regular" w:cs="Calibri"/>
                <w:b/>
                <w:bCs/>
                <w:color w:val="000000" w:themeColor="text1"/>
                <w:sz w:val="16"/>
                <w:szCs w:val="16"/>
              </w:rPr>
              <w:t>Développement des capacités</w:t>
            </w:r>
          </w:p>
        </w:tc>
        <w:tc>
          <w:tcPr>
            <w:tcW w:w="1129" w:type="pct"/>
            <w:tcBorders>
              <w:top w:val="nil"/>
              <w:left w:val="nil"/>
              <w:bottom w:val="single" w:sz="4" w:space="0" w:color="auto"/>
              <w:right w:val="single" w:sz="4" w:space="0" w:color="auto"/>
            </w:tcBorders>
          </w:tcPr>
          <w:p w14:paraId="5F88C5B0" w14:textId="77777777" w:rsidR="009F3374" w:rsidRDefault="009F3374">
            <w:pPr>
              <w:rPr>
                <w:color w:val="000000" w:themeColor="text1"/>
                <w:sz w:val="16"/>
                <w:szCs w:val="16"/>
              </w:rPr>
            </w:pPr>
          </w:p>
        </w:tc>
        <w:tc>
          <w:tcPr>
            <w:tcW w:w="1080" w:type="pct"/>
            <w:tcBorders>
              <w:top w:val="nil"/>
              <w:left w:val="nil"/>
              <w:bottom w:val="single" w:sz="4" w:space="0" w:color="auto"/>
              <w:right w:val="single" w:sz="4" w:space="0" w:color="auto"/>
            </w:tcBorders>
          </w:tcPr>
          <w:p w14:paraId="1D14CA7B" w14:textId="77777777" w:rsidR="009F3374" w:rsidRDefault="009F3374">
            <w:pPr>
              <w:rPr>
                <w:rFonts w:ascii="Avenir Next Regular" w:hAnsi="Avenir Next Regular" w:cs="Calibri"/>
                <w:color w:val="000000" w:themeColor="text1"/>
                <w:sz w:val="16"/>
                <w:szCs w:val="16"/>
              </w:rPr>
            </w:pPr>
          </w:p>
        </w:tc>
      </w:tr>
      <w:tr w:rsidR="009F3374" w:rsidRPr="000E53A0" w14:paraId="68AC850F" w14:textId="77777777" w:rsidTr="009F3374">
        <w:trPr>
          <w:trHeight w:val="170"/>
        </w:trPr>
        <w:tc>
          <w:tcPr>
            <w:tcW w:w="1966" w:type="pct"/>
            <w:tcBorders>
              <w:top w:val="nil"/>
              <w:left w:val="single" w:sz="4" w:space="0" w:color="auto"/>
              <w:bottom w:val="single" w:sz="4" w:space="0" w:color="auto"/>
              <w:right w:val="single" w:sz="4" w:space="0" w:color="auto"/>
            </w:tcBorders>
          </w:tcPr>
          <w:p w14:paraId="793C068E" w14:textId="77777777" w:rsidR="009F3374" w:rsidRDefault="009F3374">
            <w:pPr>
              <w:rPr>
                <w:rFonts w:ascii="Avenir Next Regular" w:hAnsi="Avenir Next Regular" w:cs="Calibri"/>
                <w:b/>
                <w:bCs/>
                <w:color w:val="000000" w:themeColor="text1"/>
                <w:sz w:val="16"/>
                <w:szCs w:val="16"/>
              </w:rPr>
            </w:pPr>
          </w:p>
        </w:tc>
        <w:tc>
          <w:tcPr>
            <w:tcW w:w="825" w:type="pct"/>
            <w:tcBorders>
              <w:top w:val="nil"/>
              <w:left w:val="nil"/>
              <w:bottom w:val="single" w:sz="4" w:space="0" w:color="auto"/>
              <w:right w:val="single" w:sz="4" w:space="0" w:color="auto"/>
            </w:tcBorders>
            <w:hideMark/>
          </w:tcPr>
          <w:p w14:paraId="0ED468AE" w14:textId="77777777" w:rsidR="00601D9B" w:rsidRPr="000E53A0" w:rsidRDefault="000E53A0">
            <w:pPr>
              <w:ind w:left="204" w:hanging="204"/>
              <w:rPr>
                <w:rFonts w:ascii="Avenir Next Regular" w:hAnsi="Avenir Next Regular" w:cs="Calibri"/>
                <w:b/>
                <w:bCs/>
                <w:color w:val="000000" w:themeColor="text1"/>
                <w:sz w:val="16"/>
                <w:szCs w:val="16"/>
                <w:lang w:val="fr-FR"/>
              </w:rPr>
            </w:pPr>
            <w:r>
              <w:rPr>
                <w:color w:val="000000" w:themeColor="text1"/>
              </w:rPr>
              <w:sym w:font="Symbol" w:char="F0C4"/>
            </w:r>
            <w:r w:rsidRPr="000E53A0">
              <w:rPr>
                <w:rFonts w:ascii="Avenir Next Regular" w:hAnsi="Avenir Next Regular" w:cs="Calibri"/>
                <w:b/>
                <w:bCs/>
                <w:color w:val="000000" w:themeColor="text1"/>
                <w:sz w:val="16"/>
                <w:szCs w:val="16"/>
                <w:lang w:val="fr-FR"/>
              </w:rPr>
              <w:t>Production et échange de connaissances</w:t>
            </w:r>
          </w:p>
        </w:tc>
        <w:tc>
          <w:tcPr>
            <w:tcW w:w="1129" w:type="pct"/>
            <w:tcBorders>
              <w:top w:val="nil"/>
              <w:left w:val="nil"/>
              <w:bottom w:val="single" w:sz="4" w:space="0" w:color="auto"/>
              <w:right w:val="single" w:sz="4" w:space="0" w:color="auto"/>
            </w:tcBorders>
          </w:tcPr>
          <w:p w14:paraId="05C08EB1" w14:textId="77777777" w:rsidR="009F3374" w:rsidRPr="000E53A0" w:rsidRDefault="009F3374">
            <w:pPr>
              <w:rPr>
                <w:color w:val="000000" w:themeColor="text1"/>
                <w:sz w:val="16"/>
                <w:szCs w:val="16"/>
                <w:lang w:val="fr-FR"/>
              </w:rPr>
            </w:pPr>
          </w:p>
        </w:tc>
        <w:tc>
          <w:tcPr>
            <w:tcW w:w="1080" w:type="pct"/>
            <w:tcBorders>
              <w:top w:val="nil"/>
              <w:left w:val="nil"/>
              <w:bottom w:val="single" w:sz="4" w:space="0" w:color="auto"/>
              <w:right w:val="single" w:sz="4" w:space="0" w:color="auto"/>
            </w:tcBorders>
          </w:tcPr>
          <w:p w14:paraId="472EC79C" w14:textId="77777777" w:rsidR="009F3374" w:rsidRPr="000E53A0" w:rsidRDefault="009F3374">
            <w:pPr>
              <w:rPr>
                <w:rFonts w:ascii="Avenir Next Regular" w:hAnsi="Avenir Next Regular" w:cs="Calibri"/>
                <w:color w:val="000000" w:themeColor="text1"/>
                <w:sz w:val="16"/>
                <w:szCs w:val="16"/>
                <w:lang w:val="fr-FR"/>
              </w:rPr>
            </w:pPr>
          </w:p>
        </w:tc>
      </w:tr>
      <w:tr w:rsidR="009F3374" w14:paraId="46C9F196" w14:textId="77777777" w:rsidTr="009F3374">
        <w:trPr>
          <w:trHeight w:val="170"/>
        </w:trPr>
        <w:tc>
          <w:tcPr>
            <w:tcW w:w="1966" w:type="pct"/>
            <w:tcBorders>
              <w:top w:val="nil"/>
              <w:left w:val="single" w:sz="4" w:space="0" w:color="auto"/>
              <w:bottom w:val="single" w:sz="4" w:space="0" w:color="auto"/>
              <w:right w:val="single" w:sz="4" w:space="0" w:color="auto"/>
            </w:tcBorders>
          </w:tcPr>
          <w:p w14:paraId="3D79850A" w14:textId="77777777" w:rsidR="009F3374" w:rsidRPr="000E53A0" w:rsidRDefault="009F3374">
            <w:pPr>
              <w:rPr>
                <w:rFonts w:ascii="Avenir Next Regular" w:hAnsi="Avenir Next Regular" w:cs="Calibri"/>
                <w:b/>
                <w:bCs/>
                <w:color w:val="000000" w:themeColor="text1"/>
                <w:sz w:val="16"/>
                <w:szCs w:val="16"/>
                <w:lang w:val="fr-FR"/>
              </w:rPr>
            </w:pPr>
          </w:p>
        </w:tc>
        <w:tc>
          <w:tcPr>
            <w:tcW w:w="825" w:type="pct"/>
            <w:tcBorders>
              <w:top w:val="nil"/>
              <w:left w:val="nil"/>
              <w:bottom w:val="single" w:sz="4" w:space="0" w:color="auto"/>
              <w:right w:val="single" w:sz="4" w:space="0" w:color="auto"/>
            </w:tcBorders>
            <w:hideMark/>
          </w:tcPr>
          <w:p w14:paraId="79F19C62" w14:textId="77777777" w:rsidR="00601D9B" w:rsidRDefault="000E53A0">
            <w:pPr>
              <w:rPr>
                <w:rFonts w:ascii="Avenir Next Regular" w:hAnsi="Avenir Next Regular" w:cs="Calibri"/>
                <w:b/>
                <w:bCs/>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b/>
                <w:bCs/>
                <w:color w:val="000000" w:themeColor="text1"/>
                <w:sz w:val="16"/>
                <w:szCs w:val="16"/>
              </w:rPr>
              <w:t>Recherche ciblée</w:t>
            </w:r>
          </w:p>
        </w:tc>
        <w:tc>
          <w:tcPr>
            <w:tcW w:w="1129" w:type="pct"/>
            <w:tcBorders>
              <w:top w:val="nil"/>
              <w:left w:val="nil"/>
              <w:bottom w:val="single" w:sz="4" w:space="0" w:color="auto"/>
              <w:right w:val="single" w:sz="4" w:space="0" w:color="auto"/>
            </w:tcBorders>
          </w:tcPr>
          <w:p w14:paraId="45094DF1" w14:textId="77777777" w:rsidR="009F3374" w:rsidRDefault="009F3374">
            <w:pPr>
              <w:rPr>
                <w:color w:val="000000" w:themeColor="text1"/>
                <w:sz w:val="16"/>
                <w:szCs w:val="16"/>
              </w:rPr>
            </w:pPr>
          </w:p>
        </w:tc>
        <w:tc>
          <w:tcPr>
            <w:tcW w:w="1080" w:type="pct"/>
            <w:tcBorders>
              <w:top w:val="nil"/>
              <w:left w:val="nil"/>
              <w:bottom w:val="single" w:sz="4" w:space="0" w:color="auto"/>
              <w:right w:val="single" w:sz="4" w:space="0" w:color="auto"/>
            </w:tcBorders>
          </w:tcPr>
          <w:p w14:paraId="10FFF796" w14:textId="77777777" w:rsidR="009F3374" w:rsidRDefault="009F3374">
            <w:pPr>
              <w:rPr>
                <w:rFonts w:ascii="Avenir Next Regular" w:hAnsi="Avenir Next Regular" w:cs="Calibri"/>
                <w:color w:val="000000" w:themeColor="text1"/>
                <w:sz w:val="16"/>
                <w:szCs w:val="16"/>
              </w:rPr>
            </w:pPr>
          </w:p>
        </w:tc>
      </w:tr>
      <w:tr w:rsidR="009F3374" w14:paraId="03DED0D8" w14:textId="77777777" w:rsidTr="009F3374">
        <w:trPr>
          <w:trHeight w:val="170"/>
        </w:trPr>
        <w:tc>
          <w:tcPr>
            <w:tcW w:w="1966" w:type="pct"/>
            <w:tcBorders>
              <w:top w:val="nil"/>
              <w:left w:val="single" w:sz="4" w:space="0" w:color="auto"/>
              <w:bottom w:val="single" w:sz="4" w:space="0" w:color="auto"/>
              <w:right w:val="single" w:sz="4" w:space="0" w:color="auto"/>
            </w:tcBorders>
          </w:tcPr>
          <w:p w14:paraId="4C45D4E5" w14:textId="77777777" w:rsidR="009F3374" w:rsidRDefault="009F3374">
            <w:pPr>
              <w:rPr>
                <w:rFonts w:ascii="Avenir Next Regular" w:hAnsi="Avenir Next Regular" w:cs="Calibri"/>
                <w:b/>
                <w:bCs/>
                <w:color w:val="000000" w:themeColor="text1"/>
                <w:sz w:val="16"/>
                <w:szCs w:val="16"/>
              </w:rPr>
            </w:pPr>
          </w:p>
        </w:tc>
        <w:tc>
          <w:tcPr>
            <w:tcW w:w="825" w:type="pct"/>
            <w:tcBorders>
              <w:top w:val="nil"/>
              <w:left w:val="nil"/>
              <w:bottom w:val="single" w:sz="4" w:space="0" w:color="auto"/>
              <w:right w:val="single" w:sz="4" w:space="0" w:color="auto"/>
            </w:tcBorders>
            <w:hideMark/>
          </w:tcPr>
          <w:p w14:paraId="2E052105" w14:textId="77777777" w:rsidR="00601D9B" w:rsidRDefault="000E53A0">
            <w:pPr>
              <w:rPr>
                <w:rFonts w:ascii="Avenir Next Regular" w:hAnsi="Avenir Next Regular" w:cs="Calibri"/>
                <w:b/>
                <w:bCs/>
                <w:color w:val="000000" w:themeColor="text1"/>
                <w:sz w:val="16"/>
                <w:szCs w:val="16"/>
              </w:rPr>
            </w:pPr>
            <w:r>
              <w:rPr>
                <w:color w:val="000000" w:themeColor="text1"/>
              </w:rPr>
              <w:sym w:font="Symbol" w:char="F0C4"/>
            </w:r>
            <w:r>
              <w:rPr>
                <w:rFonts w:ascii="Avenir Next Regular" w:hAnsi="Avenir Next Regular" w:cs="Calibri"/>
                <w:b/>
                <w:bCs/>
                <w:color w:val="000000" w:themeColor="text1"/>
                <w:sz w:val="16"/>
                <w:szCs w:val="16"/>
              </w:rPr>
              <w:t>Apprendre</w:t>
            </w:r>
          </w:p>
        </w:tc>
        <w:tc>
          <w:tcPr>
            <w:tcW w:w="1129" w:type="pct"/>
            <w:tcBorders>
              <w:top w:val="nil"/>
              <w:left w:val="nil"/>
              <w:bottom w:val="single" w:sz="4" w:space="0" w:color="auto"/>
              <w:right w:val="single" w:sz="4" w:space="0" w:color="auto"/>
            </w:tcBorders>
          </w:tcPr>
          <w:p w14:paraId="15D08FC4" w14:textId="77777777" w:rsidR="009F3374" w:rsidRDefault="009F3374">
            <w:pPr>
              <w:rPr>
                <w:color w:val="000000" w:themeColor="text1"/>
                <w:sz w:val="16"/>
                <w:szCs w:val="16"/>
              </w:rPr>
            </w:pPr>
          </w:p>
        </w:tc>
        <w:tc>
          <w:tcPr>
            <w:tcW w:w="1080" w:type="pct"/>
            <w:tcBorders>
              <w:top w:val="nil"/>
              <w:left w:val="nil"/>
              <w:bottom w:val="single" w:sz="4" w:space="0" w:color="auto"/>
              <w:right w:val="single" w:sz="4" w:space="0" w:color="auto"/>
            </w:tcBorders>
          </w:tcPr>
          <w:p w14:paraId="7D280899" w14:textId="77777777" w:rsidR="009F3374" w:rsidRDefault="009F3374">
            <w:pPr>
              <w:rPr>
                <w:rFonts w:ascii="Avenir Next Regular" w:hAnsi="Avenir Next Regular" w:cs="Calibri"/>
                <w:color w:val="000000" w:themeColor="text1"/>
                <w:sz w:val="16"/>
                <w:szCs w:val="16"/>
              </w:rPr>
            </w:pPr>
          </w:p>
        </w:tc>
      </w:tr>
      <w:tr w:rsidR="009F3374" w14:paraId="4B8913A1" w14:textId="77777777" w:rsidTr="009F3374">
        <w:trPr>
          <w:trHeight w:val="170"/>
        </w:trPr>
        <w:tc>
          <w:tcPr>
            <w:tcW w:w="1966" w:type="pct"/>
            <w:tcBorders>
              <w:top w:val="nil"/>
              <w:left w:val="single" w:sz="4" w:space="0" w:color="auto"/>
              <w:bottom w:val="single" w:sz="4" w:space="0" w:color="auto"/>
              <w:right w:val="single" w:sz="4" w:space="0" w:color="auto"/>
            </w:tcBorders>
          </w:tcPr>
          <w:p w14:paraId="15FE9A4E" w14:textId="77777777" w:rsidR="009F3374" w:rsidRDefault="009F3374">
            <w:pPr>
              <w:rPr>
                <w:rFonts w:ascii="Avenir Next Regular" w:hAnsi="Avenir Next Regular" w:cs="Calibri"/>
                <w:b/>
                <w:bCs/>
                <w:color w:val="000000" w:themeColor="text1"/>
                <w:sz w:val="16"/>
                <w:szCs w:val="16"/>
              </w:rPr>
            </w:pPr>
          </w:p>
        </w:tc>
        <w:tc>
          <w:tcPr>
            <w:tcW w:w="825" w:type="pct"/>
            <w:tcBorders>
              <w:top w:val="nil"/>
              <w:left w:val="nil"/>
              <w:bottom w:val="single" w:sz="4" w:space="0" w:color="auto"/>
              <w:right w:val="single" w:sz="4" w:space="0" w:color="auto"/>
            </w:tcBorders>
          </w:tcPr>
          <w:p w14:paraId="63725FC6" w14:textId="77777777" w:rsidR="009F3374" w:rsidRDefault="009F3374">
            <w:pPr>
              <w:rPr>
                <w:color w:val="000000" w:themeColor="text1"/>
                <w:sz w:val="16"/>
                <w:szCs w:val="16"/>
              </w:rPr>
            </w:pPr>
          </w:p>
        </w:tc>
        <w:tc>
          <w:tcPr>
            <w:tcW w:w="1129" w:type="pct"/>
            <w:tcBorders>
              <w:top w:val="nil"/>
              <w:left w:val="nil"/>
              <w:bottom w:val="single" w:sz="4" w:space="0" w:color="auto"/>
              <w:right w:val="single" w:sz="4" w:space="0" w:color="auto"/>
            </w:tcBorders>
            <w:hideMark/>
          </w:tcPr>
          <w:p w14:paraId="35D12D09" w14:textId="77777777" w:rsidR="00601D9B" w:rsidRDefault="000E53A0">
            <w:pPr>
              <w:rPr>
                <w:color w:val="000000" w:themeColor="text1"/>
                <w:sz w:val="16"/>
                <w:szCs w:val="16"/>
              </w:rPr>
            </w:pPr>
            <w:r>
              <w:rPr>
                <w:color w:val="000000" w:themeColor="text1"/>
              </w:rPr>
              <w:sym w:font="Symbol" w:char="F0C4"/>
            </w:r>
            <w:r>
              <w:rPr>
                <w:color w:val="000000" w:themeColor="text1"/>
                <w:sz w:val="16"/>
                <w:szCs w:val="16"/>
              </w:rPr>
              <w:t>Théorie du changement</w:t>
            </w:r>
          </w:p>
        </w:tc>
        <w:tc>
          <w:tcPr>
            <w:tcW w:w="1080" w:type="pct"/>
            <w:tcBorders>
              <w:top w:val="nil"/>
              <w:left w:val="nil"/>
              <w:bottom w:val="single" w:sz="4" w:space="0" w:color="auto"/>
              <w:right w:val="single" w:sz="4" w:space="0" w:color="auto"/>
            </w:tcBorders>
          </w:tcPr>
          <w:p w14:paraId="34B980A5" w14:textId="77777777" w:rsidR="009F3374" w:rsidRDefault="009F3374">
            <w:pPr>
              <w:rPr>
                <w:rFonts w:ascii="Avenir Next Regular" w:hAnsi="Avenir Next Regular" w:cs="Calibri"/>
                <w:color w:val="000000" w:themeColor="text1"/>
                <w:sz w:val="16"/>
                <w:szCs w:val="16"/>
              </w:rPr>
            </w:pPr>
          </w:p>
        </w:tc>
      </w:tr>
      <w:tr w:rsidR="009F3374" w14:paraId="1EED9F5A" w14:textId="77777777" w:rsidTr="009F3374">
        <w:trPr>
          <w:trHeight w:val="170"/>
        </w:trPr>
        <w:tc>
          <w:tcPr>
            <w:tcW w:w="1966" w:type="pct"/>
            <w:tcBorders>
              <w:top w:val="nil"/>
              <w:left w:val="single" w:sz="4" w:space="0" w:color="auto"/>
              <w:bottom w:val="single" w:sz="4" w:space="0" w:color="auto"/>
              <w:right w:val="single" w:sz="4" w:space="0" w:color="auto"/>
            </w:tcBorders>
          </w:tcPr>
          <w:p w14:paraId="64C2F196" w14:textId="77777777" w:rsidR="009F3374" w:rsidRDefault="009F3374">
            <w:pPr>
              <w:rPr>
                <w:rFonts w:ascii="Avenir Next Regular" w:hAnsi="Avenir Next Regular" w:cs="Calibri"/>
                <w:b/>
                <w:bCs/>
                <w:color w:val="000000" w:themeColor="text1"/>
                <w:sz w:val="16"/>
                <w:szCs w:val="16"/>
              </w:rPr>
            </w:pPr>
          </w:p>
        </w:tc>
        <w:tc>
          <w:tcPr>
            <w:tcW w:w="825" w:type="pct"/>
            <w:tcBorders>
              <w:top w:val="nil"/>
              <w:left w:val="nil"/>
              <w:bottom w:val="single" w:sz="4" w:space="0" w:color="auto"/>
              <w:right w:val="single" w:sz="4" w:space="0" w:color="auto"/>
            </w:tcBorders>
          </w:tcPr>
          <w:p w14:paraId="25BAE920" w14:textId="77777777" w:rsidR="009F3374" w:rsidRDefault="009F3374">
            <w:pPr>
              <w:rPr>
                <w:rFonts w:ascii="Avenir Next Regular" w:hAnsi="Avenir Next Regular" w:cs="Calibri"/>
                <w:b/>
                <w:bCs/>
                <w:color w:val="000000" w:themeColor="text1"/>
                <w:sz w:val="16"/>
                <w:szCs w:val="16"/>
              </w:rPr>
            </w:pPr>
          </w:p>
        </w:tc>
        <w:tc>
          <w:tcPr>
            <w:tcW w:w="1129" w:type="pct"/>
            <w:tcBorders>
              <w:top w:val="nil"/>
              <w:left w:val="nil"/>
              <w:bottom w:val="single" w:sz="4" w:space="0" w:color="auto"/>
              <w:right w:val="single" w:sz="4" w:space="0" w:color="auto"/>
            </w:tcBorders>
            <w:hideMark/>
          </w:tcPr>
          <w:p w14:paraId="0E8E3E1B" w14:textId="77777777" w:rsidR="00601D9B" w:rsidRDefault="000E53A0">
            <w:pPr>
              <w:rPr>
                <w:color w:val="000000" w:themeColor="text1"/>
                <w:sz w:val="16"/>
                <w:szCs w:val="16"/>
              </w:rPr>
            </w:pPr>
            <w:r>
              <w:rPr>
                <w:color w:val="000000" w:themeColor="text1"/>
              </w:rPr>
              <w:sym w:font="Symbol" w:char="F0C4"/>
            </w:r>
            <w:r>
              <w:rPr>
                <w:color w:val="000000" w:themeColor="text1"/>
                <w:sz w:val="16"/>
                <w:szCs w:val="16"/>
              </w:rPr>
              <w:t>Gestion adaptative</w:t>
            </w:r>
          </w:p>
        </w:tc>
        <w:tc>
          <w:tcPr>
            <w:tcW w:w="1080" w:type="pct"/>
            <w:tcBorders>
              <w:top w:val="nil"/>
              <w:left w:val="nil"/>
              <w:bottom w:val="single" w:sz="4" w:space="0" w:color="auto"/>
              <w:right w:val="single" w:sz="4" w:space="0" w:color="auto"/>
            </w:tcBorders>
          </w:tcPr>
          <w:p w14:paraId="01F13E3F" w14:textId="77777777" w:rsidR="009F3374" w:rsidRDefault="009F3374">
            <w:pPr>
              <w:rPr>
                <w:rFonts w:ascii="Avenir Next Regular" w:hAnsi="Avenir Next Regular" w:cs="Calibri"/>
                <w:color w:val="000000" w:themeColor="text1"/>
                <w:sz w:val="16"/>
                <w:szCs w:val="16"/>
              </w:rPr>
            </w:pPr>
          </w:p>
        </w:tc>
      </w:tr>
      <w:tr w:rsidR="009F3374" w:rsidRPr="000E53A0" w14:paraId="5280BC1B" w14:textId="77777777" w:rsidTr="009F3374">
        <w:trPr>
          <w:trHeight w:val="170"/>
        </w:trPr>
        <w:tc>
          <w:tcPr>
            <w:tcW w:w="1966" w:type="pct"/>
            <w:tcBorders>
              <w:top w:val="nil"/>
              <w:left w:val="single" w:sz="4" w:space="0" w:color="auto"/>
              <w:bottom w:val="single" w:sz="4" w:space="0" w:color="auto"/>
              <w:right w:val="single" w:sz="4" w:space="0" w:color="auto"/>
            </w:tcBorders>
          </w:tcPr>
          <w:p w14:paraId="1D06F679" w14:textId="77777777" w:rsidR="009F3374" w:rsidRDefault="009F3374">
            <w:pPr>
              <w:rPr>
                <w:rFonts w:ascii="Avenir Next Regular" w:hAnsi="Avenir Next Regular" w:cs="Calibri"/>
                <w:b/>
                <w:bCs/>
                <w:color w:val="000000" w:themeColor="text1"/>
                <w:sz w:val="16"/>
                <w:szCs w:val="16"/>
              </w:rPr>
            </w:pPr>
          </w:p>
        </w:tc>
        <w:tc>
          <w:tcPr>
            <w:tcW w:w="825" w:type="pct"/>
            <w:tcBorders>
              <w:top w:val="nil"/>
              <w:left w:val="nil"/>
              <w:bottom w:val="single" w:sz="4" w:space="0" w:color="auto"/>
              <w:right w:val="single" w:sz="4" w:space="0" w:color="auto"/>
            </w:tcBorders>
          </w:tcPr>
          <w:p w14:paraId="2F2A41F8" w14:textId="77777777" w:rsidR="009F3374" w:rsidRDefault="009F3374">
            <w:pPr>
              <w:rPr>
                <w:rFonts w:ascii="Avenir Next Regular" w:hAnsi="Avenir Next Regular" w:cs="Calibri"/>
                <w:b/>
                <w:bCs/>
                <w:color w:val="000000" w:themeColor="text1"/>
                <w:sz w:val="16"/>
                <w:szCs w:val="16"/>
              </w:rPr>
            </w:pPr>
          </w:p>
        </w:tc>
        <w:tc>
          <w:tcPr>
            <w:tcW w:w="1129" w:type="pct"/>
            <w:tcBorders>
              <w:top w:val="nil"/>
              <w:left w:val="nil"/>
              <w:bottom w:val="single" w:sz="4" w:space="0" w:color="auto"/>
              <w:right w:val="single" w:sz="4" w:space="0" w:color="auto"/>
            </w:tcBorders>
            <w:hideMark/>
          </w:tcPr>
          <w:p w14:paraId="0331A1E9" w14:textId="77777777" w:rsidR="00601D9B" w:rsidRPr="000E53A0" w:rsidRDefault="000E53A0">
            <w:pPr>
              <w:rPr>
                <w:color w:val="000000" w:themeColor="text1"/>
                <w:sz w:val="16"/>
                <w:szCs w:val="16"/>
                <w:lang w:val="fr-FR"/>
              </w:rPr>
            </w:pPr>
            <w:r>
              <w:rPr>
                <w:color w:val="000000" w:themeColor="text1"/>
              </w:rPr>
              <w:sym w:font="Symbol" w:char="F0C4"/>
            </w:r>
            <w:r w:rsidRPr="000E53A0">
              <w:rPr>
                <w:color w:val="000000" w:themeColor="text1"/>
                <w:sz w:val="16"/>
                <w:szCs w:val="16"/>
                <w:lang w:val="fr-FR"/>
              </w:rPr>
              <w:t>Indicateurs pour mesurer le changement</w:t>
            </w:r>
          </w:p>
        </w:tc>
        <w:tc>
          <w:tcPr>
            <w:tcW w:w="1080" w:type="pct"/>
            <w:tcBorders>
              <w:top w:val="nil"/>
              <w:left w:val="nil"/>
              <w:bottom w:val="single" w:sz="4" w:space="0" w:color="auto"/>
              <w:right w:val="single" w:sz="4" w:space="0" w:color="auto"/>
            </w:tcBorders>
          </w:tcPr>
          <w:p w14:paraId="221D20D1" w14:textId="77777777" w:rsidR="009F3374" w:rsidRPr="000E53A0" w:rsidRDefault="009F3374">
            <w:pPr>
              <w:rPr>
                <w:rFonts w:ascii="Avenir Next Regular" w:hAnsi="Avenir Next Regular" w:cs="Calibri"/>
                <w:color w:val="000000" w:themeColor="text1"/>
                <w:sz w:val="16"/>
                <w:szCs w:val="16"/>
                <w:lang w:val="fr-FR"/>
              </w:rPr>
            </w:pPr>
          </w:p>
        </w:tc>
      </w:tr>
      <w:tr w:rsidR="009F3374" w14:paraId="6EDA304A" w14:textId="77777777" w:rsidTr="009F3374">
        <w:trPr>
          <w:trHeight w:val="170"/>
        </w:trPr>
        <w:tc>
          <w:tcPr>
            <w:tcW w:w="1966" w:type="pct"/>
            <w:tcBorders>
              <w:top w:val="nil"/>
              <w:left w:val="single" w:sz="4" w:space="0" w:color="auto"/>
              <w:bottom w:val="single" w:sz="4" w:space="0" w:color="auto"/>
              <w:right w:val="single" w:sz="4" w:space="0" w:color="auto"/>
            </w:tcBorders>
          </w:tcPr>
          <w:p w14:paraId="2FBD41E9" w14:textId="77777777" w:rsidR="009F3374" w:rsidRPr="000E53A0" w:rsidRDefault="009F3374">
            <w:pPr>
              <w:rPr>
                <w:rFonts w:ascii="Avenir Next Regular" w:hAnsi="Avenir Next Regular" w:cs="Calibri"/>
                <w:b/>
                <w:bCs/>
                <w:color w:val="000000" w:themeColor="text1"/>
                <w:sz w:val="16"/>
                <w:szCs w:val="16"/>
                <w:lang w:val="fr-FR"/>
              </w:rPr>
            </w:pPr>
          </w:p>
        </w:tc>
        <w:tc>
          <w:tcPr>
            <w:tcW w:w="825" w:type="pct"/>
            <w:tcBorders>
              <w:top w:val="nil"/>
              <w:left w:val="nil"/>
              <w:bottom w:val="single" w:sz="4" w:space="0" w:color="auto"/>
              <w:right w:val="single" w:sz="4" w:space="0" w:color="auto"/>
            </w:tcBorders>
            <w:hideMark/>
          </w:tcPr>
          <w:p w14:paraId="0A9642EB" w14:textId="77777777" w:rsidR="00601D9B" w:rsidRDefault="000E53A0">
            <w:pPr>
              <w:rPr>
                <w:rFonts w:ascii="Avenir Next Regular" w:hAnsi="Avenir Next Regular" w:cs="Calibri"/>
                <w:b/>
                <w:bCs/>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b/>
                <w:bCs/>
                <w:color w:val="000000" w:themeColor="text1"/>
                <w:sz w:val="16"/>
                <w:szCs w:val="16"/>
              </w:rPr>
              <w:t>Innovation</w:t>
            </w:r>
          </w:p>
        </w:tc>
        <w:tc>
          <w:tcPr>
            <w:tcW w:w="1129" w:type="pct"/>
            <w:tcBorders>
              <w:top w:val="nil"/>
              <w:left w:val="nil"/>
              <w:bottom w:val="single" w:sz="4" w:space="0" w:color="auto"/>
              <w:right w:val="single" w:sz="4" w:space="0" w:color="auto"/>
            </w:tcBorders>
          </w:tcPr>
          <w:p w14:paraId="4191D87C" w14:textId="77777777" w:rsidR="009F3374" w:rsidRDefault="009F3374">
            <w:pPr>
              <w:rPr>
                <w:color w:val="000000" w:themeColor="text1"/>
                <w:sz w:val="16"/>
                <w:szCs w:val="16"/>
              </w:rPr>
            </w:pPr>
          </w:p>
        </w:tc>
        <w:tc>
          <w:tcPr>
            <w:tcW w:w="1080" w:type="pct"/>
            <w:tcBorders>
              <w:top w:val="nil"/>
              <w:left w:val="nil"/>
              <w:bottom w:val="single" w:sz="4" w:space="0" w:color="auto"/>
              <w:right w:val="single" w:sz="4" w:space="0" w:color="auto"/>
            </w:tcBorders>
          </w:tcPr>
          <w:p w14:paraId="132ADFD8" w14:textId="77777777" w:rsidR="009F3374" w:rsidRDefault="009F3374">
            <w:pPr>
              <w:rPr>
                <w:rFonts w:ascii="Avenir Next Regular" w:hAnsi="Avenir Next Regular" w:cs="Calibri"/>
                <w:color w:val="000000" w:themeColor="text1"/>
                <w:sz w:val="16"/>
                <w:szCs w:val="16"/>
              </w:rPr>
            </w:pPr>
          </w:p>
        </w:tc>
      </w:tr>
      <w:tr w:rsidR="009F3374" w14:paraId="103E85D8" w14:textId="77777777" w:rsidTr="009F3374">
        <w:trPr>
          <w:trHeight w:val="170"/>
        </w:trPr>
        <w:tc>
          <w:tcPr>
            <w:tcW w:w="1966" w:type="pct"/>
            <w:tcBorders>
              <w:top w:val="nil"/>
              <w:left w:val="single" w:sz="4" w:space="0" w:color="auto"/>
              <w:bottom w:val="single" w:sz="4" w:space="0" w:color="auto"/>
              <w:right w:val="single" w:sz="4" w:space="0" w:color="auto"/>
            </w:tcBorders>
            <w:hideMark/>
          </w:tcPr>
          <w:p w14:paraId="437B8A62"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7578A30C" w14:textId="77777777" w:rsidR="00601D9B" w:rsidRDefault="000E53A0">
            <w:pPr>
              <w:ind w:left="204" w:hanging="204"/>
              <w:rPr>
                <w:rFonts w:ascii="Avenir Next Regular" w:hAnsi="Avenir Next Regular" w:cs="Calibri"/>
                <w:b/>
                <w:bCs/>
                <w:color w:val="000000" w:themeColor="text1"/>
                <w:sz w:val="16"/>
                <w:szCs w:val="16"/>
              </w:rPr>
            </w:pPr>
            <w:r>
              <w:rPr>
                <w:color w:val="000000" w:themeColor="text1"/>
              </w:rPr>
              <w:sym w:font="Symbol" w:char="F0C4"/>
            </w:r>
            <w:r>
              <w:rPr>
                <w:rFonts w:ascii="Avenir Next Regular" w:hAnsi="Avenir Next Regular" w:cs="Calibri"/>
                <w:b/>
                <w:bCs/>
                <w:color w:val="000000" w:themeColor="text1"/>
                <w:sz w:val="16"/>
                <w:szCs w:val="16"/>
              </w:rPr>
              <w:t>Connaissance et apprentissage</w:t>
            </w:r>
          </w:p>
        </w:tc>
        <w:tc>
          <w:tcPr>
            <w:tcW w:w="1129" w:type="pct"/>
            <w:tcBorders>
              <w:top w:val="nil"/>
              <w:left w:val="nil"/>
              <w:bottom w:val="single" w:sz="4" w:space="0" w:color="auto"/>
              <w:right w:val="single" w:sz="4" w:space="0" w:color="auto"/>
            </w:tcBorders>
          </w:tcPr>
          <w:p w14:paraId="3013EE35" w14:textId="77777777" w:rsidR="009F3374" w:rsidRDefault="009F3374">
            <w:pPr>
              <w:rPr>
                <w:rFonts w:ascii="Avenir Next Regular" w:hAnsi="Avenir Next Regular" w:cs="Calibri"/>
                <w:color w:val="000000" w:themeColor="text1"/>
                <w:sz w:val="16"/>
                <w:szCs w:val="16"/>
              </w:rPr>
            </w:pPr>
          </w:p>
        </w:tc>
        <w:tc>
          <w:tcPr>
            <w:tcW w:w="1080" w:type="pct"/>
            <w:tcBorders>
              <w:top w:val="nil"/>
              <w:left w:val="nil"/>
              <w:bottom w:val="single" w:sz="4" w:space="0" w:color="auto"/>
              <w:right w:val="single" w:sz="4" w:space="0" w:color="auto"/>
            </w:tcBorders>
            <w:hideMark/>
          </w:tcPr>
          <w:p w14:paraId="07A641FF" w14:textId="77777777" w:rsidR="009F3374" w:rsidRDefault="009F3374">
            <w:pPr>
              <w:rPr>
                <w:rFonts w:ascii="Avenir Next Regular" w:hAnsi="Avenir Next Regular" w:cs="Calibri"/>
                <w:color w:val="000000" w:themeColor="text1"/>
                <w:sz w:val="16"/>
                <w:szCs w:val="16"/>
              </w:rPr>
            </w:pPr>
            <w:r>
              <w:rPr>
                <w:rFonts w:ascii="Avenir Next Regular" w:hAnsi="Avenir Next Regular" w:cs="Calibri"/>
                <w:color w:val="000000" w:themeColor="text1"/>
                <w:sz w:val="16"/>
                <w:szCs w:val="16"/>
              </w:rPr>
              <w:t> </w:t>
            </w:r>
          </w:p>
        </w:tc>
      </w:tr>
      <w:tr w:rsidR="009F3374" w14:paraId="3663E572" w14:textId="77777777" w:rsidTr="009F3374">
        <w:trPr>
          <w:trHeight w:val="170"/>
        </w:trPr>
        <w:tc>
          <w:tcPr>
            <w:tcW w:w="1966" w:type="pct"/>
            <w:tcBorders>
              <w:top w:val="nil"/>
              <w:left w:val="single" w:sz="4" w:space="0" w:color="auto"/>
              <w:bottom w:val="single" w:sz="4" w:space="0" w:color="auto"/>
              <w:right w:val="single" w:sz="4" w:space="0" w:color="auto"/>
            </w:tcBorders>
          </w:tcPr>
          <w:p w14:paraId="49A15768" w14:textId="77777777" w:rsidR="009F3374" w:rsidRDefault="009F3374">
            <w:pPr>
              <w:rPr>
                <w:rFonts w:ascii="Avenir Next Regular" w:hAnsi="Avenir Next Regular" w:cs="Calibri"/>
                <w:b/>
                <w:bCs/>
                <w:color w:val="000000" w:themeColor="text1"/>
                <w:sz w:val="16"/>
                <w:szCs w:val="16"/>
              </w:rPr>
            </w:pPr>
          </w:p>
        </w:tc>
        <w:tc>
          <w:tcPr>
            <w:tcW w:w="825" w:type="pct"/>
            <w:tcBorders>
              <w:top w:val="nil"/>
              <w:left w:val="nil"/>
              <w:bottom w:val="single" w:sz="4" w:space="0" w:color="auto"/>
              <w:right w:val="single" w:sz="4" w:space="0" w:color="auto"/>
            </w:tcBorders>
          </w:tcPr>
          <w:p w14:paraId="4DA30380" w14:textId="77777777" w:rsidR="009F3374" w:rsidRDefault="009F3374">
            <w:pPr>
              <w:rPr>
                <w:color w:val="000000" w:themeColor="text1"/>
                <w:sz w:val="16"/>
                <w:szCs w:val="16"/>
              </w:rPr>
            </w:pPr>
          </w:p>
        </w:tc>
        <w:tc>
          <w:tcPr>
            <w:tcW w:w="1129" w:type="pct"/>
            <w:tcBorders>
              <w:top w:val="nil"/>
              <w:left w:val="nil"/>
              <w:bottom w:val="single" w:sz="4" w:space="0" w:color="auto"/>
              <w:right w:val="single" w:sz="4" w:space="0" w:color="auto"/>
            </w:tcBorders>
            <w:hideMark/>
          </w:tcPr>
          <w:p w14:paraId="01CA33B9" w14:textId="77777777" w:rsidR="00601D9B" w:rsidRDefault="000E53A0">
            <w:pPr>
              <w:rPr>
                <w:color w:val="000000" w:themeColor="text1"/>
                <w:sz w:val="16"/>
                <w:szCs w:val="16"/>
              </w:rPr>
            </w:pPr>
            <w:r>
              <w:rPr>
                <w:color w:val="000000" w:themeColor="text1"/>
              </w:rPr>
              <w:sym w:font="Symbol" w:char="F0C4"/>
            </w:r>
            <w:r>
              <w:rPr>
                <w:rFonts w:ascii="Avenir Next Regular" w:hAnsi="Avenir Next Regular" w:cs="Calibri"/>
                <w:color w:val="000000" w:themeColor="text1"/>
                <w:sz w:val="16"/>
                <w:szCs w:val="16"/>
              </w:rPr>
              <w:t>Gestion des connaissances</w:t>
            </w:r>
          </w:p>
        </w:tc>
        <w:tc>
          <w:tcPr>
            <w:tcW w:w="1080" w:type="pct"/>
            <w:tcBorders>
              <w:top w:val="nil"/>
              <w:left w:val="nil"/>
              <w:bottom w:val="single" w:sz="4" w:space="0" w:color="auto"/>
              <w:right w:val="single" w:sz="4" w:space="0" w:color="auto"/>
            </w:tcBorders>
          </w:tcPr>
          <w:p w14:paraId="452EFB1A" w14:textId="77777777" w:rsidR="009F3374" w:rsidRDefault="009F3374">
            <w:pPr>
              <w:rPr>
                <w:rFonts w:ascii="Avenir Next Regular" w:hAnsi="Avenir Next Regular" w:cs="Calibri"/>
                <w:color w:val="000000" w:themeColor="text1"/>
                <w:sz w:val="16"/>
                <w:szCs w:val="16"/>
              </w:rPr>
            </w:pPr>
          </w:p>
        </w:tc>
      </w:tr>
      <w:tr w:rsidR="009F3374" w14:paraId="2D3A99E9" w14:textId="77777777" w:rsidTr="009F3374">
        <w:trPr>
          <w:trHeight w:val="170"/>
        </w:trPr>
        <w:tc>
          <w:tcPr>
            <w:tcW w:w="1966" w:type="pct"/>
            <w:tcBorders>
              <w:top w:val="nil"/>
              <w:left w:val="single" w:sz="4" w:space="0" w:color="auto"/>
              <w:bottom w:val="single" w:sz="4" w:space="0" w:color="auto"/>
              <w:right w:val="single" w:sz="4" w:space="0" w:color="auto"/>
            </w:tcBorders>
            <w:hideMark/>
          </w:tcPr>
          <w:p w14:paraId="31661E75"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35AB3264"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03B8EF89" w14:textId="77777777" w:rsidR="00601D9B" w:rsidRDefault="000E53A0">
            <w:pPr>
              <w:rPr>
                <w:rFonts w:ascii="Avenir Next Regular" w:hAnsi="Avenir Next Regular" w:cs="Calibri"/>
                <w:color w:val="000000" w:themeColor="text1"/>
                <w:sz w:val="16"/>
                <w:szCs w:val="16"/>
              </w:rPr>
            </w:pPr>
            <w:r>
              <w:rPr>
                <w:color w:val="000000" w:themeColor="text1"/>
              </w:rPr>
              <w:sym w:font="Symbol" w:char="F0C4"/>
            </w:r>
            <w:r>
              <w:rPr>
                <w:rFonts w:ascii="Avenir Next Regular" w:hAnsi="Avenir Next Regular" w:cs="Calibri"/>
                <w:color w:val="000000" w:themeColor="text1"/>
                <w:sz w:val="16"/>
                <w:szCs w:val="16"/>
              </w:rPr>
              <w:t>Innovation</w:t>
            </w:r>
          </w:p>
        </w:tc>
        <w:tc>
          <w:tcPr>
            <w:tcW w:w="1080" w:type="pct"/>
            <w:tcBorders>
              <w:top w:val="nil"/>
              <w:left w:val="nil"/>
              <w:bottom w:val="single" w:sz="4" w:space="0" w:color="auto"/>
              <w:right w:val="single" w:sz="4" w:space="0" w:color="auto"/>
            </w:tcBorders>
            <w:hideMark/>
          </w:tcPr>
          <w:p w14:paraId="68CA2000" w14:textId="77777777" w:rsidR="009F3374" w:rsidRDefault="009F3374">
            <w:pPr>
              <w:rPr>
                <w:rFonts w:ascii="Avenir Next Regular" w:hAnsi="Avenir Next Regular" w:cs="Calibri"/>
                <w:color w:val="000000" w:themeColor="text1"/>
                <w:sz w:val="16"/>
                <w:szCs w:val="16"/>
              </w:rPr>
            </w:pPr>
            <w:r>
              <w:rPr>
                <w:rFonts w:ascii="Avenir Next Regular" w:hAnsi="Avenir Next Regular" w:cs="Calibri"/>
                <w:color w:val="000000" w:themeColor="text1"/>
                <w:sz w:val="16"/>
                <w:szCs w:val="16"/>
              </w:rPr>
              <w:t> </w:t>
            </w:r>
          </w:p>
        </w:tc>
      </w:tr>
      <w:tr w:rsidR="009F3374" w14:paraId="20128115" w14:textId="77777777" w:rsidTr="009F3374">
        <w:trPr>
          <w:trHeight w:val="161"/>
        </w:trPr>
        <w:tc>
          <w:tcPr>
            <w:tcW w:w="1966" w:type="pct"/>
            <w:tcBorders>
              <w:top w:val="nil"/>
              <w:left w:val="single" w:sz="4" w:space="0" w:color="auto"/>
              <w:bottom w:val="single" w:sz="4" w:space="0" w:color="auto"/>
              <w:right w:val="single" w:sz="4" w:space="0" w:color="auto"/>
            </w:tcBorders>
            <w:hideMark/>
          </w:tcPr>
          <w:p w14:paraId="3C2F476D"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7CD3FAE2"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6B4CAB95" w14:textId="77777777" w:rsidR="00601D9B" w:rsidRDefault="000E53A0">
            <w:pPr>
              <w:rPr>
                <w:rFonts w:ascii="Avenir Next Regular" w:hAnsi="Avenir Next Regular" w:cs="Calibri"/>
                <w:color w:val="000000" w:themeColor="text1"/>
                <w:sz w:val="16"/>
                <w:szCs w:val="16"/>
              </w:rPr>
            </w:pPr>
            <w:r>
              <w:rPr>
                <w:color w:val="000000" w:themeColor="text1"/>
              </w:rPr>
              <w:sym w:font="Symbol" w:char="F0C4"/>
            </w:r>
            <w:r>
              <w:rPr>
                <w:rFonts w:ascii="Avenir Next Regular" w:hAnsi="Avenir Next Regular" w:cs="Calibri"/>
                <w:color w:val="000000" w:themeColor="text1"/>
                <w:sz w:val="16"/>
                <w:szCs w:val="16"/>
              </w:rPr>
              <w:t>Développement des capacités</w:t>
            </w:r>
          </w:p>
        </w:tc>
        <w:tc>
          <w:tcPr>
            <w:tcW w:w="1080" w:type="pct"/>
            <w:tcBorders>
              <w:top w:val="nil"/>
              <w:left w:val="nil"/>
              <w:bottom w:val="single" w:sz="4" w:space="0" w:color="auto"/>
              <w:right w:val="single" w:sz="4" w:space="0" w:color="auto"/>
            </w:tcBorders>
            <w:hideMark/>
          </w:tcPr>
          <w:p w14:paraId="775F5A27" w14:textId="77777777" w:rsidR="009F3374" w:rsidRDefault="009F3374">
            <w:pPr>
              <w:rPr>
                <w:rFonts w:ascii="Avenir Next Regular" w:hAnsi="Avenir Next Regular" w:cs="Calibri"/>
                <w:color w:val="000000" w:themeColor="text1"/>
                <w:sz w:val="16"/>
                <w:szCs w:val="16"/>
              </w:rPr>
            </w:pPr>
            <w:r>
              <w:rPr>
                <w:rFonts w:ascii="Avenir Next Regular" w:hAnsi="Avenir Next Regular" w:cs="Calibri"/>
                <w:color w:val="000000" w:themeColor="text1"/>
                <w:sz w:val="16"/>
                <w:szCs w:val="16"/>
              </w:rPr>
              <w:t> </w:t>
            </w:r>
          </w:p>
        </w:tc>
      </w:tr>
      <w:tr w:rsidR="009F3374" w14:paraId="4E860E23" w14:textId="77777777" w:rsidTr="009F3374">
        <w:trPr>
          <w:trHeight w:val="58"/>
        </w:trPr>
        <w:tc>
          <w:tcPr>
            <w:tcW w:w="1966" w:type="pct"/>
            <w:tcBorders>
              <w:top w:val="nil"/>
              <w:left w:val="single" w:sz="4" w:space="0" w:color="auto"/>
              <w:bottom w:val="single" w:sz="4" w:space="0" w:color="auto"/>
              <w:right w:val="single" w:sz="4" w:space="0" w:color="auto"/>
            </w:tcBorders>
            <w:hideMark/>
          </w:tcPr>
          <w:p w14:paraId="00EEC04D"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6253E9E4"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4840B834" w14:textId="77777777" w:rsidR="00601D9B" w:rsidRDefault="000E53A0">
            <w:pPr>
              <w:rPr>
                <w:rFonts w:ascii="Avenir Next Regular" w:hAnsi="Avenir Next Regular" w:cs="Calibri"/>
                <w:color w:val="000000" w:themeColor="text1"/>
                <w:sz w:val="16"/>
                <w:szCs w:val="16"/>
              </w:rPr>
            </w:pPr>
            <w:r>
              <w:rPr>
                <w:color w:val="000000" w:themeColor="text1"/>
              </w:rPr>
              <w:sym w:font="Symbol" w:char="F0C4"/>
            </w:r>
            <w:r>
              <w:rPr>
                <w:rFonts w:ascii="Avenir Next Regular" w:hAnsi="Avenir Next Regular" w:cs="Calibri"/>
                <w:color w:val="000000" w:themeColor="text1"/>
                <w:sz w:val="16"/>
                <w:szCs w:val="16"/>
              </w:rPr>
              <w:t>Apprendre</w:t>
            </w:r>
          </w:p>
        </w:tc>
        <w:tc>
          <w:tcPr>
            <w:tcW w:w="1080" w:type="pct"/>
            <w:tcBorders>
              <w:top w:val="nil"/>
              <w:left w:val="nil"/>
              <w:bottom w:val="single" w:sz="4" w:space="0" w:color="auto"/>
              <w:right w:val="single" w:sz="4" w:space="0" w:color="auto"/>
            </w:tcBorders>
            <w:hideMark/>
          </w:tcPr>
          <w:p w14:paraId="75E7892A" w14:textId="77777777" w:rsidR="009F3374" w:rsidRDefault="009F3374">
            <w:pPr>
              <w:rPr>
                <w:rFonts w:ascii="Avenir Next Regular" w:hAnsi="Avenir Next Regular" w:cs="Calibri"/>
                <w:color w:val="000000" w:themeColor="text1"/>
                <w:sz w:val="16"/>
                <w:szCs w:val="16"/>
              </w:rPr>
            </w:pPr>
            <w:r>
              <w:rPr>
                <w:rFonts w:ascii="Avenir Next Regular" w:hAnsi="Avenir Next Regular" w:cs="Calibri"/>
                <w:color w:val="000000" w:themeColor="text1"/>
                <w:sz w:val="16"/>
                <w:szCs w:val="16"/>
              </w:rPr>
              <w:t> </w:t>
            </w:r>
          </w:p>
        </w:tc>
      </w:tr>
      <w:tr w:rsidR="009F3374" w:rsidRPr="000E53A0" w14:paraId="6561C025" w14:textId="77777777" w:rsidTr="009F3374">
        <w:trPr>
          <w:trHeight w:val="359"/>
        </w:trPr>
        <w:tc>
          <w:tcPr>
            <w:tcW w:w="1966" w:type="pct"/>
            <w:tcBorders>
              <w:top w:val="nil"/>
              <w:left w:val="single" w:sz="4" w:space="0" w:color="auto"/>
              <w:bottom w:val="single" w:sz="4" w:space="0" w:color="auto"/>
              <w:right w:val="single" w:sz="4" w:space="0" w:color="auto"/>
            </w:tcBorders>
            <w:hideMark/>
          </w:tcPr>
          <w:p w14:paraId="07D9348D" w14:textId="77777777" w:rsidR="009F3374" w:rsidRDefault="009F3374">
            <w:pPr>
              <w:rPr>
                <w:rFonts w:ascii="Avenir Next Regular" w:hAnsi="Avenir Next Regular" w:cs="Calibri"/>
                <w:b/>
                <w:bCs/>
                <w:iCs/>
                <w:color w:val="000000" w:themeColor="text1"/>
                <w:sz w:val="16"/>
                <w:szCs w:val="16"/>
              </w:rPr>
            </w:pPr>
            <w:r>
              <w:rPr>
                <w:rFonts w:ascii="Avenir Next Regular" w:hAnsi="Avenir Next Regular" w:cs="Calibri"/>
                <w:b/>
                <w:bCs/>
                <w:iCs/>
                <w:color w:val="000000" w:themeColor="text1"/>
                <w:sz w:val="16"/>
                <w:szCs w:val="16"/>
              </w:rPr>
              <w:t> </w:t>
            </w:r>
          </w:p>
        </w:tc>
        <w:tc>
          <w:tcPr>
            <w:tcW w:w="825" w:type="pct"/>
            <w:tcBorders>
              <w:top w:val="nil"/>
              <w:left w:val="nil"/>
              <w:bottom w:val="single" w:sz="4" w:space="0" w:color="auto"/>
              <w:right w:val="single" w:sz="4" w:space="0" w:color="auto"/>
            </w:tcBorders>
            <w:hideMark/>
          </w:tcPr>
          <w:p w14:paraId="32C1C4EA" w14:textId="77777777" w:rsidR="00601D9B" w:rsidRPr="000E53A0" w:rsidRDefault="000E53A0">
            <w:pPr>
              <w:ind w:left="114" w:hanging="114"/>
              <w:rPr>
                <w:rFonts w:ascii="Avenir Next Regular" w:hAnsi="Avenir Next Regular" w:cs="Calibri"/>
                <w:b/>
                <w:bCs/>
                <w:color w:val="000000" w:themeColor="text1"/>
                <w:sz w:val="16"/>
                <w:szCs w:val="16"/>
                <w:lang w:val="fr-FR"/>
              </w:rPr>
            </w:pPr>
            <w:r>
              <w:rPr>
                <w:color w:val="000000" w:themeColor="text1"/>
              </w:rPr>
              <w:sym w:font="Symbol" w:char="F0C4"/>
            </w:r>
            <w:r w:rsidRPr="000E53A0">
              <w:rPr>
                <w:rFonts w:ascii="Avenir Next Regular" w:hAnsi="Avenir Next Regular" w:cs="Calibri"/>
                <w:b/>
                <w:bCs/>
                <w:color w:val="000000" w:themeColor="text1"/>
                <w:sz w:val="16"/>
                <w:szCs w:val="16"/>
                <w:lang w:val="fr-FR"/>
              </w:rPr>
              <w:t>Plan d'engagement des parties prenantes</w:t>
            </w:r>
          </w:p>
        </w:tc>
        <w:tc>
          <w:tcPr>
            <w:tcW w:w="1129" w:type="pct"/>
            <w:tcBorders>
              <w:top w:val="single" w:sz="4" w:space="0" w:color="auto"/>
              <w:left w:val="nil"/>
              <w:bottom w:val="single" w:sz="4" w:space="0" w:color="auto"/>
              <w:right w:val="single" w:sz="4" w:space="0" w:color="auto"/>
            </w:tcBorders>
            <w:hideMark/>
          </w:tcPr>
          <w:p w14:paraId="4EAC079E" w14:textId="77777777" w:rsidR="009F3374" w:rsidRPr="000E53A0" w:rsidRDefault="009F3374">
            <w:pPr>
              <w:rPr>
                <w:rFonts w:ascii="Avenir Next Regular" w:hAnsi="Avenir Next Regular" w:cs="Calibri"/>
                <w:color w:val="000000" w:themeColor="text1"/>
                <w:sz w:val="16"/>
                <w:szCs w:val="16"/>
                <w:lang w:val="fr-FR"/>
              </w:rPr>
            </w:pPr>
            <w:r w:rsidRPr="000E53A0">
              <w:rPr>
                <w:rFonts w:ascii="Avenir Next Regular" w:hAnsi="Avenir Next Regular" w:cs="Calibri"/>
                <w:color w:val="000000" w:themeColor="text1"/>
                <w:sz w:val="16"/>
                <w:szCs w:val="16"/>
                <w:lang w:val="fr-FR"/>
              </w:rPr>
              <w:t> </w:t>
            </w:r>
          </w:p>
        </w:tc>
        <w:tc>
          <w:tcPr>
            <w:tcW w:w="1080" w:type="pct"/>
            <w:tcBorders>
              <w:top w:val="nil"/>
              <w:left w:val="nil"/>
              <w:bottom w:val="single" w:sz="4" w:space="0" w:color="auto"/>
              <w:right w:val="single" w:sz="4" w:space="0" w:color="auto"/>
            </w:tcBorders>
            <w:hideMark/>
          </w:tcPr>
          <w:p w14:paraId="38AD2498" w14:textId="77777777" w:rsidR="009F3374" w:rsidRPr="000E53A0" w:rsidRDefault="009F3374">
            <w:pPr>
              <w:rPr>
                <w:rFonts w:ascii="Avenir Next Regular" w:hAnsi="Avenir Next Regular" w:cs="Calibri"/>
                <w:color w:val="000000" w:themeColor="text1"/>
                <w:sz w:val="16"/>
                <w:szCs w:val="16"/>
                <w:lang w:val="fr-FR"/>
              </w:rPr>
            </w:pPr>
            <w:r w:rsidRPr="000E53A0">
              <w:rPr>
                <w:rFonts w:ascii="Avenir Next Regular" w:hAnsi="Avenir Next Regular" w:cs="Calibri"/>
                <w:color w:val="000000" w:themeColor="text1"/>
                <w:sz w:val="16"/>
                <w:szCs w:val="16"/>
                <w:lang w:val="fr-FR"/>
              </w:rPr>
              <w:t> </w:t>
            </w:r>
          </w:p>
        </w:tc>
      </w:tr>
      <w:tr w:rsidR="009F3374" w14:paraId="225EAFF0" w14:textId="77777777" w:rsidTr="009F3374">
        <w:trPr>
          <w:trHeight w:val="58"/>
        </w:trPr>
        <w:tc>
          <w:tcPr>
            <w:tcW w:w="1966" w:type="pct"/>
            <w:tcBorders>
              <w:top w:val="nil"/>
              <w:left w:val="single" w:sz="4" w:space="0" w:color="auto"/>
              <w:bottom w:val="single" w:sz="4" w:space="0" w:color="auto"/>
              <w:right w:val="single" w:sz="4" w:space="0" w:color="auto"/>
            </w:tcBorders>
            <w:hideMark/>
          </w:tcPr>
          <w:p w14:paraId="72153EFA" w14:textId="77777777" w:rsidR="00601D9B" w:rsidRDefault="000E53A0">
            <w:pPr>
              <w:rPr>
                <w:rFonts w:ascii="Avenir Next Regular" w:hAnsi="Avenir Next Regular" w:cs="Calibri"/>
                <w:b/>
                <w:bCs/>
                <w:color w:val="000000" w:themeColor="text1"/>
                <w:sz w:val="16"/>
                <w:szCs w:val="16"/>
              </w:rPr>
            </w:pPr>
            <w:r>
              <w:rPr>
                <w:color w:val="000000" w:themeColor="text1"/>
              </w:rPr>
              <w:sym w:font="Symbol" w:char="F0C4"/>
            </w:r>
            <w:r>
              <w:rPr>
                <w:rFonts w:ascii="Avenir Next Regular" w:hAnsi="Avenir Next Regular" w:cs="Calibri"/>
                <w:b/>
                <w:bCs/>
                <w:color w:val="000000" w:themeColor="text1"/>
                <w:sz w:val="16"/>
                <w:szCs w:val="16"/>
              </w:rPr>
              <w:t xml:space="preserve">Égalité des sexes </w:t>
            </w:r>
          </w:p>
        </w:tc>
        <w:tc>
          <w:tcPr>
            <w:tcW w:w="825" w:type="pct"/>
            <w:tcBorders>
              <w:top w:val="nil"/>
              <w:left w:val="nil"/>
              <w:bottom w:val="single" w:sz="4" w:space="0" w:color="auto"/>
              <w:right w:val="single" w:sz="4" w:space="0" w:color="auto"/>
            </w:tcBorders>
            <w:hideMark/>
          </w:tcPr>
          <w:p w14:paraId="341E0078"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7E04DAF9" w14:textId="77777777" w:rsidR="009F3374" w:rsidRDefault="009F3374">
            <w:pPr>
              <w:rPr>
                <w:rFonts w:ascii="Avenir Next Regular" w:hAnsi="Avenir Next Regular" w:cs="Calibri"/>
                <w:color w:val="000000" w:themeColor="text1"/>
                <w:sz w:val="16"/>
                <w:szCs w:val="16"/>
              </w:rPr>
            </w:pPr>
            <w:r>
              <w:rPr>
                <w:rFonts w:ascii="Avenir Next Regular" w:hAnsi="Avenir Next Regular" w:cs="Calibri"/>
                <w:color w:val="000000" w:themeColor="text1"/>
                <w:sz w:val="16"/>
                <w:szCs w:val="16"/>
              </w:rPr>
              <w:t> </w:t>
            </w:r>
          </w:p>
        </w:tc>
        <w:tc>
          <w:tcPr>
            <w:tcW w:w="1080" w:type="pct"/>
            <w:tcBorders>
              <w:top w:val="nil"/>
              <w:left w:val="nil"/>
              <w:bottom w:val="single" w:sz="4" w:space="0" w:color="auto"/>
              <w:right w:val="single" w:sz="4" w:space="0" w:color="auto"/>
            </w:tcBorders>
            <w:hideMark/>
          </w:tcPr>
          <w:p w14:paraId="1B518B6E" w14:textId="77777777" w:rsidR="009F3374" w:rsidRDefault="009F3374">
            <w:pPr>
              <w:rPr>
                <w:rFonts w:ascii="Avenir Next Regular" w:hAnsi="Avenir Next Regular" w:cs="Calibri"/>
                <w:color w:val="000000" w:themeColor="text1"/>
                <w:sz w:val="16"/>
                <w:szCs w:val="16"/>
              </w:rPr>
            </w:pPr>
            <w:r>
              <w:rPr>
                <w:rFonts w:ascii="Avenir Next Regular" w:hAnsi="Avenir Next Regular" w:cs="Calibri"/>
                <w:color w:val="000000" w:themeColor="text1"/>
                <w:sz w:val="16"/>
                <w:szCs w:val="16"/>
              </w:rPr>
              <w:t> </w:t>
            </w:r>
          </w:p>
        </w:tc>
      </w:tr>
      <w:tr w:rsidR="009F3374" w:rsidRPr="000E53A0" w14:paraId="5F3AECD2" w14:textId="77777777" w:rsidTr="009F3374">
        <w:trPr>
          <w:trHeight w:val="58"/>
        </w:trPr>
        <w:tc>
          <w:tcPr>
            <w:tcW w:w="1966" w:type="pct"/>
            <w:tcBorders>
              <w:top w:val="nil"/>
              <w:left w:val="single" w:sz="4" w:space="0" w:color="auto"/>
              <w:bottom w:val="single" w:sz="4" w:space="0" w:color="auto"/>
              <w:right w:val="single" w:sz="4" w:space="0" w:color="auto"/>
            </w:tcBorders>
            <w:hideMark/>
          </w:tcPr>
          <w:p w14:paraId="25904DC6"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2C0478A0" w14:textId="77777777" w:rsidR="00601D9B" w:rsidRPr="000E53A0" w:rsidRDefault="000E53A0">
            <w:pPr>
              <w:rPr>
                <w:rFonts w:ascii="Avenir Next Regular" w:hAnsi="Avenir Next Regular" w:cs="Calibri"/>
                <w:b/>
                <w:bCs/>
                <w:color w:val="000000" w:themeColor="text1"/>
                <w:sz w:val="16"/>
                <w:szCs w:val="16"/>
                <w:lang w:val="fr-FR"/>
              </w:rPr>
            </w:pPr>
            <w:r>
              <w:rPr>
                <w:color w:val="000000" w:themeColor="text1"/>
                <w:sz w:val="16"/>
                <w:szCs w:val="16"/>
              </w:rPr>
              <w:fldChar w:fldCharType="begin">
                <w:ffData>
                  <w:name w:val="IAP_cities"/>
                  <w:enabled/>
                  <w:calcOnExit w:val="0"/>
                  <w:checkBox>
                    <w:sizeAuto/>
                    <w:default w:val="0"/>
                  </w:checkBox>
                </w:ffData>
              </w:fldChar>
            </w:r>
            <w:r w:rsidRPr="000E53A0">
              <w:rPr>
                <w:color w:val="000000" w:themeColor="text1"/>
                <w:sz w:val="16"/>
                <w:szCs w:val="16"/>
                <w:lang w:val="fr-FR"/>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sidRPr="000E53A0">
              <w:rPr>
                <w:rFonts w:ascii="Avenir Next Regular" w:hAnsi="Avenir Next Regular" w:cs="Calibri"/>
                <w:b/>
                <w:bCs/>
                <w:color w:val="000000" w:themeColor="text1"/>
                <w:sz w:val="16"/>
                <w:szCs w:val="16"/>
                <w:lang w:val="fr-FR"/>
              </w:rPr>
              <w:t>Intégration de la dimension de genre</w:t>
            </w:r>
          </w:p>
        </w:tc>
        <w:tc>
          <w:tcPr>
            <w:tcW w:w="1129" w:type="pct"/>
            <w:tcBorders>
              <w:top w:val="nil"/>
              <w:left w:val="nil"/>
              <w:bottom w:val="single" w:sz="4" w:space="0" w:color="auto"/>
              <w:right w:val="single" w:sz="4" w:space="0" w:color="auto"/>
            </w:tcBorders>
          </w:tcPr>
          <w:p w14:paraId="429467D8" w14:textId="77777777" w:rsidR="009F3374" w:rsidRPr="000E53A0" w:rsidRDefault="009F3374">
            <w:pPr>
              <w:rPr>
                <w:rFonts w:ascii="Avenir Next Regular" w:hAnsi="Avenir Next Regular" w:cs="Calibri"/>
                <w:color w:val="000000" w:themeColor="text1"/>
                <w:sz w:val="16"/>
                <w:szCs w:val="16"/>
                <w:lang w:val="fr-FR"/>
              </w:rPr>
            </w:pPr>
          </w:p>
        </w:tc>
        <w:tc>
          <w:tcPr>
            <w:tcW w:w="1080" w:type="pct"/>
            <w:tcBorders>
              <w:top w:val="nil"/>
              <w:left w:val="nil"/>
              <w:bottom w:val="single" w:sz="4" w:space="0" w:color="auto"/>
              <w:right w:val="single" w:sz="4" w:space="0" w:color="auto"/>
            </w:tcBorders>
            <w:hideMark/>
          </w:tcPr>
          <w:p w14:paraId="52609B84" w14:textId="77777777" w:rsidR="009F3374" w:rsidRPr="000E53A0" w:rsidRDefault="009F3374">
            <w:pPr>
              <w:rPr>
                <w:rFonts w:ascii="Avenir Next Regular" w:hAnsi="Avenir Next Regular" w:cs="Calibri"/>
                <w:color w:val="000000" w:themeColor="text1"/>
                <w:sz w:val="16"/>
                <w:szCs w:val="16"/>
                <w:lang w:val="fr-FR"/>
              </w:rPr>
            </w:pPr>
            <w:r w:rsidRPr="000E53A0">
              <w:rPr>
                <w:rFonts w:ascii="Avenir Next Regular" w:hAnsi="Avenir Next Regular" w:cs="Calibri"/>
                <w:color w:val="000000" w:themeColor="text1"/>
                <w:sz w:val="16"/>
                <w:szCs w:val="16"/>
                <w:lang w:val="fr-FR"/>
              </w:rPr>
              <w:t> </w:t>
            </w:r>
          </w:p>
        </w:tc>
      </w:tr>
      <w:tr w:rsidR="009F3374" w14:paraId="07901AE7" w14:textId="77777777" w:rsidTr="009F3374">
        <w:trPr>
          <w:trHeight w:val="58"/>
        </w:trPr>
        <w:tc>
          <w:tcPr>
            <w:tcW w:w="1966" w:type="pct"/>
            <w:tcBorders>
              <w:top w:val="nil"/>
              <w:left w:val="single" w:sz="4" w:space="0" w:color="auto"/>
              <w:bottom w:val="single" w:sz="4" w:space="0" w:color="auto"/>
              <w:right w:val="single" w:sz="4" w:space="0" w:color="auto"/>
            </w:tcBorders>
          </w:tcPr>
          <w:p w14:paraId="729C1445" w14:textId="77777777" w:rsidR="009F3374" w:rsidRPr="000E53A0" w:rsidRDefault="009F3374">
            <w:pPr>
              <w:rPr>
                <w:rFonts w:ascii="Avenir Next Regular" w:hAnsi="Avenir Next Regular" w:cs="Calibri"/>
                <w:b/>
                <w:bCs/>
                <w:color w:val="000000" w:themeColor="text1"/>
                <w:sz w:val="16"/>
                <w:szCs w:val="16"/>
                <w:lang w:val="fr-FR"/>
              </w:rPr>
            </w:pPr>
          </w:p>
        </w:tc>
        <w:tc>
          <w:tcPr>
            <w:tcW w:w="825" w:type="pct"/>
            <w:tcBorders>
              <w:top w:val="nil"/>
              <w:left w:val="nil"/>
              <w:bottom w:val="single" w:sz="4" w:space="0" w:color="auto"/>
              <w:right w:val="single" w:sz="4" w:space="0" w:color="auto"/>
            </w:tcBorders>
          </w:tcPr>
          <w:p w14:paraId="68C28F0E" w14:textId="77777777" w:rsidR="009F3374" w:rsidRPr="000E53A0" w:rsidRDefault="009F3374">
            <w:pPr>
              <w:rPr>
                <w:color w:val="000000" w:themeColor="text1"/>
                <w:sz w:val="16"/>
                <w:szCs w:val="16"/>
                <w:lang w:val="fr-FR"/>
              </w:rPr>
            </w:pPr>
          </w:p>
        </w:tc>
        <w:tc>
          <w:tcPr>
            <w:tcW w:w="1129" w:type="pct"/>
            <w:tcBorders>
              <w:top w:val="nil"/>
              <w:left w:val="nil"/>
              <w:bottom w:val="single" w:sz="4" w:space="0" w:color="auto"/>
              <w:right w:val="single" w:sz="4" w:space="0" w:color="auto"/>
            </w:tcBorders>
            <w:hideMark/>
          </w:tcPr>
          <w:p w14:paraId="0AF6ECD2" w14:textId="77777777" w:rsidR="00601D9B" w:rsidRDefault="000E53A0">
            <w:pPr>
              <w:rPr>
                <w:rFonts w:ascii="Avenir Next Regular" w:hAnsi="Avenir Next Regular" w:cs="Calibri"/>
                <w:color w:val="000000" w:themeColor="text1"/>
                <w:sz w:val="16"/>
                <w:szCs w:val="16"/>
              </w:rPr>
            </w:pPr>
            <w:r w:rsidRPr="000E53A0">
              <w:rPr>
                <w:rFonts w:ascii="Avenir Next Regular" w:hAnsi="Avenir Next Regular" w:cs="Calibri"/>
                <w:color w:val="000000" w:themeColor="text1"/>
                <w:sz w:val="16"/>
                <w:szCs w:val="16"/>
                <w:lang w:val="fr-FR"/>
              </w:rPr>
              <w:t xml:space="preserve"> </w:t>
            </w:r>
            <w:r>
              <w:rPr>
                <w:color w:val="000000" w:themeColor="text1"/>
              </w:rPr>
              <w:sym w:font="Symbol" w:char="F0C4"/>
            </w:r>
            <w:r>
              <w:rPr>
                <w:rFonts w:ascii="Avenir Next Regular" w:hAnsi="Avenir Next Regular" w:cs="Calibri"/>
                <w:color w:val="000000" w:themeColor="text1"/>
                <w:sz w:val="16"/>
                <w:szCs w:val="16"/>
              </w:rPr>
              <w:t>Bénéficiaires</w:t>
            </w:r>
          </w:p>
        </w:tc>
        <w:tc>
          <w:tcPr>
            <w:tcW w:w="1080" w:type="pct"/>
            <w:tcBorders>
              <w:top w:val="nil"/>
              <w:left w:val="nil"/>
              <w:bottom w:val="single" w:sz="4" w:space="0" w:color="auto"/>
              <w:right w:val="single" w:sz="4" w:space="0" w:color="auto"/>
            </w:tcBorders>
          </w:tcPr>
          <w:p w14:paraId="3DE7FADF" w14:textId="77777777" w:rsidR="009F3374" w:rsidRDefault="009F3374">
            <w:pPr>
              <w:rPr>
                <w:rFonts w:ascii="Avenir Next Regular" w:hAnsi="Avenir Next Regular" w:cs="Calibri"/>
                <w:color w:val="000000" w:themeColor="text1"/>
                <w:sz w:val="16"/>
                <w:szCs w:val="16"/>
              </w:rPr>
            </w:pPr>
          </w:p>
        </w:tc>
      </w:tr>
      <w:tr w:rsidR="009F3374" w14:paraId="564751C6" w14:textId="77777777" w:rsidTr="009F3374">
        <w:trPr>
          <w:trHeight w:val="143"/>
        </w:trPr>
        <w:tc>
          <w:tcPr>
            <w:tcW w:w="1966" w:type="pct"/>
            <w:tcBorders>
              <w:top w:val="nil"/>
              <w:left w:val="single" w:sz="4" w:space="0" w:color="auto"/>
              <w:bottom w:val="single" w:sz="4" w:space="0" w:color="auto"/>
              <w:right w:val="single" w:sz="4" w:space="0" w:color="auto"/>
            </w:tcBorders>
            <w:hideMark/>
          </w:tcPr>
          <w:p w14:paraId="3E64B3E2"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3855C622"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4D9EE8CF" w14:textId="77777777" w:rsidR="00601D9B" w:rsidRDefault="000E53A0">
            <w:pPr>
              <w:rPr>
                <w:rFonts w:ascii="Avenir Next Regular" w:hAnsi="Avenir Next Regular" w:cs="Calibri"/>
                <w:color w:val="000000" w:themeColor="text1"/>
                <w:sz w:val="16"/>
                <w:szCs w:val="16"/>
              </w:rPr>
            </w:pPr>
            <w:r>
              <w:rPr>
                <w:rFonts w:ascii="Avenir Next Regular" w:hAnsi="Avenir Next Regular" w:cs="Calibri"/>
                <w:color w:val="000000" w:themeColor="text1"/>
                <w:sz w:val="16"/>
                <w:szCs w:val="16"/>
              </w:rPr>
              <w:t xml:space="preserve"> </w:t>
            </w:r>
            <w:r>
              <w:rPr>
                <w:color w:val="000000" w:themeColor="text1"/>
              </w:rPr>
              <w:sym w:font="Symbol" w:char="F0C4"/>
            </w:r>
            <w:r>
              <w:rPr>
                <w:rFonts w:ascii="Avenir Next Regular" w:hAnsi="Avenir Next Regular" w:cs="Calibri"/>
                <w:color w:val="000000" w:themeColor="text1"/>
                <w:sz w:val="16"/>
                <w:szCs w:val="16"/>
              </w:rPr>
              <w:t>Groupes de femmes</w:t>
            </w:r>
          </w:p>
        </w:tc>
        <w:tc>
          <w:tcPr>
            <w:tcW w:w="1080" w:type="pct"/>
            <w:tcBorders>
              <w:top w:val="nil"/>
              <w:left w:val="nil"/>
              <w:bottom w:val="single" w:sz="4" w:space="0" w:color="auto"/>
              <w:right w:val="single" w:sz="4" w:space="0" w:color="auto"/>
            </w:tcBorders>
            <w:hideMark/>
          </w:tcPr>
          <w:p w14:paraId="64561A99" w14:textId="77777777" w:rsidR="009F3374" w:rsidRDefault="009F3374">
            <w:pPr>
              <w:rPr>
                <w:rFonts w:ascii="Avenir Next Regular" w:hAnsi="Avenir Next Regular" w:cs="Calibri"/>
                <w:color w:val="000000" w:themeColor="text1"/>
                <w:sz w:val="16"/>
                <w:szCs w:val="16"/>
              </w:rPr>
            </w:pPr>
            <w:r>
              <w:rPr>
                <w:rFonts w:ascii="Avenir Next Regular" w:hAnsi="Avenir Next Regular" w:cs="Calibri"/>
                <w:color w:val="000000" w:themeColor="text1"/>
                <w:sz w:val="16"/>
                <w:szCs w:val="16"/>
              </w:rPr>
              <w:t> </w:t>
            </w:r>
          </w:p>
        </w:tc>
      </w:tr>
      <w:tr w:rsidR="009F3374" w14:paraId="68B25E95" w14:textId="77777777" w:rsidTr="009F3374">
        <w:trPr>
          <w:trHeight w:val="125"/>
        </w:trPr>
        <w:tc>
          <w:tcPr>
            <w:tcW w:w="1966" w:type="pct"/>
            <w:tcBorders>
              <w:top w:val="nil"/>
              <w:left w:val="single" w:sz="4" w:space="0" w:color="auto"/>
              <w:bottom w:val="single" w:sz="4" w:space="0" w:color="auto"/>
              <w:right w:val="single" w:sz="4" w:space="0" w:color="auto"/>
            </w:tcBorders>
            <w:hideMark/>
          </w:tcPr>
          <w:p w14:paraId="0918EBE1"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1C1DCD24"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3E538C9C" w14:textId="77777777" w:rsidR="00601D9B" w:rsidRDefault="000E53A0">
            <w:pPr>
              <w:rPr>
                <w:rFonts w:ascii="Avenir Next Regular" w:hAnsi="Avenir Next Regular" w:cs="Calibri"/>
                <w:color w:val="000000" w:themeColor="text1"/>
                <w:sz w:val="16"/>
                <w:szCs w:val="16"/>
              </w:rPr>
            </w:pPr>
            <w:r>
              <w:rPr>
                <w:rFonts w:ascii="Avenir Next Regular" w:hAnsi="Avenir Next Regular" w:cs="Calibri"/>
                <w:color w:val="000000" w:themeColor="text1"/>
                <w:sz w:val="16"/>
                <w:szCs w:val="16"/>
              </w:rPr>
              <w:t xml:space="preserve"> </w:t>
            </w:r>
            <w:r>
              <w:rPr>
                <w:color w:val="000000" w:themeColor="text1"/>
              </w:rPr>
              <w:sym w:font="Symbol" w:char="F0C4"/>
            </w:r>
            <w:r>
              <w:rPr>
                <w:rFonts w:ascii="Avenir Next Regular" w:hAnsi="Avenir Next Regular" w:cs="Calibri"/>
                <w:color w:val="000000" w:themeColor="text1"/>
                <w:sz w:val="16"/>
                <w:szCs w:val="16"/>
              </w:rPr>
              <w:t>Indicateurs ventilés par sexe</w:t>
            </w:r>
          </w:p>
        </w:tc>
        <w:tc>
          <w:tcPr>
            <w:tcW w:w="1080" w:type="pct"/>
            <w:tcBorders>
              <w:top w:val="nil"/>
              <w:left w:val="nil"/>
              <w:bottom w:val="single" w:sz="4" w:space="0" w:color="auto"/>
              <w:right w:val="single" w:sz="4" w:space="0" w:color="auto"/>
            </w:tcBorders>
            <w:hideMark/>
          </w:tcPr>
          <w:p w14:paraId="26460ECC" w14:textId="77777777" w:rsidR="009F3374" w:rsidRDefault="009F3374">
            <w:pPr>
              <w:rPr>
                <w:rFonts w:ascii="Avenir Next Regular" w:hAnsi="Avenir Next Regular" w:cs="Calibri"/>
                <w:color w:val="000000" w:themeColor="text1"/>
                <w:sz w:val="16"/>
                <w:szCs w:val="16"/>
              </w:rPr>
            </w:pPr>
            <w:r>
              <w:rPr>
                <w:rFonts w:ascii="Avenir Next Regular" w:hAnsi="Avenir Next Regular" w:cs="Calibri"/>
                <w:color w:val="000000" w:themeColor="text1"/>
                <w:sz w:val="16"/>
                <w:szCs w:val="16"/>
              </w:rPr>
              <w:t> </w:t>
            </w:r>
          </w:p>
        </w:tc>
      </w:tr>
      <w:tr w:rsidR="009F3374" w14:paraId="6BAB5B21" w14:textId="77777777" w:rsidTr="009F3374">
        <w:trPr>
          <w:trHeight w:val="58"/>
        </w:trPr>
        <w:tc>
          <w:tcPr>
            <w:tcW w:w="1966" w:type="pct"/>
            <w:tcBorders>
              <w:top w:val="nil"/>
              <w:left w:val="single" w:sz="4" w:space="0" w:color="auto"/>
              <w:bottom w:val="single" w:sz="4" w:space="0" w:color="auto"/>
              <w:right w:val="single" w:sz="4" w:space="0" w:color="auto"/>
            </w:tcBorders>
            <w:hideMark/>
          </w:tcPr>
          <w:p w14:paraId="1DE355FE"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3566BF46"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41C4BDA4" w14:textId="77777777" w:rsidR="00601D9B" w:rsidRDefault="000E53A0">
            <w:pPr>
              <w:rPr>
                <w:rFonts w:ascii="Avenir Next Regular" w:hAnsi="Avenir Next Regular" w:cs="Calibri"/>
                <w:color w:val="000000" w:themeColor="text1"/>
                <w:sz w:val="16"/>
                <w:szCs w:val="16"/>
              </w:rPr>
            </w:pPr>
            <w:r>
              <w:rPr>
                <w:rFonts w:ascii="Avenir Next Regular" w:hAnsi="Avenir Next Regular" w:cs="Calibri"/>
                <w:color w:val="000000" w:themeColor="text1"/>
                <w:sz w:val="16"/>
                <w:szCs w:val="16"/>
              </w:rPr>
              <w:t xml:space="preserve"> </w:t>
            </w: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color w:val="000000" w:themeColor="text1"/>
                <w:sz w:val="16"/>
                <w:szCs w:val="16"/>
              </w:rPr>
              <w:t>Indicateurs sensibles au genre</w:t>
            </w:r>
          </w:p>
        </w:tc>
        <w:tc>
          <w:tcPr>
            <w:tcW w:w="1080" w:type="pct"/>
            <w:tcBorders>
              <w:top w:val="nil"/>
              <w:left w:val="nil"/>
              <w:bottom w:val="single" w:sz="4" w:space="0" w:color="auto"/>
              <w:right w:val="single" w:sz="4" w:space="0" w:color="auto"/>
            </w:tcBorders>
            <w:hideMark/>
          </w:tcPr>
          <w:p w14:paraId="33AC14EB" w14:textId="77777777" w:rsidR="009F3374" w:rsidRDefault="009F3374">
            <w:pPr>
              <w:rPr>
                <w:rFonts w:ascii="Avenir Next Regular" w:hAnsi="Avenir Next Regular" w:cs="Calibri"/>
                <w:color w:val="000000" w:themeColor="text1"/>
                <w:sz w:val="16"/>
                <w:szCs w:val="16"/>
              </w:rPr>
            </w:pPr>
            <w:r>
              <w:rPr>
                <w:rFonts w:ascii="Avenir Next Regular" w:hAnsi="Avenir Next Regular" w:cs="Calibri"/>
                <w:color w:val="000000" w:themeColor="text1"/>
                <w:sz w:val="16"/>
                <w:szCs w:val="16"/>
              </w:rPr>
              <w:t> </w:t>
            </w:r>
          </w:p>
        </w:tc>
      </w:tr>
      <w:tr w:rsidR="009F3374" w:rsidRPr="000E53A0" w14:paraId="591C75CF" w14:textId="77777777" w:rsidTr="009F3374">
        <w:trPr>
          <w:trHeight w:val="143"/>
        </w:trPr>
        <w:tc>
          <w:tcPr>
            <w:tcW w:w="1966" w:type="pct"/>
            <w:tcBorders>
              <w:top w:val="nil"/>
              <w:left w:val="single" w:sz="4" w:space="0" w:color="auto"/>
              <w:bottom w:val="single" w:sz="4" w:space="0" w:color="auto"/>
              <w:right w:val="single" w:sz="4" w:space="0" w:color="auto"/>
            </w:tcBorders>
            <w:hideMark/>
          </w:tcPr>
          <w:p w14:paraId="27D3E013"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0647FFB7" w14:textId="77777777" w:rsidR="00601D9B" w:rsidRPr="000E53A0" w:rsidRDefault="000E53A0">
            <w:pPr>
              <w:rPr>
                <w:rFonts w:ascii="Avenir Next Regular" w:hAnsi="Avenir Next Regular" w:cs="Calibri"/>
                <w:b/>
                <w:bCs/>
                <w:color w:val="000000" w:themeColor="text1"/>
                <w:sz w:val="16"/>
                <w:szCs w:val="16"/>
                <w:lang w:val="fr-FR"/>
              </w:rPr>
            </w:pPr>
            <w:r>
              <w:rPr>
                <w:color w:val="000000" w:themeColor="text1"/>
              </w:rPr>
              <w:sym w:font="Symbol" w:char="F0C4"/>
            </w:r>
            <w:r w:rsidRPr="000E53A0">
              <w:rPr>
                <w:rFonts w:ascii="Avenir Next Regular" w:hAnsi="Avenir Next Regular" w:cs="Calibri"/>
                <w:b/>
                <w:bCs/>
                <w:color w:val="000000" w:themeColor="text1"/>
                <w:sz w:val="16"/>
                <w:szCs w:val="16"/>
                <w:lang w:val="fr-FR"/>
              </w:rPr>
              <w:t>Domaines de résultats en matière de genre</w:t>
            </w:r>
          </w:p>
        </w:tc>
        <w:tc>
          <w:tcPr>
            <w:tcW w:w="1129" w:type="pct"/>
            <w:tcBorders>
              <w:top w:val="nil"/>
              <w:left w:val="nil"/>
              <w:bottom w:val="single" w:sz="4" w:space="0" w:color="auto"/>
              <w:right w:val="single" w:sz="4" w:space="0" w:color="auto"/>
            </w:tcBorders>
          </w:tcPr>
          <w:p w14:paraId="1329B58C" w14:textId="77777777" w:rsidR="009F3374" w:rsidRPr="000E53A0" w:rsidRDefault="009F3374">
            <w:pPr>
              <w:rPr>
                <w:rFonts w:ascii="Avenir Next Regular" w:hAnsi="Avenir Next Regular" w:cs="Calibri"/>
                <w:color w:val="000000" w:themeColor="text1"/>
                <w:sz w:val="16"/>
                <w:szCs w:val="16"/>
                <w:lang w:val="fr-FR"/>
              </w:rPr>
            </w:pPr>
          </w:p>
        </w:tc>
        <w:tc>
          <w:tcPr>
            <w:tcW w:w="1080" w:type="pct"/>
            <w:tcBorders>
              <w:top w:val="nil"/>
              <w:left w:val="nil"/>
              <w:bottom w:val="single" w:sz="4" w:space="0" w:color="auto"/>
              <w:right w:val="single" w:sz="4" w:space="0" w:color="auto"/>
            </w:tcBorders>
            <w:hideMark/>
          </w:tcPr>
          <w:p w14:paraId="422679D3" w14:textId="77777777" w:rsidR="009F3374" w:rsidRPr="000E53A0" w:rsidRDefault="009F3374">
            <w:pPr>
              <w:rPr>
                <w:rFonts w:ascii="Avenir Next Regular" w:hAnsi="Avenir Next Regular" w:cs="Calibri"/>
                <w:color w:val="000000" w:themeColor="text1"/>
                <w:sz w:val="16"/>
                <w:szCs w:val="16"/>
                <w:lang w:val="fr-FR"/>
              </w:rPr>
            </w:pPr>
            <w:r w:rsidRPr="000E53A0">
              <w:rPr>
                <w:rFonts w:ascii="Avenir Next Regular" w:hAnsi="Avenir Next Regular" w:cs="Calibri"/>
                <w:color w:val="000000" w:themeColor="text1"/>
                <w:sz w:val="16"/>
                <w:szCs w:val="16"/>
                <w:lang w:val="fr-FR"/>
              </w:rPr>
              <w:t> </w:t>
            </w:r>
          </w:p>
        </w:tc>
      </w:tr>
      <w:tr w:rsidR="009F3374" w:rsidRPr="000E53A0" w14:paraId="0B10DD46" w14:textId="77777777" w:rsidTr="009F3374">
        <w:trPr>
          <w:trHeight w:val="143"/>
        </w:trPr>
        <w:tc>
          <w:tcPr>
            <w:tcW w:w="1966" w:type="pct"/>
            <w:tcBorders>
              <w:top w:val="nil"/>
              <w:left w:val="single" w:sz="4" w:space="0" w:color="auto"/>
              <w:bottom w:val="single" w:sz="4" w:space="0" w:color="auto"/>
              <w:right w:val="single" w:sz="4" w:space="0" w:color="auto"/>
            </w:tcBorders>
          </w:tcPr>
          <w:p w14:paraId="33E05E17" w14:textId="77777777" w:rsidR="009F3374" w:rsidRPr="000E53A0" w:rsidRDefault="009F3374">
            <w:pPr>
              <w:rPr>
                <w:rFonts w:ascii="Avenir Next Regular" w:hAnsi="Avenir Next Regular" w:cs="Calibri"/>
                <w:b/>
                <w:bCs/>
                <w:color w:val="000000" w:themeColor="text1"/>
                <w:sz w:val="16"/>
                <w:szCs w:val="16"/>
                <w:lang w:val="fr-FR"/>
              </w:rPr>
            </w:pPr>
          </w:p>
        </w:tc>
        <w:tc>
          <w:tcPr>
            <w:tcW w:w="825" w:type="pct"/>
            <w:tcBorders>
              <w:top w:val="nil"/>
              <w:left w:val="nil"/>
              <w:bottom w:val="single" w:sz="4" w:space="0" w:color="auto"/>
              <w:right w:val="single" w:sz="4" w:space="0" w:color="auto"/>
            </w:tcBorders>
          </w:tcPr>
          <w:p w14:paraId="418674AB" w14:textId="77777777" w:rsidR="009F3374" w:rsidRPr="000E53A0" w:rsidRDefault="009F3374">
            <w:pPr>
              <w:rPr>
                <w:color w:val="000000" w:themeColor="text1"/>
                <w:sz w:val="16"/>
                <w:szCs w:val="16"/>
                <w:lang w:val="fr-FR"/>
              </w:rPr>
            </w:pPr>
          </w:p>
        </w:tc>
        <w:tc>
          <w:tcPr>
            <w:tcW w:w="1129" w:type="pct"/>
            <w:tcBorders>
              <w:top w:val="nil"/>
              <w:left w:val="nil"/>
              <w:bottom w:val="single" w:sz="4" w:space="0" w:color="auto"/>
              <w:right w:val="single" w:sz="4" w:space="0" w:color="auto"/>
            </w:tcBorders>
            <w:hideMark/>
          </w:tcPr>
          <w:p w14:paraId="5E369591" w14:textId="77777777" w:rsidR="00601D9B" w:rsidRPr="000E53A0" w:rsidRDefault="000E53A0">
            <w:pPr>
              <w:ind w:left="150" w:hanging="150"/>
              <w:rPr>
                <w:color w:val="000000" w:themeColor="text1"/>
                <w:sz w:val="16"/>
                <w:szCs w:val="16"/>
                <w:lang w:val="fr-FR"/>
              </w:rPr>
            </w:pPr>
            <w:r>
              <w:rPr>
                <w:color w:val="000000" w:themeColor="text1"/>
              </w:rPr>
              <w:sym w:font="Symbol" w:char="F0C4"/>
            </w:r>
            <w:r w:rsidRPr="000E53A0">
              <w:rPr>
                <w:rFonts w:ascii="Avenir Next Regular" w:hAnsi="Avenir Next Regular" w:cs="Calibri"/>
                <w:color w:val="000000" w:themeColor="text1"/>
                <w:sz w:val="16"/>
                <w:szCs w:val="16"/>
                <w:lang w:val="fr-FR"/>
              </w:rPr>
              <w:t>Accès et contrôle des ressources naturelles</w:t>
            </w:r>
          </w:p>
        </w:tc>
        <w:tc>
          <w:tcPr>
            <w:tcW w:w="1080" w:type="pct"/>
            <w:tcBorders>
              <w:top w:val="nil"/>
              <w:left w:val="nil"/>
              <w:bottom w:val="single" w:sz="4" w:space="0" w:color="auto"/>
              <w:right w:val="single" w:sz="4" w:space="0" w:color="auto"/>
            </w:tcBorders>
          </w:tcPr>
          <w:p w14:paraId="6F14C685" w14:textId="77777777" w:rsidR="009F3374" w:rsidRPr="000E53A0" w:rsidRDefault="009F3374">
            <w:pPr>
              <w:rPr>
                <w:rFonts w:ascii="Avenir Next Regular" w:hAnsi="Avenir Next Regular" w:cs="Calibri"/>
                <w:color w:val="000000" w:themeColor="text1"/>
                <w:sz w:val="16"/>
                <w:szCs w:val="16"/>
                <w:lang w:val="fr-FR"/>
              </w:rPr>
            </w:pPr>
          </w:p>
        </w:tc>
      </w:tr>
      <w:tr w:rsidR="009F3374" w14:paraId="7FEF3C90" w14:textId="77777777" w:rsidTr="009F3374">
        <w:trPr>
          <w:trHeight w:val="143"/>
        </w:trPr>
        <w:tc>
          <w:tcPr>
            <w:tcW w:w="1966" w:type="pct"/>
            <w:tcBorders>
              <w:top w:val="nil"/>
              <w:left w:val="single" w:sz="4" w:space="0" w:color="auto"/>
              <w:bottom w:val="single" w:sz="4" w:space="0" w:color="auto"/>
              <w:right w:val="single" w:sz="4" w:space="0" w:color="auto"/>
            </w:tcBorders>
            <w:hideMark/>
          </w:tcPr>
          <w:p w14:paraId="21056AC6" w14:textId="77777777" w:rsidR="009F3374" w:rsidRPr="000E53A0" w:rsidRDefault="009F3374">
            <w:pPr>
              <w:rPr>
                <w:rFonts w:ascii="Avenir Next Regular" w:hAnsi="Avenir Next Regular" w:cs="Calibri"/>
                <w:b/>
                <w:bCs/>
                <w:color w:val="000000" w:themeColor="text1"/>
                <w:sz w:val="16"/>
                <w:szCs w:val="16"/>
                <w:lang w:val="fr-FR"/>
              </w:rPr>
            </w:pPr>
            <w:r w:rsidRPr="000E53A0">
              <w:rPr>
                <w:rFonts w:ascii="Avenir Next Regular" w:hAnsi="Avenir Next Regular" w:cs="Calibri"/>
                <w:b/>
                <w:bCs/>
                <w:color w:val="000000" w:themeColor="text1"/>
                <w:sz w:val="16"/>
                <w:szCs w:val="16"/>
                <w:lang w:val="fr-FR"/>
              </w:rPr>
              <w:t> </w:t>
            </w:r>
          </w:p>
        </w:tc>
        <w:tc>
          <w:tcPr>
            <w:tcW w:w="825" w:type="pct"/>
            <w:tcBorders>
              <w:top w:val="nil"/>
              <w:left w:val="nil"/>
              <w:bottom w:val="single" w:sz="4" w:space="0" w:color="auto"/>
              <w:right w:val="single" w:sz="4" w:space="0" w:color="auto"/>
            </w:tcBorders>
            <w:hideMark/>
          </w:tcPr>
          <w:p w14:paraId="67DDE513" w14:textId="77777777" w:rsidR="009F3374" w:rsidRPr="000E53A0" w:rsidRDefault="009F3374">
            <w:pPr>
              <w:rPr>
                <w:rFonts w:ascii="Avenir Next Regular" w:hAnsi="Avenir Next Regular" w:cs="Calibri"/>
                <w:b/>
                <w:bCs/>
                <w:color w:val="000000" w:themeColor="text1"/>
                <w:sz w:val="16"/>
                <w:szCs w:val="16"/>
                <w:lang w:val="fr-FR"/>
              </w:rPr>
            </w:pPr>
            <w:r w:rsidRPr="000E53A0">
              <w:rPr>
                <w:rFonts w:ascii="Avenir Next Regular" w:hAnsi="Avenir Next Regular" w:cs="Calibri"/>
                <w:b/>
                <w:bCs/>
                <w:color w:val="000000" w:themeColor="text1"/>
                <w:sz w:val="16"/>
                <w:szCs w:val="16"/>
                <w:lang w:val="fr-FR"/>
              </w:rPr>
              <w:t> </w:t>
            </w:r>
          </w:p>
        </w:tc>
        <w:tc>
          <w:tcPr>
            <w:tcW w:w="1129" w:type="pct"/>
            <w:tcBorders>
              <w:top w:val="nil"/>
              <w:left w:val="nil"/>
              <w:bottom w:val="single" w:sz="4" w:space="0" w:color="auto"/>
              <w:right w:val="single" w:sz="4" w:space="0" w:color="auto"/>
            </w:tcBorders>
            <w:hideMark/>
          </w:tcPr>
          <w:p w14:paraId="46A9FE1E" w14:textId="77777777" w:rsidR="00601D9B" w:rsidRDefault="000E53A0">
            <w:pPr>
              <w:rPr>
                <w:rFonts w:ascii="Avenir Next Regular" w:hAnsi="Avenir Next Regular" w:cs="Calibri"/>
                <w:color w:val="000000" w:themeColor="text1"/>
                <w:sz w:val="16"/>
                <w:szCs w:val="16"/>
              </w:rPr>
            </w:pPr>
            <w:r>
              <w:rPr>
                <w:color w:val="000000" w:themeColor="text1"/>
              </w:rPr>
              <w:sym w:font="Symbol" w:char="F0C4"/>
            </w:r>
            <w:r>
              <w:rPr>
                <w:rFonts w:ascii="Avenir Next Regular" w:hAnsi="Avenir Next Regular" w:cs="Calibri"/>
                <w:color w:val="000000" w:themeColor="text1"/>
                <w:sz w:val="16"/>
                <w:szCs w:val="16"/>
              </w:rPr>
              <w:t>Participation et leadership</w:t>
            </w:r>
          </w:p>
        </w:tc>
        <w:tc>
          <w:tcPr>
            <w:tcW w:w="1080" w:type="pct"/>
            <w:tcBorders>
              <w:top w:val="nil"/>
              <w:left w:val="nil"/>
              <w:bottom w:val="single" w:sz="4" w:space="0" w:color="auto"/>
              <w:right w:val="single" w:sz="4" w:space="0" w:color="auto"/>
            </w:tcBorders>
            <w:hideMark/>
          </w:tcPr>
          <w:p w14:paraId="0286942D" w14:textId="77777777" w:rsidR="009F3374" w:rsidRDefault="009F3374">
            <w:pPr>
              <w:rPr>
                <w:rFonts w:ascii="Avenir Next Regular" w:hAnsi="Avenir Next Regular" w:cs="Calibri"/>
                <w:color w:val="000000" w:themeColor="text1"/>
                <w:sz w:val="16"/>
                <w:szCs w:val="16"/>
              </w:rPr>
            </w:pPr>
            <w:r>
              <w:rPr>
                <w:rFonts w:ascii="Avenir Next Regular" w:hAnsi="Avenir Next Regular" w:cs="Calibri"/>
                <w:color w:val="000000" w:themeColor="text1"/>
                <w:sz w:val="16"/>
                <w:szCs w:val="16"/>
              </w:rPr>
              <w:t> </w:t>
            </w:r>
          </w:p>
        </w:tc>
      </w:tr>
      <w:tr w:rsidR="009F3374" w:rsidRPr="000E53A0" w14:paraId="0D8B811F" w14:textId="77777777" w:rsidTr="009F3374">
        <w:trPr>
          <w:trHeight w:val="58"/>
        </w:trPr>
        <w:tc>
          <w:tcPr>
            <w:tcW w:w="1966" w:type="pct"/>
            <w:tcBorders>
              <w:top w:val="nil"/>
              <w:left w:val="single" w:sz="4" w:space="0" w:color="auto"/>
              <w:bottom w:val="single" w:sz="4" w:space="0" w:color="auto"/>
              <w:right w:val="single" w:sz="4" w:space="0" w:color="auto"/>
            </w:tcBorders>
            <w:hideMark/>
          </w:tcPr>
          <w:p w14:paraId="17F365B1"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6F90E7C7"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2518AB24" w14:textId="77777777" w:rsidR="00601D9B" w:rsidRPr="000E53A0" w:rsidRDefault="000E53A0">
            <w:pPr>
              <w:rPr>
                <w:rFonts w:ascii="Avenir Next Regular" w:hAnsi="Avenir Next Regular" w:cs="Calibri"/>
                <w:color w:val="000000" w:themeColor="text1"/>
                <w:sz w:val="16"/>
                <w:szCs w:val="16"/>
                <w:lang w:val="fr-FR"/>
              </w:rPr>
            </w:pPr>
            <w:r>
              <w:rPr>
                <w:color w:val="000000" w:themeColor="text1"/>
                <w:sz w:val="16"/>
                <w:szCs w:val="16"/>
              </w:rPr>
              <w:fldChar w:fldCharType="begin">
                <w:ffData>
                  <w:name w:val="IAP_cities"/>
                  <w:enabled/>
                  <w:calcOnExit w:val="0"/>
                  <w:checkBox>
                    <w:sizeAuto/>
                    <w:default w:val="0"/>
                  </w:checkBox>
                </w:ffData>
              </w:fldChar>
            </w:r>
            <w:r w:rsidRPr="000E53A0">
              <w:rPr>
                <w:color w:val="000000" w:themeColor="text1"/>
                <w:sz w:val="16"/>
                <w:szCs w:val="16"/>
                <w:lang w:val="fr-FR"/>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sidRPr="000E53A0">
              <w:rPr>
                <w:rFonts w:ascii="Avenir Next Regular" w:hAnsi="Avenir Next Regular" w:cs="Calibri"/>
                <w:color w:val="000000" w:themeColor="text1"/>
                <w:sz w:val="16"/>
                <w:szCs w:val="16"/>
                <w:lang w:val="fr-FR"/>
              </w:rPr>
              <w:t>Accès aux avantages et aux services</w:t>
            </w:r>
          </w:p>
        </w:tc>
        <w:tc>
          <w:tcPr>
            <w:tcW w:w="1080" w:type="pct"/>
            <w:tcBorders>
              <w:top w:val="nil"/>
              <w:left w:val="nil"/>
              <w:bottom w:val="single" w:sz="4" w:space="0" w:color="auto"/>
              <w:right w:val="single" w:sz="4" w:space="0" w:color="auto"/>
            </w:tcBorders>
            <w:hideMark/>
          </w:tcPr>
          <w:p w14:paraId="3E6A42A5" w14:textId="77777777" w:rsidR="009F3374" w:rsidRPr="000E53A0" w:rsidRDefault="009F3374">
            <w:pPr>
              <w:rPr>
                <w:rFonts w:ascii="Avenir Next Regular" w:hAnsi="Avenir Next Regular" w:cs="Calibri"/>
                <w:color w:val="000000" w:themeColor="text1"/>
                <w:sz w:val="16"/>
                <w:szCs w:val="16"/>
                <w:lang w:val="fr-FR"/>
              </w:rPr>
            </w:pPr>
            <w:r w:rsidRPr="000E53A0">
              <w:rPr>
                <w:rFonts w:ascii="Avenir Next Regular" w:hAnsi="Avenir Next Regular" w:cs="Calibri"/>
                <w:color w:val="000000" w:themeColor="text1"/>
                <w:sz w:val="16"/>
                <w:szCs w:val="16"/>
                <w:lang w:val="fr-FR"/>
              </w:rPr>
              <w:t> </w:t>
            </w:r>
          </w:p>
        </w:tc>
      </w:tr>
      <w:tr w:rsidR="009F3374" w14:paraId="3E1AEBF9" w14:textId="77777777" w:rsidTr="009F3374">
        <w:trPr>
          <w:trHeight w:val="58"/>
        </w:trPr>
        <w:tc>
          <w:tcPr>
            <w:tcW w:w="1966" w:type="pct"/>
            <w:tcBorders>
              <w:top w:val="nil"/>
              <w:left w:val="single" w:sz="4" w:space="0" w:color="auto"/>
              <w:bottom w:val="single" w:sz="4" w:space="0" w:color="auto"/>
              <w:right w:val="single" w:sz="4" w:space="0" w:color="auto"/>
            </w:tcBorders>
            <w:hideMark/>
          </w:tcPr>
          <w:p w14:paraId="3BE5392F" w14:textId="77777777" w:rsidR="009F3374" w:rsidRPr="000E53A0" w:rsidRDefault="009F3374">
            <w:pPr>
              <w:rPr>
                <w:rFonts w:ascii="Avenir Next Regular" w:hAnsi="Avenir Next Regular" w:cs="Calibri"/>
                <w:b/>
                <w:bCs/>
                <w:color w:val="000000" w:themeColor="text1"/>
                <w:sz w:val="16"/>
                <w:szCs w:val="16"/>
                <w:lang w:val="fr-FR"/>
              </w:rPr>
            </w:pPr>
            <w:r w:rsidRPr="000E53A0">
              <w:rPr>
                <w:rFonts w:ascii="Avenir Next Regular" w:hAnsi="Avenir Next Regular" w:cs="Calibri"/>
                <w:b/>
                <w:bCs/>
                <w:color w:val="000000" w:themeColor="text1"/>
                <w:sz w:val="16"/>
                <w:szCs w:val="16"/>
                <w:lang w:val="fr-FR"/>
              </w:rPr>
              <w:t> </w:t>
            </w:r>
          </w:p>
        </w:tc>
        <w:tc>
          <w:tcPr>
            <w:tcW w:w="825" w:type="pct"/>
            <w:tcBorders>
              <w:top w:val="nil"/>
              <w:left w:val="nil"/>
              <w:bottom w:val="single" w:sz="4" w:space="0" w:color="auto"/>
              <w:right w:val="single" w:sz="4" w:space="0" w:color="auto"/>
            </w:tcBorders>
            <w:hideMark/>
          </w:tcPr>
          <w:p w14:paraId="63CF9F62" w14:textId="77777777" w:rsidR="009F3374" w:rsidRPr="000E53A0" w:rsidRDefault="009F3374">
            <w:pPr>
              <w:rPr>
                <w:rFonts w:ascii="Avenir Next Regular" w:hAnsi="Avenir Next Regular" w:cs="Calibri"/>
                <w:b/>
                <w:bCs/>
                <w:color w:val="000000" w:themeColor="text1"/>
                <w:sz w:val="16"/>
                <w:szCs w:val="16"/>
                <w:lang w:val="fr-FR"/>
              </w:rPr>
            </w:pPr>
            <w:r w:rsidRPr="000E53A0">
              <w:rPr>
                <w:rFonts w:ascii="Avenir Next Regular" w:hAnsi="Avenir Next Regular" w:cs="Calibri"/>
                <w:b/>
                <w:bCs/>
                <w:color w:val="000000" w:themeColor="text1"/>
                <w:sz w:val="16"/>
                <w:szCs w:val="16"/>
                <w:lang w:val="fr-FR"/>
              </w:rPr>
              <w:t> </w:t>
            </w:r>
          </w:p>
        </w:tc>
        <w:tc>
          <w:tcPr>
            <w:tcW w:w="1129" w:type="pct"/>
            <w:tcBorders>
              <w:top w:val="nil"/>
              <w:left w:val="nil"/>
              <w:bottom w:val="single" w:sz="4" w:space="0" w:color="auto"/>
              <w:right w:val="single" w:sz="4" w:space="0" w:color="auto"/>
            </w:tcBorders>
            <w:hideMark/>
          </w:tcPr>
          <w:p w14:paraId="2F224E3D" w14:textId="77777777" w:rsidR="00601D9B" w:rsidRDefault="000E53A0">
            <w:pPr>
              <w:rPr>
                <w:rFonts w:ascii="Avenir Next Regular" w:hAnsi="Avenir Next Regular" w:cs="Calibri"/>
                <w:color w:val="000000" w:themeColor="text1"/>
                <w:sz w:val="16"/>
                <w:szCs w:val="16"/>
              </w:rPr>
            </w:pPr>
            <w:r>
              <w:rPr>
                <w:color w:val="000000" w:themeColor="text1"/>
              </w:rPr>
              <w:sym w:font="Symbol" w:char="F0C4"/>
            </w:r>
            <w:r>
              <w:rPr>
                <w:rFonts w:ascii="Avenir Next Regular" w:hAnsi="Avenir Next Regular" w:cs="Calibri"/>
                <w:color w:val="000000" w:themeColor="text1"/>
                <w:sz w:val="16"/>
                <w:szCs w:val="16"/>
              </w:rPr>
              <w:t>Développement des capacités</w:t>
            </w:r>
          </w:p>
        </w:tc>
        <w:tc>
          <w:tcPr>
            <w:tcW w:w="1080" w:type="pct"/>
            <w:tcBorders>
              <w:top w:val="nil"/>
              <w:left w:val="nil"/>
              <w:bottom w:val="single" w:sz="4" w:space="0" w:color="auto"/>
              <w:right w:val="single" w:sz="4" w:space="0" w:color="auto"/>
            </w:tcBorders>
            <w:hideMark/>
          </w:tcPr>
          <w:p w14:paraId="5220599E" w14:textId="77777777" w:rsidR="009F3374" w:rsidRDefault="009F3374">
            <w:pPr>
              <w:rPr>
                <w:rFonts w:ascii="Avenir Next Regular" w:hAnsi="Avenir Next Regular" w:cs="Calibri"/>
                <w:color w:val="000000" w:themeColor="text1"/>
                <w:sz w:val="16"/>
                <w:szCs w:val="16"/>
              </w:rPr>
            </w:pPr>
            <w:r>
              <w:rPr>
                <w:rFonts w:ascii="Avenir Next Regular" w:hAnsi="Avenir Next Regular" w:cs="Calibri"/>
                <w:color w:val="000000" w:themeColor="text1"/>
                <w:sz w:val="16"/>
                <w:szCs w:val="16"/>
              </w:rPr>
              <w:t> </w:t>
            </w:r>
          </w:p>
        </w:tc>
      </w:tr>
      <w:tr w:rsidR="009F3374" w14:paraId="284F87D5" w14:textId="77777777" w:rsidTr="009F3374">
        <w:trPr>
          <w:trHeight w:val="143"/>
        </w:trPr>
        <w:tc>
          <w:tcPr>
            <w:tcW w:w="1966" w:type="pct"/>
            <w:tcBorders>
              <w:top w:val="nil"/>
              <w:left w:val="single" w:sz="4" w:space="0" w:color="auto"/>
              <w:bottom w:val="single" w:sz="4" w:space="0" w:color="auto"/>
              <w:right w:val="single" w:sz="4" w:space="0" w:color="auto"/>
            </w:tcBorders>
            <w:hideMark/>
          </w:tcPr>
          <w:p w14:paraId="29DB86AD"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65CA5ECE"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single" w:sz="4" w:space="0" w:color="7F7F7F"/>
              <w:left w:val="single" w:sz="4" w:space="0" w:color="7F7F7F"/>
              <w:bottom w:val="single" w:sz="4" w:space="0" w:color="7F7F7F"/>
              <w:right w:val="single" w:sz="4" w:space="0" w:color="7F7F7F"/>
            </w:tcBorders>
            <w:hideMark/>
          </w:tcPr>
          <w:p w14:paraId="1FA3FB60" w14:textId="77777777" w:rsidR="00601D9B" w:rsidRDefault="000E53A0">
            <w:pPr>
              <w:rPr>
                <w:rFonts w:ascii="Avenir Next Regular" w:hAnsi="Avenir Next Regular" w:cs="Calibri"/>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color w:val="000000" w:themeColor="text1"/>
                <w:sz w:val="16"/>
                <w:szCs w:val="16"/>
              </w:rPr>
              <w:t>Sensibilisation</w:t>
            </w:r>
          </w:p>
        </w:tc>
        <w:tc>
          <w:tcPr>
            <w:tcW w:w="1080" w:type="pct"/>
            <w:hideMark/>
          </w:tcPr>
          <w:p w14:paraId="70EF52FC" w14:textId="77777777" w:rsidR="009F3374" w:rsidRDefault="009F3374">
            <w:pPr>
              <w:rPr>
                <w:rFonts w:ascii="Avenir Next Regular" w:hAnsi="Avenir Next Regular" w:cs="Calibri"/>
                <w:color w:val="000000" w:themeColor="text1"/>
                <w:sz w:val="16"/>
                <w:szCs w:val="16"/>
              </w:rPr>
            </w:pPr>
            <w:r>
              <w:rPr>
                <w:rFonts w:ascii="Avenir Next Regular" w:hAnsi="Avenir Next Regular" w:cs="Calibri"/>
                <w:color w:val="000000" w:themeColor="text1"/>
                <w:sz w:val="16"/>
                <w:szCs w:val="16"/>
              </w:rPr>
              <w:t> </w:t>
            </w:r>
          </w:p>
        </w:tc>
      </w:tr>
      <w:tr w:rsidR="009F3374" w14:paraId="5C0C8A25" w14:textId="77777777" w:rsidTr="009F3374">
        <w:trPr>
          <w:trHeight w:val="125"/>
        </w:trPr>
        <w:tc>
          <w:tcPr>
            <w:tcW w:w="1966" w:type="pct"/>
            <w:tcBorders>
              <w:top w:val="nil"/>
              <w:left w:val="single" w:sz="4" w:space="0" w:color="auto"/>
              <w:bottom w:val="single" w:sz="4" w:space="0" w:color="auto"/>
              <w:right w:val="single" w:sz="4" w:space="0" w:color="auto"/>
            </w:tcBorders>
            <w:hideMark/>
          </w:tcPr>
          <w:p w14:paraId="0E1ABAA4"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3276EB43"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single" w:sz="4" w:space="0" w:color="7F7F7F"/>
              <w:bottom w:val="single" w:sz="4" w:space="0" w:color="7F7F7F"/>
              <w:right w:val="single" w:sz="4" w:space="0" w:color="7F7F7F"/>
            </w:tcBorders>
            <w:hideMark/>
          </w:tcPr>
          <w:p w14:paraId="172C4056" w14:textId="77777777" w:rsidR="00601D9B" w:rsidRDefault="000E53A0">
            <w:pPr>
              <w:rPr>
                <w:rFonts w:ascii="Avenir Next Regular" w:hAnsi="Avenir Next Regular" w:cs="Calibri"/>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color w:val="000000" w:themeColor="text1"/>
                <w:sz w:val="16"/>
                <w:szCs w:val="16"/>
              </w:rPr>
              <w:t>Génération de connaissances</w:t>
            </w:r>
          </w:p>
        </w:tc>
        <w:tc>
          <w:tcPr>
            <w:tcW w:w="1080" w:type="pct"/>
            <w:hideMark/>
          </w:tcPr>
          <w:p w14:paraId="17ACD24D" w14:textId="77777777" w:rsidR="009F3374" w:rsidRDefault="009F3374">
            <w:pPr>
              <w:rPr>
                <w:rFonts w:ascii="Avenir Next Regular" w:hAnsi="Avenir Next Regular" w:cs="Calibri"/>
                <w:color w:val="000000" w:themeColor="text1"/>
                <w:sz w:val="16"/>
                <w:szCs w:val="16"/>
              </w:rPr>
            </w:pPr>
            <w:r>
              <w:rPr>
                <w:rFonts w:ascii="Avenir Next Regular" w:hAnsi="Avenir Next Regular" w:cs="Calibri"/>
                <w:color w:val="000000" w:themeColor="text1"/>
                <w:sz w:val="16"/>
                <w:szCs w:val="16"/>
              </w:rPr>
              <w:t> </w:t>
            </w:r>
          </w:p>
        </w:tc>
      </w:tr>
      <w:tr w:rsidR="009F3374" w14:paraId="39F9371A" w14:textId="77777777" w:rsidTr="009F3374">
        <w:trPr>
          <w:trHeight w:val="179"/>
        </w:trPr>
        <w:tc>
          <w:tcPr>
            <w:tcW w:w="1966" w:type="pct"/>
            <w:tcBorders>
              <w:top w:val="nil"/>
              <w:left w:val="single" w:sz="4" w:space="0" w:color="auto"/>
              <w:bottom w:val="single" w:sz="4" w:space="0" w:color="auto"/>
              <w:right w:val="single" w:sz="4" w:space="0" w:color="auto"/>
            </w:tcBorders>
            <w:noWrap/>
            <w:vAlign w:val="bottom"/>
            <w:hideMark/>
          </w:tcPr>
          <w:p w14:paraId="681C93CB" w14:textId="77777777" w:rsidR="00601D9B" w:rsidRDefault="000E53A0">
            <w:pPr>
              <w:rPr>
                <w:rFonts w:ascii="Avenir Next Regular" w:hAnsi="Avenir Next Regular" w:cs="Calibri"/>
                <w:b/>
                <w:bCs/>
                <w:color w:val="000000" w:themeColor="text1"/>
                <w:sz w:val="16"/>
                <w:szCs w:val="16"/>
              </w:rPr>
            </w:pPr>
            <w:r>
              <w:rPr>
                <w:color w:val="000000" w:themeColor="text1"/>
              </w:rPr>
              <w:sym w:font="Symbol" w:char="F0C4"/>
            </w:r>
            <w:r>
              <w:rPr>
                <w:rFonts w:ascii="Avenir Next Regular" w:hAnsi="Avenir Next Regular" w:cs="Calibri"/>
                <w:b/>
                <w:bCs/>
                <w:color w:val="000000" w:themeColor="text1"/>
                <w:sz w:val="16"/>
                <w:szCs w:val="16"/>
              </w:rPr>
              <w:t>Domaines d'intervention/thème</w:t>
            </w:r>
          </w:p>
        </w:tc>
        <w:tc>
          <w:tcPr>
            <w:tcW w:w="825" w:type="pct"/>
            <w:tcBorders>
              <w:top w:val="nil"/>
              <w:left w:val="nil"/>
              <w:bottom w:val="single" w:sz="4" w:space="0" w:color="auto"/>
              <w:right w:val="single" w:sz="4" w:space="0" w:color="auto"/>
            </w:tcBorders>
          </w:tcPr>
          <w:p w14:paraId="2B5EB13B" w14:textId="77777777" w:rsidR="009F3374" w:rsidRDefault="009F3374">
            <w:pPr>
              <w:rPr>
                <w:rFonts w:ascii="Avenir Next Regular" w:hAnsi="Avenir Next Regular" w:cs="Calibri"/>
                <w:b/>
                <w:bCs/>
                <w:color w:val="000000" w:themeColor="text1"/>
                <w:sz w:val="16"/>
                <w:szCs w:val="16"/>
              </w:rPr>
            </w:pPr>
          </w:p>
        </w:tc>
        <w:tc>
          <w:tcPr>
            <w:tcW w:w="1129" w:type="pct"/>
            <w:tcBorders>
              <w:top w:val="single" w:sz="4" w:space="0" w:color="auto"/>
              <w:left w:val="nil"/>
              <w:bottom w:val="single" w:sz="4" w:space="0" w:color="auto"/>
              <w:right w:val="single" w:sz="4" w:space="0" w:color="auto"/>
            </w:tcBorders>
            <w:hideMark/>
          </w:tcPr>
          <w:p w14:paraId="6AC20025" w14:textId="77777777" w:rsidR="009F3374" w:rsidRDefault="009F3374">
            <w:pPr>
              <w:rPr>
                <w:rFonts w:ascii="Avenir Next Regular" w:hAnsi="Avenir Next Regular" w:cs="Calibri"/>
                <w:iCs/>
                <w:color w:val="000000" w:themeColor="text1"/>
                <w:sz w:val="16"/>
                <w:szCs w:val="16"/>
              </w:rPr>
            </w:pPr>
            <w:r>
              <w:rPr>
                <w:rFonts w:ascii="Avenir Next Regular" w:hAnsi="Avenir Next Regular" w:cs="Calibri"/>
                <w:iCs/>
                <w:color w:val="000000" w:themeColor="text1"/>
                <w:sz w:val="16"/>
                <w:szCs w:val="16"/>
              </w:rPr>
              <w:t> </w:t>
            </w:r>
          </w:p>
        </w:tc>
        <w:tc>
          <w:tcPr>
            <w:tcW w:w="1080" w:type="pct"/>
            <w:tcBorders>
              <w:top w:val="single" w:sz="4" w:space="0" w:color="auto"/>
              <w:left w:val="nil"/>
              <w:bottom w:val="single" w:sz="4" w:space="0" w:color="auto"/>
              <w:right w:val="single" w:sz="4" w:space="0" w:color="auto"/>
            </w:tcBorders>
            <w:hideMark/>
          </w:tcPr>
          <w:p w14:paraId="2F8C71DF" w14:textId="77777777" w:rsidR="009F3374" w:rsidRDefault="009F3374">
            <w:pPr>
              <w:rPr>
                <w:rFonts w:ascii="Avenir Next Regular" w:hAnsi="Avenir Next Regular" w:cs="Calibri"/>
                <w:color w:val="000000" w:themeColor="text1"/>
                <w:sz w:val="16"/>
                <w:szCs w:val="16"/>
              </w:rPr>
            </w:pPr>
            <w:r>
              <w:rPr>
                <w:rFonts w:ascii="Avenir Next Regular" w:hAnsi="Avenir Next Regular" w:cs="Calibri"/>
                <w:color w:val="000000" w:themeColor="text1"/>
                <w:sz w:val="16"/>
                <w:szCs w:val="16"/>
              </w:rPr>
              <w:t> </w:t>
            </w:r>
          </w:p>
        </w:tc>
      </w:tr>
      <w:tr w:rsidR="009F3374" w14:paraId="26DC6619" w14:textId="77777777" w:rsidTr="009F3374">
        <w:trPr>
          <w:trHeight w:val="179"/>
        </w:trPr>
        <w:tc>
          <w:tcPr>
            <w:tcW w:w="1966" w:type="pct"/>
            <w:tcBorders>
              <w:top w:val="nil"/>
              <w:left w:val="single" w:sz="4" w:space="0" w:color="auto"/>
              <w:bottom w:val="single" w:sz="4" w:space="0" w:color="auto"/>
              <w:right w:val="single" w:sz="4" w:space="0" w:color="auto"/>
            </w:tcBorders>
            <w:noWrap/>
            <w:vAlign w:val="bottom"/>
          </w:tcPr>
          <w:p w14:paraId="28C3B80A" w14:textId="77777777" w:rsidR="009F3374" w:rsidRDefault="009F3374">
            <w:pPr>
              <w:rPr>
                <w:color w:val="000000" w:themeColor="text1"/>
                <w:sz w:val="16"/>
                <w:szCs w:val="16"/>
              </w:rPr>
            </w:pPr>
          </w:p>
        </w:tc>
        <w:tc>
          <w:tcPr>
            <w:tcW w:w="825" w:type="pct"/>
            <w:tcBorders>
              <w:top w:val="nil"/>
              <w:left w:val="nil"/>
              <w:bottom w:val="single" w:sz="4" w:space="0" w:color="auto"/>
              <w:right w:val="single" w:sz="4" w:space="0" w:color="auto"/>
            </w:tcBorders>
            <w:hideMark/>
          </w:tcPr>
          <w:p w14:paraId="77781811" w14:textId="77777777" w:rsidR="00601D9B" w:rsidRDefault="000E53A0">
            <w:pPr>
              <w:rPr>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b/>
                <w:bCs/>
                <w:color w:val="000000" w:themeColor="text1"/>
                <w:sz w:val="16"/>
                <w:szCs w:val="16"/>
              </w:rPr>
              <w:t>Programmes intégrés</w:t>
            </w:r>
          </w:p>
        </w:tc>
        <w:tc>
          <w:tcPr>
            <w:tcW w:w="1129" w:type="pct"/>
            <w:tcBorders>
              <w:top w:val="single" w:sz="4" w:space="0" w:color="auto"/>
              <w:left w:val="nil"/>
              <w:bottom w:val="single" w:sz="4" w:space="0" w:color="auto"/>
              <w:right w:val="single" w:sz="4" w:space="0" w:color="auto"/>
            </w:tcBorders>
          </w:tcPr>
          <w:p w14:paraId="55404C78" w14:textId="77777777" w:rsidR="009F3374" w:rsidRDefault="009F3374">
            <w:pPr>
              <w:rPr>
                <w:rFonts w:ascii="Avenir Next Regular" w:hAnsi="Avenir Next Regular" w:cs="Calibri"/>
                <w:iCs/>
                <w:color w:val="000000" w:themeColor="text1"/>
                <w:sz w:val="16"/>
                <w:szCs w:val="16"/>
              </w:rPr>
            </w:pPr>
          </w:p>
        </w:tc>
        <w:tc>
          <w:tcPr>
            <w:tcW w:w="1080" w:type="pct"/>
            <w:tcBorders>
              <w:top w:val="single" w:sz="4" w:space="0" w:color="auto"/>
              <w:left w:val="nil"/>
              <w:bottom w:val="single" w:sz="4" w:space="0" w:color="auto"/>
              <w:right w:val="single" w:sz="4" w:space="0" w:color="auto"/>
            </w:tcBorders>
          </w:tcPr>
          <w:p w14:paraId="1EC28105" w14:textId="77777777" w:rsidR="009F3374" w:rsidRDefault="009F3374">
            <w:pPr>
              <w:rPr>
                <w:rFonts w:ascii="Avenir Next Regular" w:hAnsi="Avenir Next Regular" w:cs="Calibri"/>
                <w:color w:val="000000" w:themeColor="text1"/>
                <w:sz w:val="16"/>
                <w:szCs w:val="16"/>
              </w:rPr>
            </w:pPr>
          </w:p>
        </w:tc>
      </w:tr>
      <w:tr w:rsidR="009F3374" w:rsidRPr="000E53A0" w14:paraId="0C816C37" w14:textId="77777777" w:rsidTr="009F3374">
        <w:trPr>
          <w:trHeight w:val="224"/>
        </w:trPr>
        <w:tc>
          <w:tcPr>
            <w:tcW w:w="1966" w:type="pct"/>
            <w:tcBorders>
              <w:top w:val="nil"/>
              <w:left w:val="single" w:sz="4" w:space="0" w:color="auto"/>
              <w:bottom w:val="single" w:sz="4" w:space="0" w:color="auto"/>
              <w:right w:val="single" w:sz="4" w:space="0" w:color="auto"/>
            </w:tcBorders>
            <w:noWrap/>
            <w:vAlign w:val="bottom"/>
            <w:hideMark/>
          </w:tcPr>
          <w:p w14:paraId="70459948"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391654F2"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28C59012" w14:textId="77777777" w:rsidR="00601D9B" w:rsidRPr="000E53A0" w:rsidRDefault="000E53A0">
            <w:pPr>
              <w:ind w:left="150" w:hanging="150"/>
              <w:rPr>
                <w:rFonts w:ascii="Avenir Next Regular" w:hAnsi="Avenir Next Regular" w:cs="Calibri"/>
                <w:iCs/>
                <w:color w:val="000000" w:themeColor="text1"/>
                <w:sz w:val="16"/>
                <w:szCs w:val="16"/>
                <w:lang w:val="fr-FR"/>
              </w:rPr>
            </w:pPr>
            <w:r>
              <w:rPr>
                <w:color w:val="000000" w:themeColor="text1"/>
                <w:sz w:val="16"/>
                <w:szCs w:val="16"/>
              </w:rPr>
              <w:fldChar w:fldCharType="begin">
                <w:ffData>
                  <w:name w:val="IAP_cities"/>
                  <w:enabled/>
                  <w:calcOnExit w:val="0"/>
                  <w:checkBox>
                    <w:sizeAuto/>
                    <w:default w:val="0"/>
                  </w:checkBox>
                </w:ffData>
              </w:fldChar>
            </w:r>
            <w:r w:rsidRPr="000E53A0">
              <w:rPr>
                <w:color w:val="000000" w:themeColor="text1"/>
                <w:sz w:val="16"/>
                <w:szCs w:val="16"/>
                <w:lang w:val="fr-FR"/>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sidRPr="000E53A0">
              <w:rPr>
                <w:rFonts w:ascii="Avenir Next Regular" w:hAnsi="Avenir Next Regular" w:cs="Calibri"/>
                <w:iCs/>
                <w:color w:val="000000" w:themeColor="text1"/>
                <w:sz w:val="16"/>
                <w:szCs w:val="16"/>
                <w:lang w:val="fr-FR"/>
              </w:rPr>
              <w:t xml:space="preserve">Chaînes d'approvisionnement en produits de base (Partenariat pour une bonne croissance)  </w:t>
            </w:r>
            <w:r>
              <w:rPr>
                <w:rStyle w:val="Appelnotedebasdep"/>
                <w:rFonts w:ascii="Avenir Next Regular" w:hAnsi="Avenir Next Regular" w:cs="Calibri"/>
                <w:iCs/>
                <w:color w:val="000000" w:themeColor="text1"/>
                <w:sz w:val="16"/>
                <w:szCs w:val="16"/>
              </w:rPr>
              <w:footnoteReference w:id="93"/>
            </w:r>
          </w:p>
        </w:tc>
        <w:tc>
          <w:tcPr>
            <w:tcW w:w="1080" w:type="pct"/>
            <w:tcBorders>
              <w:top w:val="nil"/>
              <w:left w:val="nil"/>
              <w:bottom w:val="single" w:sz="4" w:space="0" w:color="auto"/>
              <w:right w:val="single" w:sz="4" w:space="0" w:color="auto"/>
            </w:tcBorders>
            <w:hideMark/>
          </w:tcPr>
          <w:p w14:paraId="3E34D94E" w14:textId="77777777" w:rsidR="009F3374" w:rsidRPr="000E53A0" w:rsidRDefault="009F3374">
            <w:pPr>
              <w:rPr>
                <w:rFonts w:ascii="Avenir Next Regular" w:hAnsi="Avenir Next Regular" w:cs="Calibri"/>
                <w:color w:val="000000" w:themeColor="text1"/>
                <w:sz w:val="16"/>
                <w:szCs w:val="16"/>
                <w:lang w:val="fr-FR"/>
              </w:rPr>
            </w:pPr>
            <w:r w:rsidRPr="000E53A0">
              <w:rPr>
                <w:rFonts w:ascii="Avenir Next Regular" w:hAnsi="Avenir Next Regular" w:cs="Calibri"/>
                <w:color w:val="000000" w:themeColor="text1"/>
                <w:sz w:val="16"/>
                <w:szCs w:val="16"/>
                <w:lang w:val="fr-FR"/>
              </w:rPr>
              <w:t> </w:t>
            </w:r>
          </w:p>
        </w:tc>
      </w:tr>
      <w:tr w:rsidR="009F3374" w:rsidRPr="000E53A0" w14:paraId="461DAE63" w14:textId="77777777" w:rsidTr="009F3374">
        <w:trPr>
          <w:trHeight w:val="233"/>
        </w:trPr>
        <w:tc>
          <w:tcPr>
            <w:tcW w:w="1966" w:type="pct"/>
            <w:tcBorders>
              <w:top w:val="nil"/>
              <w:left w:val="single" w:sz="4" w:space="0" w:color="auto"/>
              <w:bottom w:val="single" w:sz="4" w:space="0" w:color="auto"/>
              <w:right w:val="single" w:sz="4" w:space="0" w:color="auto"/>
            </w:tcBorders>
            <w:noWrap/>
            <w:vAlign w:val="bottom"/>
            <w:hideMark/>
          </w:tcPr>
          <w:p w14:paraId="5C213C84" w14:textId="77777777" w:rsidR="009F3374" w:rsidRPr="000E53A0" w:rsidRDefault="009F3374">
            <w:pPr>
              <w:rPr>
                <w:rFonts w:ascii="Avenir Next Regular" w:hAnsi="Avenir Next Regular" w:cs="Calibri"/>
                <w:b/>
                <w:bCs/>
                <w:color w:val="000000" w:themeColor="text1"/>
                <w:sz w:val="16"/>
                <w:szCs w:val="16"/>
                <w:lang w:val="fr-FR"/>
              </w:rPr>
            </w:pPr>
            <w:r w:rsidRPr="000E53A0">
              <w:rPr>
                <w:rFonts w:ascii="Avenir Next Regular" w:hAnsi="Avenir Next Regular" w:cs="Calibri"/>
                <w:b/>
                <w:bCs/>
                <w:color w:val="000000" w:themeColor="text1"/>
                <w:sz w:val="16"/>
                <w:szCs w:val="16"/>
                <w:lang w:val="fr-FR"/>
              </w:rPr>
              <w:t> </w:t>
            </w:r>
          </w:p>
        </w:tc>
        <w:tc>
          <w:tcPr>
            <w:tcW w:w="825" w:type="pct"/>
            <w:tcBorders>
              <w:top w:val="nil"/>
              <w:left w:val="nil"/>
              <w:bottom w:val="single" w:sz="4" w:space="0" w:color="auto"/>
              <w:right w:val="single" w:sz="4" w:space="0" w:color="auto"/>
            </w:tcBorders>
            <w:hideMark/>
          </w:tcPr>
          <w:p w14:paraId="021B792F" w14:textId="77777777" w:rsidR="009F3374" w:rsidRPr="000E53A0" w:rsidRDefault="009F3374">
            <w:pPr>
              <w:rPr>
                <w:rFonts w:ascii="Avenir Next Regular" w:hAnsi="Avenir Next Regular" w:cs="Calibri"/>
                <w:b/>
                <w:bCs/>
                <w:color w:val="000000" w:themeColor="text1"/>
                <w:sz w:val="16"/>
                <w:szCs w:val="16"/>
                <w:lang w:val="fr-FR"/>
              </w:rPr>
            </w:pPr>
            <w:r w:rsidRPr="000E53A0">
              <w:rPr>
                <w:rFonts w:ascii="Avenir Next Regular" w:hAnsi="Avenir Next Regular" w:cs="Calibri"/>
                <w:b/>
                <w:bCs/>
                <w:color w:val="000000" w:themeColor="text1"/>
                <w:sz w:val="16"/>
                <w:szCs w:val="16"/>
                <w:lang w:val="fr-FR"/>
              </w:rPr>
              <w:t> </w:t>
            </w:r>
          </w:p>
        </w:tc>
        <w:tc>
          <w:tcPr>
            <w:tcW w:w="1129" w:type="pct"/>
            <w:tcBorders>
              <w:top w:val="nil"/>
              <w:left w:val="nil"/>
              <w:bottom w:val="single" w:sz="4" w:space="0" w:color="auto"/>
              <w:right w:val="single" w:sz="4" w:space="0" w:color="auto"/>
            </w:tcBorders>
            <w:hideMark/>
          </w:tcPr>
          <w:p w14:paraId="7304C2C2" w14:textId="77777777" w:rsidR="009F3374" w:rsidRPr="000E53A0" w:rsidRDefault="009F3374">
            <w:pPr>
              <w:rPr>
                <w:rFonts w:ascii="Avenir Next Regular" w:hAnsi="Avenir Next Regular" w:cs="Calibri"/>
                <w:iCs/>
                <w:color w:val="000000" w:themeColor="text1"/>
                <w:sz w:val="16"/>
                <w:szCs w:val="16"/>
                <w:lang w:val="fr-FR"/>
              </w:rPr>
            </w:pPr>
            <w:r w:rsidRPr="000E53A0">
              <w:rPr>
                <w:rFonts w:ascii="Avenir Next Regular" w:hAnsi="Avenir Next Regular" w:cs="Calibri"/>
                <w:iCs/>
                <w:color w:val="000000" w:themeColor="text1"/>
                <w:sz w:val="16"/>
                <w:szCs w:val="16"/>
                <w:lang w:val="fr-FR"/>
              </w:rPr>
              <w:t> </w:t>
            </w:r>
          </w:p>
        </w:tc>
        <w:tc>
          <w:tcPr>
            <w:tcW w:w="1080" w:type="pct"/>
            <w:tcBorders>
              <w:top w:val="nil"/>
              <w:left w:val="nil"/>
              <w:bottom w:val="single" w:sz="4" w:space="0" w:color="auto"/>
              <w:right w:val="single" w:sz="4" w:space="0" w:color="auto"/>
            </w:tcBorders>
            <w:hideMark/>
          </w:tcPr>
          <w:p w14:paraId="18B07FA5" w14:textId="77777777" w:rsidR="00601D9B" w:rsidRPr="000E53A0" w:rsidRDefault="000E53A0">
            <w:pPr>
              <w:ind w:left="192" w:hanging="192"/>
              <w:rPr>
                <w:rFonts w:ascii="Avenir Next Regular" w:hAnsi="Avenir Next Regular" w:cs="Calibri"/>
                <w:color w:val="000000" w:themeColor="text1"/>
                <w:sz w:val="16"/>
                <w:szCs w:val="16"/>
                <w:lang w:val="fr-FR"/>
              </w:rPr>
            </w:pPr>
            <w:r>
              <w:rPr>
                <w:color w:val="000000" w:themeColor="text1"/>
                <w:sz w:val="16"/>
                <w:szCs w:val="16"/>
              </w:rPr>
              <w:fldChar w:fldCharType="begin">
                <w:ffData>
                  <w:name w:val="IAP_cities"/>
                  <w:enabled/>
                  <w:calcOnExit w:val="0"/>
                  <w:checkBox>
                    <w:sizeAuto/>
                    <w:default w:val="0"/>
                  </w:checkBox>
                </w:ffData>
              </w:fldChar>
            </w:r>
            <w:r w:rsidRPr="000E53A0">
              <w:rPr>
                <w:color w:val="000000" w:themeColor="text1"/>
                <w:sz w:val="16"/>
                <w:szCs w:val="16"/>
                <w:lang w:val="fr-FR"/>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sidRPr="000E53A0">
              <w:rPr>
                <w:rFonts w:ascii="Avenir Next Regular" w:hAnsi="Avenir Next Regular" w:cs="Calibri"/>
                <w:color w:val="000000" w:themeColor="text1"/>
                <w:sz w:val="16"/>
                <w:szCs w:val="16"/>
                <w:lang w:val="fr-FR"/>
              </w:rPr>
              <w:t>Production de matières premières durables</w:t>
            </w:r>
          </w:p>
        </w:tc>
      </w:tr>
      <w:tr w:rsidR="009F3374" w14:paraId="5E923088" w14:textId="77777777" w:rsidTr="009F3374">
        <w:trPr>
          <w:trHeight w:val="89"/>
        </w:trPr>
        <w:tc>
          <w:tcPr>
            <w:tcW w:w="1966" w:type="pct"/>
            <w:tcBorders>
              <w:top w:val="nil"/>
              <w:left w:val="single" w:sz="4" w:space="0" w:color="auto"/>
              <w:bottom w:val="single" w:sz="4" w:space="0" w:color="auto"/>
              <w:right w:val="single" w:sz="4" w:space="0" w:color="auto"/>
            </w:tcBorders>
            <w:noWrap/>
            <w:vAlign w:val="bottom"/>
            <w:hideMark/>
          </w:tcPr>
          <w:p w14:paraId="7BB7F6CF" w14:textId="77777777" w:rsidR="009F3374" w:rsidRPr="000E53A0" w:rsidRDefault="009F3374">
            <w:pPr>
              <w:rPr>
                <w:rFonts w:ascii="Avenir Next Regular" w:hAnsi="Avenir Next Regular" w:cs="Calibri"/>
                <w:b/>
                <w:bCs/>
                <w:color w:val="000000" w:themeColor="text1"/>
                <w:sz w:val="16"/>
                <w:szCs w:val="16"/>
                <w:lang w:val="fr-FR"/>
              </w:rPr>
            </w:pPr>
            <w:r w:rsidRPr="000E53A0">
              <w:rPr>
                <w:rFonts w:ascii="Avenir Next Regular" w:hAnsi="Avenir Next Regular" w:cs="Calibri"/>
                <w:b/>
                <w:bCs/>
                <w:color w:val="000000" w:themeColor="text1"/>
                <w:sz w:val="16"/>
                <w:szCs w:val="16"/>
                <w:lang w:val="fr-FR"/>
              </w:rPr>
              <w:t> </w:t>
            </w:r>
          </w:p>
        </w:tc>
        <w:tc>
          <w:tcPr>
            <w:tcW w:w="825" w:type="pct"/>
            <w:tcBorders>
              <w:top w:val="nil"/>
              <w:left w:val="nil"/>
              <w:bottom w:val="single" w:sz="4" w:space="0" w:color="auto"/>
              <w:right w:val="single" w:sz="4" w:space="0" w:color="auto"/>
            </w:tcBorders>
            <w:hideMark/>
          </w:tcPr>
          <w:p w14:paraId="5B846426" w14:textId="77777777" w:rsidR="009F3374" w:rsidRPr="000E53A0" w:rsidRDefault="009F3374">
            <w:pPr>
              <w:rPr>
                <w:rFonts w:ascii="Avenir Next Regular" w:hAnsi="Avenir Next Regular" w:cs="Calibri"/>
                <w:b/>
                <w:bCs/>
                <w:color w:val="000000" w:themeColor="text1"/>
                <w:sz w:val="16"/>
                <w:szCs w:val="16"/>
                <w:lang w:val="fr-FR"/>
              </w:rPr>
            </w:pPr>
            <w:r w:rsidRPr="000E53A0">
              <w:rPr>
                <w:rFonts w:ascii="Avenir Next Regular" w:hAnsi="Avenir Next Regular" w:cs="Calibri"/>
                <w:b/>
                <w:bCs/>
                <w:color w:val="000000" w:themeColor="text1"/>
                <w:sz w:val="16"/>
                <w:szCs w:val="16"/>
                <w:lang w:val="fr-FR"/>
              </w:rPr>
              <w:t> </w:t>
            </w:r>
          </w:p>
        </w:tc>
        <w:tc>
          <w:tcPr>
            <w:tcW w:w="1129" w:type="pct"/>
            <w:tcBorders>
              <w:top w:val="nil"/>
              <w:left w:val="nil"/>
              <w:bottom w:val="single" w:sz="4" w:space="0" w:color="auto"/>
              <w:right w:val="single" w:sz="4" w:space="0" w:color="auto"/>
            </w:tcBorders>
            <w:hideMark/>
          </w:tcPr>
          <w:p w14:paraId="0102F6E0" w14:textId="77777777" w:rsidR="009F3374" w:rsidRPr="000E53A0" w:rsidRDefault="009F3374">
            <w:pPr>
              <w:rPr>
                <w:rFonts w:ascii="Avenir Next Regular" w:hAnsi="Avenir Next Regular" w:cs="Calibri"/>
                <w:iCs/>
                <w:color w:val="000000" w:themeColor="text1"/>
                <w:sz w:val="16"/>
                <w:szCs w:val="16"/>
                <w:lang w:val="fr-FR"/>
              </w:rPr>
            </w:pPr>
            <w:r w:rsidRPr="000E53A0">
              <w:rPr>
                <w:rFonts w:ascii="Avenir Next Regular" w:hAnsi="Avenir Next Regular" w:cs="Calibri"/>
                <w:iCs/>
                <w:color w:val="000000" w:themeColor="text1"/>
                <w:sz w:val="16"/>
                <w:szCs w:val="16"/>
                <w:lang w:val="fr-FR"/>
              </w:rPr>
              <w:t> </w:t>
            </w:r>
          </w:p>
        </w:tc>
        <w:tc>
          <w:tcPr>
            <w:tcW w:w="1080" w:type="pct"/>
            <w:tcBorders>
              <w:top w:val="nil"/>
              <w:left w:val="nil"/>
              <w:bottom w:val="single" w:sz="4" w:space="0" w:color="auto"/>
              <w:right w:val="single" w:sz="4" w:space="0" w:color="auto"/>
            </w:tcBorders>
            <w:hideMark/>
          </w:tcPr>
          <w:p w14:paraId="69C5A685" w14:textId="77777777" w:rsidR="00601D9B" w:rsidRDefault="000E53A0">
            <w:pPr>
              <w:rPr>
                <w:rFonts w:ascii="Avenir Next Regular" w:hAnsi="Avenir Next Regular" w:cs="Calibri"/>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color w:val="000000" w:themeColor="text1"/>
                <w:sz w:val="16"/>
                <w:szCs w:val="16"/>
              </w:rPr>
              <w:t>Approvisionnement sans déforestation</w:t>
            </w:r>
          </w:p>
        </w:tc>
      </w:tr>
      <w:tr w:rsidR="009F3374" w14:paraId="6CCC8E8F" w14:textId="77777777" w:rsidTr="009F3374">
        <w:trPr>
          <w:trHeight w:val="161"/>
        </w:trPr>
        <w:tc>
          <w:tcPr>
            <w:tcW w:w="1966" w:type="pct"/>
            <w:tcBorders>
              <w:top w:val="nil"/>
              <w:left w:val="single" w:sz="4" w:space="0" w:color="auto"/>
              <w:bottom w:val="single" w:sz="4" w:space="0" w:color="auto"/>
              <w:right w:val="single" w:sz="4" w:space="0" w:color="auto"/>
            </w:tcBorders>
            <w:noWrap/>
            <w:vAlign w:val="bottom"/>
            <w:hideMark/>
          </w:tcPr>
          <w:p w14:paraId="295CAC25"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6344E001"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64527B06" w14:textId="77777777" w:rsidR="009F3374" w:rsidRDefault="009F3374">
            <w:pPr>
              <w:rPr>
                <w:rFonts w:ascii="Avenir Next Regular" w:hAnsi="Avenir Next Regular" w:cs="Calibri"/>
                <w:iCs/>
                <w:color w:val="000000" w:themeColor="text1"/>
                <w:sz w:val="16"/>
                <w:szCs w:val="16"/>
              </w:rPr>
            </w:pPr>
            <w:r>
              <w:rPr>
                <w:rFonts w:ascii="Avenir Next Regular" w:hAnsi="Avenir Next Regular" w:cs="Calibri"/>
                <w:iCs/>
                <w:color w:val="000000" w:themeColor="text1"/>
                <w:sz w:val="16"/>
                <w:szCs w:val="16"/>
              </w:rPr>
              <w:t> </w:t>
            </w:r>
          </w:p>
        </w:tc>
        <w:tc>
          <w:tcPr>
            <w:tcW w:w="1080" w:type="pct"/>
            <w:tcBorders>
              <w:top w:val="nil"/>
              <w:left w:val="nil"/>
              <w:bottom w:val="single" w:sz="4" w:space="0" w:color="auto"/>
              <w:right w:val="single" w:sz="4" w:space="0" w:color="auto"/>
            </w:tcBorders>
            <w:hideMark/>
          </w:tcPr>
          <w:p w14:paraId="4B468E43" w14:textId="77777777" w:rsidR="00601D9B" w:rsidRDefault="000E53A0">
            <w:pPr>
              <w:rPr>
                <w:rFonts w:ascii="Avenir Next Regular" w:hAnsi="Avenir Next Regular" w:cs="Calibri"/>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color w:val="000000" w:themeColor="text1"/>
                <w:sz w:val="16"/>
                <w:szCs w:val="16"/>
              </w:rPr>
              <w:t>Outils d'analyse financière</w:t>
            </w:r>
          </w:p>
        </w:tc>
      </w:tr>
      <w:tr w:rsidR="009F3374" w:rsidRPr="000E53A0" w14:paraId="5B2FDA4F" w14:textId="77777777" w:rsidTr="009F3374">
        <w:trPr>
          <w:trHeight w:val="98"/>
        </w:trPr>
        <w:tc>
          <w:tcPr>
            <w:tcW w:w="1966" w:type="pct"/>
            <w:tcBorders>
              <w:top w:val="nil"/>
              <w:left w:val="single" w:sz="4" w:space="0" w:color="auto"/>
              <w:bottom w:val="single" w:sz="4" w:space="0" w:color="auto"/>
              <w:right w:val="single" w:sz="4" w:space="0" w:color="auto"/>
            </w:tcBorders>
            <w:noWrap/>
            <w:vAlign w:val="bottom"/>
            <w:hideMark/>
          </w:tcPr>
          <w:p w14:paraId="7E85E534"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71B6F366"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12A48578" w14:textId="77777777" w:rsidR="009F3374" w:rsidRDefault="009F3374">
            <w:pPr>
              <w:rPr>
                <w:rFonts w:ascii="Avenir Next Regular" w:hAnsi="Avenir Next Regular" w:cs="Calibri"/>
                <w:iCs/>
                <w:color w:val="000000" w:themeColor="text1"/>
                <w:sz w:val="16"/>
                <w:szCs w:val="16"/>
              </w:rPr>
            </w:pPr>
            <w:r>
              <w:rPr>
                <w:rFonts w:ascii="Avenir Next Regular" w:hAnsi="Avenir Next Regular" w:cs="Calibri"/>
                <w:iCs/>
                <w:color w:val="000000" w:themeColor="text1"/>
                <w:sz w:val="16"/>
                <w:szCs w:val="16"/>
              </w:rPr>
              <w:t> </w:t>
            </w:r>
          </w:p>
        </w:tc>
        <w:tc>
          <w:tcPr>
            <w:tcW w:w="1080" w:type="pct"/>
            <w:tcBorders>
              <w:top w:val="nil"/>
              <w:left w:val="nil"/>
              <w:bottom w:val="single" w:sz="4" w:space="0" w:color="auto"/>
              <w:right w:val="single" w:sz="4" w:space="0" w:color="auto"/>
            </w:tcBorders>
            <w:hideMark/>
          </w:tcPr>
          <w:p w14:paraId="4CA11859" w14:textId="77777777" w:rsidR="00601D9B" w:rsidRPr="000E53A0" w:rsidRDefault="000E53A0">
            <w:pPr>
              <w:rPr>
                <w:rFonts w:ascii="Avenir Next Regular" w:hAnsi="Avenir Next Regular" w:cs="Calibri"/>
                <w:color w:val="000000" w:themeColor="text1"/>
                <w:sz w:val="16"/>
                <w:szCs w:val="16"/>
                <w:lang w:val="fr-FR"/>
              </w:rPr>
            </w:pPr>
            <w:r>
              <w:rPr>
                <w:color w:val="000000" w:themeColor="text1"/>
                <w:sz w:val="16"/>
                <w:szCs w:val="16"/>
              </w:rPr>
              <w:fldChar w:fldCharType="begin">
                <w:ffData>
                  <w:name w:val="IAP_cities"/>
                  <w:enabled/>
                  <w:calcOnExit w:val="0"/>
                  <w:checkBox>
                    <w:sizeAuto/>
                    <w:default w:val="0"/>
                  </w:checkBox>
                </w:ffData>
              </w:fldChar>
            </w:r>
            <w:r w:rsidRPr="000E53A0">
              <w:rPr>
                <w:color w:val="000000" w:themeColor="text1"/>
                <w:sz w:val="16"/>
                <w:szCs w:val="16"/>
                <w:lang w:val="fr-FR"/>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sidRPr="000E53A0">
              <w:rPr>
                <w:rFonts w:ascii="Avenir Next Regular" w:hAnsi="Avenir Next Regular" w:cs="Calibri"/>
                <w:color w:val="000000" w:themeColor="text1"/>
                <w:sz w:val="16"/>
                <w:szCs w:val="16"/>
                <w:lang w:val="fr-FR"/>
              </w:rPr>
              <w:t>Forêts à haute valeur de conservation</w:t>
            </w:r>
          </w:p>
        </w:tc>
      </w:tr>
      <w:tr w:rsidR="009F3374" w:rsidRPr="000E53A0" w14:paraId="1F37DC0D" w14:textId="77777777" w:rsidTr="009F3374">
        <w:trPr>
          <w:trHeight w:val="170"/>
        </w:trPr>
        <w:tc>
          <w:tcPr>
            <w:tcW w:w="1966" w:type="pct"/>
            <w:tcBorders>
              <w:top w:val="nil"/>
              <w:left w:val="single" w:sz="4" w:space="0" w:color="auto"/>
              <w:bottom w:val="single" w:sz="4" w:space="0" w:color="auto"/>
              <w:right w:val="single" w:sz="4" w:space="0" w:color="auto"/>
            </w:tcBorders>
            <w:noWrap/>
            <w:vAlign w:val="bottom"/>
            <w:hideMark/>
          </w:tcPr>
          <w:p w14:paraId="55D6E995" w14:textId="77777777" w:rsidR="009F3374" w:rsidRPr="000E53A0" w:rsidRDefault="009F3374">
            <w:pPr>
              <w:rPr>
                <w:rFonts w:ascii="Avenir Next Regular" w:hAnsi="Avenir Next Regular" w:cs="Calibri"/>
                <w:b/>
                <w:bCs/>
                <w:color w:val="000000" w:themeColor="text1"/>
                <w:sz w:val="16"/>
                <w:szCs w:val="16"/>
                <w:lang w:val="fr-FR"/>
              </w:rPr>
            </w:pPr>
            <w:r w:rsidRPr="000E53A0">
              <w:rPr>
                <w:rFonts w:ascii="Avenir Next Regular" w:hAnsi="Avenir Next Regular" w:cs="Calibri"/>
                <w:b/>
                <w:bCs/>
                <w:color w:val="000000" w:themeColor="text1"/>
                <w:sz w:val="16"/>
                <w:szCs w:val="16"/>
                <w:lang w:val="fr-FR"/>
              </w:rPr>
              <w:t> </w:t>
            </w:r>
          </w:p>
        </w:tc>
        <w:tc>
          <w:tcPr>
            <w:tcW w:w="825" w:type="pct"/>
            <w:tcBorders>
              <w:top w:val="nil"/>
              <w:left w:val="nil"/>
              <w:bottom w:val="single" w:sz="4" w:space="0" w:color="auto"/>
              <w:right w:val="single" w:sz="4" w:space="0" w:color="auto"/>
            </w:tcBorders>
            <w:hideMark/>
          </w:tcPr>
          <w:p w14:paraId="30CBCDA6" w14:textId="77777777" w:rsidR="009F3374" w:rsidRPr="000E53A0" w:rsidRDefault="009F3374">
            <w:pPr>
              <w:rPr>
                <w:rFonts w:ascii="Avenir Next Regular" w:hAnsi="Avenir Next Regular" w:cs="Calibri"/>
                <w:b/>
                <w:bCs/>
                <w:color w:val="000000" w:themeColor="text1"/>
                <w:sz w:val="16"/>
                <w:szCs w:val="16"/>
                <w:lang w:val="fr-FR"/>
              </w:rPr>
            </w:pPr>
            <w:r w:rsidRPr="000E53A0">
              <w:rPr>
                <w:rFonts w:ascii="Avenir Next Regular" w:hAnsi="Avenir Next Regular" w:cs="Calibri"/>
                <w:b/>
                <w:bCs/>
                <w:color w:val="000000" w:themeColor="text1"/>
                <w:sz w:val="16"/>
                <w:szCs w:val="16"/>
                <w:lang w:val="fr-FR"/>
              </w:rPr>
              <w:t> </w:t>
            </w:r>
          </w:p>
        </w:tc>
        <w:tc>
          <w:tcPr>
            <w:tcW w:w="1129" w:type="pct"/>
            <w:tcBorders>
              <w:top w:val="nil"/>
              <w:left w:val="nil"/>
              <w:bottom w:val="single" w:sz="4" w:space="0" w:color="auto"/>
              <w:right w:val="single" w:sz="4" w:space="0" w:color="auto"/>
            </w:tcBorders>
            <w:hideMark/>
          </w:tcPr>
          <w:p w14:paraId="159D2EF3" w14:textId="77777777" w:rsidR="009F3374" w:rsidRPr="000E53A0" w:rsidRDefault="009F3374">
            <w:pPr>
              <w:rPr>
                <w:rFonts w:ascii="Avenir Next Regular" w:hAnsi="Avenir Next Regular" w:cs="Calibri"/>
                <w:iCs/>
                <w:color w:val="000000" w:themeColor="text1"/>
                <w:sz w:val="16"/>
                <w:szCs w:val="16"/>
                <w:lang w:val="fr-FR"/>
              </w:rPr>
            </w:pPr>
            <w:r w:rsidRPr="000E53A0">
              <w:rPr>
                <w:rFonts w:ascii="Avenir Next Regular" w:hAnsi="Avenir Next Regular" w:cs="Calibri"/>
                <w:iCs/>
                <w:color w:val="000000" w:themeColor="text1"/>
                <w:sz w:val="16"/>
                <w:szCs w:val="16"/>
                <w:lang w:val="fr-FR"/>
              </w:rPr>
              <w:t> </w:t>
            </w:r>
          </w:p>
        </w:tc>
        <w:tc>
          <w:tcPr>
            <w:tcW w:w="1080" w:type="pct"/>
            <w:tcBorders>
              <w:top w:val="nil"/>
              <w:left w:val="nil"/>
              <w:bottom w:val="single" w:sz="4" w:space="0" w:color="auto"/>
              <w:right w:val="single" w:sz="4" w:space="0" w:color="auto"/>
            </w:tcBorders>
            <w:hideMark/>
          </w:tcPr>
          <w:p w14:paraId="4A1EEB5B" w14:textId="77777777" w:rsidR="00601D9B" w:rsidRPr="000E53A0" w:rsidRDefault="000E53A0">
            <w:pPr>
              <w:rPr>
                <w:rFonts w:ascii="Avenir Next Regular" w:hAnsi="Avenir Next Regular" w:cs="Calibri"/>
                <w:color w:val="000000" w:themeColor="text1"/>
                <w:sz w:val="16"/>
                <w:szCs w:val="16"/>
                <w:lang w:val="fr-FR"/>
              </w:rPr>
            </w:pPr>
            <w:r>
              <w:rPr>
                <w:color w:val="000000" w:themeColor="text1"/>
                <w:sz w:val="16"/>
                <w:szCs w:val="16"/>
              </w:rPr>
              <w:fldChar w:fldCharType="begin">
                <w:ffData>
                  <w:name w:val="IAP_cities"/>
                  <w:enabled/>
                  <w:calcOnExit w:val="0"/>
                  <w:checkBox>
                    <w:sizeAuto/>
                    <w:default w:val="0"/>
                  </w:checkBox>
                </w:ffData>
              </w:fldChar>
            </w:r>
            <w:r w:rsidRPr="000E53A0">
              <w:rPr>
                <w:color w:val="000000" w:themeColor="text1"/>
                <w:sz w:val="16"/>
                <w:szCs w:val="16"/>
                <w:lang w:val="fr-FR"/>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sidRPr="000E53A0">
              <w:rPr>
                <w:rFonts w:ascii="Avenir Next Regular" w:hAnsi="Avenir Next Regular" w:cs="Calibri"/>
                <w:color w:val="000000" w:themeColor="text1"/>
                <w:sz w:val="16"/>
                <w:szCs w:val="16"/>
                <w:lang w:val="fr-FR"/>
              </w:rPr>
              <w:t>Forêts à hauts stocks de carbone</w:t>
            </w:r>
          </w:p>
        </w:tc>
      </w:tr>
      <w:tr w:rsidR="009F3374" w14:paraId="36B00240" w14:textId="77777777" w:rsidTr="009F3374">
        <w:trPr>
          <w:trHeight w:val="143"/>
        </w:trPr>
        <w:tc>
          <w:tcPr>
            <w:tcW w:w="1966" w:type="pct"/>
            <w:tcBorders>
              <w:top w:val="nil"/>
              <w:left w:val="single" w:sz="4" w:space="0" w:color="auto"/>
              <w:bottom w:val="single" w:sz="4" w:space="0" w:color="auto"/>
              <w:right w:val="single" w:sz="4" w:space="0" w:color="auto"/>
            </w:tcBorders>
            <w:noWrap/>
            <w:vAlign w:val="bottom"/>
            <w:hideMark/>
          </w:tcPr>
          <w:p w14:paraId="3D0197F8" w14:textId="77777777" w:rsidR="009F3374" w:rsidRPr="000E53A0" w:rsidRDefault="009F3374">
            <w:pPr>
              <w:rPr>
                <w:rFonts w:ascii="Avenir Next Regular" w:hAnsi="Avenir Next Regular" w:cs="Calibri"/>
                <w:b/>
                <w:bCs/>
                <w:color w:val="000000" w:themeColor="text1"/>
                <w:sz w:val="16"/>
                <w:szCs w:val="16"/>
                <w:lang w:val="fr-FR"/>
              </w:rPr>
            </w:pPr>
            <w:r w:rsidRPr="000E53A0">
              <w:rPr>
                <w:rFonts w:ascii="Avenir Next Regular" w:hAnsi="Avenir Next Regular" w:cs="Calibri"/>
                <w:b/>
                <w:bCs/>
                <w:color w:val="000000" w:themeColor="text1"/>
                <w:sz w:val="16"/>
                <w:szCs w:val="16"/>
                <w:lang w:val="fr-FR"/>
              </w:rPr>
              <w:t> </w:t>
            </w:r>
          </w:p>
        </w:tc>
        <w:tc>
          <w:tcPr>
            <w:tcW w:w="825" w:type="pct"/>
            <w:tcBorders>
              <w:top w:val="nil"/>
              <w:left w:val="nil"/>
              <w:bottom w:val="single" w:sz="4" w:space="0" w:color="auto"/>
              <w:right w:val="single" w:sz="4" w:space="0" w:color="auto"/>
            </w:tcBorders>
            <w:hideMark/>
          </w:tcPr>
          <w:p w14:paraId="012FD63F" w14:textId="77777777" w:rsidR="009F3374" w:rsidRPr="000E53A0" w:rsidRDefault="009F3374">
            <w:pPr>
              <w:rPr>
                <w:rFonts w:ascii="Avenir Next Regular" w:hAnsi="Avenir Next Regular" w:cs="Calibri"/>
                <w:b/>
                <w:bCs/>
                <w:color w:val="000000" w:themeColor="text1"/>
                <w:sz w:val="16"/>
                <w:szCs w:val="16"/>
                <w:lang w:val="fr-FR"/>
              </w:rPr>
            </w:pPr>
            <w:r w:rsidRPr="000E53A0">
              <w:rPr>
                <w:rFonts w:ascii="Avenir Next Regular" w:hAnsi="Avenir Next Regular" w:cs="Calibri"/>
                <w:b/>
                <w:bCs/>
                <w:color w:val="000000" w:themeColor="text1"/>
                <w:sz w:val="16"/>
                <w:szCs w:val="16"/>
                <w:lang w:val="fr-FR"/>
              </w:rPr>
              <w:t> </w:t>
            </w:r>
          </w:p>
        </w:tc>
        <w:tc>
          <w:tcPr>
            <w:tcW w:w="1129" w:type="pct"/>
            <w:tcBorders>
              <w:top w:val="nil"/>
              <w:left w:val="nil"/>
              <w:bottom w:val="single" w:sz="4" w:space="0" w:color="auto"/>
              <w:right w:val="single" w:sz="4" w:space="0" w:color="auto"/>
            </w:tcBorders>
            <w:hideMark/>
          </w:tcPr>
          <w:p w14:paraId="233AD780" w14:textId="77777777" w:rsidR="009F3374" w:rsidRPr="000E53A0" w:rsidRDefault="009F3374">
            <w:pPr>
              <w:rPr>
                <w:rFonts w:ascii="Avenir Next Regular" w:hAnsi="Avenir Next Regular" w:cs="Calibri"/>
                <w:iCs/>
                <w:color w:val="000000" w:themeColor="text1"/>
                <w:sz w:val="16"/>
                <w:szCs w:val="16"/>
                <w:lang w:val="fr-FR"/>
              </w:rPr>
            </w:pPr>
            <w:r w:rsidRPr="000E53A0">
              <w:rPr>
                <w:rFonts w:ascii="Avenir Next Regular" w:hAnsi="Avenir Next Regular" w:cs="Calibri"/>
                <w:iCs/>
                <w:color w:val="000000" w:themeColor="text1"/>
                <w:sz w:val="16"/>
                <w:szCs w:val="16"/>
                <w:lang w:val="fr-FR"/>
              </w:rPr>
              <w:t> </w:t>
            </w:r>
          </w:p>
        </w:tc>
        <w:tc>
          <w:tcPr>
            <w:tcW w:w="1080" w:type="pct"/>
            <w:tcBorders>
              <w:top w:val="nil"/>
              <w:left w:val="nil"/>
              <w:bottom w:val="single" w:sz="4" w:space="0" w:color="auto"/>
              <w:right w:val="single" w:sz="4" w:space="0" w:color="auto"/>
            </w:tcBorders>
            <w:hideMark/>
          </w:tcPr>
          <w:p w14:paraId="236A0E36" w14:textId="77777777" w:rsidR="00601D9B" w:rsidRDefault="000E53A0">
            <w:pPr>
              <w:rPr>
                <w:rFonts w:ascii="Avenir Next Regular" w:hAnsi="Avenir Next Regular" w:cs="Calibri"/>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color w:val="000000" w:themeColor="text1"/>
                <w:sz w:val="16"/>
                <w:szCs w:val="16"/>
              </w:rPr>
              <w:t>Chaîne d'approvisionnement en soja</w:t>
            </w:r>
          </w:p>
        </w:tc>
      </w:tr>
      <w:tr w:rsidR="009F3374" w:rsidRPr="000E53A0" w14:paraId="2435C66D" w14:textId="77777777" w:rsidTr="009F3374">
        <w:trPr>
          <w:trHeight w:val="58"/>
        </w:trPr>
        <w:tc>
          <w:tcPr>
            <w:tcW w:w="1966" w:type="pct"/>
            <w:tcBorders>
              <w:top w:val="nil"/>
              <w:left w:val="single" w:sz="4" w:space="0" w:color="auto"/>
              <w:bottom w:val="single" w:sz="4" w:space="0" w:color="auto"/>
              <w:right w:val="single" w:sz="4" w:space="0" w:color="auto"/>
            </w:tcBorders>
            <w:noWrap/>
            <w:vAlign w:val="bottom"/>
            <w:hideMark/>
          </w:tcPr>
          <w:p w14:paraId="19531E2B"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24B90960"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69A972BA" w14:textId="77777777" w:rsidR="009F3374" w:rsidRDefault="009F3374">
            <w:pPr>
              <w:rPr>
                <w:rFonts w:ascii="Avenir Next Regular" w:hAnsi="Avenir Next Regular" w:cs="Calibri"/>
                <w:iCs/>
                <w:color w:val="000000" w:themeColor="text1"/>
                <w:sz w:val="16"/>
                <w:szCs w:val="16"/>
              </w:rPr>
            </w:pPr>
            <w:r>
              <w:rPr>
                <w:rFonts w:ascii="Avenir Next Regular" w:hAnsi="Avenir Next Regular" w:cs="Calibri"/>
                <w:iCs/>
                <w:color w:val="000000" w:themeColor="text1"/>
                <w:sz w:val="16"/>
                <w:szCs w:val="16"/>
              </w:rPr>
              <w:t> </w:t>
            </w:r>
          </w:p>
        </w:tc>
        <w:tc>
          <w:tcPr>
            <w:tcW w:w="1080" w:type="pct"/>
            <w:tcBorders>
              <w:top w:val="nil"/>
              <w:left w:val="nil"/>
              <w:bottom w:val="single" w:sz="4" w:space="0" w:color="auto"/>
              <w:right w:val="single" w:sz="4" w:space="0" w:color="auto"/>
            </w:tcBorders>
            <w:hideMark/>
          </w:tcPr>
          <w:p w14:paraId="24A33505" w14:textId="77777777" w:rsidR="00601D9B" w:rsidRPr="000E53A0" w:rsidRDefault="000E53A0">
            <w:pPr>
              <w:rPr>
                <w:rFonts w:ascii="Avenir Next Regular" w:hAnsi="Avenir Next Regular" w:cs="Calibri"/>
                <w:color w:val="000000" w:themeColor="text1"/>
                <w:sz w:val="16"/>
                <w:szCs w:val="16"/>
                <w:lang w:val="fr-FR"/>
              </w:rPr>
            </w:pPr>
            <w:r>
              <w:rPr>
                <w:color w:val="000000" w:themeColor="text1"/>
                <w:sz w:val="16"/>
                <w:szCs w:val="16"/>
              </w:rPr>
              <w:fldChar w:fldCharType="begin">
                <w:ffData>
                  <w:name w:val="IAP_cities"/>
                  <w:enabled/>
                  <w:calcOnExit w:val="0"/>
                  <w:checkBox>
                    <w:sizeAuto/>
                    <w:default w:val="0"/>
                  </w:checkBox>
                </w:ffData>
              </w:fldChar>
            </w:r>
            <w:r w:rsidRPr="000E53A0">
              <w:rPr>
                <w:color w:val="000000" w:themeColor="text1"/>
                <w:sz w:val="16"/>
                <w:szCs w:val="16"/>
                <w:lang w:val="fr-FR"/>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sidRPr="000E53A0">
              <w:rPr>
                <w:rFonts w:ascii="Avenir Next Regular" w:hAnsi="Avenir Next Regular" w:cs="Calibri"/>
                <w:color w:val="000000" w:themeColor="text1"/>
                <w:sz w:val="16"/>
                <w:szCs w:val="16"/>
                <w:lang w:val="fr-FR"/>
              </w:rPr>
              <w:t>Chaîne d'approvisionnement en palmiers à huile</w:t>
            </w:r>
          </w:p>
        </w:tc>
      </w:tr>
      <w:tr w:rsidR="009F3374" w:rsidRPr="000E53A0" w14:paraId="5A2031CC" w14:textId="77777777" w:rsidTr="009F3374">
        <w:trPr>
          <w:trHeight w:val="161"/>
        </w:trPr>
        <w:tc>
          <w:tcPr>
            <w:tcW w:w="1966" w:type="pct"/>
            <w:tcBorders>
              <w:top w:val="nil"/>
              <w:left w:val="single" w:sz="4" w:space="0" w:color="auto"/>
              <w:bottom w:val="single" w:sz="4" w:space="0" w:color="auto"/>
              <w:right w:val="single" w:sz="4" w:space="0" w:color="auto"/>
            </w:tcBorders>
            <w:noWrap/>
            <w:vAlign w:val="bottom"/>
            <w:hideMark/>
          </w:tcPr>
          <w:p w14:paraId="3E0A139F" w14:textId="77777777" w:rsidR="009F3374" w:rsidRPr="000E53A0" w:rsidRDefault="009F3374">
            <w:pPr>
              <w:rPr>
                <w:rFonts w:ascii="Avenir Next Regular" w:hAnsi="Avenir Next Regular" w:cs="Calibri"/>
                <w:b/>
                <w:bCs/>
                <w:color w:val="000000" w:themeColor="text1"/>
                <w:sz w:val="16"/>
                <w:szCs w:val="16"/>
                <w:lang w:val="fr-FR"/>
              </w:rPr>
            </w:pPr>
            <w:r w:rsidRPr="000E53A0">
              <w:rPr>
                <w:rFonts w:ascii="Avenir Next Regular" w:hAnsi="Avenir Next Regular" w:cs="Calibri"/>
                <w:b/>
                <w:bCs/>
                <w:color w:val="000000" w:themeColor="text1"/>
                <w:sz w:val="16"/>
                <w:szCs w:val="16"/>
                <w:lang w:val="fr-FR"/>
              </w:rPr>
              <w:t> </w:t>
            </w:r>
          </w:p>
        </w:tc>
        <w:tc>
          <w:tcPr>
            <w:tcW w:w="825" w:type="pct"/>
            <w:tcBorders>
              <w:top w:val="nil"/>
              <w:left w:val="nil"/>
              <w:bottom w:val="single" w:sz="4" w:space="0" w:color="auto"/>
              <w:right w:val="single" w:sz="4" w:space="0" w:color="auto"/>
            </w:tcBorders>
            <w:hideMark/>
          </w:tcPr>
          <w:p w14:paraId="239F944E" w14:textId="77777777" w:rsidR="009F3374" w:rsidRPr="000E53A0" w:rsidRDefault="009F3374">
            <w:pPr>
              <w:rPr>
                <w:rFonts w:ascii="Avenir Next Regular" w:hAnsi="Avenir Next Regular" w:cs="Calibri"/>
                <w:b/>
                <w:bCs/>
                <w:color w:val="000000" w:themeColor="text1"/>
                <w:sz w:val="16"/>
                <w:szCs w:val="16"/>
                <w:lang w:val="fr-FR"/>
              </w:rPr>
            </w:pPr>
            <w:r w:rsidRPr="000E53A0">
              <w:rPr>
                <w:rFonts w:ascii="Avenir Next Regular" w:hAnsi="Avenir Next Regular" w:cs="Calibri"/>
                <w:b/>
                <w:bCs/>
                <w:color w:val="000000" w:themeColor="text1"/>
                <w:sz w:val="16"/>
                <w:szCs w:val="16"/>
                <w:lang w:val="fr-FR"/>
              </w:rPr>
              <w:t> </w:t>
            </w:r>
          </w:p>
        </w:tc>
        <w:tc>
          <w:tcPr>
            <w:tcW w:w="1129" w:type="pct"/>
            <w:tcBorders>
              <w:top w:val="nil"/>
              <w:left w:val="nil"/>
              <w:bottom w:val="single" w:sz="4" w:space="0" w:color="auto"/>
              <w:right w:val="single" w:sz="4" w:space="0" w:color="auto"/>
            </w:tcBorders>
            <w:hideMark/>
          </w:tcPr>
          <w:p w14:paraId="3C092A23" w14:textId="77777777" w:rsidR="009F3374" w:rsidRPr="000E53A0" w:rsidRDefault="009F3374">
            <w:pPr>
              <w:rPr>
                <w:rFonts w:ascii="Avenir Next Regular" w:hAnsi="Avenir Next Regular" w:cs="Calibri"/>
                <w:iCs/>
                <w:color w:val="000000" w:themeColor="text1"/>
                <w:sz w:val="16"/>
                <w:szCs w:val="16"/>
                <w:lang w:val="fr-FR"/>
              </w:rPr>
            </w:pPr>
            <w:r w:rsidRPr="000E53A0">
              <w:rPr>
                <w:rFonts w:ascii="Avenir Next Regular" w:hAnsi="Avenir Next Regular" w:cs="Calibri"/>
                <w:iCs/>
                <w:color w:val="000000" w:themeColor="text1"/>
                <w:sz w:val="16"/>
                <w:szCs w:val="16"/>
                <w:lang w:val="fr-FR"/>
              </w:rPr>
              <w:t> </w:t>
            </w:r>
          </w:p>
        </w:tc>
        <w:tc>
          <w:tcPr>
            <w:tcW w:w="1080" w:type="pct"/>
            <w:tcBorders>
              <w:top w:val="nil"/>
              <w:left w:val="nil"/>
              <w:bottom w:val="single" w:sz="4" w:space="0" w:color="auto"/>
              <w:right w:val="single" w:sz="4" w:space="0" w:color="auto"/>
            </w:tcBorders>
            <w:hideMark/>
          </w:tcPr>
          <w:p w14:paraId="46A2443A" w14:textId="77777777" w:rsidR="00601D9B" w:rsidRPr="000E53A0" w:rsidRDefault="000E53A0">
            <w:pPr>
              <w:rPr>
                <w:rFonts w:ascii="Avenir Next Regular" w:hAnsi="Avenir Next Regular" w:cs="Calibri"/>
                <w:color w:val="000000" w:themeColor="text1"/>
                <w:sz w:val="16"/>
                <w:szCs w:val="16"/>
                <w:lang w:val="fr-FR"/>
              </w:rPr>
            </w:pPr>
            <w:r>
              <w:rPr>
                <w:color w:val="000000" w:themeColor="text1"/>
                <w:sz w:val="16"/>
                <w:szCs w:val="16"/>
              </w:rPr>
              <w:fldChar w:fldCharType="begin">
                <w:ffData>
                  <w:name w:val="IAP_cities"/>
                  <w:enabled/>
                  <w:calcOnExit w:val="0"/>
                  <w:checkBox>
                    <w:sizeAuto/>
                    <w:default w:val="0"/>
                  </w:checkBox>
                </w:ffData>
              </w:fldChar>
            </w:r>
            <w:r w:rsidRPr="000E53A0">
              <w:rPr>
                <w:color w:val="000000" w:themeColor="text1"/>
                <w:sz w:val="16"/>
                <w:szCs w:val="16"/>
                <w:lang w:val="fr-FR"/>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sidRPr="000E53A0">
              <w:rPr>
                <w:rFonts w:ascii="Avenir Next Regular" w:hAnsi="Avenir Next Regular" w:cs="Calibri"/>
                <w:color w:val="000000" w:themeColor="text1"/>
                <w:sz w:val="16"/>
                <w:szCs w:val="16"/>
                <w:lang w:val="fr-FR"/>
              </w:rPr>
              <w:t>Chaîne d'approvisionnement en viande bovine</w:t>
            </w:r>
          </w:p>
        </w:tc>
      </w:tr>
      <w:tr w:rsidR="009F3374" w14:paraId="68DFA916" w14:textId="77777777" w:rsidTr="009F3374">
        <w:trPr>
          <w:trHeight w:val="89"/>
        </w:trPr>
        <w:tc>
          <w:tcPr>
            <w:tcW w:w="1966" w:type="pct"/>
            <w:tcBorders>
              <w:top w:val="nil"/>
              <w:left w:val="single" w:sz="4" w:space="0" w:color="auto"/>
              <w:bottom w:val="single" w:sz="4" w:space="0" w:color="auto"/>
              <w:right w:val="single" w:sz="4" w:space="0" w:color="auto"/>
            </w:tcBorders>
            <w:noWrap/>
            <w:vAlign w:val="bottom"/>
            <w:hideMark/>
          </w:tcPr>
          <w:p w14:paraId="202338F3" w14:textId="77777777" w:rsidR="009F3374" w:rsidRPr="000E53A0" w:rsidRDefault="009F3374">
            <w:pPr>
              <w:rPr>
                <w:rFonts w:ascii="Avenir Next Regular" w:hAnsi="Avenir Next Regular" w:cs="Calibri"/>
                <w:b/>
                <w:bCs/>
                <w:color w:val="000000" w:themeColor="text1"/>
                <w:sz w:val="16"/>
                <w:szCs w:val="16"/>
                <w:lang w:val="fr-FR"/>
              </w:rPr>
            </w:pPr>
            <w:r w:rsidRPr="000E53A0">
              <w:rPr>
                <w:rFonts w:ascii="Avenir Next Regular" w:hAnsi="Avenir Next Regular" w:cs="Calibri"/>
                <w:b/>
                <w:bCs/>
                <w:color w:val="000000" w:themeColor="text1"/>
                <w:sz w:val="16"/>
                <w:szCs w:val="16"/>
                <w:lang w:val="fr-FR"/>
              </w:rPr>
              <w:t> </w:t>
            </w:r>
          </w:p>
        </w:tc>
        <w:tc>
          <w:tcPr>
            <w:tcW w:w="825" w:type="pct"/>
            <w:tcBorders>
              <w:top w:val="nil"/>
              <w:left w:val="nil"/>
              <w:bottom w:val="single" w:sz="4" w:space="0" w:color="auto"/>
              <w:right w:val="single" w:sz="4" w:space="0" w:color="auto"/>
            </w:tcBorders>
            <w:hideMark/>
          </w:tcPr>
          <w:p w14:paraId="024C93F4" w14:textId="77777777" w:rsidR="009F3374" w:rsidRPr="000E53A0" w:rsidRDefault="009F3374">
            <w:pPr>
              <w:rPr>
                <w:rFonts w:ascii="Avenir Next Regular" w:hAnsi="Avenir Next Regular" w:cs="Calibri"/>
                <w:b/>
                <w:bCs/>
                <w:color w:val="000000" w:themeColor="text1"/>
                <w:sz w:val="16"/>
                <w:szCs w:val="16"/>
                <w:lang w:val="fr-FR"/>
              </w:rPr>
            </w:pPr>
            <w:r w:rsidRPr="000E53A0">
              <w:rPr>
                <w:rFonts w:ascii="Avenir Next Regular" w:hAnsi="Avenir Next Regular" w:cs="Calibri"/>
                <w:b/>
                <w:bCs/>
                <w:color w:val="000000" w:themeColor="text1"/>
                <w:sz w:val="16"/>
                <w:szCs w:val="16"/>
                <w:lang w:val="fr-FR"/>
              </w:rPr>
              <w:t> </w:t>
            </w:r>
          </w:p>
        </w:tc>
        <w:tc>
          <w:tcPr>
            <w:tcW w:w="1129" w:type="pct"/>
            <w:tcBorders>
              <w:top w:val="nil"/>
              <w:left w:val="nil"/>
              <w:bottom w:val="single" w:sz="4" w:space="0" w:color="auto"/>
              <w:right w:val="single" w:sz="4" w:space="0" w:color="auto"/>
            </w:tcBorders>
            <w:hideMark/>
          </w:tcPr>
          <w:p w14:paraId="4ED4AAAB" w14:textId="77777777" w:rsidR="009F3374" w:rsidRPr="000E53A0" w:rsidRDefault="009F3374">
            <w:pPr>
              <w:rPr>
                <w:rFonts w:ascii="Avenir Next Regular" w:hAnsi="Avenir Next Regular" w:cs="Calibri"/>
                <w:iCs/>
                <w:color w:val="000000" w:themeColor="text1"/>
                <w:sz w:val="16"/>
                <w:szCs w:val="16"/>
                <w:lang w:val="fr-FR"/>
              </w:rPr>
            </w:pPr>
            <w:r w:rsidRPr="000E53A0">
              <w:rPr>
                <w:rFonts w:ascii="Avenir Next Regular" w:hAnsi="Avenir Next Regular" w:cs="Calibri"/>
                <w:iCs/>
                <w:color w:val="000000" w:themeColor="text1"/>
                <w:sz w:val="16"/>
                <w:szCs w:val="16"/>
                <w:lang w:val="fr-FR"/>
              </w:rPr>
              <w:t> </w:t>
            </w:r>
          </w:p>
        </w:tc>
        <w:tc>
          <w:tcPr>
            <w:tcW w:w="1080" w:type="pct"/>
            <w:tcBorders>
              <w:top w:val="nil"/>
              <w:left w:val="nil"/>
              <w:bottom w:val="single" w:sz="4" w:space="0" w:color="auto"/>
              <w:right w:val="single" w:sz="4" w:space="0" w:color="auto"/>
            </w:tcBorders>
            <w:hideMark/>
          </w:tcPr>
          <w:p w14:paraId="4FA43059" w14:textId="77777777" w:rsidR="00601D9B" w:rsidRDefault="000E53A0">
            <w:pPr>
              <w:rPr>
                <w:rFonts w:ascii="Avenir Next Regular" w:hAnsi="Avenir Next Regular" w:cs="Calibri"/>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color w:val="000000" w:themeColor="text1"/>
                <w:sz w:val="16"/>
                <w:szCs w:val="16"/>
              </w:rPr>
              <w:t>Petits exploitants agricoles</w:t>
            </w:r>
          </w:p>
        </w:tc>
      </w:tr>
      <w:tr w:rsidR="009F3374" w14:paraId="5F74A79B" w14:textId="77777777" w:rsidTr="009F3374">
        <w:trPr>
          <w:trHeight w:val="170"/>
        </w:trPr>
        <w:tc>
          <w:tcPr>
            <w:tcW w:w="1966" w:type="pct"/>
            <w:tcBorders>
              <w:top w:val="nil"/>
              <w:left w:val="single" w:sz="4" w:space="0" w:color="auto"/>
              <w:bottom w:val="single" w:sz="4" w:space="0" w:color="auto"/>
              <w:right w:val="single" w:sz="4" w:space="0" w:color="auto"/>
            </w:tcBorders>
            <w:noWrap/>
            <w:vAlign w:val="bottom"/>
            <w:hideMark/>
          </w:tcPr>
          <w:p w14:paraId="67669A44"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66390468"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346B0497" w14:textId="77777777" w:rsidR="009F3374" w:rsidRDefault="009F3374">
            <w:pPr>
              <w:rPr>
                <w:rFonts w:ascii="Avenir Next Regular" w:hAnsi="Avenir Next Regular" w:cs="Calibri"/>
                <w:iCs/>
                <w:color w:val="000000" w:themeColor="text1"/>
                <w:sz w:val="16"/>
                <w:szCs w:val="16"/>
              </w:rPr>
            </w:pPr>
            <w:r>
              <w:rPr>
                <w:rFonts w:ascii="Avenir Next Regular" w:hAnsi="Avenir Next Regular" w:cs="Calibri"/>
                <w:iCs/>
                <w:color w:val="000000" w:themeColor="text1"/>
                <w:sz w:val="16"/>
                <w:szCs w:val="16"/>
              </w:rPr>
              <w:t> </w:t>
            </w:r>
          </w:p>
        </w:tc>
        <w:tc>
          <w:tcPr>
            <w:tcW w:w="1080" w:type="pct"/>
            <w:tcBorders>
              <w:top w:val="nil"/>
              <w:left w:val="nil"/>
              <w:bottom w:val="single" w:sz="4" w:space="0" w:color="auto"/>
              <w:right w:val="single" w:sz="4" w:space="0" w:color="auto"/>
            </w:tcBorders>
            <w:hideMark/>
          </w:tcPr>
          <w:p w14:paraId="089BE389" w14:textId="77777777" w:rsidR="00601D9B" w:rsidRDefault="000E53A0">
            <w:pPr>
              <w:rPr>
                <w:rFonts w:ascii="Avenir Next Regular" w:hAnsi="Avenir Next Regular" w:cs="Calibri"/>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color w:val="000000" w:themeColor="text1"/>
                <w:sz w:val="16"/>
                <w:szCs w:val="16"/>
              </w:rPr>
              <w:t>Gestion adaptative</w:t>
            </w:r>
          </w:p>
        </w:tc>
      </w:tr>
      <w:tr w:rsidR="009F3374" w:rsidRPr="000E53A0" w14:paraId="6C69E05A" w14:textId="77777777" w:rsidTr="009F3374">
        <w:trPr>
          <w:trHeight w:val="58"/>
        </w:trPr>
        <w:tc>
          <w:tcPr>
            <w:tcW w:w="1966" w:type="pct"/>
            <w:tcBorders>
              <w:top w:val="nil"/>
              <w:left w:val="single" w:sz="4" w:space="0" w:color="auto"/>
              <w:bottom w:val="single" w:sz="4" w:space="0" w:color="auto"/>
              <w:right w:val="single" w:sz="4" w:space="0" w:color="auto"/>
            </w:tcBorders>
            <w:noWrap/>
            <w:vAlign w:val="bottom"/>
            <w:hideMark/>
          </w:tcPr>
          <w:p w14:paraId="194EBEED"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7CFF46DC"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684E7209" w14:textId="77777777" w:rsidR="00601D9B" w:rsidRPr="000E53A0" w:rsidRDefault="000E53A0">
            <w:pPr>
              <w:ind w:left="150" w:hanging="150"/>
              <w:rPr>
                <w:rFonts w:ascii="Avenir Next Regular" w:hAnsi="Avenir Next Regular" w:cs="Calibri"/>
                <w:iCs/>
                <w:color w:val="000000" w:themeColor="text1"/>
                <w:sz w:val="16"/>
                <w:szCs w:val="16"/>
                <w:lang w:val="fr-FR"/>
              </w:rPr>
            </w:pPr>
            <w:r>
              <w:rPr>
                <w:color w:val="000000" w:themeColor="text1"/>
                <w:sz w:val="16"/>
                <w:szCs w:val="16"/>
              </w:rPr>
              <w:fldChar w:fldCharType="begin">
                <w:ffData>
                  <w:name w:val="IAP_cities"/>
                  <w:enabled/>
                  <w:calcOnExit w:val="0"/>
                  <w:checkBox>
                    <w:sizeAuto/>
                    <w:default w:val="0"/>
                  </w:checkBox>
                </w:ffData>
              </w:fldChar>
            </w:r>
            <w:r w:rsidRPr="000E53A0">
              <w:rPr>
                <w:color w:val="000000" w:themeColor="text1"/>
                <w:sz w:val="16"/>
                <w:szCs w:val="16"/>
                <w:lang w:val="fr-FR"/>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sidRPr="000E53A0">
              <w:rPr>
                <w:rFonts w:ascii="Avenir Next Regular" w:hAnsi="Avenir Next Regular" w:cs="Calibri"/>
                <w:iCs/>
                <w:color w:val="000000" w:themeColor="text1"/>
                <w:sz w:val="16"/>
                <w:szCs w:val="16"/>
                <w:lang w:val="fr-FR"/>
              </w:rPr>
              <w:t xml:space="preserve">Sécurité alimentaire en Afrique sub-saharienne     </w:t>
            </w:r>
          </w:p>
        </w:tc>
        <w:tc>
          <w:tcPr>
            <w:tcW w:w="1080" w:type="pct"/>
            <w:tcBorders>
              <w:top w:val="nil"/>
              <w:left w:val="nil"/>
              <w:bottom w:val="single" w:sz="4" w:space="0" w:color="auto"/>
              <w:right w:val="single" w:sz="4" w:space="0" w:color="auto"/>
            </w:tcBorders>
            <w:hideMark/>
          </w:tcPr>
          <w:p w14:paraId="2479B6E3" w14:textId="77777777" w:rsidR="009F3374" w:rsidRPr="000E53A0" w:rsidRDefault="009F3374">
            <w:pPr>
              <w:rPr>
                <w:rFonts w:ascii="Avenir Next Regular" w:hAnsi="Avenir Next Regular" w:cs="Calibri"/>
                <w:color w:val="000000" w:themeColor="text1"/>
                <w:sz w:val="16"/>
                <w:szCs w:val="16"/>
                <w:lang w:val="fr-FR"/>
              </w:rPr>
            </w:pPr>
            <w:r w:rsidRPr="000E53A0">
              <w:rPr>
                <w:rFonts w:ascii="Avenir Next Regular" w:hAnsi="Avenir Next Regular" w:cs="Calibri"/>
                <w:color w:val="000000" w:themeColor="text1"/>
                <w:sz w:val="16"/>
                <w:szCs w:val="16"/>
                <w:lang w:val="fr-FR"/>
              </w:rPr>
              <w:t> </w:t>
            </w:r>
          </w:p>
        </w:tc>
      </w:tr>
      <w:tr w:rsidR="009F3374" w14:paraId="6214A550" w14:textId="77777777" w:rsidTr="009F3374">
        <w:trPr>
          <w:trHeight w:val="170"/>
        </w:trPr>
        <w:tc>
          <w:tcPr>
            <w:tcW w:w="1966" w:type="pct"/>
            <w:tcBorders>
              <w:top w:val="nil"/>
              <w:left w:val="single" w:sz="4" w:space="0" w:color="auto"/>
              <w:bottom w:val="single" w:sz="4" w:space="0" w:color="auto"/>
              <w:right w:val="single" w:sz="4" w:space="0" w:color="auto"/>
            </w:tcBorders>
            <w:noWrap/>
            <w:vAlign w:val="bottom"/>
            <w:hideMark/>
          </w:tcPr>
          <w:p w14:paraId="34D0DE3F" w14:textId="77777777" w:rsidR="009F3374" w:rsidRPr="000E53A0" w:rsidRDefault="009F3374">
            <w:pPr>
              <w:rPr>
                <w:rFonts w:ascii="Avenir Next Regular" w:hAnsi="Avenir Next Regular" w:cs="Calibri"/>
                <w:b/>
                <w:bCs/>
                <w:color w:val="000000" w:themeColor="text1"/>
                <w:sz w:val="16"/>
                <w:szCs w:val="16"/>
                <w:lang w:val="fr-FR"/>
              </w:rPr>
            </w:pPr>
            <w:r w:rsidRPr="000E53A0">
              <w:rPr>
                <w:rFonts w:ascii="Avenir Next Regular" w:hAnsi="Avenir Next Regular" w:cs="Calibri"/>
                <w:b/>
                <w:bCs/>
                <w:color w:val="000000" w:themeColor="text1"/>
                <w:sz w:val="16"/>
                <w:szCs w:val="16"/>
                <w:lang w:val="fr-FR"/>
              </w:rPr>
              <w:t> </w:t>
            </w:r>
          </w:p>
        </w:tc>
        <w:tc>
          <w:tcPr>
            <w:tcW w:w="825" w:type="pct"/>
            <w:tcBorders>
              <w:top w:val="nil"/>
              <w:left w:val="nil"/>
              <w:bottom w:val="single" w:sz="4" w:space="0" w:color="auto"/>
              <w:right w:val="single" w:sz="4" w:space="0" w:color="auto"/>
            </w:tcBorders>
            <w:hideMark/>
          </w:tcPr>
          <w:p w14:paraId="4BEAF2F9" w14:textId="77777777" w:rsidR="009F3374" w:rsidRPr="000E53A0" w:rsidRDefault="009F3374">
            <w:pPr>
              <w:rPr>
                <w:rFonts w:ascii="Avenir Next Regular" w:hAnsi="Avenir Next Regular" w:cs="Calibri"/>
                <w:b/>
                <w:bCs/>
                <w:color w:val="000000" w:themeColor="text1"/>
                <w:sz w:val="16"/>
                <w:szCs w:val="16"/>
                <w:lang w:val="fr-FR"/>
              </w:rPr>
            </w:pPr>
            <w:r w:rsidRPr="000E53A0">
              <w:rPr>
                <w:rFonts w:ascii="Avenir Next Regular" w:hAnsi="Avenir Next Regular" w:cs="Calibri"/>
                <w:b/>
                <w:bCs/>
                <w:color w:val="000000" w:themeColor="text1"/>
                <w:sz w:val="16"/>
                <w:szCs w:val="16"/>
                <w:lang w:val="fr-FR"/>
              </w:rPr>
              <w:t> </w:t>
            </w:r>
          </w:p>
        </w:tc>
        <w:tc>
          <w:tcPr>
            <w:tcW w:w="1129" w:type="pct"/>
            <w:tcBorders>
              <w:top w:val="nil"/>
              <w:left w:val="nil"/>
              <w:bottom w:val="single" w:sz="4" w:space="0" w:color="auto"/>
              <w:right w:val="single" w:sz="4" w:space="0" w:color="auto"/>
            </w:tcBorders>
            <w:hideMark/>
          </w:tcPr>
          <w:p w14:paraId="0F781D5E" w14:textId="77777777" w:rsidR="009F3374" w:rsidRPr="000E53A0" w:rsidRDefault="009F3374">
            <w:pPr>
              <w:rPr>
                <w:rFonts w:ascii="Avenir Next Regular" w:hAnsi="Avenir Next Regular" w:cs="Calibri"/>
                <w:iCs/>
                <w:color w:val="000000" w:themeColor="text1"/>
                <w:sz w:val="16"/>
                <w:szCs w:val="16"/>
                <w:lang w:val="fr-FR"/>
              </w:rPr>
            </w:pPr>
            <w:r w:rsidRPr="000E53A0">
              <w:rPr>
                <w:rFonts w:ascii="Avenir Next Regular" w:hAnsi="Avenir Next Regular" w:cs="Calibri"/>
                <w:iCs/>
                <w:color w:val="000000" w:themeColor="text1"/>
                <w:sz w:val="16"/>
                <w:szCs w:val="16"/>
                <w:lang w:val="fr-FR"/>
              </w:rPr>
              <w:t> </w:t>
            </w:r>
          </w:p>
        </w:tc>
        <w:tc>
          <w:tcPr>
            <w:tcW w:w="1080" w:type="pct"/>
            <w:tcBorders>
              <w:top w:val="nil"/>
              <w:left w:val="nil"/>
              <w:bottom w:val="single" w:sz="4" w:space="0" w:color="auto"/>
              <w:right w:val="single" w:sz="4" w:space="0" w:color="auto"/>
            </w:tcBorders>
            <w:hideMark/>
          </w:tcPr>
          <w:p w14:paraId="0E0B49A3" w14:textId="77777777" w:rsidR="00601D9B" w:rsidRDefault="000E53A0">
            <w:pPr>
              <w:rPr>
                <w:rFonts w:ascii="Avenir Next Regular" w:hAnsi="Avenir Next Regular" w:cs="Calibri"/>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color w:val="000000" w:themeColor="text1"/>
                <w:sz w:val="16"/>
                <w:szCs w:val="16"/>
              </w:rPr>
              <w:t>Résilience (climat et chocs)</w:t>
            </w:r>
          </w:p>
        </w:tc>
      </w:tr>
      <w:tr w:rsidR="009F3374" w14:paraId="79761E56" w14:textId="77777777" w:rsidTr="009F3374">
        <w:trPr>
          <w:trHeight w:val="161"/>
        </w:trPr>
        <w:tc>
          <w:tcPr>
            <w:tcW w:w="1966" w:type="pct"/>
            <w:tcBorders>
              <w:top w:val="nil"/>
              <w:left w:val="single" w:sz="4" w:space="0" w:color="auto"/>
              <w:bottom w:val="single" w:sz="4" w:space="0" w:color="auto"/>
              <w:right w:val="single" w:sz="4" w:space="0" w:color="auto"/>
            </w:tcBorders>
            <w:noWrap/>
            <w:vAlign w:val="bottom"/>
            <w:hideMark/>
          </w:tcPr>
          <w:p w14:paraId="4D16E99E"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030D4066"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2E6C2F0B" w14:textId="77777777" w:rsidR="009F3374" w:rsidRDefault="009F3374">
            <w:pPr>
              <w:rPr>
                <w:rFonts w:ascii="Avenir Next Regular" w:hAnsi="Avenir Next Regular" w:cs="Calibri"/>
                <w:iCs/>
                <w:color w:val="000000" w:themeColor="text1"/>
                <w:sz w:val="16"/>
                <w:szCs w:val="16"/>
              </w:rPr>
            </w:pPr>
            <w:r>
              <w:rPr>
                <w:rFonts w:ascii="Avenir Next Regular" w:hAnsi="Avenir Next Regular" w:cs="Calibri"/>
                <w:iCs/>
                <w:color w:val="000000" w:themeColor="text1"/>
                <w:sz w:val="16"/>
                <w:szCs w:val="16"/>
              </w:rPr>
              <w:t> </w:t>
            </w:r>
          </w:p>
        </w:tc>
        <w:tc>
          <w:tcPr>
            <w:tcW w:w="1080" w:type="pct"/>
            <w:tcBorders>
              <w:top w:val="nil"/>
              <w:left w:val="nil"/>
              <w:bottom w:val="single" w:sz="4" w:space="0" w:color="auto"/>
              <w:right w:val="single" w:sz="4" w:space="0" w:color="auto"/>
            </w:tcBorders>
            <w:hideMark/>
          </w:tcPr>
          <w:p w14:paraId="0755965D" w14:textId="77777777" w:rsidR="00601D9B" w:rsidRDefault="000E53A0">
            <w:pPr>
              <w:rPr>
                <w:rFonts w:ascii="Avenir Next Regular" w:hAnsi="Avenir Next Regular" w:cs="Calibri"/>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color w:val="000000" w:themeColor="text1"/>
                <w:sz w:val="16"/>
                <w:szCs w:val="16"/>
              </w:rPr>
              <w:t>Systèmes de production durables</w:t>
            </w:r>
          </w:p>
        </w:tc>
      </w:tr>
      <w:tr w:rsidR="009F3374" w14:paraId="2A6812E3" w14:textId="77777777" w:rsidTr="009F3374">
        <w:trPr>
          <w:trHeight w:val="143"/>
        </w:trPr>
        <w:tc>
          <w:tcPr>
            <w:tcW w:w="1966" w:type="pct"/>
            <w:tcBorders>
              <w:top w:val="nil"/>
              <w:left w:val="single" w:sz="4" w:space="0" w:color="auto"/>
              <w:bottom w:val="single" w:sz="4" w:space="0" w:color="auto"/>
              <w:right w:val="single" w:sz="4" w:space="0" w:color="auto"/>
            </w:tcBorders>
            <w:noWrap/>
            <w:vAlign w:val="bottom"/>
            <w:hideMark/>
          </w:tcPr>
          <w:p w14:paraId="4376BE0E"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3D65FFD2"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0D13E1E0" w14:textId="77777777" w:rsidR="009F3374" w:rsidRDefault="009F3374">
            <w:pPr>
              <w:rPr>
                <w:rFonts w:ascii="Avenir Next Regular" w:hAnsi="Avenir Next Regular" w:cs="Calibri"/>
                <w:iCs/>
                <w:color w:val="000000" w:themeColor="text1"/>
                <w:sz w:val="16"/>
                <w:szCs w:val="16"/>
              </w:rPr>
            </w:pPr>
            <w:r>
              <w:rPr>
                <w:rFonts w:ascii="Avenir Next Regular" w:hAnsi="Avenir Next Regular" w:cs="Calibri"/>
                <w:iCs/>
                <w:color w:val="000000" w:themeColor="text1"/>
                <w:sz w:val="16"/>
                <w:szCs w:val="16"/>
              </w:rPr>
              <w:t> </w:t>
            </w:r>
          </w:p>
        </w:tc>
        <w:tc>
          <w:tcPr>
            <w:tcW w:w="1080" w:type="pct"/>
            <w:tcBorders>
              <w:top w:val="nil"/>
              <w:left w:val="nil"/>
              <w:bottom w:val="single" w:sz="4" w:space="0" w:color="auto"/>
              <w:right w:val="single" w:sz="4" w:space="0" w:color="auto"/>
            </w:tcBorders>
            <w:hideMark/>
          </w:tcPr>
          <w:p w14:paraId="4ECD05E5" w14:textId="77777777" w:rsidR="00601D9B" w:rsidRDefault="000E53A0">
            <w:pPr>
              <w:rPr>
                <w:rFonts w:ascii="Avenir Next Regular" w:hAnsi="Avenir Next Regular" w:cs="Calibri"/>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color w:val="000000" w:themeColor="text1"/>
                <w:sz w:val="16"/>
                <w:szCs w:val="16"/>
              </w:rPr>
              <w:t>Agroécosystèmes</w:t>
            </w:r>
          </w:p>
        </w:tc>
      </w:tr>
      <w:tr w:rsidR="009F3374" w:rsidRPr="000E53A0" w14:paraId="708B9299" w14:textId="77777777" w:rsidTr="009F3374">
        <w:trPr>
          <w:trHeight w:val="125"/>
        </w:trPr>
        <w:tc>
          <w:tcPr>
            <w:tcW w:w="1966" w:type="pct"/>
            <w:tcBorders>
              <w:top w:val="nil"/>
              <w:left w:val="single" w:sz="4" w:space="0" w:color="auto"/>
              <w:bottom w:val="single" w:sz="4" w:space="0" w:color="auto"/>
              <w:right w:val="single" w:sz="4" w:space="0" w:color="auto"/>
            </w:tcBorders>
            <w:noWrap/>
            <w:vAlign w:val="bottom"/>
            <w:hideMark/>
          </w:tcPr>
          <w:p w14:paraId="75A94921"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7A677FCE"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6F9EF5BF" w14:textId="77777777" w:rsidR="009F3374" w:rsidRDefault="009F3374">
            <w:pPr>
              <w:rPr>
                <w:rFonts w:ascii="Avenir Next Regular" w:hAnsi="Avenir Next Regular" w:cs="Calibri"/>
                <w:iCs/>
                <w:color w:val="000000" w:themeColor="text1"/>
                <w:sz w:val="16"/>
                <w:szCs w:val="16"/>
              </w:rPr>
            </w:pPr>
            <w:r>
              <w:rPr>
                <w:rFonts w:ascii="Avenir Next Regular" w:hAnsi="Avenir Next Regular" w:cs="Calibri"/>
                <w:iCs/>
                <w:color w:val="000000" w:themeColor="text1"/>
                <w:sz w:val="16"/>
                <w:szCs w:val="16"/>
              </w:rPr>
              <w:t> </w:t>
            </w:r>
          </w:p>
        </w:tc>
        <w:tc>
          <w:tcPr>
            <w:tcW w:w="1080" w:type="pct"/>
            <w:tcBorders>
              <w:top w:val="nil"/>
              <w:left w:val="nil"/>
              <w:bottom w:val="single" w:sz="4" w:space="0" w:color="auto"/>
              <w:right w:val="single" w:sz="4" w:space="0" w:color="auto"/>
            </w:tcBorders>
            <w:hideMark/>
          </w:tcPr>
          <w:p w14:paraId="4046A097" w14:textId="77777777" w:rsidR="00601D9B" w:rsidRPr="000E53A0" w:rsidRDefault="000E53A0">
            <w:pPr>
              <w:rPr>
                <w:rFonts w:ascii="Avenir Next Regular" w:hAnsi="Avenir Next Regular" w:cs="Calibri"/>
                <w:color w:val="000000" w:themeColor="text1"/>
                <w:sz w:val="16"/>
                <w:szCs w:val="16"/>
                <w:lang w:val="fr-FR"/>
              </w:rPr>
            </w:pPr>
            <w:r>
              <w:rPr>
                <w:color w:val="000000" w:themeColor="text1"/>
                <w:sz w:val="16"/>
                <w:szCs w:val="16"/>
              </w:rPr>
              <w:fldChar w:fldCharType="begin">
                <w:ffData>
                  <w:name w:val="IAP_cities"/>
                  <w:enabled/>
                  <w:calcOnExit w:val="0"/>
                  <w:checkBox>
                    <w:sizeAuto/>
                    <w:default w:val="0"/>
                  </w:checkBox>
                </w:ffData>
              </w:fldChar>
            </w:r>
            <w:r w:rsidRPr="000E53A0">
              <w:rPr>
                <w:color w:val="000000" w:themeColor="text1"/>
                <w:sz w:val="16"/>
                <w:szCs w:val="16"/>
                <w:lang w:val="fr-FR"/>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sidRPr="000E53A0">
              <w:rPr>
                <w:rFonts w:ascii="Avenir Next Regular" w:hAnsi="Avenir Next Regular" w:cs="Calibri"/>
                <w:color w:val="000000" w:themeColor="text1"/>
                <w:sz w:val="16"/>
                <w:szCs w:val="16"/>
                <w:lang w:val="fr-FR"/>
              </w:rPr>
              <w:t>Santé des terres et des sols</w:t>
            </w:r>
          </w:p>
        </w:tc>
      </w:tr>
      <w:tr w:rsidR="009F3374" w14:paraId="66A54A4D" w14:textId="77777777" w:rsidTr="009F3374">
        <w:trPr>
          <w:trHeight w:val="107"/>
        </w:trPr>
        <w:tc>
          <w:tcPr>
            <w:tcW w:w="1966" w:type="pct"/>
            <w:tcBorders>
              <w:top w:val="nil"/>
              <w:left w:val="single" w:sz="4" w:space="0" w:color="auto"/>
              <w:bottom w:val="single" w:sz="4" w:space="0" w:color="auto"/>
              <w:right w:val="single" w:sz="4" w:space="0" w:color="auto"/>
            </w:tcBorders>
            <w:noWrap/>
            <w:vAlign w:val="bottom"/>
            <w:hideMark/>
          </w:tcPr>
          <w:p w14:paraId="3583FE4E" w14:textId="77777777" w:rsidR="009F3374" w:rsidRPr="000E53A0" w:rsidRDefault="009F3374">
            <w:pPr>
              <w:rPr>
                <w:rFonts w:ascii="Avenir Next Regular" w:hAnsi="Avenir Next Regular" w:cs="Calibri"/>
                <w:b/>
                <w:bCs/>
                <w:color w:val="000000" w:themeColor="text1"/>
                <w:sz w:val="16"/>
                <w:szCs w:val="16"/>
                <w:lang w:val="fr-FR"/>
              </w:rPr>
            </w:pPr>
            <w:r w:rsidRPr="000E53A0">
              <w:rPr>
                <w:rFonts w:ascii="Avenir Next Regular" w:hAnsi="Avenir Next Regular" w:cs="Calibri"/>
                <w:b/>
                <w:bCs/>
                <w:color w:val="000000" w:themeColor="text1"/>
                <w:sz w:val="16"/>
                <w:szCs w:val="16"/>
                <w:lang w:val="fr-FR"/>
              </w:rPr>
              <w:lastRenderedPageBreak/>
              <w:t> </w:t>
            </w:r>
          </w:p>
        </w:tc>
        <w:tc>
          <w:tcPr>
            <w:tcW w:w="825" w:type="pct"/>
            <w:tcBorders>
              <w:top w:val="nil"/>
              <w:left w:val="nil"/>
              <w:bottom w:val="single" w:sz="4" w:space="0" w:color="auto"/>
              <w:right w:val="single" w:sz="4" w:space="0" w:color="auto"/>
            </w:tcBorders>
            <w:hideMark/>
          </w:tcPr>
          <w:p w14:paraId="23BFC098" w14:textId="77777777" w:rsidR="009F3374" w:rsidRPr="000E53A0" w:rsidRDefault="009F3374">
            <w:pPr>
              <w:rPr>
                <w:rFonts w:ascii="Avenir Next Regular" w:hAnsi="Avenir Next Regular" w:cs="Calibri"/>
                <w:b/>
                <w:bCs/>
                <w:color w:val="000000" w:themeColor="text1"/>
                <w:sz w:val="16"/>
                <w:szCs w:val="16"/>
                <w:lang w:val="fr-FR"/>
              </w:rPr>
            </w:pPr>
            <w:r w:rsidRPr="000E53A0">
              <w:rPr>
                <w:rFonts w:ascii="Avenir Next Regular" w:hAnsi="Avenir Next Regular" w:cs="Calibri"/>
                <w:b/>
                <w:bCs/>
                <w:color w:val="000000" w:themeColor="text1"/>
                <w:sz w:val="16"/>
                <w:szCs w:val="16"/>
                <w:lang w:val="fr-FR"/>
              </w:rPr>
              <w:t> </w:t>
            </w:r>
          </w:p>
        </w:tc>
        <w:tc>
          <w:tcPr>
            <w:tcW w:w="1129" w:type="pct"/>
            <w:tcBorders>
              <w:top w:val="nil"/>
              <w:left w:val="nil"/>
              <w:bottom w:val="single" w:sz="4" w:space="0" w:color="auto"/>
              <w:right w:val="single" w:sz="4" w:space="0" w:color="auto"/>
            </w:tcBorders>
            <w:hideMark/>
          </w:tcPr>
          <w:p w14:paraId="0E4C3AEC" w14:textId="77777777" w:rsidR="009F3374" w:rsidRPr="000E53A0" w:rsidRDefault="009F3374">
            <w:pPr>
              <w:rPr>
                <w:rFonts w:ascii="Avenir Next Regular" w:hAnsi="Avenir Next Regular" w:cs="Calibri"/>
                <w:iCs/>
                <w:color w:val="000000" w:themeColor="text1"/>
                <w:sz w:val="16"/>
                <w:szCs w:val="16"/>
                <w:lang w:val="fr-FR"/>
              </w:rPr>
            </w:pPr>
            <w:r w:rsidRPr="000E53A0">
              <w:rPr>
                <w:rFonts w:ascii="Avenir Next Regular" w:hAnsi="Avenir Next Regular" w:cs="Calibri"/>
                <w:iCs/>
                <w:color w:val="000000" w:themeColor="text1"/>
                <w:sz w:val="16"/>
                <w:szCs w:val="16"/>
                <w:lang w:val="fr-FR"/>
              </w:rPr>
              <w:t> </w:t>
            </w:r>
          </w:p>
        </w:tc>
        <w:tc>
          <w:tcPr>
            <w:tcW w:w="1080" w:type="pct"/>
            <w:tcBorders>
              <w:top w:val="nil"/>
              <w:left w:val="nil"/>
              <w:bottom w:val="single" w:sz="4" w:space="0" w:color="auto"/>
              <w:right w:val="single" w:sz="4" w:space="0" w:color="auto"/>
            </w:tcBorders>
            <w:hideMark/>
          </w:tcPr>
          <w:p w14:paraId="1D7D2FF3" w14:textId="77777777" w:rsidR="00601D9B" w:rsidRDefault="000E53A0">
            <w:pPr>
              <w:rPr>
                <w:rFonts w:ascii="Avenir Next Regular" w:hAnsi="Avenir Next Regular" w:cs="Calibri"/>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color w:val="000000" w:themeColor="text1"/>
                <w:sz w:val="16"/>
                <w:szCs w:val="16"/>
              </w:rPr>
              <w:t>Exploitation agricole diversifiée</w:t>
            </w:r>
          </w:p>
        </w:tc>
      </w:tr>
      <w:tr w:rsidR="009F3374" w:rsidRPr="000E53A0" w14:paraId="250CA66E" w14:textId="77777777" w:rsidTr="009F3374">
        <w:trPr>
          <w:trHeight w:val="143"/>
        </w:trPr>
        <w:tc>
          <w:tcPr>
            <w:tcW w:w="1966" w:type="pct"/>
            <w:tcBorders>
              <w:top w:val="nil"/>
              <w:left w:val="single" w:sz="4" w:space="0" w:color="auto"/>
              <w:bottom w:val="single" w:sz="4" w:space="0" w:color="auto"/>
              <w:right w:val="single" w:sz="4" w:space="0" w:color="auto"/>
            </w:tcBorders>
            <w:noWrap/>
            <w:vAlign w:val="bottom"/>
            <w:hideMark/>
          </w:tcPr>
          <w:p w14:paraId="6E2061AF"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6B505E1F"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0537CCAB" w14:textId="77777777" w:rsidR="009F3374" w:rsidRDefault="009F3374">
            <w:pPr>
              <w:rPr>
                <w:rFonts w:ascii="Avenir Next Regular" w:hAnsi="Avenir Next Regular" w:cs="Calibri"/>
                <w:iCs/>
                <w:color w:val="000000" w:themeColor="text1"/>
                <w:sz w:val="16"/>
                <w:szCs w:val="16"/>
              </w:rPr>
            </w:pPr>
            <w:r>
              <w:rPr>
                <w:rFonts w:ascii="Avenir Next Regular" w:hAnsi="Avenir Next Regular" w:cs="Calibri"/>
                <w:iCs/>
                <w:color w:val="000000" w:themeColor="text1"/>
                <w:sz w:val="16"/>
                <w:szCs w:val="16"/>
              </w:rPr>
              <w:t> </w:t>
            </w:r>
          </w:p>
        </w:tc>
        <w:tc>
          <w:tcPr>
            <w:tcW w:w="1080" w:type="pct"/>
            <w:tcBorders>
              <w:top w:val="nil"/>
              <w:left w:val="nil"/>
              <w:bottom w:val="single" w:sz="4" w:space="0" w:color="auto"/>
              <w:right w:val="single" w:sz="4" w:space="0" w:color="auto"/>
            </w:tcBorders>
            <w:hideMark/>
          </w:tcPr>
          <w:p w14:paraId="48B363E8" w14:textId="77777777" w:rsidR="00601D9B" w:rsidRPr="000E53A0" w:rsidRDefault="000E53A0">
            <w:pPr>
              <w:ind w:left="192" w:hanging="192"/>
              <w:rPr>
                <w:rFonts w:ascii="Avenir Next Regular" w:hAnsi="Avenir Next Regular" w:cs="Calibri"/>
                <w:color w:val="000000" w:themeColor="text1"/>
                <w:sz w:val="16"/>
                <w:szCs w:val="16"/>
                <w:lang w:val="fr-FR"/>
              </w:rPr>
            </w:pPr>
            <w:r>
              <w:rPr>
                <w:color w:val="000000" w:themeColor="text1"/>
                <w:sz w:val="16"/>
                <w:szCs w:val="16"/>
              </w:rPr>
              <w:fldChar w:fldCharType="begin">
                <w:ffData>
                  <w:name w:val="IAP_cities"/>
                  <w:enabled/>
                  <w:calcOnExit w:val="0"/>
                  <w:checkBox>
                    <w:sizeAuto/>
                    <w:default w:val="0"/>
                  </w:checkBox>
                </w:ffData>
              </w:fldChar>
            </w:r>
            <w:r w:rsidRPr="000E53A0">
              <w:rPr>
                <w:color w:val="000000" w:themeColor="text1"/>
                <w:sz w:val="16"/>
                <w:szCs w:val="16"/>
                <w:lang w:val="fr-FR"/>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sidRPr="000E53A0">
              <w:rPr>
                <w:rFonts w:ascii="Avenir Next Regular" w:hAnsi="Avenir Next Regular" w:cs="Calibri"/>
                <w:color w:val="000000" w:themeColor="text1"/>
                <w:sz w:val="16"/>
                <w:szCs w:val="16"/>
                <w:lang w:val="fr-FR"/>
              </w:rPr>
              <w:t>Gestion intégrée des terres et des eaux</w:t>
            </w:r>
          </w:p>
        </w:tc>
      </w:tr>
      <w:tr w:rsidR="009F3374" w14:paraId="75DD2617" w14:textId="77777777" w:rsidTr="009F3374">
        <w:trPr>
          <w:trHeight w:val="116"/>
        </w:trPr>
        <w:tc>
          <w:tcPr>
            <w:tcW w:w="1966" w:type="pct"/>
            <w:tcBorders>
              <w:top w:val="nil"/>
              <w:left w:val="single" w:sz="4" w:space="0" w:color="auto"/>
              <w:bottom w:val="single" w:sz="4" w:space="0" w:color="auto"/>
              <w:right w:val="single" w:sz="4" w:space="0" w:color="auto"/>
            </w:tcBorders>
            <w:noWrap/>
            <w:vAlign w:val="bottom"/>
            <w:hideMark/>
          </w:tcPr>
          <w:p w14:paraId="71599A0E" w14:textId="77777777" w:rsidR="009F3374" w:rsidRPr="000E53A0" w:rsidRDefault="009F3374">
            <w:pPr>
              <w:rPr>
                <w:rFonts w:ascii="Avenir Next Regular" w:hAnsi="Avenir Next Regular" w:cs="Calibri"/>
                <w:b/>
                <w:bCs/>
                <w:color w:val="000000" w:themeColor="text1"/>
                <w:sz w:val="16"/>
                <w:szCs w:val="16"/>
                <w:lang w:val="fr-FR"/>
              </w:rPr>
            </w:pPr>
            <w:r w:rsidRPr="000E53A0">
              <w:rPr>
                <w:rFonts w:ascii="Avenir Next Regular" w:hAnsi="Avenir Next Regular" w:cs="Calibri"/>
                <w:b/>
                <w:bCs/>
                <w:color w:val="000000" w:themeColor="text1"/>
                <w:sz w:val="16"/>
                <w:szCs w:val="16"/>
                <w:lang w:val="fr-FR"/>
              </w:rPr>
              <w:t> </w:t>
            </w:r>
          </w:p>
        </w:tc>
        <w:tc>
          <w:tcPr>
            <w:tcW w:w="825" w:type="pct"/>
            <w:tcBorders>
              <w:top w:val="nil"/>
              <w:left w:val="nil"/>
              <w:bottom w:val="single" w:sz="4" w:space="0" w:color="auto"/>
              <w:right w:val="single" w:sz="4" w:space="0" w:color="auto"/>
            </w:tcBorders>
            <w:hideMark/>
          </w:tcPr>
          <w:p w14:paraId="157811F6" w14:textId="77777777" w:rsidR="009F3374" w:rsidRPr="000E53A0" w:rsidRDefault="009F3374">
            <w:pPr>
              <w:rPr>
                <w:rFonts w:ascii="Avenir Next Regular" w:hAnsi="Avenir Next Regular" w:cs="Calibri"/>
                <w:b/>
                <w:bCs/>
                <w:color w:val="000000" w:themeColor="text1"/>
                <w:sz w:val="16"/>
                <w:szCs w:val="16"/>
                <w:lang w:val="fr-FR"/>
              </w:rPr>
            </w:pPr>
            <w:r w:rsidRPr="000E53A0">
              <w:rPr>
                <w:rFonts w:ascii="Avenir Next Regular" w:hAnsi="Avenir Next Regular" w:cs="Calibri"/>
                <w:b/>
                <w:bCs/>
                <w:color w:val="000000" w:themeColor="text1"/>
                <w:sz w:val="16"/>
                <w:szCs w:val="16"/>
                <w:lang w:val="fr-FR"/>
              </w:rPr>
              <w:t> </w:t>
            </w:r>
          </w:p>
        </w:tc>
        <w:tc>
          <w:tcPr>
            <w:tcW w:w="1129" w:type="pct"/>
            <w:tcBorders>
              <w:top w:val="nil"/>
              <w:left w:val="nil"/>
              <w:bottom w:val="single" w:sz="4" w:space="0" w:color="auto"/>
              <w:right w:val="single" w:sz="4" w:space="0" w:color="auto"/>
            </w:tcBorders>
            <w:hideMark/>
          </w:tcPr>
          <w:p w14:paraId="3A55BC0C" w14:textId="77777777" w:rsidR="009F3374" w:rsidRPr="000E53A0" w:rsidRDefault="009F3374">
            <w:pPr>
              <w:rPr>
                <w:rFonts w:ascii="Avenir Next Regular" w:hAnsi="Avenir Next Regular" w:cs="Calibri"/>
                <w:iCs/>
                <w:color w:val="000000" w:themeColor="text1"/>
                <w:sz w:val="16"/>
                <w:szCs w:val="16"/>
                <w:lang w:val="fr-FR"/>
              </w:rPr>
            </w:pPr>
            <w:r w:rsidRPr="000E53A0">
              <w:rPr>
                <w:rFonts w:ascii="Avenir Next Regular" w:hAnsi="Avenir Next Regular" w:cs="Calibri"/>
                <w:iCs/>
                <w:color w:val="000000" w:themeColor="text1"/>
                <w:sz w:val="16"/>
                <w:szCs w:val="16"/>
                <w:lang w:val="fr-FR"/>
              </w:rPr>
              <w:t> </w:t>
            </w:r>
          </w:p>
        </w:tc>
        <w:tc>
          <w:tcPr>
            <w:tcW w:w="1080" w:type="pct"/>
            <w:tcBorders>
              <w:top w:val="nil"/>
              <w:left w:val="nil"/>
              <w:bottom w:val="single" w:sz="4" w:space="0" w:color="auto"/>
              <w:right w:val="single" w:sz="4" w:space="0" w:color="auto"/>
            </w:tcBorders>
            <w:hideMark/>
          </w:tcPr>
          <w:p w14:paraId="061BDC40" w14:textId="77777777" w:rsidR="00601D9B" w:rsidRDefault="000E53A0">
            <w:pPr>
              <w:rPr>
                <w:rFonts w:ascii="Avenir Next Regular" w:hAnsi="Avenir Next Regular" w:cs="Calibri"/>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color w:val="000000" w:themeColor="text1"/>
                <w:sz w:val="16"/>
                <w:szCs w:val="16"/>
              </w:rPr>
              <w:t>Petits exploitants agricoles</w:t>
            </w:r>
          </w:p>
        </w:tc>
      </w:tr>
      <w:tr w:rsidR="009F3374" w14:paraId="1316320C" w14:textId="77777777" w:rsidTr="009F3374">
        <w:trPr>
          <w:trHeight w:val="170"/>
        </w:trPr>
        <w:tc>
          <w:tcPr>
            <w:tcW w:w="1966" w:type="pct"/>
            <w:tcBorders>
              <w:top w:val="nil"/>
              <w:left w:val="single" w:sz="4" w:space="0" w:color="auto"/>
              <w:bottom w:val="single" w:sz="4" w:space="0" w:color="auto"/>
              <w:right w:val="single" w:sz="4" w:space="0" w:color="auto"/>
            </w:tcBorders>
            <w:noWrap/>
            <w:vAlign w:val="bottom"/>
            <w:hideMark/>
          </w:tcPr>
          <w:p w14:paraId="400B2BF4"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07A20330"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6D611037" w14:textId="77777777" w:rsidR="009F3374" w:rsidRDefault="009F3374">
            <w:pPr>
              <w:rPr>
                <w:rFonts w:ascii="Avenir Next Regular" w:hAnsi="Avenir Next Regular" w:cs="Calibri"/>
                <w:iCs/>
                <w:color w:val="000000" w:themeColor="text1"/>
                <w:sz w:val="16"/>
                <w:szCs w:val="16"/>
              </w:rPr>
            </w:pPr>
            <w:r>
              <w:rPr>
                <w:rFonts w:ascii="Avenir Next Regular" w:hAnsi="Avenir Next Regular" w:cs="Calibri"/>
                <w:iCs/>
                <w:color w:val="000000" w:themeColor="text1"/>
                <w:sz w:val="16"/>
                <w:szCs w:val="16"/>
              </w:rPr>
              <w:t> </w:t>
            </w:r>
          </w:p>
        </w:tc>
        <w:tc>
          <w:tcPr>
            <w:tcW w:w="1080" w:type="pct"/>
            <w:tcBorders>
              <w:top w:val="nil"/>
              <w:left w:val="nil"/>
              <w:bottom w:val="single" w:sz="4" w:space="0" w:color="auto"/>
              <w:right w:val="single" w:sz="4" w:space="0" w:color="auto"/>
            </w:tcBorders>
            <w:hideMark/>
          </w:tcPr>
          <w:p w14:paraId="3FB80EA2" w14:textId="77777777" w:rsidR="00601D9B" w:rsidRDefault="000E53A0">
            <w:pPr>
              <w:rPr>
                <w:rFonts w:ascii="Avenir Next Regular" w:hAnsi="Avenir Next Regular" w:cs="Calibri"/>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color w:val="000000" w:themeColor="text1"/>
                <w:sz w:val="16"/>
                <w:szCs w:val="16"/>
              </w:rPr>
              <w:t>Petites et moyennes entreprises</w:t>
            </w:r>
          </w:p>
        </w:tc>
      </w:tr>
      <w:tr w:rsidR="009F3374" w14:paraId="6DA05EAB" w14:textId="77777777" w:rsidTr="009F3374">
        <w:trPr>
          <w:trHeight w:val="143"/>
        </w:trPr>
        <w:tc>
          <w:tcPr>
            <w:tcW w:w="1966" w:type="pct"/>
            <w:tcBorders>
              <w:top w:val="nil"/>
              <w:left w:val="single" w:sz="4" w:space="0" w:color="auto"/>
              <w:bottom w:val="single" w:sz="4" w:space="0" w:color="auto"/>
              <w:right w:val="single" w:sz="4" w:space="0" w:color="auto"/>
            </w:tcBorders>
            <w:noWrap/>
            <w:vAlign w:val="bottom"/>
            <w:hideMark/>
          </w:tcPr>
          <w:p w14:paraId="558ABDFD"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46A785A0"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23BE287D" w14:textId="77777777" w:rsidR="009F3374" w:rsidRDefault="009F3374">
            <w:pPr>
              <w:rPr>
                <w:rFonts w:ascii="Avenir Next Regular" w:hAnsi="Avenir Next Regular" w:cs="Calibri"/>
                <w:iCs/>
                <w:color w:val="000000" w:themeColor="text1"/>
                <w:sz w:val="16"/>
                <w:szCs w:val="16"/>
              </w:rPr>
            </w:pPr>
            <w:r>
              <w:rPr>
                <w:rFonts w:ascii="Avenir Next Regular" w:hAnsi="Avenir Next Regular" w:cs="Calibri"/>
                <w:iCs/>
                <w:color w:val="000000" w:themeColor="text1"/>
                <w:sz w:val="16"/>
                <w:szCs w:val="16"/>
              </w:rPr>
              <w:t> </w:t>
            </w:r>
          </w:p>
        </w:tc>
        <w:tc>
          <w:tcPr>
            <w:tcW w:w="1080" w:type="pct"/>
            <w:tcBorders>
              <w:top w:val="nil"/>
              <w:left w:val="nil"/>
              <w:bottom w:val="single" w:sz="4" w:space="0" w:color="auto"/>
              <w:right w:val="single" w:sz="4" w:space="0" w:color="auto"/>
            </w:tcBorders>
            <w:hideMark/>
          </w:tcPr>
          <w:p w14:paraId="51240353" w14:textId="77777777" w:rsidR="00601D9B" w:rsidRDefault="000E53A0">
            <w:pPr>
              <w:rPr>
                <w:rFonts w:ascii="Avenir Next Regular" w:hAnsi="Avenir Next Regular" w:cs="Calibri"/>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color w:val="000000" w:themeColor="text1"/>
                <w:sz w:val="16"/>
                <w:szCs w:val="16"/>
              </w:rPr>
              <w:t>Diversité génétique des cultures</w:t>
            </w:r>
          </w:p>
        </w:tc>
      </w:tr>
      <w:tr w:rsidR="009F3374" w14:paraId="4B9E7E41" w14:textId="77777777" w:rsidTr="009F3374">
        <w:trPr>
          <w:trHeight w:val="134"/>
        </w:trPr>
        <w:tc>
          <w:tcPr>
            <w:tcW w:w="1966" w:type="pct"/>
            <w:tcBorders>
              <w:top w:val="nil"/>
              <w:left w:val="single" w:sz="4" w:space="0" w:color="auto"/>
              <w:bottom w:val="single" w:sz="4" w:space="0" w:color="auto"/>
              <w:right w:val="single" w:sz="4" w:space="0" w:color="auto"/>
            </w:tcBorders>
            <w:noWrap/>
            <w:vAlign w:val="bottom"/>
            <w:hideMark/>
          </w:tcPr>
          <w:p w14:paraId="3C5CA5F4"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495767C5"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3934BA26" w14:textId="77777777" w:rsidR="009F3374" w:rsidRDefault="009F3374">
            <w:pPr>
              <w:rPr>
                <w:rFonts w:ascii="Avenir Next Regular" w:hAnsi="Avenir Next Regular" w:cs="Calibri"/>
                <w:iCs/>
                <w:color w:val="000000" w:themeColor="text1"/>
                <w:sz w:val="16"/>
                <w:szCs w:val="16"/>
              </w:rPr>
            </w:pPr>
            <w:r>
              <w:rPr>
                <w:rFonts w:ascii="Avenir Next Regular" w:hAnsi="Avenir Next Regular" w:cs="Calibri"/>
                <w:iCs/>
                <w:color w:val="000000" w:themeColor="text1"/>
                <w:sz w:val="16"/>
                <w:szCs w:val="16"/>
              </w:rPr>
              <w:t> </w:t>
            </w:r>
          </w:p>
        </w:tc>
        <w:tc>
          <w:tcPr>
            <w:tcW w:w="1080" w:type="pct"/>
            <w:tcBorders>
              <w:top w:val="nil"/>
              <w:left w:val="nil"/>
              <w:bottom w:val="single" w:sz="4" w:space="0" w:color="auto"/>
              <w:right w:val="single" w:sz="4" w:space="0" w:color="auto"/>
            </w:tcBorders>
            <w:hideMark/>
          </w:tcPr>
          <w:p w14:paraId="36D60585" w14:textId="77777777" w:rsidR="00601D9B" w:rsidRDefault="000E53A0">
            <w:pPr>
              <w:rPr>
                <w:rFonts w:ascii="Avenir Next Regular" w:hAnsi="Avenir Next Regular" w:cs="Calibri"/>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color w:val="000000" w:themeColor="text1"/>
                <w:sz w:val="16"/>
                <w:szCs w:val="16"/>
              </w:rPr>
              <w:t>Chaînes de valeur alimentaires</w:t>
            </w:r>
          </w:p>
        </w:tc>
      </w:tr>
      <w:tr w:rsidR="009F3374" w14:paraId="11714BA0" w14:textId="77777777" w:rsidTr="009F3374">
        <w:trPr>
          <w:trHeight w:val="58"/>
        </w:trPr>
        <w:tc>
          <w:tcPr>
            <w:tcW w:w="1966" w:type="pct"/>
            <w:tcBorders>
              <w:top w:val="nil"/>
              <w:left w:val="single" w:sz="4" w:space="0" w:color="auto"/>
              <w:bottom w:val="single" w:sz="4" w:space="0" w:color="auto"/>
              <w:right w:val="single" w:sz="4" w:space="0" w:color="auto"/>
            </w:tcBorders>
            <w:noWrap/>
            <w:vAlign w:val="bottom"/>
            <w:hideMark/>
          </w:tcPr>
          <w:p w14:paraId="1A5E73A2"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3486D688"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33E10097" w14:textId="77777777" w:rsidR="009F3374" w:rsidRDefault="009F3374">
            <w:pPr>
              <w:rPr>
                <w:rFonts w:ascii="Avenir Next Regular" w:hAnsi="Avenir Next Regular" w:cs="Calibri"/>
                <w:iCs/>
                <w:color w:val="000000" w:themeColor="text1"/>
                <w:sz w:val="16"/>
                <w:szCs w:val="16"/>
              </w:rPr>
            </w:pPr>
            <w:r>
              <w:rPr>
                <w:rFonts w:ascii="Avenir Next Regular" w:hAnsi="Avenir Next Regular" w:cs="Calibri"/>
                <w:iCs/>
                <w:color w:val="000000" w:themeColor="text1"/>
                <w:sz w:val="16"/>
                <w:szCs w:val="16"/>
              </w:rPr>
              <w:t> </w:t>
            </w:r>
          </w:p>
        </w:tc>
        <w:tc>
          <w:tcPr>
            <w:tcW w:w="1080" w:type="pct"/>
            <w:tcBorders>
              <w:top w:val="nil"/>
              <w:left w:val="nil"/>
              <w:bottom w:val="single" w:sz="4" w:space="0" w:color="auto"/>
              <w:right w:val="single" w:sz="4" w:space="0" w:color="auto"/>
            </w:tcBorders>
            <w:hideMark/>
          </w:tcPr>
          <w:p w14:paraId="59E06AE2" w14:textId="77777777" w:rsidR="00601D9B" w:rsidRDefault="000E53A0">
            <w:pPr>
              <w:rPr>
                <w:rFonts w:ascii="Avenir Next Regular" w:hAnsi="Avenir Next Regular" w:cs="Calibri"/>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color w:val="000000" w:themeColor="text1"/>
                <w:sz w:val="16"/>
                <w:szCs w:val="16"/>
              </w:rPr>
              <w:t>Dimensions de genre</w:t>
            </w:r>
          </w:p>
        </w:tc>
      </w:tr>
      <w:tr w:rsidR="009F3374" w14:paraId="7ACF4309" w14:textId="77777777" w:rsidTr="009F3374">
        <w:trPr>
          <w:trHeight w:val="179"/>
        </w:trPr>
        <w:tc>
          <w:tcPr>
            <w:tcW w:w="1966" w:type="pct"/>
            <w:tcBorders>
              <w:top w:val="nil"/>
              <w:left w:val="single" w:sz="4" w:space="0" w:color="auto"/>
              <w:bottom w:val="single" w:sz="4" w:space="0" w:color="auto"/>
              <w:right w:val="single" w:sz="4" w:space="0" w:color="auto"/>
            </w:tcBorders>
            <w:noWrap/>
            <w:vAlign w:val="bottom"/>
            <w:hideMark/>
          </w:tcPr>
          <w:p w14:paraId="426F05B4"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383A964B"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3AA49529" w14:textId="77777777" w:rsidR="009F3374" w:rsidRDefault="009F3374">
            <w:pPr>
              <w:rPr>
                <w:rFonts w:ascii="Avenir Next Regular" w:hAnsi="Avenir Next Regular" w:cs="Calibri"/>
                <w:iCs/>
                <w:color w:val="000000" w:themeColor="text1"/>
                <w:sz w:val="16"/>
                <w:szCs w:val="16"/>
              </w:rPr>
            </w:pPr>
            <w:r>
              <w:rPr>
                <w:rFonts w:ascii="Avenir Next Regular" w:hAnsi="Avenir Next Regular" w:cs="Calibri"/>
                <w:iCs/>
                <w:color w:val="000000" w:themeColor="text1"/>
                <w:sz w:val="16"/>
                <w:szCs w:val="16"/>
              </w:rPr>
              <w:t> </w:t>
            </w:r>
          </w:p>
        </w:tc>
        <w:tc>
          <w:tcPr>
            <w:tcW w:w="1080" w:type="pct"/>
            <w:tcBorders>
              <w:top w:val="nil"/>
              <w:left w:val="nil"/>
              <w:bottom w:val="single" w:sz="4" w:space="0" w:color="auto"/>
              <w:right w:val="single" w:sz="4" w:space="0" w:color="auto"/>
            </w:tcBorders>
            <w:hideMark/>
          </w:tcPr>
          <w:p w14:paraId="56FB1E89" w14:textId="77777777" w:rsidR="00601D9B" w:rsidRDefault="000E53A0">
            <w:pPr>
              <w:rPr>
                <w:rFonts w:ascii="Avenir Next Regular" w:hAnsi="Avenir Next Regular" w:cs="Calibri"/>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color w:val="000000" w:themeColor="text1"/>
                <w:sz w:val="16"/>
                <w:szCs w:val="16"/>
              </w:rPr>
              <w:t>Plates-formes multipartites</w:t>
            </w:r>
          </w:p>
        </w:tc>
      </w:tr>
      <w:tr w:rsidR="009F3374" w:rsidRPr="000E53A0" w14:paraId="41177919" w14:textId="77777777" w:rsidTr="009F3374">
        <w:trPr>
          <w:trHeight w:val="341"/>
        </w:trPr>
        <w:tc>
          <w:tcPr>
            <w:tcW w:w="1966" w:type="pct"/>
            <w:tcBorders>
              <w:top w:val="nil"/>
              <w:left w:val="single" w:sz="4" w:space="0" w:color="auto"/>
              <w:bottom w:val="single" w:sz="4" w:space="0" w:color="auto"/>
              <w:right w:val="single" w:sz="4" w:space="0" w:color="auto"/>
            </w:tcBorders>
            <w:noWrap/>
            <w:vAlign w:val="bottom"/>
            <w:hideMark/>
          </w:tcPr>
          <w:p w14:paraId="7C4BA53B"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7D0EB719"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3893453A" w14:textId="77777777" w:rsidR="00601D9B" w:rsidRPr="000E53A0" w:rsidRDefault="000E53A0">
            <w:pPr>
              <w:ind w:left="150" w:hanging="150"/>
              <w:rPr>
                <w:rFonts w:ascii="Avenir Next Regular" w:hAnsi="Avenir Next Regular" w:cs="Calibri"/>
                <w:iCs/>
                <w:color w:val="000000" w:themeColor="text1"/>
                <w:sz w:val="16"/>
                <w:szCs w:val="16"/>
                <w:lang w:val="fr-FR"/>
              </w:rPr>
            </w:pPr>
            <w:r>
              <w:rPr>
                <w:color w:val="000000" w:themeColor="text1"/>
                <w:sz w:val="16"/>
                <w:szCs w:val="16"/>
              </w:rPr>
              <w:fldChar w:fldCharType="begin">
                <w:ffData>
                  <w:name w:val="IAP_cities"/>
                  <w:enabled/>
                  <w:calcOnExit w:val="0"/>
                  <w:checkBox>
                    <w:sizeAuto/>
                    <w:default w:val="0"/>
                  </w:checkBox>
                </w:ffData>
              </w:fldChar>
            </w:r>
            <w:r w:rsidRPr="000E53A0">
              <w:rPr>
                <w:color w:val="000000" w:themeColor="text1"/>
                <w:sz w:val="16"/>
                <w:szCs w:val="16"/>
                <w:lang w:val="fr-FR"/>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sidRPr="000E53A0">
              <w:rPr>
                <w:rFonts w:ascii="Avenir Next Regular" w:hAnsi="Avenir Next Regular" w:cs="Calibri"/>
                <w:iCs/>
                <w:color w:val="000000" w:themeColor="text1"/>
                <w:sz w:val="16"/>
                <w:szCs w:val="16"/>
                <w:lang w:val="fr-FR"/>
              </w:rPr>
              <w:t>Systèmes alimentaires, utilisation des sols et restauration</w:t>
            </w:r>
          </w:p>
        </w:tc>
        <w:tc>
          <w:tcPr>
            <w:tcW w:w="1080" w:type="pct"/>
            <w:tcBorders>
              <w:top w:val="nil"/>
              <w:left w:val="nil"/>
              <w:bottom w:val="single" w:sz="4" w:space="0" w:color="auto"/>
              <w:right w:val="single" w:sz="4" w:space="0" w:color="auto"/>
            </w:tcBorders>
            <w:hideMark/>
          </w:tcPr>
          <w:p w14:paraId="04D38163" w14:textId="77777777" w:rsidR="009F3374" w:rsidRPr="000E53A0" w:rsidRDefault="009F3374">
            <w:pPr>
              <w:rPr>
                <w:rFonts w:ascii="Avenir Next Regular" w:hAnsi="Avenir Next Regular" w:cs="Calibri"/>
                <w:color w:val="000000" w:themeColor="text1"/>
                <w:sz w:val="16"/>
                <w:szCs w:val="16"/>
                <w:lang w:val="fr-FR"/>
              </w:rPr>
            </w:pPr>
            <w:r w:rsidRPr="000E53A0">
              <w:rPr>
                <w:rFonts w:ascii="Avenir Next Regular" w:hAnsi="Avenir Next Regular" w:cs="Calibri"/>
                <w:color w:val="000000" w:themeColor="text1"/>
                <w:sz w:val="16"/>
                <w:szCs w:val="16"/>
                <w:lang w:val="fr-FR"/>
              </w:rPr>
              <w:t> </w:t>
            </w:r>
          </w:p>
        </w:tc>
      </w:tr>
      <w:tr w:rsidR="009F3374" w14:paraId="0C85DB53" w14:textId="77777777" w:rsidTr="009F3374">
        <w:trPr>
          <w:trHeight w:val="58"/>
        </w:trPr>
        <w:tc>
          <w:tcPr>
            <w:tcW w:w="1966" w:type="pct"/>
            <w:tcBorders>
              <w:top w:val="nil"/>
              <w:left w:val="single" w:sz="4" w:space="0" w:color="auto"/>
              <w:bottom w:val="single" w:sz="4" w:space="0" w:color="auto"/>
              <w:right w:val="single" w:sz="4" w:space="0" w:color="auto"/>
            </w:tcBorders>
            <w:noWrap/>
            <w:vAlign w:val="bottom"/>
            <w:hideMark/>
          </w:tcPr>
          <w:p w14:paraId="3C8D8E85" w14:textId="77777777" w:rsidR="009F3374" w:rsidRPr="000E53A0" w:rsidRDefault="009F3374">
            <w:pPr>
              <w:rPr>
                <w:rFonts w:ascii="Avenir Next Regular" w:hAnsi="Avenir Next Regular" w:cs="Calibri"/>
                <w:b/>
                <w:bCs/>
                <w:color w:val="000000" w:themeColor="text1"/>
                <w:sz w:val="16"/>
                <w:szCs w:val="16"/>
                <w:lang w:val="fr-FR"/>
              </w:rPr>
            </w:pPr>
            <w:r w:rsidRPr="000E53A0">
              <w:rPr>
                <w:rFonts w:ascii="Avenir Next Regular" w:hAnsi="Avenir Next Regular" w:cs="Calibri"/>
                <w:b/>
                <w:bCs/>
                <w:color w:val="000000" w:themeColor="text1"/>
                <w:sz w:val="16"/>
                <w:szCs w:val="16"/>
                <w:lang w:val="fr-FR"/>
              </w:rPr>
              <w:t> </w:t>
            </w:r>
          </w:p>
        </w:tc>
        <w:tc>
          <w:tcPr>
            <w:tcW w:w="825" w:type="pct"/>
            <w:tcBorders>
              <w:top w:val="nil"/>
              <w:left w:val="nil"/>
              <w:bottom w:val="single" w:sz="4" w:space="0" w:color="auto"/>
              <w:right w:val="single" w:sz="4" w:space="0" w:color="auto"/>
            </w:tcBorders>
            <w:hideMark/>
          </w:tcPr>
          <w:p w14:paraId="1DA16760" w14:textId="77777777" w:rsidR="009F3374" w:rsidRPr="000E53A0" w:rsidRDefault="009F3374">
            <w:pPr>
              <w:rPr>
                <w:rFonts w:ascii="Avenir Next Regular" w:hAnsi="Avenir Next Regular" w:cs="Calibri"/>
                <w:b/>
                <w:bCs/>
                <w:color w:val="000000" w:themeColor="text1"/>
                <w:sz w:val="16"/>
                <w:szCs w:val="16"/>
                <w:lang w:val="fr-FR"/>
              </w:rPr>
            </w:pPr>
            <w:r w:rsidRPr="000E53A0">
              <w:rPr>
                <w:rFonts w:ascii="Avenir Next Regular" w:hAnsi="Avenir Next Regular" w:cs="Calibri"/>
                <w:b/>
                <w:bCs/>
                <w:color w:val="000000" w:themeColor="text1"/>
                <w:sz w:val="16"/>
                <w:szCs w:val="16"/>
                <w:lang w:val="fr-FR"/>
              </w:rPr>
              <w:t> </w:t>
            </w:r>
          </w:p>
        </w:tc>
        <w:tc>
          <w:tcPr>
            <w:tcW w:w="1129" w:type="pct"/>
            <w:tcBorders>
              <w:top w:val="nil"/>
              <w:left w:val="nil"/>
              <w:bottom w:val="single" w:sz="4" w:space="0" w:color="auto"/>
              <w:right w:val="single" w:sz="4" w:space="0" w:color="auto"/>
            </w:tcBorders>
            <w:hideMark/>
          </w:tcPr>
          <w:p w14:paraId="5407864C" w14:textId="77777777" w:rsidR="009F3374" w:rsidRPr="000E53A0" w:rsidRDefault="009F3374">
            <w:pPr>
              <w:rPr>
                <w:rFonts w:ascii="Avenir Next Regular" w:hAnsi="Avenir Next Regular" w:cs="Calibri"/>
                <w:iCs/>
                <w:color w:val="000000" w:themeColor="text1"/>
                <w:sz w:val="16"/>
                <w:szCs w:val="16"/>
                <w:lang w:val="fr-FR"/>
              </w:rPr>
            </w:pPr>
            <w:r w:rsidRPr="000E53A0">
              <w:rPr>
                <w:rFonts w:ascii="Avenir Next Regular" w:hAnsi="Avenir Next Regular" w:cs="Calibri"/>
                <w:iCs/>
                <w:color w:val="000000" w:themeColor="text1"/>
                <w:sz w:val="16"/>
                <w:szCs w:val="16"/>
                <w:lang w:val="fr-FR"/>
              </w:rPr>
              <w:t> </w:t>
            </w:r>
          </w:p>
        </w:tc>
        <w:tc>
          <w:tcPr>
            <w:tcW w:w="1080" w:type="pct"/>
            <w:tcBorders>
              <w:top w:val="nil"/>
              <w:left w:val="nil"/>
              <w:bottom w:val="single" w:sz="4" w:space="0" w:color="auto"/>
              <w:right w:val="single" w:sz="4" w:space="0" w:color="auto"/>
            </w:tcBorders>
            <w:hideMark/>
          </w:tcPr>
          <w:p w14:paraId="3FB7E2D5" w14:textId="77777777" w:rsidR="00601D9B" w:rsidRDefault="000E53A0">
            <w:pPr>
              <w:rPr>
                <w:rFonts w:ascii="Avenir Next Regular" w:hAnsi="Avenir Next Regular" w:cs="Calibri"/>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color w:val="000000" w:themeColor="text1"/>
                <w:sz w:val="16"/>
                <w:szCs w:val="16"/>
              </w:rPr>
              <w:t>Systèmes alimentaires durables</w:t>
            </w:r>
          </w:p>
        </w:tc>
      </w:tr>
      <w:tr w:rsidR="009F3374" w14:paraId="008324B8" w14:textId="77777777" w:rsidTr="009F3374">
        <w:trPr>
          <w:trHeight w:val="179"/>
        </w:trPr>
        <w:tc>
          <w:tcPr>
            <w:tcW w:w="1966" w:type="pct"/>
            <w:tcBorders>
              <w:top w:val="nil"/>
              <w:left w:val="single" w:sz="4" w:space="0" w:color="auto"/>
              <w:bottom w:val="single" w:sz="4" w:space="0" w:color="auto"/>
              <w:right w:val="single" w:sz="4" w:space="0" w:color="auto"/>
            </w:tcBorders>
            <w:noWrap/>
            <w:vAlign w:val="bottom"/>
            <w:hideMark/>
          </w:tcPr>
          <w:p w14:paraId="063BBFBF"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3D37A587"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1AD60D27" w14:textId="77777777" w:rsidR="009F3374" w:rsidRDefault="009F3374">
            <w:pPr>
              <w:rPr>
                <w:rFonts w:ascii="Avenir Next Regular" w:hAnsi="Avenir Next Regular" w:cs="Calibri"/>
                <w:iCs/>
                <w:color w:val="000000" w:themeColor="text1"/>
                <w:sz w:val="16"/>
                <w:szCs w:val="16"/>
              </w:rPr>
            </w:pPr>
            <w:r>
              <w:rPr>
                <w:rFonts w:ascii="Avenir Next Regular" w:hAnsi="Avenir Next Regular" w:cs="Calibri"/>
                <w:iCs/>
                <w:color w:val="000000" w:themeColor="text1"/>
                <w:sz w:val="16"/>
                <w:szCs w:val="16"/>
              </w:rPr>
              <w:t> </w:t>
            </w:r>
          </w:p>
        </w:tc>
        <w:tc>
          <w:tcPr>
            <w:tcW w:w="1080" w:type="pct"/>
            <w:tcBorders>
              <w:top w:val="nil"/>
              <w:left w:val="nil"/>
              <w:bottom w:val="single" w:sz="4" w:space="0" w:color="auto"/>
              <w:right w:val="single" w:sz="4" w:space="0" w:color="auto"/>
            </w:tcBorders>
            <w:hideMark/>
          </w:tcPr>
          <w:p w14:paraId="20C3543B" w14:textId="77777777" w:rsidR="00601D9B" w:rsidRDefault="000E53A0">
            <w:pPr>
              <w:rPr>
                <w:rFonts w:ascii="Avenir Next Regular" w:hAnsi="Avenir Next Regular" w:cs="Calibri"/>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color w:val="000000" w:themeColor="text1"/>
                <w:sz w:val="16"/>
                <w:szCs w:val="16"/>
              </w:rPr>
              <w:t>Restauration du paysage</w:t>
            </w:r>
          </w:p>
        </w:tc>
      </w:tr>
      <w:tr w:rsidR="009F3374" w:rsidRPr="000E53A0" w14:paraId="155535C3" w14:textId="77777777" w:rsidTr="009F3374">
        <w:trPr>
          <w:trHeight w:val="58"/>
        </w:trPr>
        <w:tc>
          <w:tcPr>
            <w:tcW w:w="1966" w:type="pct"/>
            <w:tcBorders>
              <w:top w:val="nil"/>
              <w:left w:val="single" w:sz="4" w:space="0" w:color="auto"/>
              <w:bottom w:val="single" w:sz="4" w:space="0" w:color="auto"/>
              <w:right w:val="single" w:sz="4" w:space="0" w:color="auto"/>
            </w:tcBorders>
            <w:noWrap/>
            <w:vAlign w:val="bottom"/>
            <w:hideMark/>
          </w:tcPr>
          <w:p w14:paraId="42244CAF"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059EA501"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322CC49F" w14:textId="77777777" w:rsidR="009F3374" w:rsidRDefault="009F3374">
            <w:pPr>
              <w:rPr>
                <w:rFonts w:ascii="Avenir Next Regular" w:hAnsi="Avenir Next Regular" w:cs="Calibri"/>
                <w:iCs/>
                <w:color w:val="000000" w:themeColor="text1"/>
                <w:sz w:val="16"/>
                <w:szCs w:val="16"/>
              </w:rPr>
            </w:pPr>
            <w:r>
              <w:rPr>
                <w:rFonts w:ascii="Avenir Next Regular" w:hAnsi="Avenir Next Regular" w:cs="Calibri"/>
                <w:iCs/>
                <w:color w:val="000000" w:themeColor="text1"/>
                <w:sz w:val="16"/>
                <w:szCs w:val="16"/>
              </w:rPr>
              <w:t> </w:t>
            </w:r>
          </w:p>
        </w:tc>
        <w:tc>
          <w:tcPr>
            <w:tcW w:w="1080" w:type="pct"/>
            <w:tcBorders>
              <w:top w:val="nil"/>
              <w:left w:val="nil"/>
              <w:bottom w:val="single" w:sz="4" w:space="0" w:color="auto"/>
              <w:right w:val="single" w:sz="4" w:space="0" w:color="auto"/>
            </w:tcBorders>
            <w:hideMark/>
          </w:tcPr>
          <w:p w14:paraId="7A7FD682" w14:textId="77777777" w:rsidR="00601D9B" w:rsidRPr="000E53A0" w:rsidRDefault="000E53A0">
            <w:pPr>
              <w:ind w:left="192" w:hanging="192"/>
              <w:rPr>
                <w:rFonts w:ascii="Avenir Next Regular" w:hAnsi="Avenir Next Regular" w:cs="Calibri"/>
                <w:color w:val="000000" w:themeColor="text1"/>
                <w:sz w:val="16"/>
                <w:szCs w:val="16"/>
                <w:lang w:val="fr-FR"/>
              </w:rPr>
            </w:pPr>
            <w:r>
              <w:rPr>
                <w:color w:val="000000" w:themeColor="text1"/>
                <w:sz w:val="16"/>
                <w:szCs w:val="16"/>
              </w:rPr>
              <w:fldChar w:fldCharType="begin">
                <w:ffData>
                  <w:name w:val="IAP_cities"/>
                  <w:enabled/>
                  <w:calcOnExit w:val="0"/>
                  <w:checkBox>
                    <w:sizeAuto/>
                    <w:default w:val="0"/>
                  </w:checkBox>
                </w:ffData>
              </w:fldChar>
            </w:r>
            <w:r w:rsidRPr="000E53A0">
              <w:rPr>
                <w:color w:val="000000" w:themeColor="text1"/>
                <w:sz w:val="16"/>
                <w:szCs w:val="16"/>
                <w:lang w:val="fr-FR"/>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sidRPr="000E53A0">
              <w:rPr>
                <w:rFonts w:ascii="Avenir Next Regular" w:hAnsi="Avenir Next Regular" w:cs="Calibri"/>
                <w:color w:val="000000" w:themeColor="text1"/>
                <w:sz w:val="16"/>
                <w:szCs w:val="16"/>
                <w:lang w:val="fr-FR"/>
              </w:rPr>
              <w:t>Production durable de produits de base</w:t>
            </w:r>
          </w:p>
        </w:tc>
      </w:tr>
      <w:tr w:rsidR="009F3374" w:rsidRPr="000E53A0" w14:paraId="5D999460" w14:textId="77777777" w:rsidTr="009F3374">
        <w:trPr>
          <w:trHeight w:val="179"/>
        </w:trPr>
        <w:tc>
          <w:tcPr>
            <w:tcW w:w="1966" w:type="pct"/>
            <w:tcBorders>
              <w:top w:val="nil"/>
              <w:left w:val="single" w:sz="4" w:space="0" w:color="auto"/>
              <w:bottom w:val="single" w:sz="4" w:space="0" w:color="auto"/>
              <w:right w:val="single" w:sz="4" w:space="0" w:color="auto"/>
            </w:tcBorders>
            <w:noWrap/>
            <w:vAlign w:val="bottom"/>
            <w:hideMark/>
          </w:tcPr>
          <w:p w14:paraId="00FC2920" w14:textId="77777777" w:rsidR="009F3374" w:rsidRPr="000E53A0" w:rsidRDefault="009F3374">
            <w:pPr>
              <w:rPr>
                <w:rFonts w:ascii="Avenir Next Regular" w:hAnsi="Avenir Next Regular" w:cs="Calibri"/>
                <w:b/>
                <w:bCs/>
                <w:color w:val="000000" w:themeColor="text1"/>
                <w:sz w:val="16"/>
                <w:szCs w:val="16"/>
                <w:lang w:val="fr-FR"/>
              </w:rPr>
            </w:pPr>
            <w:r w:rsidRPr="000E53A0">
              <w:rPr>
                <w:rFonts w:ascii="Avenir Next Regular" w:hAnsi="Avenir Next Regular" w:cs="Calibri"/>
                <w:b/>
                <w:bCs/>
                <w:color w:val="000000" w:themeColor="text1"/>
                <w:sz w:val="16"/>
                <w:szCs w:val="16"/>
                <w:lang w:val="fr-FR"/>
              </w:rPr>
              <w:t> </w:t>
            </w:r>
          </w:p>
        </w:tc>
        <w:tc>
          <w:tcPr>
            <w:tcW w:w="825" w:type="pct"/>
            <w:tcBorders>
              <w:top w:val="nil"/>
              <w:left w:val="nil"/>
              <w:bottom w:val="single" w:sz="4" w:space="0" w:color="auto"/>
              <w:right w:val="single" w:sz="4" w:space="0" w:color="auto"/>
            </w:tcBorders>
            <w:hideMark/>
          </w:tcPr>
          <w:p w14:paraId="64C25557" w14:textId="77777777" w:rsidR="009F3374" w:rsidRPr="000E53A0" w:rsidRDefault="009F3374">
            <w:pPr>
              <w:rPr>
                <w:rFonts w:ascii="Avenir Next Regular" w:hAnsi="Avenir Next Regular" w:cs="Calibri"/>
                <w:b/>
                <w:bCs/>
                <w:color w:val="000000" w:themeColor="text1"/>
                <w:sz w:val="16"/>
                <w:szCs w:val="16"/>
                <w:lang w:val="fr-FR"/>
              </w:rPr>
            </w:pPr>
            <w:r w:rsidRPr="000E53A0">
              <w:rPr>
                <w:rFonts w:ascii="Avenir Next Regular" w:hAnsi="Avenir Next Regular" w:cs="Calibri"/>
                <w:b/>
                <w:bCs/>
                <w:color w:val="000000" w:themeColor="text1"/>
                <w:sz w:val="16"/>
                <w:szCs w:val="16"/>
                <w:lang w:val="fr-FR"/>
              </w:rPr>
              <w:t> </w:t>
            </w:r>
          </w:p>
        </w:tc>
        <w:tc>
          <w:tcPr>
            <w:tcW w:w="1129" w:type="pct"/>
            <w:tcBorders>
              <w:top w:val="nil"/>
              <w:left w:val="nil"/>
              <w:bottom w:val="single" w:sz="4" w:space="0" w:color="auto"/>
              <w:right w:val="single" w:sz="4" w:space="0" w:color="auto"/>
            </w:tcBorders>
            <w:hideMark/>
          </w:tcPr>
          <w:p w14:paraId="0E50C499" w14:textId="77777777" w:rsidR="009F3374" w:rsidRPr="000E53A0" w:rsidRDefault="009F3374">
            <w:pPr>
              <w:rPr>
                <w:rFonts w:ascii="Avenir Next Regular" w:hAnsi="Avenir Next Regular" w:cs="Calibri"/>
                <w:iCs/>
                <w:color w:val="000000" w:themeColor="text1"/>
                <w:sz w:val="16"/>
                <w:szCs w:val="16"/>
                <w:lang w:val="fr-FR"/>
              </w:rPr>
            </w:pPr>
            <w:r w:rsidRPr="000E53A0">
              <w:rPr>
                <w:rFonts w:ascii="Avenir Next Regular" w:hAnsi="Avenir Next Regular" w:cs="Calibri"/>
                <w:iCs/>
                <w:color w:val="000000" w:themeColor="text1"/>
                <w:sz w:val="16"/>
                <w:szCs w:val="16"/>
                <w:lang w:val="fr-FR"/>
              </w:rPr>
              <w:t> </w:t>
            </w:r>
          </w:p>
        </w:tc>
        <w:tc>
          <w:tcPr>
            <w:tcW w:w="1080" w:type="pct"/>
            <w:tcBorders>
              <w:top w:val="nil"/>
              <w:left w:val="nil"/>
              <w:bottom w:val="single" w:sz="4" w:space="0" w:color="auto"/>
              <w:right w:val="single" w:sz="4" w:space="0" w:color="auto"/>
            </w:tcBorders>
            <w:hideMark/>
          </w:tcPr>
          <w:p w14:paraId="4B92E64A" w14:textId="77777777" w:rsidR="00601D9B" w:rsidRPr="000E53A0" w:rsidRDefault="000E53A0">
            <w:pPr>
              <w:ind w:left="192" w:hanging="192"/>
              <w:rPr>
                <w:rFonts w:ascii="Avenir Next Regular" w:hAnsi="Avenir Next Regular" w:cs="Calibri"/>
                <w:color w:val="000000" w:themeColor="text1"/>
                <w:sz w:val="16"/>
                <w:szCs w:val="16"/>
                <w:lang w:val="fr-FR"/>
              </w:rPr>
            </w:pPr>
            <w:r>
              <w:rPr>
                <w:color w:val="000000" w:themeColor="text1"/>
                <w:sz w:val="16"/>
                <w:szCs w:val="16"/>
              </w:rPr>
              <w:fldChar w:fldCharType="begin">
                <w:ffData>
                  <w:name w:val="IAP_cities"/>
                  <w:enabled/>
                  <w:calcOnExit w:val="0"/>
                  <w:checkBox>
                    <w:sizeAuto/>
                    <w:default w:val="0"/>
                  </w:checkBox>
                </w:ffData>
              </w:fldChar>
            </w:r>
            <w:r w:rsidRPr="000E53A0">
              <w:rPr>
                <w:color w:val="000000" w:themeColor="text1"/>
                <w:sz w:val="16"/>
                <w:szCs w:val="16"/>
                <w:lang w:val="fr-FR"/>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sidRPr="000E53A0">
              <w:rPr>
                <w:rFonts w:ascii="Avenir Next Regular" w:hAnsi="Avenir Next Regular" w:cs="Calibri"/>
                <w:color w:val="000000" w:themeColor="text1"/>
                <w:sz w:val="16"/>
                <w:szCs w:val="16"/>
                <w:lang w:val="fr-FR"/>
              </w:rPr>
              <w:t>Planification globale de l'utilisation des sols</w:t>
            </w:r>
          </w:p>
        </w:tc>
      </w:tr>
      <w:tr w:rsidR="009F3374" w14:paraId="13B5AA3D" w14:textId="77777777" w:rsidTr="009F3374">
        <w:trPr>
          <w:trHeight w:val="62"/>
        </w:trPr>
        <w:tc>
          <w:tcPr>
            <w:tcW w:w="1966" w:type="pct"/>
            <w:tcBorders>
              <w:top w:val="nil"/>
              <w:left w:val="single" w:sz="4" w:space="0" w:color="auto"/>
              <w:bottom w:val="single" w:sz="4" w:space="0" w:color="auto"/>
              <w:right w:val="single" w:sz="4" w:space="0" w:color="auto"/>
            </w:tcBorders>
            <w:noWrap/>
            <w:vAlign w:val="bottom"/>
            <w:hideMark/>
          </w:tcPr>
          <w:p w14:paraId="67DE0B80" w14:textId="77777777" w:rsidR="009F3374" w:rsidRPr="000E53A0" w:rsidRDefault="009F3374">
            <w:pPr>
              <w:rPr>
                <w:rFonts w:ascii="Avenir Next Regular" w:hAnsi="Avenir Next Regular" w:cs="Calibri"/>
                <w:b/>
                <w:bCs/>
                <w:color w:val="000000" w:themeColor="text1"/>
                <w:sz w:val="16"/>
                <w:szCs w:val="16"/>
                <w:lang w:val="fr-FR"/>
              </w:rPr>
            </w:pPr>
            <w:r w:rsidRPr="000E53A0">
              <w:rPr>
                <w:rFonts w:ascii="Avenir Next Regular" w:hAnsi="Avenir Next Regular" w:cs="Calibri"/>
                <w:b/>
                <w:bCs/>
                <w:color w:val="000000" w:themeColor="text1"/>
                <w:sz w:val="16"/>
                <w:szCs w:val="16"/>
                <w:lang w:val="fr-FR"/>
              </w:rPr>
              <w:t> </w:t>
            </w:r>
          </w:p>
        </w:tc>
        <w:tc>
          <w:tcPr>
            <w:tcW w:w="825" w:type="pct"/>
            <w:tcBorders>
              <w:top w:val="nil"/>
              <w:left w:val="nil"/>
              <w:bottom w:val="single" w:sz="4" w:space="0" w:color="auto"/>
              <w:right w:val="single" w:sz="4" w:space="0" w:color="auto"/>
            </w:tcBorders>
            <w:hideMark/>
          </w:tcPr>
          <w:p w14:paraId="4C6C2B87" w14:textId="77777777" w:rsidR="009F3374" w:rsidRPr="000E53A0" w:rsidRDefault="009F3374">
            <w:pPr>
              <w:rPr>
                <w:rFonts w:ascii="Avenir Next Regular" w:hAnsi="Avenir Next Regular" w:cs="Calibri"/>
                <w:b/>
                <w:bCs/>
                <w:color w:val="000000" w:themeColor="text1"/>
                <w:sz w:val="16"/>
                <w:szCs w:val="16"/>
                <w:lang w:val="fr-FR"/>
              </w:rPr>
            </w:pPr>
            <w:r w:rsidRPr="000E53A0">
              <w:rPr>
                <w:rFonts w:ascii="Avenir Next Regular" w:hAnsi="Avenir Next Regular" w:cs="Calibri"/>
                <w:b/>
                <w:bCs/>
                <w:color w:val="000000" w:themeColor="text1"/>
                <w:sz w:val="16"/>
                <w:szCs w:val="16"/>
                <w:lang w:val="fr-FR"/>
              </w:rPr>
              <w:t> </w:t>
            </w:r>
          </w:p>
        </w:tc>
        <w:tc>
          <w:tcPr>
            <w:tcW w:w="1129" w:type="pct"/>
            <w:tcBorders>
              <w:top w:val="nil"/>
              <w:left w:val="nil"/>
              <w:bottom w:val="single" w:sz="4" w:space="0" w:color="auto"/>
              <w:right w:val="single" w:sz="4" w:space="0" w:color="auto"/>
            </w:tcBorders>
            <w:hideMark/>
          </w:tcPr>
          <w:p w14:paraId="6CCEC7CF" w14:textId="77777777" w:rsidR="009F3374" w:rsidRPr="000E53A0" w:rsidRDefault="009F3374">
            <w:pPr>
              <w:rPr>
                <w:rFonts w:ascii="Avenir Next Regular" w:hAnsi="Avenir Next Regular" w:cs="Calibri"/>
                <w:iCs/>
                <w:color w:val="000000" w:themeColor="text1"/>
                <w:sz w:val="16"/>
                <w:szCs w:val="16"/>
                <w:lang w:val="fr-FR"/>
              </w:rPr>
            </w:pPr>
            <w:r w:rsidRPr="000E53A0">
              <w:rPr>
                <w:rFonts w:ascii="Avenir Next Regular" w:hAnsi="Avenir Next Regular" w:cs="Calibri"/>
                <w:iCs/>
                <w:color w:val="000000" w:themeColor="text1"/>
                <w:sz w:val="16"/>
                <w:szCs w:val="16"/>
                <w:lang w:val="fr-FR"/>
              </w:rPr>
              <w:t> </w:t>
            </w:r>
          </w:p>
        </w:tc>
        <w:tc>
          <w:tcPr>
            <w:tcW w:w="1080" w:type="pct"/>
            <w:tcBorders>
              <w:top w:val="nil"/>
              <w:left w:val="nil"/>
              <w:bottom w:val="single" w:sz="4" w:space="0" w:color="auto"/>
              <w:right w:val="single" w:sz="4" w:space="0" w:color="auto"/>
            </w:tcBorders>
            <w:hideMark/>
          </w:tcPr>
          <w:p w14:paraId="53D4545F" w14:textId="77777777" w:rsidR="00601D9B" w:rsidRDefault="000E53A0">
            <w:pPr>
              <w:rPr>
                <w:rFonts w:ascii="Avenir Next Regular" w:hAnsi="Avenir Next Regular" w:cs="Calibri"/>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color w:val="000000" w:themeColor="text1"/>
                <w:sz w:val="16"/>
                <w:szCs w:val="16"/>
              </w:rPr>
              <w:t>Paysages intégrés</w:t>
            </w:r>
          </w:p>
        </w:tc>
      </w:tr>
      <w:tr w:rsidR="009F3374" w14:paraId="31B15A7E" w14:textId="77777777" w:rsidTr="009F3374">
        <w:trPr>
          <w:trHeight w:val="58"/>
        </w:trPr>
        <w:tc>
          <w:tcPr>
            <w:tcW w:w="1966" w:type="pct"/>
            <w:tcBorders>
              <w:top w:val="nil"/>
              <w:left w:val="single" w:sz="4" w:space="0" w:color="auto"/>
              <w:bottom w:val="single" w:sz="4" w:space="0" w:color="auto"/>
              <w:right w:val="single" w:sz="4" w:space="0" w:color="auto"/>
            </w:tcBorders>
            <w:noWrap/>
            <w:vAlign w:val="bottom"/>
            <w:hideMark/>
          </w:tcPr>
          <w:p w14:paraId="3B50A4F3"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1FD4E05C"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44AFFA58" w14:textId="77777777" w:rsidR="009F3374" w:rsidRDefault="009F3374">
            <w:pPr>
              <w:rPr>
                <w:rFonts w:ascii="Avenir Next Regular" w:hAnsi="Avenir Next Regular" w:cs="Calibri"/>
                <w:iCs/>
                <w:color w:val="000000" w:themeColor="text1"/>
                <w:sz w:val="16"/>
                <w:szCs w:val="16"/>
              </w:rPr>
            </w:pPr>
            <w:r>
              <w:rPr>
                <w:rFonts w:ascii="Avenir Next Regular" w:hAnsi="Avenir Next Regular" w:cs="Calibri"/>
                <w:iCs/>
                <w:color w:val="000000" w:themeColor="text1"/>
                <w:sz w:val="16"/>
                <w:szCs w:val="16"/>
              </w:rPr>
              <w:t> </w:t>
            </w:r>
          </w:p>
        </w:tc>
        <w:tc>
          <w:tcPr>
            <w:tcW w:w="1080" w:type="pct"/>
            <w:tcBorders>
              <w:top w:val="nil"/>
              <w:left w:val="nil"/>
              <w:bottom w:val="single" w:sz="4" w:space="0" w:color="auto"/>
              <w:right w:val="single" w:sz="4" w:space="0" w:color="auto"/>
            </w:tcBorders>
            <w:hideMark/>
          </w:tcPr>
          <w:p w14:paraId="2E23E267" w14:textId="77777777" w:rsidR="00601D9B" w:rsidRDefault="000E53A0">
            <w:pPr>
              <w:rPr>
                <w:rFonts w:ascii="Avenir Next Regular" w:hAnsi="Avenir Next Regular" w:cs="Calibri"/>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color w:val="000000" w:themeColor="text1"/>
                <w:sz w:val="16"/>
                <w:szCs w:val="16"/>
              </w:rPr>
              <w:t>Chaînes de valeur alimentaires</w:t>
            </w:r>
          </w:p>
        </w:tc>
      </w:tr>
      <w:tr w:rsidR="009F3374" w14:paraId="4598BD0D" w14:textId="77777777" w:rsidTr="009F3374">
        <w:trPr>
          <w:trHeight w:val="161"/>
        </w:trPr>
        <w:tc>
          <w:tcPr>
            <w:tcW w:w="1966" w:type="pct"/>
            <w:tcBorders>
              <w:top w:val="nil"/>
              <w:left w:val="single" w:sz="4" w:space="0" w:color="auto"/>
              <w:bottom w:val="single" w:sz="4" w:space="0" w:color="auto"/>
              <w:right w:val="single" w:sz="4" w:space="0" w:color="auto"/>
            </w:tcBorders>
            <w:noWrap/>
            <w:vAlign w:val="bottom"/>
            <w:hideMark/>
          </w:tcPr>
          <w:p w14:paraId="7BE95BC7"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4272D07D"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49B5142A" w14:textId="77777777" w:rsidR="009F3374" w:rsidRDefault="009F3374">
            <w:pPr>
              <w:rPr>
                <w:rFonts w:ascii="Avenir Next Regular" w:hAnsi="Avenir Next Regular" w:cs="Calibri"/>
                <w:iCs/>
                <w:color w:val="000000" w:themeColor="text1"/>
                <w:sz w:val="16"/>
                <w:szCs w:val="16"/>
              </w:rPr>
            </w:pPr>
            <w:r>
              <w:rPr>
                <w:rFonts w:ascii="Avenir Next Regular" w:hAnsi="Avenir Next Regular" w:cs="Calibri"/>
                <w:iCs/>
                <w:color w:val="000000" w:themeColor="text1"/>
                <w:sz w:val="16"/>
                <w:szCs w:val="16"/>
              </w:rPr>
              <w:t> </w:t>
            </w:r>
          </w:p>
        </w:tc>
        <w:tc>
          <w:tcPr>
            <w:tcW w:w="1080" w:type="pct"/>
            <w:tcBorders>
              <w:top w:val="nil"/>
              <w:left w:val="nil"/>
              <w:bottom w:val="single" w:sz="4" w:space="0" w:color="auto"/>
              <w:right w:val="single" w:sz="4" w:space="0" w:color="auto"/>
            </w:tcBorders>
            <w:hideMark/>
          </w:tcPr>
          <w:p w14:paraId="42D37769" w14:textId="77777777" w:rsidR="00601D9B" w:rsidRDefault="000E53A0">
            <w:pPr>
              <w:rPr>
                <w:rFonts w:ascii="Avenir Next Regular" w:hAnsi="Avenir Next Regular" w:cs="Calibri"/>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color w:val="000000" w:themeColor="text1"/>
                <w:sz w:val="16"/>
                <w:szCs w:val="16"/>
              </w:rPr>
              <w:t>Approvisionnement sans déforestation</w:t>
            </w:r>
          </w:p>
        </w:tc>
      </w:tr>
      <w:tr w:rsidR="009F3374" w14:paraId="5254F930" w14:textId="77777777" w:rsidTr="009F3374">
        <w:trPr>
          <w:trHeight w:val="143"/>
        </w:trPr>
        <w:tc>
          <w:tcPr>
            <w:tcW w:w="1966" w:type="pct"/>
            <w:tcBorders>
              <w:top w:val="nil"/>
              <w:left w:val="single" w:sz="4" w:space="0" w:color="auto"/>
              <w:bottom w:val="single" w:sz="4" w:space="0" w:color="auto"/>
              <w:right w:val="single" w:sz="4" w:space="0" w:color="auto"/>
            </w:tcBorders>
            <w:noWrap/>
            <w:vAlign w:val="bottom"/>
            <w:hideMark/>
          </w:tcPr>
          <w:p w14:paraId="0F99879F"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0FF4A7D2"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37D6DA96" w14:textId="77777777" w:rsidR="009F3374" w:rsidRDefault="009F3374">
            <w:pPr>
              <w:rPr>
                <w:rFonts w:ascii="Avenir Next Regular" w:hAnsi="Avenir Next Regular" w:cs="Calibri"/>
                <w:iCs/>
                <w:color w:val="000000" w:themeColor="text1"/>
                <w:sz w:val="16"/>
                <w:szCs w:val="16"/>
              </w:rPr>
            </w:pPr>
            <w:r>
              <w:rPr>
                <w:rFonts w:ascii="Avenir Next Regular" w:hAnsi="Avenir Next Regular" w:cs="Calibri"/>
                <w:iCs/>
                <w:color w:val="000000" w:themeColor="text1"/>
                <w:sz w:val="16"/>
                <w:szCs w:val="16"/>
              </w:rPr>
              <w:t> </w:t>
            </w:r>
          </w:p>
        </w:tc>
        <w:tc>
          <w:tcPr>
            <w:tcW w:w="1080" w:type="pct"/>
            <w:tcBorders>
              <w:top w:val="nil"/>
              <w:left w:val="nil"/>
              <w:bottom w:val="single" w:sz="4" w:space="0" w:color="auto"/>
              <w:right w:val="single" w:sz="4" w:space="0" w:color="auto"/>
            </w:tcBorders>
            <w:hideMark/>
          </w:tcPr>
          <w:p w14:paraId="488C8847" w14:textId="77777777" w:rsidR="00601D9B" w:rsidRDefault="000E53A0">
            <w:pPr>
              <w:rPr>
                <w:rFonts w:ascii="Avenir Next Regular" w:hAnsi="Avenir Next Regular" w:cs="Calibri"/>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color w:val="000000" w:themeColor="text1"/>
                <w:sz w:val="16"/>
                <w:szCs w:val="16"/>
              </w:rPr>
              <w:t>Petits exploitants agricoles</w:t>
            </w:r>
          </w:p>
        </w:tc>
      </w:tr>
      <w:tr w:rsidR="009F3374" w14:paraId="74F5BA8F" w14:textId="77777777" w:rsidTr="009F3374">
        <w:trPr>
          <w:trHeight w:val="58"/>
        </w:trPr>
        <w:tc>
          <w:tcPr>
            <w:tcW w:w="1966" w:type="pct"/>
            <w:tcBorders>
              <w:top w:val="nil"/>
              <w:left w:val="single" w:sz="4" w:space="0" w:color="auto"/>
              <w:bottom w:val="single" w:sz="4" w:space="0" w:color="auto"/>
              <w:right w:val="single" w:sz="4" w:space="0" w:color="auto"/>
            </w:tcBorders>
            <w:noWrap/>
            <w:vAlign w:val="bottom"/>
            <w:hideMark/>
          </w:tcPr>
          <w:p w14:paraId="20E887C6"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13AD6889"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7E900CAF" w14:textId="77777777" w:rsidR="00601D9B" w:rsidRDefault="000E53A0">
            <w:pPr>
              <w:rPr>
                <w:rFonts w:ascii="Avenir Next Regular" w:hAnsi="Avenir Next Regular" w:cs="Calibri"/>
                <w:iCs/>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iCs/>
                <w:color w:val="000000" w:themeColor="text1"/>
                <w:sz w:val="16"/>
                <w:szCs w:val="16"/>
              </w:rPr>
              <w:t>Villes durables</w:t>
            </w:r>
          </w:p>
        </w:tc>
        <w:tc>
          <w:tcPr>
            <w:tcW w:w="1080" w:type="pct"/>
            <w:tcBorders>
              <w:top w:val="nil"/>
              <w:left w:val="nil"/>
              <w:bottom w:val="single" w:sz="4" w:space="0" w:color="auto"/>
              <w:right w:val="single" w:sz="4" w:space="0" w:color="auto"/>
            </w:tcBorders>
            <w:hideMark/>
          </w:tcPr>
          <w:p w14:paraId="77438943" w14:textId="77777777" w:rsidR="009F3374" w:rsidRDefault="009F3374">
            <w:pPr>
              <w:rPr>
                <w:rFonts w:ascii="Avenir Next Regular" w:hAnsi="Avenir Next Regular" w:cs="Calibri"/>
                <w:color w:val="000000" w:themeColor="text1"/>
                <w:sz w:val="16"/>
                <w:szCs w:val="16"/>
              </w:rPr>
            </w:pPr>
            <w:r>
              <w:rPr>
                <w:rFonts w:ascii="Avenir Next Regular" w:hAnsi="Avenir Next Regular" w:cs="Calibri"/>
                <w:color w:val="000000" w:themeColor="text1"/>
                <w:sz w:val="16"/>
                <w:szCs w:val="16"/>
              </w:rPr>
              <w:t> </w:t>
            </w:r>
          </w:p>
        </w:tc>
      </w:tr>
      <w:tr w:rsidR="009F3374" w14:paraId="5EE52674" w14:textId="77777777" w:rsidTr="009F3374">
        <w:trPr>
          <w:trHeight w:val="179"/>
        </w:trPr>
        <w:tc>
          <w:tcPr>
            <w:tcW w:w="1966" w:type="pct"/>
            <w:tcBorders>
              <w:top w:val="nil"/>
              <w:left w:val="single" w:sz="4" w:space="0" w:color="auto"/>
              <w:bottom w:val="single" w:sz="4" w:space="0" w:color="auto"/>
              <w:right w:val="single" w:sz="4" w:space="0" w:color="auto"/>
            </w:tcBorders>
            <w:noWrap/>
            <w:vAlign w:val="bottom"/>
            <w:hideMark/>
          </w:tcPr>
          <w:p w14:paraId="1202FD75"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17C22E93"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0F81724E" w14:textId="77777777" w:rsidR="009F3374" w:rsidRDefault="009F3374">
            <w:pPr>
              <w:rPr>
                <w:rFonts w:ascii="Avenir Next Regular" w:hAnsi="Avenir Next Regular" w:cs="Calibri"/>
                <w:iCs/>
                <w:color w:val="000000" w:themeColor="text1"/>
                <w:sz w:val="16"/>
                <w:szCs w:val="16"/>
              </w:rPr>
            </w:pPr>
            <w:r>
              <w:rPr>
                <w:rFonts w:ascii="Avenir Next Regular" w:hAnsi="Avenir Next Regular" w:cs="Calibri"/>
                <w:iCs/>
                <w:color w:val="000000" w:themeColor="text1"/>
                <w:sz w:val="16"/>
                <w:szCs w:val="16"/>
              </w:rPr>
              <w:t> </w:t>
            </w:r>
          </w:p>
        </w:tc>
        <w:tc>
          <w:tcPr>
            <w:tcW w:w="1080" w:type="pct"/>
            <w:tcBorders>
              <w:top w:val="nil"/>
              <w:left w:val="nil"/>
              <w:bottom w:val="single" w:sz="4" w:space="0" w:color="auto"/>
              <w:right w:val="single" w:sz="4" w:space="0" w:color="auto"/>
            </w:tcBorders>
            <w:hideMark/>
          </w:tcPr>
          <w:p w14:paraId="740AD6F3" w14:textId="77777777" w:rsidR="00601D9B" w:rsidRDefault="000E53A0">
            <w:pPr>
              <w:rPr>
                <w:rFonts w:ascii="Avenir Next Regular" w:hAnsi="Avenir Next Regular" w:cs="Calibri"/>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color w:val="000000" w:themeColor="text1"/>
                <w:sz w:val="16"/>
                <w:szCs w:val="16"/>
              </w:rPr>
              <w:t>Planification urbaine intégrée</w:t>
            </w:r>
          </w:p>
        </w:tc>
      </w:tr>
      <w:tr w:rsidR="009F3374" w14:paraId="1D109447" w14:textId="77777777" w:rsidTr="009F3374">
        <w:trPr>
          <w:trHeight w:val="62"/>
        </w:trPr>
        <w:tc>
          <w:tcPr>
            <w:tcW w:w="1966" w:type="pct"/>
            <w:tcBorders>
              <w:top w:val="nil"/>
              <w:left w:val="single" w:sz="4" w:space="0" w:color="auto"/>
              <w:bottom w:val="single" w:sz="4" w:space="0" w:color="auto"/>
              <w:right w:val="single" w:sz="4" w:space="0" w:color="auto"/>
            </w:tcBorders>
            <w:noWrap/>
            <w:vAlign w:val="bottom"/>
            <w:hideMark/>
          </w:tcPr>
          <w:p w14:paraId="18012BDA"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7FFBF966"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009BA888" w14:textId="77777777" w:rsidR="009F3374" w:rsidRDefault="009F3374">
            <w:pPr>
              <w:rPr>
                <w:rFonts w:ascii="Avenir Next Regular" w:hAnsi="Avenir Next Regular" w:cs="Calibri"/>
                <w:iCs/>
                <w:color w:val="000000" w:themeColor="text1"/>
                <w:sz w:val="16"/>
                <w:szCs w:val="16"/>
              </w:rPr>
            </w:pPr>
            <w:r>
              <w:rPr>
                <w:rFonts w:ascii="Avenir Next Regular" w:hAnsi="Avenir Next Regular" w:cs="Calibri"/>
                <w:iCs/>
                <w:color w:val="000000" w:themeColor="text1"/>
                <w:sz w:val="16"/>
                <w:szCs w:val="16"/>
              </w:rPr>
              <w:t> </w:t>
            </w:r>
          </w:p>
        </w:tc>
        <w:tc>
          <w:tcPr>
            <w:tcW w:w="1080" w:type="pct"/>
            <w:tcBorders>
              <w:top w:val="nil"/>
              <w:left w:val="nil"/>
              <w:bottom w:val="single" w:sz="4" w:space="0" w:color="auto"/>
              <w:right w:val="single" w:sz="4" w:space="0" w:color="auto"/>
            </w:tcBorders>
            <w:hideMark/>
          </w:tcPr>
          <w:p w14:paraId="6E9D213A" w14:textId="77777777" w:rsidR="00601D9B" w:rsidRDefault="000E53A0">
            <w:pPr>
              <w:rPr>
                <w:rFonts w:ascii="Avenir Next Regular" w:hAnsi="Avenir Next Regular" w:cs="Calibri"/>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color w:val="000000" w:themeColor="text1"/>
                <w:sz w:val="16"/>
                <w:szCs w:val="16"/>
              </w:rPr>
              <w:t>Cadre de durabilité urbaine</w:t>
            </w:r>
          </w:p>
        </w:tc>
      </w:tr>
      <w:tr w:rsidR="009F3374" w14:paraId="1981921A" w14:textId="77777777" w:rsidTr="009F3374">
        <w:trPr>
          <w:trHeight w:val="58"/>
        </w:trPr>
        <w:tc>
          <w:tcPr>
            <w:tcW w:w="1966" w:type="pct"/>
            <w:tcBorders>
              <w:top w:val="nil"/>
              <w:left w:val="single" w:sz="4" w:space="0" w:color="auto"/>
              <w:bottom w:val="single" w:sz="4" w:space="0" w:color="auto"/>
              <w:right w:val="single" w:sz="4" w:space="0" w:color="auto"/>
            </w:tcBorders>
            <w:noWrap/>
            <w:vAlign w:val="bottom"/>
            <w:hideMark/>
          </w:tcPr>
          <w:p w14:paraId="20151D85"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651A33DB"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39444FC5" w14:textId="77777777" w:rsidR="009F3374" w:rsidRDefault="009F3374">
            <w:pPr>
              <w:rPr>
                <w:rFonts w:ascii="Avenir Next Regular" w:hAnsi="Avenir Next Regular" w:cs="Calibri"/>
                <w:iCs/>
                <w:color w:val="000000" w:themeColor="text1"/>
                <w:sz w:val="16"/>
                <w:szCs w:val="16"/>
              </w:rPr>
            </w:pPr>
            <w:r>
              <w:rPr>
                <w:rFonts w:ascii="Avenir Next Regular" w:hAnsi="Avenir Next Regular" w:cs="Calibri"/>
                <w:iCs/>
                <w:color w:val="000000" w:themeColor="text1"/>
                <w:sz w:val="16"/>
                <w:szCs w:val="16"/>
              </w:rPr>
              <w:t> </w:t>
            </w:r>
          </w:p>
        </w:tc>
        <w:tc>
          <w:tcPr>
            <w:tcW w:w="1080" w:type="pct"/>
            <w:tcBorders>
              <w:top w:val="nil"/>
              <w:left w:val="nil"/>
              <w:bottom w:val="single" w:sz="4" w:space="0" w:color="auto"/>
              <w:right w:val="single" w:sz="4" w:space="0" w:color="auto"/>
            </w:tcBorders>
            <w:hideMark/>
          </w:tcPr>
          <w:p w14:paraId="0CB51209" w14:textId="77777777" w:rsidR="00601D9B" w:rsidRDefault="000E53A0">
            <w:pPr>
              <w:rPr>
                <w:rFonts w:ascii="Avenir Next Regular" w:hAnsi="Avenir Next Regular" w:cs="Calibri"/>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color w:val="000000" w:themeColor="text1"/>
                <w:sz w:val="16"/>
                <w:szCs w:val="16"/>
              </w:rPr>
              <w:t>Transport et mobilité</w:t>
            </w:r>
          </w:p>
        </w:tc>
      </w:tr>
      <w:tr w:rsidR="009F3374" w14:paraId="111693B5" w14:textId="77777777" w:rsidTr="009F3374">
        <w:trPr>
          <w:trHeight w:val="116"/>
        </w:trPr>
        <w:tc>
          <w:tcPr>
            <w:tcW w:w="1966" w:type="pct"/>
            <w:tcBorders>
              <w:top w:val="nil"/>
              <w:left w:val="single" w:sz="4" w:space="0" w:color="auto"/>
              <w:bottom w:val="single" w:sz="4" w:space="0" w:color="auto"/>
              <w:right w:val="single" w:sz="4" w:space="0" w:color="auto"/>
            </w:tcBorders>
            <w:noWrap/>
            <w:vAlign w:val="bottom"/>
            <w:hideMark/>
          </w:tcPr>
          <w:p w14:paraId="1ACEB714"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0752469F"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7A6BF8C1" w14:textId="77777777" w:rsidR="009F3374" w:rsidRDefault="009F3374">
            <w:pPr>
              <w:rPr>
                <w:rFonts w:ascii="Avenir Next Regular" w:hAnsi="Avenir Next Regular" w:cs="Calibri"/>
                <w:iCs/>
                <w:color w:val="000000" w:themeColor="text1"/>
                <w:sz w:val="16"/>
                <w:szCs w:val="16"/>
              </w:rPr>
            </w:pPr>
            <w:r>
              <w:rPr>
                <w:rFonts w:ascii="Avenir Next Regular" w:hAnsi="Avenir Next Regular" w:cs="Calibri"/>
                <w:iCs/>
                <w:color w:val="000000" w:themeColor="text1"/>
                <w:sz w:val="16"/>
                <w:szCs w:val="16"/>
              </w:rPr>
              <w:t> </w:t>
            </w:r>
          </w:p>
        </w:tc>
        <w:tc>
          <w:tcPr>
            <w:tcW w:w="1080" w:type="pct"/>
            <w:tcBorders>
              <w:top w:val="nil"/>
              <w:left w:val="nil"/>
              <w:bottom w:val="single" w:sz="4" w:space="0" w:color="auto"/>
              <w:right w:val="single" w:sz="4" w:space="0" w:color="auto"/>
            </w:tcBorders>
            <w:hideMark/>
          </w:tcPr>
          <w:p w14:paraId="1B3310C2" w14:textId="77777777" w:rsidR="00601D9B" w:rsidRDefault="000E53A0">
            <w:pPr>
              <w:rPr>
                <w:rFonts w:ascii="Avenir Next Regular" w:hAnsi="Avenir Next Regular" w:cs="Calibri"/>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color w:val="000000" w:themeColor="text1"/>
                <w:sz w:val="16"/>
                <w:szCs w:val="16"/>
              </w:rPr>
              <w:t>Bâtiments</w:t>
            </w:r>
          </w:p>
        </w:tc>
      </w:tr>
      <w:tr w:rsidR="009F3374" w14:paraId="294020C7" w14:textId="77777777" w:rsidTr="009F3374">
        <w:trPr>
          <w:trHeight w:val="107"/>
        </w:trPr>
        <w:tc>
          <w:tcPr>
            <w:tcW w:w="1966" w:type="pct"/>
            <w:tcBorders>
              <w:top w:val="nil"/>
              <w:left w:val="single" w:sz="4" w:space="0" w:color="auto"/>
              <w:bottom w:val="single" w:sz="4" w:space="0" w:color="auto"/>
              <w:right w:val="single" w:sz="4" w:space="0" w:color="auto"/>
            </w:tcBorders>
            <w:noWrap/>
            <w:vAlign w:val="bottom"/>
            <w:hideMark/>
          </w:tcPr>
          <w:p w14:paraId="2A2D4732"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261104BC"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75EF6348" w14:textId="77777777" w:rsidR="009F3374" w:rsidRDefault="009F3374">
            <w:pPr>
              <w:rPr>
                <w:rFonts w:ascii="Avenir Next Regular" w:hAnsi="Avenir Next Regular" w:cs="Calibri"/>
                <w:iCs/>
                <w:color w:val="000000" w:themeColor="text1"/>
                <w:sz w:val="16"/>
                <w:szCs w:val="16"/>
              </w:rPr>
            </w:pPr>
            <w:r>
              <w:rPr>
                <w:rFonts w:ascii="Avenir Next Regular" w:hAnsi="Avenir Next Regular" w:cs="Calibri"/>
                <w:iCs/>
                <w:color w:val="000000" w:themeColor="text1"/>
                <w:sz w:val="16"/>
                <w:szCs w:val="16"/>
              </w:rPr>
              <w:t> </w:t>
            </w:r>
          </w:p>
        </w:tc>
        <w:tc>
          <w:tcPr>
            <w:tcW w:w="1080" w:type="pct"/>
            <w:tcBorders>
              <w:top w:val="nil"/>
              <w:left w:val="nil"/>
              <w:bottom w:val="single" w:sz="4" w:space="0" w:color="auto"/>
              <w:right w:val="single" w:sz="4" w:space="0" w:color="auto"/>
            </w:tcBorders>
            <w:hideMark/>
          </w:tcPr>
          <w:p w14:paraId="7BC0A9D4" w14:textId="77777777" w:rsidR="00601D9B" w:rsidRDefault="000E53A0">
            <w:pPr>
              <w:rPr>
                <w:rFonts w:ascii="Avenir Next Regular" w:hAnsi="Avenir Next Regular" w:cs="Calibri"/>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color w:val="000000" w:themeColor="text1"/>
                <w:sz w:val="16"/>
                <w:szCs w:val="16"/>
              </w:rPr>
              <w:t>Gestion des déchets municipaux</w:t>
            </w:r>
          </w:p>
        </w:tc>
      </w:tr>
      <w:tr w:rsidR="009F3374" w14:paraId="7B201401" w14:textId="77777777" w:rsidTr="009F3374">
        <w:trPr>
          <w:trHeight w:val="58"/>
        </w:trPr>
        <w:tc>
          <w:tcPr>
            <w:tcW w:w="1966" w:type="pct"/>
            <w:tcBorders>
              <w:top w:val="nil"/>
              <w:left w:val="single" w:sz="4" w:space="0" w:color="auto"/>
              <w:bottom w:val="single" w:sz="4" w:space="0" w:color="auto"/>
              <w:right w:val="single" w:sz="4" w:space="0" w:color="auto"/>
            </w:tcBorders>
            <w:noWrap/>
            <w:vAlign w:val="bottom"/>
            <w:hideMark/>
          </w:tcPr>
          <w:p w14:paraId="1C364863"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6983CC7D"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0048BF0A" w14:textId="77777777" w:rsidR="009F3374" w:rsidRDefault="009F3374">
            <w:pPr>
              <w:rPr>
                <w:rFonts w:ascii="Avenir Next Regular" w:hAnsi="Avenir Next Regular" w:cs="Calibri"/>
                <w:iCs/>
                <w:color w:val="000000" w:themeColor="text1"/>
                <w:sz w:val="16"/>
                <w:szCs w:val="16"/>
              </w:rPr>
            </w:pPr>
            <w:r>
              <w:rPr>
                <w:rFonts w:ascii="Avenir Next Regular" w:hAnsi="Avenir Next Regular" w:cs="Calibri"/>
                <w:iCs/>
                <w:color w:val="000000" w:themeColor="text1"/>
                <w:sz w:val="16"/>
                <w:szCs w:val="16"/>
              </w:rPr>
              <w:t> </w:t>
            </w:r>
          </w:p>
        </w:tc>
        <w:tc>
          <w:tcPr>
            <w:tcW w:w="1080" w:type="pct"/>
            <w:tcBorders>
              <w:top w:val="nil"/>
              <w:left w:val="nil"/>
              <w:bottom w:val="single" w:sz="4" w:space="0" w:color="auto"/>
              <w:right w:val="single" w:sz="4" w:space="0" w:color="auto"/>
            </w:tcBorders>
            <w:hideMark/>
          </w:tcPr>
          <w:p w14:paraId="01D59E21" w14:textId="77777777" w:rsidR="00601D9B" w:rsidRDefault="000E53A0">
            <w:pPr>
              <w:rPr>
                <w:rFonts w:ascii="Avenir Next Regular" w:hAnsi="Avenir Next Regular" w:cs="Calibri"/>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color w:val="000000" w:themeColor="text1"/>
                <w:sz w:val="16"/>
                <w:szCs w:val="16"/>
              </w:rPr>
              <w:t>Espace vert</w:t>
            </w:r>
          </w:p>
        </w:tc>
      </w:tr>
      <w:tr w:rsidR="009F3374" w14:paraId="5736B14F" w14:textId="77777777" w:rsidTr="009F3374">
        <w:trPr>
          <w:trHeight w:val="71"/>
        </w:trPr>
        <w:tc>
          <w:tcPr>
            <w:tcW w:w="1966" w:type="pct"/>
            <w:tcBorders>
              <w:top w:val="nil"/>
              <w:left w:val="single" w:sz="4" w:space="0" w:color="auto"/>
              <w:bottom w:val="single" w:sz="4" w:space="0" w:color="auto"/>
              <w:right w:val="single" w:sz="4" w:space="0" w:color="auto"/>
            </w:tcBorders>
            <w:noWrap/>
            <w:vAlign w:val="bottom"/>
            <w:hideMark/>
          </w:tcPr>
          <w:p w14:paraId="18AC6589"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28C00413"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6969156E" w14:textId="77777777" w:rsidR="009F3374" w:rsidRDefault="009F3374">
            <w:pPr>
              <w:rPr>
                <w:rFonts w:ascii="Avenir Next Regular" w:hAnsi="Avenir Next Regular" w:cs="Calibri"/>
                <w:iCs/>
                <w:color w:val="000000" w:themeColor="text1"/>
                <w:sz w:val="16"/>
                <w:szCs w:val="16"/>
              </w:rPr>
            </w:pPr>
            <w:r>
              <w:rPr>
                <w:rFonts w:ascii="Avenir Next Regular" w:hAnsi="Avenir Next Regular" w:cs="Calibri"/>
                <w:iCs/>
                <w:color w:val="000000" w:themeColor="text1"/>
                <w:sz w:val="16"/>
                <w:szCs w:val="16"/>
              </w:rPr>
              <w:t> </w:t>
            </w:r>
          </w:p>
        </w:tc>
        <w:tc>
          <w:tcPr>
            <w:tcW w:w="1080" w:type="pct"/>
            <w:tcBorders>
              <w:top w:val="nil"/>
              <w:left w:val="nil"/>
              <w:bottom w:val="single" w:sz="4" w:space="0" w:color="auto"/>
              <w:right w:val="single" w:sz="4" w:space="0" w:color="auto"/>
            </w:tcBorders>
            <w:hideMark/>
          </w:tcPr>
          <w:p w14:paraId="7F681691" w14:textId="77777777" w:rsidR="00601D9B" w:rsidRDefault="000E53A0">
            <w:pPr>
              <w:rPr>
                <w:rFonts w:ascii="Avenir Next Regular" w:hAnsi="Avenir Next Regular" w:cs="Calibri"/>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color w:val="000000" w:themeColor="text1"/>
                <w:sz w:val="16"/>
                <w:szCs w:val="16"/>
              </w:rPr>
              <w:t>Biodiversité urbaine</w:t>
            </w:r>
          </w:p>
        </w:tc>
      </w:tr>
      <w:tr w:rsidR="009F3374" w14:paraId="11A1A27F" w14:textId="77777777" w:rsidTr="009F3374">
        <w:trPr>
          <w:trHeight w:val="134"/>
        </w:trPr>
        <w:tc>
          <w:tcPr>
            <w:tcW w:w="1966" w:type="pct"/>
            <w:tcBorders>
              <w:top w:val="nil"/>
              <w:left w:val="single" w:sz="4" w:space="0" w:color="auto"/>
              <w:bottom w:val="single" w:sz="4" w:space="0" w:color="auto"/>
              <w:right w:val="single" w:sz="4" w:space="0" w:color="auto"/>
            </w:tcBorders>
            <w:noWrap/>
            <w:vAlign w:val="bottom"/>
            <w:hideMark/>
          </w:tcPr>
          <w:p w14:paraId="683D0E9F"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0966CB52"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4792CF4C" w14:textId="77777777" w:rsidR="009F3374" w:rsidRDefault="009F3374">
            <w:pPr>
              <w:rPr>
                <w:rFonts w:ascii="Avenir Next Regular" w:hAnsi="Avenir Next Regular" w:cs="Calibri"/>
                <w:iCs/>
                <w:color w:val="000000" w:themeColor="text1"/>
                <w:sz w:val="16"/>
                <w:szCs w:val="16"/>
              </w:rPr>
            </w:pPr>
            <w:r>
              <w:rPr>
                <w:rFonts w:ascii="Avenir Next Regular" w:hAnsi="Avenir Next Regular" w:cs="Calibri"/>
                <w:iCs/>
                <w:color w:val="000000" w:themeColor="text1"/>
                <w:sz w:val="16"/>
                <w:szCs w:val="16"/>
              </w:rPr>
              <w:t> </w:t>
            </w:r>
          </w:p>
        </w:tc>
        <w:tc>
          <w:tcPr>
            <w:tcW w:w="1080" w:type="pct"/>
            <w:tcBorders>
              <w:top w:val="nil"/>
              <w:left w:val="nil"/>
              <w:bottom w:val="single" w:sz="4" w:space="0" w:color="auto"/>
              <w:right w:val="single" w:sz="4" w:space="0" w:color="auto"/>
            </w:tcBorders>
            <w:hideMark/>
          </w:tcPr>
          <w:p w14:paraId="66276D86" w14:textId="77777777" w:rsidR="00601D9B" w:rsidRDefault="000E53A0">
            <w:pPr>
              <w:rPr>
                <w:rFonts w:ascii="Avenir Next Regular" w:hAnsi="Avenir Next Regular" w:cs="Calibri"/>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color w:val="000000" w:themeColor="text1"/>
                <w:sz w:val="16"/>
                <w:szCs w:val="16"/>
              </w:rPr>
              <w:t>Systèmes alimentaires urbains</w:t>
            </w:r>
          </w:p>
        </w:tc>
      </w:tr>
      <w:tr w:rsidR="009F3374" w14:paraId="0257F9AB" w14:textId="77777777" w:rsidTr="009F3374">
        <w:trPr>
          <w:trHeight w:val="125"/>
        </w:trPr>
        <w:tc>
          <w:tcPr>
            <w:tcW w:w="1966" w:type="pct"/>
            <w:tcBorders>
              <w:top w:val="nil"/>
              <w:left w:val="single" w:sz="4" w:space="0" w:color="auto"/>
              <w:bottom w:val="single" w:sz="4" w:space="0" w:color="auto"/>
              <w:right w:val="single" w:sz="4" w:space="0" w:color="auto"/>
            </w:tcBorders>
            <w:noWrap/>
            <w:vAlign w:val="bottom"/>
            <w:hideMark/>
          </w:tcPr>
          <w:p w14:paraId="00E39C6F"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36F50DF0"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72249231" w14:textId="77777777" w:rsidR="009F3374" w:rsidRDefault="009F3374">
            <w:pPr>
              <w:rPr>
                <w:rFonts w:ascii="Avenir Next Regular" w:hAnsi="Avenir Next Regular" w:cs="Calibri"/>
                <w:iCs/>
                <w:color w:val="000000" w:themeColor="text1"/>
                <w:sz w:val="16"/>
                <w:szCs w:val="16"/>
              </w:rPr>
            </w:pPr>
            <w:r>
              <w:rPr>
                <w:rFonts w:ascii="Avenir Next Regular" w:hAnsi="Avenir Next Regular" w:cs="Calibri"/>
                <w:iCs/>
                <w:color w:val="000000" w:themeColor="text1"/>
                <w:sz w:val="16"/>
                <w:szCs w:val="16"/>
              </w:rPr>
              <w:t> </w:t>
            </w:r>
          </w:p>
        </w:tc>
        <w:tc>
          <w:tcPr>
            <w:tcW w:w="1080" w:type="pct"/>
            <w:tcBorders>
              <w:top w:val="nil"/>
              <w:left w:val="nil"/>
              <w:bottom w:val="single" w:sz="4" w:space="0" w:color="auto"/>
              <w:right w:val="single" w:sz="4" w:space="0" w:color="auto"/>
            </w:tcBorders>
            <w:hideMark/>
          </w:tcPr>
          <w:p w14:paraId="00095D96" w14:textId="77777777" w:rsidR="00601D9B" w:rsidRDefault="000E53A0">
            <w:pPr>
              <w:rPr>
                <w:rFonts w:ascii="Avenir Next Regular" w:hAnsi="Avenir Next Regular" w:cs="Calibri"/>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color w:val="000000" w:themeColor="text1"/>
                <w:sz w:val="16"/>
                <w:szCs w:val="16"/>
              </w:rPr>
              <w:t>Efficacité énergétique</w:t>
            </w:r>
          </w:p>
        </w:tc>
      </w:tr>
      <w:tr w:rsidR="009F3374" w14:paraId="1E2E8238" w14:textId="77777777" w:rsidTr="009F3374">
        <w:trPr>
          <w:trHeight w:val="188"/>
        </w:trPr>
        <w:tc>
          <w:tcPr>
            <w:tcW w:w="1966" w:type="pct"/>
            <w:tcBorders>
              <w:top w:val="nil"/>
              <w:left w:val="single" w:sz="4" w:space="0" w:color="auto"/>
              <w:bottom w:val="single" w:sz="4" w:space="0" w:color="auto"/>
              <w:right w:val="single" w:sz="4" w:space="0" w:color="auto"/>
            </w:tcBorders>
            <w:noWrap/>
            <w:vAlign w:val="bottom"/>
            <w:hideMark/>
          </w:tcPr>
          <w:p w14:paraId="0411D51D"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3B297F50"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4205F62D" w14:textId="77777777" w:rsidR="009F3374" w:rsidRDefault="009F3374">
            <w:pPr>
              <w:rPr>
                <w:rFonts w:ascii="Avenir Next Regular" w:hAnsi="Avenir Next Regular" w:cs="Calibri"/>
                <w:iCs/>
                <w:color w:val="000000" w:themeColor="text1"/>
                <w:sz w:val="16"/>
                <w:szCs w:val="16"/>
              </w:rPr>
            </w:pPr>
            <w:r>
              <w:rPr>
                <w:rFonts w:ascii="Avenir Next Regular" w:hAnsi="Avenir Next Regular" w:cs="Calibri"/>
                <w:iCs/>
                <w:color w:val="000000" w:themeColor="text1"/>
                <w:sz w:val="16"/>
                <w:szCs w:val="16"/>
              </w:rPr>
              <w:t> </w:t>
            </w:r>
          </w:p>
        </w:tc>
        <w:tc>
          <w:tcPr>
            <w:tcW w:w="1080" w:type="pct"/>
            <w:tcBorders>
              <w:top w:val="nil"/>
              <w:left w:val="nil"/>
              <w:bottom w:val="single" w:sz="4" w:space="0" w:color="auto"/>
              <w:right w:val="single" w:sz="4" w:space="0" w:color="auto"/>
            </w:tcBorders>
            <w:hideMark/>
          </w:tcPr>
          <w:p w14:paraId="79C1E300" w14:textId="77777777" w:rsidR="00601D9B" w:rsidRDefault="000E53A0">
            <w:pPr>
              <w:rPr>
                <w:rFonts w:ascii="Avenir Next Regular" w:hAnsi="Avenir Next Regular" w:cs="Calibri"/>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color w:val="000000" w:themeColor="text1"/>
                <w:sz w:val="16"/>
                <w:szCs w:val="16"/>
              </w:rPr>
              <w:t>Financement municipal</w:t>
            </w:r>
          </w:p>
        </w:tc>
      </w:tr>
      <w:tr w:rsidR="009F3374" w:rsidRPr="000E53A0" w14:paraId="23C96DEA" w14:textId="77777777" w:rsidTr="009F3374">
        <w:trPr>
          <w:trHeight w:val="179"/>
        </w:trPr>
        <w:tc>
          <w:tcPr>
            <w:tcW w:w="1966" w:type="pct"/>
            <w:tcBorders>
              <w:top w:val="nil"/>
              <w:left w:val="single" w:sz="4" w:space="0" w:color="auto"/>
              <w:bottom w:val="single" w:sz="4" w:space="0" w:color="auto"/>
              <w:right w:val="single" w:sz="4" w:space="0" w:color="auto"/>
            </w:tcBorders>
            <w:noWrap/>
            <w:vAlign w:val="bottom"/>
            <w:hideMark/>
          </w:tcPr>
          <w:p w14:paraId="794664B3"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1C921660"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2B71115B" w14:textId="77777777" w:rsidR="009F3374" w:rsidRDefault="009F3374">
            <w:pPr>
              <w:rPr>
                <w:rFonts w:ascii="Avenir Next Regular" w:hAnsi="Avenir Next Regular" w:cs="Calibri"/>
                <w:iCs/>
                <w:color w:val="000000" w:themeColor="text1"/>
                <w:sz w:val="16"/>
                <w:szCs w:val="16"/>
              </w:rPr>
            </w:pPr>
            <w:r>
              <w:rPr>
                <w:rFonts w:ascii="Avenir Next Regular" w:hAnsi="Avenir Next Regular" w:cs="Calibri"/>
                <w:iCs/>
                <w:color w:val="000000" w:themeColor="text1"/>
                <w:sz w:val="16"/>
                <w:szCs w:val="16"/>
              </w:rPr>
              <w:t> </w:t>
            </w:r>
          </w:p>
        </w:tc>
        <w:tc>
          <w:tcPr>
            <w:tcW w:w="1080" w:type="pct"/>
            <w:tcBorders>
              <w:top w:val="nil"/>
              <w:left w:val="nil"/>
              <w:bottom w:val="single" w:sz="4" w:space="0" w:color="auto"/>
              <w:right w:val="single" w:sz="4" w:space="0" w:color="auto"/>
            </w:tcBorders>
            <w:hideMark/>
          </w:tcPr>
          <w:p w14:paraId="2BB3978B" w14:textId="77777777" w:rsidR="00601D9B" w:rsidRPr="000E53A0" w:rsidRDefault="000E53A0">
            <w:pPr>
              <w:ind w:left="192" w:hanging="180"/>
              <w:rPr>
                <w:rFonts w:ascii="Avenir Next Regular" w:hAnsi="Avenir Next Regular" w:cs="Calibri"/>
                <w:color w:val="000000" w:themeColor="text1"/>
                <w:sz w:val="16"/>
                <w:szCs w:val="16"/>
                <w:lang w:val="fr-FR"/>
              </w:rPr>
            </w:pPr>
            <w:r>
              <w:rPr>
                <w:color w:val="000000" w:themeColor="text1"/>
                <w:sz w:val="16"/>
                <w:szCs w:val="16"/>
              </w:rPr>
              <w:fldChar w:fldCharType="begin">
                <w:ffData>
                  <w:name w:val="IAP_cities"/>
                  <w:enabled/>
                  <w:calcOnExit w:val="0"/>
                  <w:checkBox>
                    <w:sizeAuto/>
                    <w:default w:val="0"/>
                  </w:checkBox>
                </w:ffData>
              </w:fldChar>
            </w:r>
            <w:r w:rsidRPr="000E53A0">
              <w:rPr>
                <w:color w:val="000000" w:themeColor="text1"/>
                <w:sz w:val="16"/>
                <w:szCs w:val="16"/>
                <w:lang w:val="fr-FR"/>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sidRPr="000E53A0">
              <w:rPr>
                <w:rFonts w:ascii="Avenir Next Regular" w:hAnsi="Avenir Next Regular" w:cs="Calibri"/>
                <w:color w:val="000000" w:themeColor="text1"/>
                <w:sz w:val="16"/>
                <w:szCs w:val="16"/>
                <w:lang w:val="fr-FR"/>
              </w:rPr>
              <w:t>Plate-forme mondiale pour les villes durables</w:t>
            </w:r>
          </w:p>
        </w:tc>
      </w:tr>
      <w:tr w:rsidR="009F3374" w14:paraId="2DC3663B" w14:textId="77777777" w:rsidTr="009F3374">
        <w:trPr>
          <w:trHeight w:val="58"/>
        </w:trPr>
        <w:tc>
          <w:tcPr>
            <w:tcW w:w="1966" w:type="pct"/>
            <w:tcBorders>
              <w:top w:val="nil"/>
              <w:left w:val="single" w:sz="4" w:space="0" w:color="auto"/>
              <w:bottom w:val="single" w:sz="4" w:space="0" w:color="auto"/>
              <w:right w:val="single" w:sz="4" w:space="0" w:color="auto"/>
            </w:tcBorders>
            <w:noWrap/>
            <w:vAlign w:val="bottom"/>
            <w:hideMark/>
          </w:tcPr>
          <w:p w14:paraId="018A6940" w14:textId="77777777" w:rsidR="009F3374" w:rsidRPr="000E53A0" w:rsidRDefault="009F3374">
            <w:pPr>
              <w:rPr>
                <w:rFonts w:ascii="Avenir Next Regular" w:hAnsi="Avenir Next Regular" w:cs="Calibri"/>
                <w:b/>
                <w:bCs/>
                <w:color w:val="000000" w:themeColor="text1"/>
                <w:sz w:val="16"/>
                <w:szCs w:val="16"/>
                <w:lang w:val="fr-FR"/>
              </w:rPr>
            </w:pPr>
            <w:r w:rsidRPr="000E53A0">
              <w:rPr>
                <w:rFonts w:ascii="Avenir Next Regular" w:hAnsi="Avenir Next Regular" w:cs="Calibri"/>
                <w:b/>
                <w:bCs/>
                <w:color w:val="000000" w:themeColor="text1"/>
                <w:sz w:val="16"/>
                <w:szCs w:val="16"/>
                <w:lang w:val="fr-FR"/>
              </w:rPr>
              <w:t> </w:t>
            </w:r>
          </w:p>
        </w:tc>
        <w:tc>
          <w:tcPr>
            <w:tcW w:w="825" w:type="pct"/>
            <w:tcBorders>
              <w:top w:val="nil"/>
              <w:left w:val="nil"/>
              <w:bottom w:val="single" w:sz="4" w:space="0" w:color="auto"/>
              <w:right w:val="single" w:sz="4" w:space="0" w:color="auto"/>
            </w:tcBorders>
            <w:hideMark/>
          </w:tcPr>
          <w:p w14:paraId="35F47B6A" w14:textId="77777777" w:rsidR="009F3374" w:rsidRPr="000E53A0" w:rsidRDefault="009F3374">
            <w:pPr>
              <w:rPr>
                <w:rFonts w:ascii="Avenir Next Regular" w:hAnsi="Avenir Next Regular" w:cs="Calibri"/>
                <w:b/>
                <w:bCs/>
                <w:color w:val="000000" w:themeColor="text1"/>
                <w:sz w:val="16"/>
                <w:szCs w:val="16"/>
                <w:lang w:val="fr-FR"/>
              </w:rPr>
            </w:pPr>
            <w:r w:rsidRPr="000E53A0">
              <w:rPr>
                <w:rFonts w:ascii="Avenir Next Regular" w:hAnsi="Avenir Next Regular" w:cs="Calibri"/>
                <w:b/>
                <w:bCs/>
                <w:color w:val="000000" w:themeColor="text1"/>
                <w:sz w:val="16"/>
                <w:szCs w:val="16"/>
                <w:lang w:val="fr-FR"/>
              </w:rPr>
              <w:t> </w:t>
            </w:r>
          </w:p>
        </w:tc>
        <w:tc>
          <w:tcPr>
            <w:tcW w:w="1129" w:type="pct"/>
            <w:tcBorders>
              <w:top w:val="nil"/>
              <w:left w:val="nil"/>
              <w:bottom w:val="single" w:sz="4" w:space="0" w:color="auto"/>
              <w:right w:val="single" w:sz="4" w:space="0" w:color="auto"/>
            </w:tcBorders>
            <w:hideMark/>
          </w:tcPr>
          <w:p w14:paraId="7F2F7011" w14:textId="77777777" w:rsidR="009F3374" w:rsidRPr="000E53A0" w:rsidRDefault="009F3374">
            <w:pPr>
              <w:rPr>
                <w:rFonts w:ascii="Avenir Next Regular" w:hAnsi="Avenir Next Regular" w:cs="Calibri"/>
                <w:iCs/>
                <w:color w:val="000000" w:themeColor="text1"/>
                <w:sz w:val="16"/>
                <w:szCs w:val="16"/>
                <w:lang w:val="fr-FR"/>
              </w:rPr>
            </w:pPr>
            <w:r w:rsidRPr="000E53A0">
              <w:rPr>
                <w:rFonts w:ascii="Avenir Next Regular" w:hAnsi="Avenir Next Regular" w:cs="Calibri"/>
                <w:iCs/>
                <w:color w:val="000000" w:themeColor="text1"/>
                <w:sz w:val="16"/>
                <w:szCs w:val="16"/>
                <w:lang w:val="fr-FR"/>
              </w:rPr>
              <w:t> </w:t>
            </w:r>
          </w:p>
        </w:tc>
        <w:tc>
          <w:tcPr>
            <w:tcW w:w="1080" w:type="pct"/>
            <w:tcBorders>
              <w:top w:val="nil"/>
              <w:left w:val="nil"/>
              <w:bottom w:val="single" w:sz="4" w:space="0" w:color="auto"/>
              <w:right w:val="single" w:sz="4" w:space="0" w:color="auto"/>
            </w:tcBorders>
            <w:hideMark/>
          </w:tcPr>
          <w:p w14:paraId="59EB2A52" w14:textId="77777777" w:rsidR="00601D9B" w:rsidRDefault="000E53A0">
            <w:pPr>
              <w:rPr>
                <w:rFonts w:ascii="Avenir Next Regular" w:hAnsi="Avenir Next Regular" w:cs="Calibri"/>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color w:val="000000" w:themeColor="text1"/>
                <w:sz w:val="16"/>
                <w:szCs w:val="16"/>
              </w:rPr>
              <w:t>Résilience urbaine</w:t>
            </w:r>
          </w:p>
        </w:tc>
      </w:tr>
      <w:tr w:rsidR="009F3374" w14:paraId="71835E4E" w14:textId="77777777" w:rsidTr="009F3374">
        <w:trPr>
          <w:trHeight w:val="58"/>
        </w:trPr>
        <w:tc>
          <w:tcPr>
            <w:tcW w:w="1966" w:type="pct"/>
            <w:tcBorders>
              <w:top w:val="nil"/>
              <w:left w:val="single" w:sz="4" w:space="0" w:color="auto"/>
              <w:bottom w:val="single" w:sz="4" w:space="0" w:color="auto"/>
              <w:right w:val="single" w:sz="4" w:space="0" w:color="auto"/>
            </w:tcBorders>
            <w:noWrap/>
            <w:vAlign w:val="bottom"/>
            <w:hideMark/>
          </w:tcPr>
          <w:p w14:paraId="3C35A220"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70998468" w14:textId="77777777" w:rsidR="00601D9B" w:rsidRDefault="000E53A0">
            <w:pPr>
              <w:rPr>
                <w:rFonts w:ascii="Avenir Next Regular" w:hAnsi="Avenir Next Regular" w:cs="Calibri"/>
                <w:b/>
                <w:bCs/>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b/>
                <w:bCs/>
                <w:color w:val="000000" w:themeColor="text1"/>
                <w:sz w:val="16"/>
                <w:szCs w:val="16"/>
              </w:rPr>
              <w:t>Biodiversité</w:t>
            </w:r>
          </w:p>
        </w:tc>
        <w:tc>
          <w:tcPr>
            <w:tcW w:w="1129" w:type="pct"/>
            <w:tcBorders>
              <w:top w:val="nil"/>
              <w:left w:val="nil"/>
              <w:bottom w:val="single" w:sz="4" w:space="0" w:color="auto"/>
              <w:right w:val="single" w:sz="4" w:space="0" w:color="auto"/>
            </w:tcBorders>
            <w:hideMark/>
          </w:tcPr>
          <w:p w14:paraId="4C79815E" w14:textId="77777777" w:rsidR="009F3374" w:rsidRDefault="009F3374">
            <w:pPr>
              <w:rPr>
                <w:rFonts w:ascii="Avenir Next Regular" w:hAnsi="Avenir Next Regular" w:cs="Calibri"/>
                <w:iCs/>
                <w:color w:val="000000" w:themeColor="text1"/>
                <w:sz w:val="16"/>
                <w:szCs w:val="16"/>
              </w:rPr>
            </w:pPr>
            <w:r>
              <w:rPr>
                <w:rFonts w:ascii="Avenir Next Regular" w:hAnsi="Avenir Next Regular" w:cs="Calibri"/>
                <w:iCs/>
                <w:color w:val="000000" w:themeColor="text1"/>
                <w:sz w:val="16"/>
                <w:szCs w:val="16"/>
              </w:rPr>
              <w:t> </w:t>
            </w:r>
          </w:p>
        </w:tc>
        <w:tc>
          <w:tcPr>
            <w:tcW w:w="1080" w:type="pct"/>
            <w:tcBorders>
              <w:top w:val="nil"/>
              <w:left w:val="nil"/>
              <w:bottom w:val="single" w:sz="4" w:space="0" w:color="auto"/>
              <w:right w:val="single" w:sz="4" w:space="0" w:color="auto"/>
            </w:tcBorders>
            <w:hideMark/>
          </w:tcPr>
          <w:p w14:paraId="6C64C917" w14:textId="77777777" w:rsidR="009F3374" w:rsidRDefault="009F3374">
            <w:pPr>
              <w:rPr>
                <w:rFonts w:ascii="Avenir Next Regular" w:hAnsi="Avenir Next Regular" w:cs="Calibri"/>
                <w:color w:val="000000" w:themeColor="text1"/>
                <w:sz w:val="16"/>
                <w:szCs w:val="16"/>
              </w:rPr>
            </w:pPr>
            <w:r>
              <w:rPr>
                <w:rFonts w:ascii="Avenir Next Regular" w:hAnsi="Avenir Next Regular" w:cs="Calibri"/>
                <w:color w:val="000000" w:themeColor="text1"/>
                <w:sz w:val="16"/>
                <w:szCs w:val="16"/>
              </w:rPr>
              <w:t> </w:t>
            </w:r>
          </w:p>
        </w:tc>
      </w:tr>
      <w:tr w:rsidR="009F3374" w14:paraId="540093DC" w14:textId="77777777" w:rsidTr="009F3374">
        <w:trPr>
          <w:trHeight w:val="58"/>
        </w:trPr>
        <w:tc>
          <w:tcPr>
            <w:tcW w:w="1966" w:type="pct"/>
            <w:tcBorders>
              <w:top w:val="nil"/>
              <w:left w:val="single" w:sz="4" w:space="0" w:color="auto"/>
              <w:bottom w:val="single" w:sz="4" w:space="0" w:color="auto"/>
              <w:right w:val="single" w:sz="4" w:space="0" w:color="auto"/>
            </w:tcBorders>
            <w:noWrap/>
            <w:vAlign w:val="bottom"/>
            <w:hideMark/>
          </w:tcPr>
          <w:p w14:paraId="57C5C65A"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595759D0"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071D68B7" w14:textId="77777777" w:rsidR="00601D9B" w:rsidRDefault="000E53A0">
            <w:pPr>
              <w:rPr>
                <w:rFonts w:ascii="Avenir Next Regular" w:hAnsi="Avenir Next Regular" w:cs="Calibri"/>
                <w:iCs/>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iCs/>
                <w:color w:val="000000" w:themeColor="text1"/>
                <w:sz w:val="16"/>
                <w:szCs w:val="16"/>
              </w:rPr>
              <w:t>Zones et paysages protégés</w:t>
            </w:r>
          </w:p>
        </w:tc>
        <w:tc>
          <w:tcPr>
            <w:tcW w:w="1080" w:type="pct"/>
            <w:tcBorders>
              <w:top w:val="nil"/>
              <w:left w:val="nil"/>
              <w:bottom w:val="single" w:sz="4" w:space="0" w:color="auto"/>
              <w:right w:val="single" w:sz="4" w:space="0" w:color="auto"/>
            </w:tcBorders>
            <w:hideMark/>
          </w:tcPr>
          <w:p w14:paraId="0E46FA64" w14:textId="77777777" w:rsidR="009F3374" w:rsidRDefault="009F3374">
            <w:pPr>
              <w:rPr>
                <w:rFonts w:ascii="Avenir Next Regular" w:hAnsi="Avenir Next Regular" w:cs="Calibri"/>
                <w:color w:val="000000" w:themeColor="text1"/>
                <w:sz w:val="16"/>
                <w:szCs w:val="16"/>
              </w:rPr>
            </w:pPr>
            <w:r>
              <w:rPr>
                <w:rFonts w:ascii="Avenir Next Regular" w:hAnsi="Avenir Next Regular" w:cs="Calibri"/>
                <w:color w:val="000000" w:themeColor="text1"/>
                <w:sz w:val="16"/>
                <w:szCs w:val="16"/>
              </w:rPr>
              <w:t> </w:t>
            </w:r>
          </w:p>
        </w:tc>
      </w:tr>
      <w:tr w:rsidR="009F3374" w14:paraId="3170652B" w14:textId="77777777" w:rsidTr="009F3374">
        <w:trPr>
          <w:trHeight w:val="58"/>
        </w:trPr>
        <w:tc>
          <w:tcPr>
            <w:tcW w:w="1966" w:type="pct"/>
            <w:tcBorders>
              <w:top w:val="nil"/>
              <w:left w:val="single" w:sz="4" w:space="0" w:color="auto"/>
              <w:bottom w:val="single" w:sz="4" w:space="0" w:color="auto"/>
              <w:right w:val="single" w:sz="4" w:space="0" w:color="auto"/>
            </w:tcBorders>
            <w:noWrap/>
            <w:vAlign w:val="bottom"/>
            <w:hideMark/>
          </w:tcPr>
          <w:p w14:paraId="35354E57"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590B3D44"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1F3A357E" w14:textId="77777777" w:rsidR="009F3374" w:rsidRDefault="009F3374">
            <w:pPr>
              <w:rPr>
                <w:rFonts w:ascii="Avenir Next Regular" w:hAnsi="Avenir Next Regular" w:cs="Calibri"/>
                <w:iCs/>
                <w:color w:val="000000" w:themeColor="text1"/>
                <w:sz w:val="16"/>
                <w:szCs w:val="16"/>
              </w:rPr>
            </w:pPr>
            <w:r>
              <w:rPr>
                <w:rFonts w:ascii="Avenir Next Regular" w:hAnsi="Avenir Next Regular" w:cs="Calibri"/>
                <w:iCs/>
                <w:color w:val="000000" w:themeColor="text1"/>
                <w:sz w:val="16"/>
                <w:szCs w:val="16"/>
              </w:rPr>
              <w:t> </w:t>
            </w:r>
          </w:p>
        </w:tc>
        <w:tc>
          <w:tcPr>
            <w:tcW w:w="1080" w:type="pct"/>
            <w:tcBorders>
              <w:top w:val="nil"/>
              <w:left w:val="nil"/>
              <w:bottom w:val="single" w:sz="4" w:space="0" w:color="auto"/>
              <w:right w:val="single" w:sz="4" w:space="0" w:color="auto"/>
            </w:tcBorders>
            <w:hideMark/>
          </w:tcPr>
          <w:p w14:paraId="1722E9CF" w14:textId="77777777" w:rsidR="00601D9B" w:rsidRDefault="000E53A0">
            <w:pPr>
              <w:rPr>
                <w:rFonts w:ascii="Avenir Next Regular" w:hAnsi="Avenir Next Regular" w:cs="Calibri"/>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color w:val="000000" w:themeColor="text1"/>
                <w:sz w:val="16"/>
                <w:szCs w:val="16"/>
              </w:rPr>
              <w:t>Zones protégées terrestres</w:t>
            </w:r>
          </w:p>
        </w:tc>
      </w:tr>
      <w:tr w:rsidR="009F3374" w:rsidRPr="000E53A0" w14:paraId="07B5DCD0" w14:textId="77777777" w:rsidTr="009F3374">
        <w:trPr>
          <w:trHeight w:val="58"/>
        </w:trPr>
        <w:tc>
          <w:tcPr>
            <w:tcW w:w="1966" w:type="pct"/>
            <w:tcBorders>
              <w:top w:val="nil"/>
              <w:left w:val="single" w:sz="4" w:space="0" w:color="auto"/>
              <w:bottom w:val="single" w:sz="4" w:space="0" w:color="auto"/>
              <w:right w:val="single" w:sz="4" w:space="0" w:color="auto"/>
            </w:tcBorders>
            <w:noWrap/>
            <w:vAlign w:val="bottom"/>
            <w:hideMark/>
          </w:tcPr>
          <w:p w14:paraId="3FE5FA96"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74CB2FC5"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31F48C42" w14:textId="77777777" w:rsidR="009F3374" w:rsidRDefault="009F3374">
            <w:pPr>
              <w:rPr>
                <w:rFonts w:ascii="Avenir Next Regular" w:hAnsi="Avenir Next Regular" w:cs="Calibri"/>
                <w:iCs/>
                <w:color w:val="000000" w:themeColor="text1"/>
                <w:sz w:val="16"/>
                <w:szCs w:val="16"/>
              </w:rPr>
            </w:pPr>
            <w:r>
              <w:rPr>
                <w:rFonts w:ascii="Avenir Next Regular" w:hAnsi="Avenir Next Regular" w:cs="Calibri"/>
                <w:iCs/>
                <w:color w:val="000000" w:themeColor="text1"/>
                <w:sz w:val="16"/>
                <w:szCs w:val="16"/>
              </w:rPr>
              <w:t> </w:t>
            </w:r>
          </w:p>
        </w:tc>
        <w:tc>
          <w:tcPr>
            <w:tcW w:w="1080" w:type="pct"/>
            <w:tcBorders>
              <w:top w:val="nil"/>
              <w:left w:val="nil"/>
              <w:bottom w:val="single" w:sz="4" w:space="0" w:color="auto"/>
              <w:right w:val="single" w:sz="4" w:space="0" w:color="auto"/>
            </w:tcBorders>
            <w:hideMark/>
          </w:tcPr>
          <w:p w14:paraId="0DB584D7" w14:textId="77777777" w:rsidR="00601D9B" w:rsidRPr="000E53A0" w:rsidRDefault="000E53A0">
            <w:pPr>
              <w:ind w:left="192" w:hanging="192"/>
              <w:rPr>
                <w:rFonts w:ascii="Avenir Next Regular" w:hAnsi="Avenir Next Regular" w:cs="Calibri"/>
                <w:color w:val="000000" w:themeColor="text1"/>
                <w:sz w:val="16"/>
                <w:szCs w:val="16"/>
                <w:lang w:val="fr-FR"/>
              </w:rPr>
            </w:pPr>
            <w:r>
              <w:rPr>
                <w:color w:val="000000" w:themeColor="text1"/>
                <w:sz w:val="16"/>
                <w:szCs w:val="16"/>
              </w:rPr>
              <w:fldChar w:fldCharType="begin">
                <w:ffData>
                  <w:name w:val="IAP_cities"/>
                  <w:enabled/>
                  <w:calcOnExit w:val="0"/>
                  <w:checkBox>
                    <w:sizeAuto/>
                    <w:default w:val="0"/>
                  </w:checkBox>
                </w:ffData>
              </w:fldChar>
            </w:r>
            <w:r w:rsidRPr="000E53A0">
              <w:rPr>
                <w:color w:val="000000" w:themeColor="text1"/>
                <w:sz w:val="16"/>
                <w:szCs w:val="16"/>
                <w:lang w:val="fr-FR"/>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sidRPr="000E53A0">
              <w:rPr>
                <w:rFonts w:ascii="Avenir Next Regular" w:hAnsi="Avenir Next Regular" w:cs="Calibri"/>
                <w:color w:val="000000" w:themeColor="text1"/>
                <w:sz w:val="16"/>
                <w:szCs w:val="16"/>
                <w:lang w:val="fr-FR"/>
              </w:rPr>
              <w:t>Aires protégées côtières et marines</w:t>
            </w:r>
          </w:p>
        </w:tc>
      </w:tr>
      <w:tr w:rsidR="009F3374" w14:paraId="666E9247" w14:textId="77777777" w:rsidTr="009F3374">
        <w:trPr>
          <w:trHeight w:val="58"/>
        </w:trPr>
        <w:tc>
          <w:tcPr>
            <w:tcW w:w="1966" w:type="pct"/>
            <w:tcBorders>
              <w:top w:val="nil"/>
              <w:left w:val="single" w:sz="4" w:space="0" w:color="auto"/>
              <w:bottom w:val="single" w:sz="4" w:space="0" w:color="auto"/>
              <w:right w:val="single" w:sz="4" w:space="0" w:color="auto"/>
            </w:tcBorders>
            <w:noWrap/>
            <w:vAlign w:val="bottom"/>
            <w:hideMark/>
          </w:tcPr>
          <w:p w14:paraId="66E4CD95" w14:textId="77777777" w:rsidR="009F3374" w:rsidRPr="000E53A0" w:rsidRDefault="009F3374">
            <w:pPr>
              <w:rPr>
                <w:rFonts w:ascii="Avenir Next Regular" w:hAnsi="Avenir Next Regular" w:cs="Calibri"/>
                <w:b/>
                <w:bCs/>
                <w:color w:val="000000" w:themeColor="text1"/>
                <w:sz w:val="16"/>
                <w:szCs w:val="16"/>
                <w:lang w:val="fr-FR"/>
              </w:rPr>
            </w:pPr>
            <w:r w:rsidRPr="000E53A0">
              <w:rPr>
                <w:rFonts w:ascii="Avenir Next Regular" w:hAnsi="Avenir Next Regular" w:cs="Calibri"/>
                <w:b/>
                <w:bCs/>
                <w:color w:val="000000" w:themeColor="text1"/>
                <w:sz w:val="16"/>
                <w:szCs w:val="16"/>
                <w:lang w:val="fr-FR"/>
              </w:rPr>
              <w:t> </w:t>
            </w:r>
          </w:p>
        </w:tc>
        <w:tc>
          <w:tcPr>
            <w:tcW w:w="825" w:type="pct"/>
            <w:tcBorders>
              <w:top w:val="nil"/>
              <w:left w:val="nil"/>
              <w:bottom w:val="single" w:sz="4" w:space="0" w:color="auto"/>
              <w:right w:val="single" w:sz="4" w:space="0" w:color="auto"/>
            </w:tcBorders>
            <w:hideMark/>
          </w:tcPr>
          <w:p w14:paraId="72AFCBE8" w14:textId="77777777" w:rsidR="009F3374" w:rsidRPr="000E53A0" w:rsidRDefault="009F3374">
            <w:pPr>
              <w:rPr>
                <w:rFonts w:ascii="Avenir Next Regular" w:hAnsi="Avenir Next Regular" w:cs="Calibri"/>
                <w:b/>
                <w:bCs/>
                <w:color w:val="000000" w:themeColor="text1"/>
                <w:sz w:val="16"/>
                <w:szCs w:val="16"/>
                <w:lang w:val="fr-FR"/>
              </w:rPr>
            </w:pPr>
            <w:r w:rsidRPr="000E53A0">
              <w:rPr>
                <w:rFonts w:ascii="Avenir Next Regular" w:hAnsi="Avenir Next Regular" w:cs="Calibri"/>
                <w:b/>
                <w:bCs/>
                <w:color w:val="000000" w:themeColor="text1"/>
                <w:sz w:val="16"/>
                <w:szCs w:val="16"/>
                <w:lang w:val="fr-FR"/>
              </w:rPr>
              <w:t> </w:t>
            </w:r>
          </w:p>
        </w:tc>
        <w:tc>
          <w:tcPr>
            <w:tcW w:w="1129" w:type="pct"/>
            <w:tcBorders>
              <w:top w:val="nil"/>
              <w:left w:val="nil"/>
              <w:bottom w:val="single" w:sz="4" w:space="0" w:color="auto"/>
              <w:right w:val="single" w:sz="4" w:space="0" w:color="auto"/>
            </w:tcBorders>
            <w:hideMark/>
          </w:tcPr>
          <w:p w14:paraId="5D2E6A02" w14:textId="77777777" w:rsidR="009F3374" w:rsidRPr="000E53A0" w:rsidRDefault="009F3374">
            <w:pPr>
              <w:rPr>
                <w:rFonts w:ascii="Avenir Next Regular" w:hAnsi="Avenir Next Regular" w:cs="Calibri"/>
                <w:iCs/>
                <w:color w:val="000000" w:themeColor="text1"/>
                <w:sz w:val="16"/>
                <w:szCs w:val="16"/>
                <w:lang w:val="fr-FR"/>
              </w:rPr>
            </w:pPr>
            <w:r w:rsidRPr="000E53A0">
              <w:rPr>
                <w:rFonts w:ascii="Avenir Next Regular" w:hAnsi="Avenir Next Regular" w:cs="Calibri"/>
                <w:iCs/>
                <w:color w:val="000000" w:themeColor="text1"/>
                <w:sz w:val="16"/>
                <w:szCs w:val="16"/>
                <w:lang w:val="fr-FR"/>
              </w:rPr>
              <w:t> </w:t>
            </w:r>
          </w:p>
        </w:tc>
        <w:tc>
          <w:tcPr>
            <w:tcW w:w="1080" w:type="pct"/>
            <w:tcBorders>
              <w:top w:val="nil"/>
              <w:left w:val="nil"/>
              <w:bottom w:val="single" w:sz="4" w:space="0" w:color="auto"/>
              <w:right w:val="single" w:sz="4" w:space="0" w:color="auto"/>
            </w:tcBorders>
            <w:hideMark/>
          </w:tcPr>
          <w:p w14:paraId="58A5A9C3" w14:textId="77777777" w:rsidR="00601D9B" w:rsidRDefault="000E53A0">
            <w:pPr>
              <w:rPr>
                <w:rFonts w:ascii="Avenir Next Regular" w:hAnsi="Avenir Next Regular" w:cs="Calibri"/>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color w:val="000000" w:themeColor="text1"/>
                <w:sz w:val="16"/>
                <w:szCs w:val="16"/>
              </w:rPr>
              <w:t>Paysages productifs</w:t>
            </w:r>
          </w:p>
        </w:tc>
      </w:tr>
      <w:tr w:rsidR="009F3374" w14:paraId="3D9A30C0" w14:textId="77777777" w:rsidTr="009F3374">
        <w:trPr>
          <w:trHeight w:val="58"/>
        </w:trPr>
        <w:tc>
          <w:tcPr>
            <w:tcW w:w="1966" w:type="pct"/>
            <w:tcBorders>
              <w:top w:val="nil"/>
              <w:left w:val="single" w:sz="4" w:space="0" w:color="auto"/>
              <w:bottom w:val="single" w:sz="4" w:space="0" w:color="auto"/>
              <w:right w:val="single" w:sz="4" w:space="0" w:color="auto"/>
            </w:tcBorders>
            <w:noWrap/>
            <w:vAlign w:val="bottom"/>
            <w:hideMark/>
          </w:tcPr>
          <w:p w14:paraId="3AEE91F9"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6D62D1AD"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0312B9FC" w14:textId="77777777" w:rsidR="009F3374" w:rsidRDefault="009F3374">
            <w:pPr>
              <w:rPr>
                <w:rFonts w:ascii="Avenir Next Regular" w:hAnsi="Avenir Next Regular" w:cs="Calibri"/>
                <w:iCs/>
                <w:color w:val="000000" w:themeColor="text1"/>
                <w:sz w:val="16"/>
                <w:szCs w:val="16"/>
              </w:rPr>
            </w:pPr>
            <w:r>
              <w:rPr>
                <w:rFonts w:ascii="Avenir Next Regular" w:hAnsi="Avenir Next Regular" w:cs="Calibri"/>
                <w:iCs/>
                <w:color w:val="000000" w:themeColor="text1"/>
                <w:sz w:val="16"/>
                <w:szCs w:val="16"/>
              </w:rPr>
              <w:t> </w:t>
            </w:r>
          </w:p>
        </w:tc>
        <w:tc>
          <w:tcPr>
            <w:tcW w:w="1080" w:type="pct"/>
            <w:tcBorders>
              <w:top w:val="nil"/>
              <w:left w:val="nil"/>
              <w:bottom w:val="single" w:sz="4" w:space="0" w:color="auto"/>
              <w:right w:val="single" w:sz="4" w:space="0" w:color="auto"/>
            </w:tcBorders>
            <w:hideMark/>
          </w:tcPr>
          <w:p w14:paraId="0075ADD3" w14:textId="77777777" w:rsidR="00601D9B" w:rsidRDefault="000E53A0">
            <w:pPr>
              <w:rPr>
                <w:rFonts w:ascii="Avenir Next Regular" w:hAnsi="Avenir Next Regular" w:cs="Calibri"/>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color w:val="000000" w:themeColor="text1"/>
                <w:sz w:val="16"/>
                <w:szCs w:val="16"/>
              </w:rPr>
              <w:t>Paysages marins productifs</w:t>
            </w:r>
          </w:p>
        </w:tc>
      </w:tr>
      <w:tr w:rsidR="009F3374" w:rsidRPr="000E53A0" w14:paraId="1563B34D" w14:textId="77777777" w:rsidTr="009F3374">
        <w:trPr>
          <w:trHeight w:val="251"/>
        </w:trPr>
        <w:tc>
          <w:tcPr>
            <w:tcW w:w="1966" w:type="pct"/>
            <w:tcBorders>
              <w:top w:val="nil"/>
              <w:left w:val="single" w:sz="4" w:space="0" w:color="auto"/>
              <w:bottom w:val="single" w:sz="4" w:space="0" w:color="auto"/>
              <w:right w:val="single" w:sz="4" w:space="0" w:color="auto"/>
            </w:tcBorders>
            <w:noWrap/>
            <w:vAlign w:val="bottom"/>
            <w:hideMark/>
          </w:tcPr>
          <w:p w14:paraId="5F4D0FF5"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2A6A0B6A"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41449A14" w14:textId="77777777" w:rsidR="009F3374" w:rsidRDefault="009F3374">
            <w:pPr>
              <w:rPr>
                <w:rFonts w:ascii="Avenir Next Regular" w:hAnsi="Avenir Next Regular" w:cs="Calibri"/>
                <w:iCs/>
                <w:color w:val="000000" w:themeColor="text1"/>
                <w:sz w:val="16"/>
                <w:szCs w:val="16"/>
              </w:rPr>
            </w:pPr>
            <w:r>
              <w:rPr>
                <w:rFonts w:ascii="Avenir Next Regular" w:hAnsi="Avenir Next Regular" w:cs="Calibri"/>
                <w:iCs/>
                <w:color w:val="000000" w:themeColor="text1"/>
                <w:sz w:val="16"/>
                <w:szCs w:val="16"/>
              </w:rPr>
              <w:t> </w:t>
            </w:r>
          </w:p>
        </w:tc>
        <w:tc>
          <w:tcPr>
            <w:tcW w:w="1080" w:type="pct"/>
            <w:tcBorders>
              <w:top w:val="nil"/>
              <w:left w:val="nil"/>
              <w:bottom w:val="single" w:sz="4" w:space="0" w:color="auto"/>
              <w:right w:val="single" w:sz="4" w:space="0" w:color="auto"/>
            </w:tcBorders>
            <w:hideMark/>
          </w:tcPr>
          <w:p w14:paraId="7FD7D06C" w14:textId="77777777" w:rsidR="00601D9B" w:rsidRPr="000E53A0" w:rsidRDefault="000E53A0">
            <w:pPr>
              <w:rPr>
                <w:rFonts w:ascii="Avenir Next Regular" w:hAnsi="Avenir Next Regular" w:cs="Calibri"/>
                <w:color w:val="000000" w:themeColor="text1"/>
                <w:sz w:val="16"/>
                <w:szCs w:val="16"/>
                <w:lang w:val="fr-FR"/>
              </w:rPr>
            </w:pPr>
            <w:r>
              <w:rPr>
                <w:color w:val="000000" w:themeColor="text1"/>
                <w:sz w:val="16"/>
                <w:szCs w:val="16"/>
              </w:rPr>
              <w:fldChar w:fldCharType="begin">
                <w:ffData>
                  <w:name w:val="IAP_cities"/>
                  <w:enabled/>
                  <w:calcOnExit w:val="0"/>
                  <w:checkBox>
                    <w:sizeAuto/>
                    <w:default w:val="0"/>
                  </w:checkBox>
                </w:ffData>
              </w:fldChar>
            </w:r>
            <w:r w:rsidRPr="000E53A0">
              <w:rPr>
                <w:color w:val="000000" w:themeColor="text1"/>
                <w:sz w:val="16"/>
                <w:szCs w:val="16"/>
                <w:lang w:val="fr-FR"/>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sidRPr="000E53A0">
              <w:rPr>
                <w:rFonts w:ascii="Avenir Next Regular" w:hAnsi="Avenir Next Regular" w:cs="Calibri"/>
                <w:color w:val="000000" w:themeColor="text1"/>
                <w:sz w:val="16"/>
                <w:szCs w:val="16"/>
                <w:lang w:val="fr-FR"/>
              </w:rPr>
              <w:t>Gestion communautaire des ressources naturelles</w:t>
            </w:r>
          </w:p>
        </w:tc>
      </w:tr>
      <w:tr w:rsidR="009F3374" w14:paraId="2F54FBB8" w14:textId="77777777" w:rsidTr="009F3374">
        <w:trPr>
          <w:trHeight w:val="71"/>
        </w:trPr>
        <w:tc>
          <w:tcPr>
            <w:tcW w:w="1966" w:type="pct"/>
            <w:tcBorders>
              <w:top w:val="nil"/>
              <w:left w:val="single" w:sz="4" w:space="0" w:color="auto"/>
              <w:bottom w:val="single" w:sz="4" w:space="0" w:color="auto"/>
              <w:right w:val="single" w:sz="4" w:space="0" w:color="auto"/>
            </w:tcBorders>
            <w:noWrap/>
            <w:vAlign w:val="bottom"/>
            <w:hideMark/>
          </w:tcPr>
          <w:p w14:paraId="2CE25263" w14:textId="77777777" w:rsidR="009F3374" w:rsidRPr="000E53A0" w:rsidRDefault="009F3374">
            <w:pPr>
              <w:rPr>
                <w:rFonts w:ascii="Avenir Next Regular" w:hAnsi="Avenir Next Regular" w:cs="Calibri"/>
                <w:b/>
                <w:bCs/>
                <w:color w:val="000000" w:themeColor="text1"/>
                <w:sz w:val="16"/>
                <w:szCs w:val="16"/>
                <w:lang w:val="fr-FR"/>
              </w:rPr>
            </w:pPr>
            <w:r w:rsidRPr="000E53A0">
              <w:rPr>
                <w:rFonts w:ascii="Avenir Next Regular" w:hAnsi="Avenir Next Regular" w:cs="Calibri"/>
                <w:b/>
                <w:bCs/>
                <w:color w:val="000000" w:themeColor="text1"/>
                <w:sz w:val="16"/>
                <w:szCs w:val="16"/>
                <w:lang w:val="fr-FR"/>
              </w:rPr>
              <w:t> </w:t>
            </w:r>
          </w:p>
        </w:tc>
        <w:tc>
          <w:tcPr>
            <w:tcW w:w="825" w:type="pct"/>
            <w:tcBorders>
              <w:top w:val="nil"/>
              <w:left w:val="nil"/>
              <w:bottom w:val="single" w:sz="4" w:space="0" w:color="auto"/>
              <w:right w:val="single" w:sz="4" w:space="0" w:color="auto"/>
            </w:tcBorders>
            <w:hideMark/>
          </w:tcPr>
          <w:p w14:paraId="017F6966" w14:textId="77777777" w:rsidR="009F3374" w:rsidRPr="000E53A0" w:rsidRDefault="009F3374">
            <w:pPr>
              <w:rPr>
                <w:rFonts w:ascii="Avenir Next Regular" w:hAnsi="Avenir Next Regular" w:cs="Calibri"/>
                <w:b/>
                <w:bCs/>
                <w:color w:val="000000" w:themeColor="text1"/>
                <w:sz w:val="16"/>
                <w:szCs w:val="16"/>
                <w:lang w:val="fr-FR"/>
              </w:rPr>
            </w:pPr>
            <w:r w:rsidRPr="000E53A0">
              <w:rPr>
                <w:rFonts w:ascii="Avenir Next Regular" w:hAnsi="Avenir Next Regular" w:cs="Calibri"/>
                <w:b/>
                <w:bCs/>
                <w:color w:val="000000" w:themeColor="text1"/>
                <w:sz w:val="16"/>
                <w:szCs w:val="16"/>
                <w:lang w:val="fr-FR"/>
              </w:rPr>
              <w:t> </w:t>
            </w:r>
          </w:p>
        </w:tc>
        <w:tc>
          <w:tcPr>
            <w:tcW w:w="1129" w:type="pct"/>
            <w:tcBorders>
              <w:top w:val="nil"/>
              <w:left w:val="nil"/>
              <w:bottom w:val="single" w:sz="4" w:space="0" w:color="auto"/>
              <w:right w:val="single" w:sz="4" w:space="0" w:color="auto"/>
            </w:tcBorders>
            <w:hideMark/>
          </w:tcPr>
          <w:p w14:paraId="0FFB21D5" w14:textId="77777777" w:rsidR="00601D9B" w:rsidRDefault="000E53A0">
            <w:pPr>
              <w:rPr>
                <w:rFonts w:ascii="Avenir Next Regular" w:hAnsi="Avenir Next Regular" w:cs="Calibri"/>
                <w:iCs/>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iCs/>
                <w:color w:val="000000" w:themeColor="text1"/>
                <w:sz w:val="16"/>
                <w:szCs w:val="16"/>
              </w:rPr>
              <w:t>Intégration du site</w:t>
            </w:r>
          </w:p>
        </w:tc>
        <w:tc>
          <w:tcPr>
            <w:tcW w:w="1080" w:type="pct"/>
            <w:tcBorders>
              <w:top w:val="nil"/>
              <w:left w:val="nil"/>
              <w:bottom w:val="single" w:sz="4" w:space="0" w:color="auto"/>
              <w:right w:val="single" w:sz="4" w:space="0" w:color="auto"/>
            </w:tcBorders>
            <w:hideMark/>
          </w:tcPr>
          <w:p w14:paraId="304DAF90" w14:textId="77777777" w:rsidR="009F3374" w:rsidRDefault="009F3374">
            <w:pPr>
              <w:rPr>
                <w:rFonts w:ascii="Avenir Next Regular" w:hAnsi="Avenir Next Regular" w:cs="Calibri"/>
                <w:color w:val="000000" w:themeColor="text1"/>
                <w:sz w:val="16"/>
                <w:szCs w:val="16"/>
              </w:rPr>
            </w:pPr>
            <w:r>
              <w:rPr>
                <w:rFonts w:ascii="Avenir Next Regular" w:hAnsi="Avenir Next Regular" w:cs="Calibri"/>
                <w:color w:val="000000" w:themeColor="text1"/>
                <w:sz w:val="16"/>
                <w:szCs w:val="16"/>
              </w:rPr>
              <w:t> </w:t>
            </w:r>
          </w:p>
        </w:tc>
      </w:tr>
      <w:tr w:rsidR="009F3374" w:rsidRPr="000E53A0" w14:paraId="0195EC58" w14:textId="77777777" w:rsidTr="009F3374">
        <w:trPr>
          <w:trHeight w:val="58"/>
        </w:trPr>
        <w:tc>
          <w:tcPr>
            <w:tcW w:w="1966" w:type="pct"/>
            <w:tcBorders>
              <w:top w:val="nil"/>
              <w:left w:val="single" w:sz="4" w:space="0" w:color="auto"/>
              <w:bottom w:val="single" w:sz="4" w:space="0" w:color="auto"/>
              <w:right w:val="single" w:sz="4" w:space="0" w:color="auto"/>
            </w:tcBorders>
            <w:noWrap/>
            <w:vAlign w:val="bottom"/>
            <w:hideMark/>
          </w:tcPr>
          <w:p w14:paraId="6A49A037"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2594426C"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43C502B3" w14:textId="77777777" w:rsidR="009F3374" w:rsidRDefault="009F3374">
            <w:pPr>
              <w:rPr>
                <w:rFonts w:ascii="Avenir Next Regular" w:hAnsi="Avenir Next Regular" w:cs="Calibri"/>
                <w:iCs/>
                <w:color w:val="000000" w:themeColor="text1"/>
                <w:sz w:val="16"/>
                <w:szCs w:val="16"/>
              </w:rPr>
            </w:pPr>
            <w:r>
              <w:rPr>
                <w:rFonts w:ascii="Avenir Next Regular" w:hAnsi="Avenir Next Regular" w:cs="Calibri"/>
                <w:iCs/>
                <w:color w:val="000000" w:themeColor="text1"/>
                <w:sz w:val="16"/>
                <w:szCs w:val="16"/>
              </w:rPr>
              <w:t> </w:t>
            </w:r>
          </w:p>
        </w:tc>
        <w:tc>
          <w:tcPr>
            <w:tcW w:w="1080" w:type="pct"/>
            <w:tcBorders>
              <w:top w:val="nil"/>
              <w:left w:val="nil"/>
              <w:bottom w:val="single" w:sz="4" w:space="0" w:color="auto"/>
              <w:right w:val="single" w:sz="4" w:space="0" w:color="auto"/>
            </w:tcBorders>
            <w:hideMark/>
          </w:tcPr>
          <w:p w14:paraId="78056238" w14:textId="77777777" w:rsidR="00601D9B" w:rsidRPr="000E53A0" w:rsidRDefault="000E53A0">
            <w:pPr>
              <w:ind w:left="192" w:hanging="192"/>
              <w:rPr>
                <w:rFonts w:ascii="Avenir Next Regular" w:hAnsi="Avenir Next Regular" w:cs="Calibri"/>
                <w:color w:val="000000" w:themeColor="text1"/>
                <w:sz w:val="16"/>
                <w:szCs w:val="16"/>
                <w:lang w:val="fr-FR"/>
              </w:rPr>
            </w:pPr>
            <w:r>
              <w:rPr>
                <w:color w:val="000000" w:themeColor="text1"/>
                <w:sz w:val="16"/>
                <w:szCs w:val="16"/>
              </w:rPr>
              <w:fldChar w:fldCharType="begin">
                <w:ffData>
                  <w:name w:val="IAP_cities"/>
                  <w:enabled/>
                  <w:calcOnExit w:val="0"/>
                  <w:checkBox>
                    <w:sizeAuto/>
                    <w:default w:val="0"/>
                  </w:checkBox>
                </w:ffData>
              </w:fldChar>
            </w:r>
            <w:r w:rsidRPr="000E53A0">
              <w:rPr>
                <w:color w:val="000000" w:themeColor="text1"/>
                <w:sz w:val="16"/>
                <w:szCs w:val="16"/>
                <w:lang w:val="fr-FR"/>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sidRPr="000E53A0">
              <w:rPr>
                <w:rFonts w:ascii="Avenir Next Regular" w:hAnsi="Avenir Next Regular" w:cs="Calibri"/>
                <w:color w:val="000000" w:themeColor="text1"/>
                <w:sz w:val="16"/>
                <w:szCs w:val="16"/>
                <w:lang w:val="fr-FR"/>
              </w:rPr>
              <w:t>Industries extractives (pétrole, gaz, mines)</w:t>
            </w:r>
          </w:p>
        </w:tc>
      </w:tr>
      <w:tr w:rsidR="009F3374" w:rsidRPr="000E53A0" w14:paraId="28999D83" w14:textId="77777777" w:rsidTr="009F3374">
        <w:trPr>
          <w:trHeight w:val="125"/>
        </w:trPr>
        <w:tc>
          <w:tcPr>
            <w:tcW w:w="1966" w:type="pct"/>
            <w:tcBorders>
              <w:top w:val="nil"/>
              <w:left w:val="single" w:sz="4" w:space="0" w:color="auto"/>
              <w:bottom w:val="single" w:sz="4" w:space="0" w:color="auto"/>
              <w:right w:val="single" w:sz="4" w:space="0" w:color="auto"/>
            </w:tcBorders>
            <w:noWrap/>
            <w:vAlign w:val="bottom"/>
            <w:hideMark/>
          </w:tcPr>
          <w:p w14:paraId="6F9891F4" w14:textId="77777777" w:rsidR="009F3374" w:rsidRPr="000E53A0" w:rsidRDefault="009F3374">
            <w:pPr>
              <w:rPr>
                <w:rFonts w:ascii="Avenir Next Regular" w:hAnsi="Avenir Next Regular" w:cs="Calibri"/>
                <w:b/>
                <w:bCs/>
                <w:color w:val="000000" w:themeColor="text1"/>
                <w:sz w:val="16"/>
                <w:szCs w:val="16"/>
                <w:lang w:val="fr-FR"/>
              </w:rPr>
            </w:pPr>
            <w:r w:rsidRPr="000E53A0">
              <w:rPr>
                <w:rFonts w:ascii="Avenir Next Regular" w:hAnsi="Avenir Next Regular" w:cs="Calibri"/>
                <w:b/>
                <w:bCs/>
                <w:color w:val="000000" w:themeColor="text1"/>
                <w:sz w:val="16"/>
                <w:szCs w:val="16"/>
                <w:lang w:val="fr-FR"/>
              </w:rPr>
              <w:lastRenderedPageBreak/>
              <w:t> </w:t>
            </w:r>
          </w:p>
        </w:tc>
        <w:tc>
          <w:tcPr>
            <w:tcW w:w="825" w:type="pct"/>
            <w:tcBorders>
              <w:top w:val="nil"/>
              <w:left w:val="nil"/>
              <w:bottom w:val="single" w:sz="4" w:space="0" w:color="auto"/>
              <w:right w:val="single" w:sz="4" w:space="0" w:color="auto"/>
            </w:tcBorders>
            <w:hideMark/>
          </w:tcPr>
          <w:p w14:paraId="4B24415E" w14:textId="77777777" w:rsidR="009F3374" w:rsidRPr="000E53A0" w:rsidRDefault="009F3374">
            <w:pPr>
              <w:rPr>
                <w:rFonts w:ascii="Avenir Next Regular" w:hAnsi="Avenir Next Regular" w:cs="Calibri"/>
                <w:b/>
                <w:bCs/>
                <w:color w:val="000000" w:themeColor="text1"/>
                <w:sz w:val="16"/>
                <w:szCs w:val="16"/>
                <w:lang w:val="fr-FR"/>
              </w:rPr>
            </w:pPr>
            <w:r w:rsidRPr="000E53A0">
              <w:rPr>
                <w:rFonts w:ascii="Avenir Next Regular" w:hAnsi="Avenir Next Regular" w:cs="Calibri"/>
                <w:b/>
                <w:bCs/>
                <w:color w:val="000000" w:themeColor="text1"/>
                <w:sz w:val="16"/>
                <w:szCs w:val="16"/>
                <w:lang w:val="fr-FR"/>
              </w:rPr>
              <w:t> </w:t>
            </w:r>
          </w:p>
        </w:tc>
        <w:tc>
          <w:tcPr>
            <w:tcW w:w="1129" w:type="pct"/>
            <w:tcBorders>
              <w:top w:val="nil"/>
              <w:left w:val="nil"/>
              <w:bottom w:val="single" w:sz="4" w:space="0" w:color="auto"/>
              <w:right w:val="single" w:sz="4" w:space="0" w:color="auto"/>
            </w:tcBorders>
            <w:hideMark/>
          </w:tcPr>
          <w:p w14:paraId="48EC7E9A" w14:textId="77777777" w:rsidR="009F3374" w:rsidRPr="000E53A0" w:rsidRDefault="009F3374">
            <w:pPr>
              <w:rPr>
                <w:rFonts w:ascii="Avenir Next Regular" w:hAnsi="Avenir Next Regular" w:cs="Calibri"/>
                <w:iCs/>
                <w:color w:val="000000" w:themeColor="text1"/>
                <w:sz w:val="16"/>
                <w:szCs w:val="16"/>
                <w:lang w:val="fr-FR"/>
              </w:rPr>
            </w:pPr>
            <w:r w:rsidRPr="000E53A0">
              <w:rPr>
                <w:rFonts w:ascii="Avenir Next Regular" w:hAnsi="Avenir Next Regular" w:cs="Calibri"/>
                <w:iCs/>
                <w:color w:val="000000" w:themeColor="text1"/>
                <w:sz w:val="16"/>
                <w:szCs w:val="16"/>
                <w:lang w:val="fr-FR"/>
              </w:rPr>
              <w:t> </w:t>
            </w:r>
          </w:p>
        </w:tc>
        <w:tc>
          <w:tcPr>
            <w:tcW w:w="1080" w:type="pct"/>
            <w:tcBorders>
              <w:top w:val="nil"/>
              <w:left w:val="nil"/>
              <w:bottom w:val="single" w:sz="4" w:space="0" w:color="auto"/>
              <w:right w:val="single" w:sz="4" w:space="0" w:color="auto"/>
            </w:tcBorders>
            <w:hideMark/>
          </w:tcPr>
          <w:p w14:paraId="33C1B06A" w14:textId="77777777" w:rsidR="00601D9B" w:rsidRPr="000E53A0" w:rsidRDefault="000E53A0">
            <w:pPr>
              <w:ind w:left="192" w:hanging="192"/>
              <w:rPr>
                <w:rFonts w:ascii="Avenir Next Regular" w:hAnsi="Avenir Next Regular" w:cs="Calibri"/>
                <w:color w:val="000000" w:themeColor="text1"/>
                <w:sz w:val="16"/>
                <w:szCs w:val="16"/>
                <w:lang w:val="fr-FR"/>
              </w:rPr>
            </w:pPr>
            <w:r>
              <w:rPr>
                <w:color w:val="000000" w:themeColor="text1"/>
                <w:sz w:val="16"/>
                <w:szCs w:val="16"/>
              </w:rPr>
              <w:fldChar w:fldCharType="begin">
                <w:ffData>
                  <w:name w:val="IAP_cities"/>
                  <w:enabled/>
                  <w:calcOnExit w:val="0"/>
                  <w:checkBox>
                    <w:sizeAuto/>
                    <w:default w:val="0"/>
                  </w:checkBox>
                </w:ffData>
              </w:fldChar>
            </w:r>
            <w:r w:rsidRPr="000E53A0">
              <w:rPr>
                <w:color w:val="000000" w:themeColor="text1"/>
                <w:sz w:val="16"/>
                <w:szCs w:val="16"/>
                <w:lang w:val="fr-FR"/>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sidRPr="000E53A0">
              <w:rPr>
                <w:rFonts w:ascii="Avenir Next Regular" w:hAnsi="Avenir Next Regular" w:cs="Calibri"/>
                <w:color w:val="000000" w:themeColor="text1"/>
                <w:sz w:val="16"/>
                <w:szCs w:val="16"/>
                <w:lang w:val="fr-FR"/>
              </w:rPr>
              <w:t>Foresterie (y compris HCVF et REDD+)</w:t>
            </w:r>
          </w:p>
        </w:tc>
      </w:tr>
      <w:tr w:rsidR="009F3374" w14:paraId="0C981FED" w14:textId="77777777" w:rsidTr="009F3374">
        <w:trPr>
          <w:trHeight w:val="58"/>
        </w:trPr>
        <w:tc>
          <w:tcPr>
            <w:tcW w:w="1966" w:type="pct"/>
            <w:tcBorders>
              <w:top w:val="nil"/>
              <w:left w:val="single" w:sz="4" w:space="0" w:color="auto"/>
              <w:bottom w:val="single" w:sz="4" w:space="0" w:color="auto"/>
              <w:right w:val="single" w:sz="4" w:space="0" w:color="auto"/>
            </w:tcBorders>
            <w:noWrap/>
            <w:vAlign w:val="bottom"/>
            <w:hideMark/>
          </w:tcPr>
          <w:p w14:paraId="283C7D9D" w14:textId="77777777" w:rsidR="009F3374" w:rsidRPr="000E53A0" w:rsidRDefault="009F3374">
            <w:pPr>
              <w:rPr>
                <w:rFonts w:ascii="Avenir Next Regular" w:hAnsi="Avenir Next Regular" w:cs="Calibri"/>
                <w:b/>
                <w:bCs/>
                <w:color w:val="000000" w:themeColor="text1"/>
                <w:sz w:val="16"/>
                <w:szCs w:val="16"/>
                <w:lang w:val="fr-FR"/>
              </w:rPr>
            </w:pPr>
            <w:r w:rsidRPr="000E53A0">
              <w:rPr>
                <w:rFonts w:ascii="Avenir Next Regular" w:hAnsi="Avenir Next Regular" w:cs="Calibri"/>
                <w:b/>
                <w:bCs/>
                <w:color w:val="000000" w:themeColor="text1"/>
                <w:sz w:val="16"/>
                <w:szCs w:val="16"/>
                <w:lang w:val="fr-FR"/>
              </w:rPr>
              <w:t> </w:t>
            </w:r>
          </w:p>
        </w:tc>
        <w:tc>
          <w:tcPr>
            <w:tcW w:w="825" w:type="pct"/>
            <w:tcBorders>
              <w:top w:val="nil"/>
              <w:left w:val="nil"/>
              <w:bottom w:val="single" w:sz="4" w:space="0" w:color="auto"/>
              <w:right w:val="single" w:sz="4" w:space="0" w:color="auto"/>
            </w:tcBorders>
            <w:hideMark/>
          </w:tcPr>
          <w:p w14:paraId="33ABAD67" w14:textId="77777777" w:rsidR="009F3374" w:rsidRPr="000E53A0" w:rsidRDefault="009F3374">
            <w:pPr>
              <w:rPr>
                <w:rFonts w:ascii="Avenir Next Regular" w:hAnsi="Avenir Next Regular" w:cs="Calibri"/>
                <w:b/>
                <w:bCs/>
                <w:color w:val="000000" w:themeColor="text1"/>
                <w:sz w:val="16"/>
                <w:szCs w:val="16"/>
                <w:lang w:val="fr-FR"/>
              </w:rPr>
            </w:pPr>
            <w:r w:rsidRPr="000E53A0">
              <w:rPr>
                <w:rFonts w:ascii="Avenir Next Regular" w:hAnsi="Avenir Next Regular" w:cs="Calibri"/>
                <w:b/>
                <w:bCs/>
                <w:color w:val="000000" w:themeColor="text1"/>
                <w:sz w:val="16"/>
                <w:szCs w:val="16"/>
                <w:lang w:val="fr-FR"/>
              </w:rPr>
              <w:t> </w:t>
            </w:r>
          </w:p>
        </w:tc>
        <w:tc>
          <w:tcPr>
            <w:tcW w:w="1129" w:type="pct"/>
            <w:tcBorders>
              <w:top w:val="nil"/>
              <w:left w:val="nil"/>
              <w:bottom w:val="single" w:sz="4" w:space="0" w:color="auto"/>
              <w:right w:val="single" w:sz="4" w:space="0" w:color="auto"/>
            </w:tcBorders>
            <w:hideMark/>
          </w:tcPr>
          <w:p w14:paraId="5C281930" w14:textId="77777777" w:rsidR="009F3374" w:rsidRPr="000E53A0" w:rsidRDefault="009F3374">
            <w:pPr>
              <w:rPr>
                <w:rFonts w:ascii="Avenir Next Regular" w:hAnsi="Avenir Next Regular" w:cs="Calibri"/>
                <w:iCs/>
                <w:color w:val="000000" w:themeColor="text1"/>
                <w:sz w:val="16"/>
                <w:szCs w:val="16"/>
                <w:lang w:val="fr-FR"/>
              </w:rPr>
            </w:pPr>
            <w:r w:rsidRPr="000E53A0">
              <w:rPr>
                <w:rFonts w:ascii="Avenir Next Regular" w:hAnsi="Avenir Next Regular" w:cs="Calibri"/>
                <w:iCs/>
                <w:color w:val="000000" w:themeColor="text1"/>
                <w:sz w:val="16"/>
                <w:szCs w:val="16"/>
                <w:lang w:val="fr-FR"/>
              </w:rPr>
              <w:t> </w:t>
            </w:r>
          </w:p>
        </w:tc>
        <w:tc>
          <w:tcPr>
            <w:tcW w:w="1080" w:type="pct"/>
            <w:tcBorders>
              <w:top w:val="nil"/>
              <w:left w:val="nil"/>
              <w:bottom w:val="single" w:sz="4" w:space="0" w:color="auto"/>
              <w:right w:val="single" w:sz="4" w:space="0" w:color="auto"/>
            </w:tcBorders>
            <w:hideMark/>
          </w:tcPr>
          <w:p w14:paraId="095B3F4D" w14:textId="77777777" w:rsidR="00601D9B" w:rsidRDefault="000E53A0">
            <w:pPr>
              <w:rPr>
                <w:rFonts w:ascii="Avenir Next Regular" w:hAnsi="Avenir Next Regular" w:cs="Calibri"/>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color w:val="000000" w:themeColor="text1"/>
                <w:sz w:val="16"/>
                <w:szCs w:val="16"/>
              </w:rPr>
              <w:t>Tourisme</w:t>
            </w:r>
          </w:p>
        </w:tc>
      </w:tr>
      <w:tr w:rsidR="009F3374" w14:paraId="04677F13" w14:textId="77777777" w:rsidTr="009F3374">
        <w:trPr>
          <w:trHeight w:val="89"/>
        </w:trPr>
        <w:tc>
          <w:tcPr>
            <w:tcW w:w="1966" w:type="pct"/>
            <w:tcBorders>
              <w:top w:val="nil"/>
              <w:left w:val="single" w:sz="4" w:space="0" w:color="auto"/>
              <w:bottom w:val="single" w:sz="4" w:space="0" w:color="auto"/>
              <w:right w:val="single" w:sz="4" w:space="0" w:color="auto"/>
            </w:tcBorders>
            <w:noWrap/>
            <w:vAlign w:val="bottom"/>
            <w:hideMark/>
          </w:tcPr>
          <w:p w14:paraId="430D8E5B"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7A1B08EE"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7A32846C" w14:textId="77777777" w:rsidR="009F3374" w:rsidRDefault="009F3374">
            <w:pPr>
              <w:rPr>
                <w:rFonts w:ascii="Avenir Next Regular" w:hAnsi="Avenir Next Regular" w:cs="Calibri"/>
                <w:iCs/>
                <w:color w:val="000000" w:themeColor="text1"/>
                <w:sz w:val="16"/>
                <w:szCs w:val="16"/>
              </w:rPr>
            </w:pPr>
            <w:r>
              <w:rPr>
                <w:rFonts w:ascii="Avenir Next Regular" w:hAnsi="Avenir Next Regular" w:cs="Calibri"/>
                <w:iCs/>
                <w:color w:val="000000" w:themeColor="text1"/>
                <w:sz w:val="16"/>
                <w:szCs w:val="16"/>
              </w:rPr>
              <w:t> </w:t>
            </w:r>
          </w:p>
        </w:tc>
        <w:tc>
          <w:tcPr>
            <w:tcW w:w="1080" w:type="pct"/>
            <w:tcBorders>
              <w:top w:val="nil"/>
              <w:left w:val="nil"/>
              <w:bottom w:val="single" w:sz="4" w:space="0" w:color="auto"/>
              <w:right w:val="single" w:sz="4" w:space="0" w:color="auto"/>
            </w:tcBorders>
            <w:hideMark/>
          </w:tcPr>
          <w:p w14:paraId="7F0F2E13" w14:textId="77777777" w:rsidR="00601D9B" w:rsidRDefault="000E53A0">
            <w:pPr>
              <w:rPr>
                <w:rFonts w:ascii="Avenir Next Regular" w:hAnsi="Avenir Next Regular" w:cs="Calibri"/>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color w:val="000000" w:themeColor="text1"/>
                <w:sz w:val="16"/>
                <w:szCs w:val="16"/>
              </w:rPr>
              <w:t>Agriculture et agrobiodiversité</w:t>
            </w:r>
          </w:p>
        </w:tc>
      </w:tr>
      <w:tr w:rsidR="009F3374" w14:paraId="1ED22E65" w14:textId="77777777" w:rsidTr="009F3374">
        <w:trPr>
          <w:trHeight w:val="161"/>
        </w:trPr>
        <w:tc>
          <w:tcPr>
            <w:tcW w:w="1966" w:type="pct"/>
            <w:tcBorders>
              <w:top w:val="nil"/>
              <w:left w:val="single" w:sz="4" w:space="0" w:color="auto"/>
              <w:bottom w:val="single" w:sz="4" w:space="0" w:color="auto"/>
              <w:right w:val="single" w:sz="4" w:space="0" w:color="auto"/>
            </w:tcBorders>
            <w:noWrap/>
            <w:vAlign w:val="bottom"/>
            <w:hideMark/>
          </w:tcPr>
          <w:p w14:paraId="1182AC3C"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5D163357"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37BC7DA1" w14:textId="77777777" w:rsidR="009F3374" w:rsidRDefault="009F3374">
            <w:pPr>
              <w:rPr>
                <w:rFonts w:ascii="Avenir Next Regular" w:hAnsi="Avenir Next Regular" w:cs="Calibri"/>
                <w:iCs/>
                <w:color w:val="000000" w:themeColor="text1"/>
                <w:sz w:val="16"/>
                <w:szCs w:val="16"/>
              </w:rPr>
            </w:pPr>
            <w:r>
              <w:rPr>
                <w:rFonts w:ascii="Avenir Next Regular" w:hAnsi="Avenir Next Regular" w:cs="Calibri"/>
                <w:iCs/>
                <w:color w:val="000000" w:themeColor="text1"/>
                <w:sz w:val="16"/>
                <w:szCs w:val="16"/>
              </w:rPr>
              <w:t> </w:t>
            </w:r>
          </w:p>
        </w:tc>
        <w:tc>
          <w:tcPr>
            <w:tcW w:w="1080" w:type="pct"/>
            <w:tcBorders>
              <w:top w:val="nil"/>
              <w:left w:val="nil"/>
              <w:bottom w:val="single" w:sz="4" w:space="0" w:color="auto"/>
              <w:right w:val="single" w:sz="4" w:space="0" w:color="auto"/>
            </w:tcBorders>
            <w:hideMark/>
          </w:tcPr>
          <w:p w14:paraId="552C47FA" w14:textId="77777777" w:rsidR="00601D9B" w:rsidRDefault="000E53A0">
            <w:pPr>
              <w:rPr>
                <w:rFonts w:ascii="Avenir Next Regular" w:hAnsi="Avenir Next Regular" w:cs="Calibri"/>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color w:val="000000" w:themeColor="text1"/>
                <w:sz w:val="16"/>
                <w:szCs w:val="16"/>
              </w:rPr>
              <w:t>Pêche</w:t>
            </w:r>
          </w:p>
        </w:tc>
      </w:tr>
      <w:tr w:rsidR="009F3374" w14:paraId="1E12EA3E" w14:textId="77777777" w:rsidTr="009F3374">
        <w:trPr>
          <w:trHeight w:val="143"/>
        </w:trPr>
        <w:tc>
          <w:tcPr>
            <w:tcW w:w="1966" w:type="pct"/>
            <w:tcBorders>
              <w:top w:val="nil"/>
              <w:left w:val="single" w:sz="4" w:space="0" w:color="auto"/>
              <w:bottom w:val="single" w:sz="4" w:space="0" w:color="auto"/>
              <w:right w:val="single" w:sz="4" w:space="0" w:color="auto"/>
            </w:tcBorders>
            <w:noWrap/>
            <w:vAlign w:val="bottom"/>
            <w:hideMark/>
          </w:tcPr>
          <w:p w14:paraId="004A93BD"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4812723B"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06B52099" w14:textId="77777777" w:rsidR="009F3374" w:rsidRDefault="009F3374">
            <w:pPr>
              <w:rPr>
                <w:rFonts w:ascii="Avenir Next Regular" w:hAnsi="Avenir Next Regular" w:cs="Calibri"/>
                <w:iCs/>
                <w:color w:val="000000" w:themeColor="text1"/>
                <w:sz w:val="16"/>
                <w:szCs w:val="16"/>
              </w:rPr>
            </w:pPr>
            <w:r>
              <w:rPr>
                <w:rFonts w:ascii="Avenir Next Regular" w:hAnsi="Avenir Next Regular" w:cs="Calibri"/>
                <w:iCs/>
                <w:color w:val="000000" w:themeColor="text1"/>
                <w:sz w:val="16"/>
                <w:szCs w:val="16"/>
              </w:rPr>
              <w:t> </w:t>
            </w:r>
          </w:p>
        </w:tc>
        <w:tc>
          <w:tcPr>
            <w:tcW w:w="1080" w:type="pct"/>
            <w:tcBorders>
              <w:top w:val="nil"/>
              <w:left w:val="nil"/>
              <w:bottom w:val="single" w:sz="4" w:space="0" w:color="auto"/>
              <w:right w:val="single" w:sz="4" w:space="0" w:color="auto"/>
            </w:tcBorders>
            <w:hideMark/>
          </w:tcPr>
          <w:p w14:paraId="6DB0434E" w14:textId="77777777" w:rsidR="00601D9B" w:rsidRDefault="000E53A0">
            <w:pPr>
              <w:rPr>
                <w:rFonts w:ascii="Avenir Next Regular" w:hAnsi="Avenir Next Regular" w:cs="Calibri"/>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color w:val="000000" w:themeColor="text1"/>
                <w:sz w:val="16"/>
                <w:szCs w:val="16"/>
              </w:rPr>
              <w:t>Infrastructure</w:t>
            </w:r>
          </w:p>
        </w:tc>
      </w:tr>
      <w:tr w:rsidR="009F3374" w14:paraId="441F1758" w14:textId="77777777" w:rsidTr="009F3374">
        <w:trPr>
          <w:trHeight w:val="125"/>
        </w:trPr>
        <w:tc>
          <w:tcPr>
            <w:tcW w:w="1966" w:type="pct"/>
            <w:tcBorders>
              <w:top w:val="nil"/>
              <w:left w:val="single" w:sz="4" w:space="0" w:color="auto"/>
              <w:bottom w:val="single" w:sz="4" w:space="0" w:color="auto"/>
              <w:right w:val="single" w:sz="4" w:space="0" w:color="auto"/>
            </w:tcBorders>
            <w:noWrap/>
            <w:vAlign w:val="bottom"/>
            <w:hideMark/>
          </w:tcPr>
          <w:p w14:paraId="56B11D5F"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63C09EF9"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6F9FB203" w14:textId="77777777" w:rsidR="009F3374" w:rsidRDefault="009F3374">
            <w:pPr>
              <w:rPr>
                <w:rFonts w:ascii="Avenir Next Regular" w:hAnsi="Avenir Next Regular" w:cs="Calibri"/>
                <w:iCs/>
                <w:color w:val="000000" w:themeColor="text1"/>
                <w:sz w:val="16"/>
                <w:szCs w:val="16"/>
              </w:rPr>
            </w:pPr>
            <w:r>
              <w:rPr>
                <w:rFonts w:ascii="Avenir Next Regular" w:hAnsi="Avenir Next Regular" w:cs="Calibri"/>
                <w:iCs/>
                <w:color w:val="000000" w:themeColor="text1"/>
                <w:sz w:val="16"/>
                <w:szCs w:val="16"/>
              </w:rPr>
              <w:t> </w:t>
            </w:r>
          </w:p>
        </w:tc>
        <w:tc>
          <w:tcPr>
            <w:tcW w:w="1080" w:type="pct"/>
            <w:tcBorders>
              <w:top w:val="nil"/>
              <w:left w:val="nil"/>
              <w:bottom w:val="single" w:sz="4" w:space="0" w:color="auto"/>
              <w:right w:val="single" w:sz="4" w:space="0" w:color="auto"/>
            </w:tcBorders>
            <w:hideMark/>
          </w:tcPr>
          <w:p w14:paraId="5C7D0B15" w14:textId="77777777" w:rsidR="00601D9B" w:rsidRDefault="000E53A0">
            <w:pPr>
              <w:ind w:left="192" w:hanging="192"/>
              <w:rPr>
                <w:rFonts w:ascii="Avenir Next Regular" w:hAnsi="Avenir Next Regular" w:cs="Calibri"/>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color w:val="000000" w:themeColor="text1"/>
                <w:sz w:val="16"/>
                <w:szCs w:val="16"/>
              </w:rPr>
              <w:t>Certification (normes nationales)</w:t>
            </w:r>
          </w:p>
        </w:tc>
      </w:tr>
      <w:tr w:rsidR="009F3374" w14:paraId="7165B8CC" w14:textId="77777777" w:rsidTr="009F3374">
        <w:trPr>
          <w:trHeight w:val="251"/>
        </w:trPr>
        <w:tc>
          <w:tcPr>
            <w:tcW w:w="1966" w:type="pct"/>
            <w:tcBorders>
              <w:top w:val="nil"/>
              <w:left w:val="single" w:sz="4" w:space="0" w:color="auto"/>
              <w:bottom w:val="single" w:sz="4" w:space="0" w:color="auto"/>
              <w:right w:val="single" w:sz="4" w:space="0" w:color="auto"/>
            </w:tcBorders>
            <w:noWrap/>
            <w:vAlign w:val="bottom"/>
            <w:hideMark/>
          </w:tcPr>
          <w:p w14:paraId="77CF6854"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6AE244CA"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0575F757" w14:textId="77777777" w:rsidR="009F3374" w:rsidRDefault="009F3374">
            <w:pPr>
              <w:rPr>
                <w:rFonts w:ascii="Avenir Next Regular" w:hAnsi="Avenir Next Regular" w:cs="Calibri"/>
                <w:iCs/>
                <w:color w:val="000000" w:themeColor="text1"/>
                <w:sz w:val="16"/>
                <w:szCs w:val="16"/>
              </w:rPr>
            </w:pPr>
            <w:r>
              <w:rPr>
                <w:rFonts w:ascii="Avenir Next Regular" w:hAnsi="Avenir Next Regular" w:cs="Calibri"/>
                <w:iCs/>
                <w:color w:val="000000" w:themeColor="text1"/>
                <w:sz w:val="16"/>
                <w:szCs w:val="16"/>
              </w:rPr>
              <w:t> </w:t>
            </w:r>
          </w:p>
        </w:tc>
        <w:tc>
          <w:tcPr>
            <w:tcW w:w="1080" w:type="pct"/>
            <w:tcBorders>
              <w:top w:val="nil"/>
              <w:left w:val="nil"/>
              <w:bottom w:val="single" w:sz="4" w:space="0" w:color="auto"/>
              <w:right w:val="single" w:sz="4" w:space="0" w:color="auto"/>
            </w:tcBorders>
            <w:hideMark/>
          </w:tcPr>
          <w:p w14:paraId="199E851F" w14:textId="77777777" w:rsidR="00601D9B" w:rsidRDefault="000E53A0">
            <w:pPr>
              <w:ind w:left="192" w:hanging="192"/>
              <w:rPr>
                <w:rFonts w:ascii="Avenir Next Regular" w:hAnsi="Avenir Next Regular" w:cs="Calibri"/>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color w:val="000000" w:themeColor="text1"/>
                <w:sz w:val="16"/>
                <w:szCs w:val="16"/>
              </w:rPr>
              <w:t>Certification (normes internationales)</w:t>
            </w:r>
          </w:p>
        </w:tc>
      </w:tr>
      <w:tr w:rsidR="009F3374" w14:paraId="382DBD60" w14:textId="77777777" w:rsidTr="009F3374">
        <w:trPr>
          <w:trHeight w:val="125"/>
        </w:trPr>
        <w:tc>
          <w:tcPr>
            <w:tcW w:w="1966" w:type="pct"/>
            <w:tcBorders>
              <w:top w:val="nil"/>
              <w:left w:val="single" w:sz="4" w:space="0" w:color="auto"/>
              <w:bottom w:val="single" w:sz="4" w:space="0" w:color="auto"/>
              <w:right w:val="single" w:sz="4" w:space="0" w:color="auto"/>
            </w:tcBorders>
            <w:noWrap/>
            <w:vAlign w:val="bottom"/>
            <w:hideMark/>
          </w:tcPr>
          <w:p w14:paraId="666F4F56"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57437F5E"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537A0CEB" w14:textId="77777777" w:rsidR="00601D9B" w:rsidRDefault="000E53A0">
            <w:pPr>
              <w:rPr>
                <w:rFonts w:ascii="Avenir Next Regular" w:hAnsi="Avenir Next Regular" w:cs="Calibri"/>
                <w:iCs/>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iCs/>
                <w:color w:val="000000" w:themeColor="text1"/>
                <w:sz w:val="16"/>
                <w:szCs w:val="16"/>
              </w:rPr>
              <w:t xml:space="preserve">Espèce </w:t>
            </w:r>
          </w:p>
        </w:tc>
        <w:tc>
          <w:tcPr>
            <w:tcW w:w="1080" w:type="pct"/>
            <w:tcBorders>
              <w:top w:val="nil"/>
              <w:left w:val="nil"/>
              <w:bottom w:val="single" w:sz="4" w:space="0" w:color="auto"/>
              <w:right w:val="single" w:sz="4" w:space="0" w:color="auto"/>
            </w:tcBorders>
            <w:hideMark/>
          </w:tcPr>
          <w:p w14:paraId="0C4E7010" w14:textId="77777777" w:rsidR="009F3374" w:rsidRDefault="009F3374">
            <w:pPr>
              <w:rPr>
                <w:rFonts w:ascii="Avenir Next Regular" w:hAnsi="Avenir Next Regular" w:cs="Calibri"/>
                <w:color w:val="000000" w:themeColor="text1"/>
                <w:sz w:val="16"/>
                <w:szCs w:val="16"/>
              </w:rPr>
            </w:pPr>
            <w:r>
              <w:rPr>
                <w:rFonts w:ascii="Avenir Next Regular" w:hAnsi="Avenir Next Regular" w:cs="Calibri"/>
                <w:color w:val="000000" w:themeColor="text1"/>
                <w:sz w:val="16"/>
                <w:szCs w:val="16"/>
              </w:rPr>
              <w:t> </w:t>
            </w:r>
          </w:p>
        </w:tc>
      </w:tr>
      <w:tr w:rsidR="009F3374" w14:paraId="225A1864" w14:textId="77777777" w:rsidTr="009F3374">
        <w:trPr>
          <w:trHeight w:val="197"/>
        </w:trPr>
        <w:tc>
          <w:tcPr>
            <w:tcW w:w="1966" w:type="pct"/>
            <w:tcBorders>
              <w:top w:val="nil"/>
              <w:left w:val="single" w:sz="4" w:space="0" w:color="auto"/>
              <w:bottom w:val="single" w:sz="4" w:space="0" w:color="auto"/>
              <w:right w:val="single" w:sz="4" w:space="0" w:color="auto"/>
            </w:tcBorders>
            <w:noWrap/>
            <w:vAlign w:val="bottom"/>
            <w:hideMark/>
          </w:tcPr>
          <w:p w14:paraId="4DC6E21E"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61DD755C"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07EC29CF" w14:textId="77777777" w:rsidR="009F3374" w:rsidRDefault="009F3374">
            <w:pPr>
              <w:rPr>
                <w:rFonts w:ascii="Avenir Next Regular" w:hAnsi="Avenir Next Regular" w:cs="Calibri"/>
                <w:iCs/>
                <w:color w:val="000000" w:themeColor="text1"/>
                <w:sz w:val="16"/>
                <w:szCs w:val="16"/>
              </w:rPr>
            </w:pPr>
            <w:r>
              <w:rPr>
                <w:rFonts w:ascii="Avenir Next Regular" w:hAnsi="Avenir Next Regular" w:cs="Calibri"/>
                <w:iCs/>
                <w:color w:val="000000" w:themeColor="text1"/>
                <w:sz w:val="16"/>
                <w:szCs w:val="16"/>
              </w:rPr>
              <w:t> </w:t>
            </w:r>
          </w:p>
        </w:tc>
        <w:tc>
          <w:tcPr>
            <w:tcW w:w="1080" w:type="pct"/>
            <w:tcBorders>
              <w:top w:val="nil"/>
              <w:left w:val="nil"/>
              <w:bottom w:val="single" w:sz="4" w:space="0" w:color="auto"/>
              <w:right w:val="single" w:sz="4" w:space="0" w:color="auto"/>
            </w:tcBorders>
            <w:hideMark/>
          </w:tcPr>
          <w:p w14:paraId="0A0CA672" w14:textId="77777777" w:rsidR="00601D9B" w:rsidRDefault="000E53A0">
            <w:pPr>
              <w:rPr>
                <w:rFonts w:ascii="Avenir Next Regular" w:hAnsi="Avenir Next Regular" w:cs="Calibri"/>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color w:val="000000" w:themeColor="text1"/>
                <w:sz w:val="16"/>
                <w:szCs w:val="16"/>
              </w:rPr>
              <w:t>Commerce illégal d'espèces sauvages</w:t>
            </w:r>
          </w:p>
        </w:tc>
      </w:tr>
      <w:tr w:rsidR="009F3374" w14:paraId="5CD119F9" w14:textId="77777777" w:rsidTr="009F3374">
        <w:trPr>
          <w:trHeight w:val="89"/>
        </w:trPr>
        <w:tc>
          <w:tcPr>
            <w:tcW w:w="1966" w:type="pct"/>
            <w:tcBorders>
              <w:top w:val="nil"/>
              <w:left w:val="single" w:sz="4" w:space="0" w:color="auto"/>
              <w:bottom w:val="single" w:sz="4" w:space="0" w:color="auto"/>
              <w:right w:val="single" w:sz="4" w:space="0" w:color="auto"/>
            </w:tcBorders>
            <w:noWrap/>
            <w:vAlign w:val="bottom"/>
            <w:hideMark/>
          </w:tcPr>
          <w:p w14:paraId="756677E9"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77131FB3"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33B4122F" w14:textId="77777777" w:rsidR="009F3374" w:rsidRDefault="009F3374">
            <w:pPr>
              <w:rPr>
                <w:rFonts w:ascii="Avenir Next Regular" w:hAnsi="Avenir Next Regular" w:cs="Calibri"/>
                <w:iCs/>
                <w:color w:val="000000" w:themeColor="text1"/>
                <w:sz w:val="16"/>
                <w:szCs w:val="16"/>
              </w:rPr>
            </w:pPr>
            <w:r>
              <w:rPr>
                <w:rFonts w:ascii="Avenir Next Regular" w:hAnsi="Avenir Next Regular" w:cs="Calibri"/>
                <w:iCs/>
                <w:color w:val="000000" w:themeColor="text1"/>
                <w:sz w:val="16"/>
                <w:szCs w:val="16"/>
              </w:rPr>
              <w:t> </w:t>
            </w:r>
          </w:p>
        </w:tc>
        <w:tc>
          <w:tcPr>
            <w:tcW w:w="1080" w:type="pct"/>
            <w:tcBorders>
              <w:top w:val="nil"/>
              <w:left w:val="nil"/>
              <w:bottom w:val="single" w:sz="4" w:space="0" w:color="auto"/>
              <w:right w:val="single" w:sz="4" w:space="0" w:color="auto"/>
            </w:tcBorders>
            <w:hideMark/>
          </w:tcPr>
          <w:p w14:paraId="1E2A6E2B" w14:textId="77777777" w:rsidR="00601D9B" w:rsidRDefault="000E53A0">
            <w:pPr>
              <w:rPr>
                <w:rFonts w:ascii="Avenir Next Regular" w:hAnsi="Avenir Next Regular" w:cs="Calibri"/>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color w:val="000000" w:themeColor="text1"/>
                <w:sz w:val="16"/>
                <w:szCs w:val="16"/>
              </w:rPr>
              <w:t xml:space="preserve">Espèces menacées </w:t>
            </w:r>
          </w:p>
        </w:tc>
      </w:tr>
      <w:tr w:rsidR="009F3374" w:rsidRPr="000E53A0" w14:paraId="60D87B8D" w14:textId="77777777" w:rsidTr="009F3374">
        <w:trPr>
          <w:trHeight w:val="152"/>
        </w:trPr>
        <w:tc>
          <w:tcPr>
            <w:tcW w:w="1966" w:type="pct"/>
            <w:tcBorders>
              <w:top w:val="nil"/>
              <w:left w:val="single" w:sz="4" w:space="0" w:color="auto"/>
              <w:bottom w:val="single" w:sz="4" w:space="0" w:color="auto"/>
              <w:right w:val="single" w:sz="4" w:space="0" w:color="auto"/>
            </w:tcBorders>
            <w:noWrap/>
            <w:vAlign w:val="bottom"/>
            <w:hideMark/>
          </w:tcPr>
          <w:p w14:paraId="5CDE41B1"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558B1424"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5390980C" w14:textId="77777777" w:rsidR="009F3374" w:rsidRDefault="009F3374">
            <w:pPr>
              <w:rPr>
                <w:rFonts w:ascii="Avenir Next Regular" w:hAnsi="Avenir Next Regular" w:cs="Calibri"/>
                <w:iCs/>
                <w:color w:val="000000" w:themeColor="text1"/>
                <w:sz w:val="16"/>
                <w:szCs w:val="16"/>
              </w:rPr>
            </w:pPr>
            <w:r>
              <w:rPr>
                <w:rFonts w:ascii="Avenir Next Regular" w:hAnsi="Avenir Next Regular" w:cs="Calibri"/>
                <w:iCs/>
                <w:color w:val="000000" w:themeColor="text1"/>
                <w:sz w:val="16"/>
                <w:szCs w:val="16"/>
              </w:rPr>
              <w:t> </w:t>
            </w:r>
          </w:p>
        </w:tc>
        <w:tc>
          <w:tcPr>
            <w:tcW w:w="1080" w:type="pct"/>
            <w:tcBorders>
              <w:top w:val="nil"/>
              <w:left w:val="nil"/>
              <w:bottom w:val="single" w:sz="4" w:space="0" w:color="auto"/>
              <w:right w:val="single" w:sz="4" w:space="0" w:color="auto"/>
            </w:tcBorders>
            <w:hideMark/>
          </w:tcPr>
          <w:p w14:paraId="6D25DE92" w14:textId="77777777" w:rsidR="00601D9B" w:rsidRPr="000E53A0" w:rsidRDefault="000E53A0">
            <w:pPr>
              <w:ind w:left="192" w:hanging="192"/>
              <w:rPr>
                <w:rFonts w:ascii="Avenir Next Regular" w:hAnsi="Avenir Next Regular" w:cs="Calibri"/>
                <w:color w:val="000000" w:themeColor="text1"/>
                <w:sz w:val="16"/>
                <w:szCs w:val="16"/>
                <w:lang w:val="fr-FR"/>
              </w:rPr>
            </w:pPr>
            <w:r>
              <w:rPr>
                <w:color w:val="000000" w:themeColor="text1"/>
                <w:sz w:val="16"/>
                <w:szCs w:val="16"/>
              </w:rPr>
              <w:fldChar w:fldCharType="begin">
                <w:ffData>
                  <w:name w:val="IAP_cities"/>
                  <w:enabled/>
                  <w:calcOnExit w:val="0"/>
                  <w:checkBox>
                    <w:sizeAuto/>
                    <w:default w:val="0"/>
                  </w:checkBox>
                </w:ffData>
              </w:fldChar>
            </w:r>
            <w:r w:rsidRPr="000E53A0">
              <w:rPr>
                <w:color w:val="000000" w:themeColor="text1"/>
                <w:sz w:val="16"/>
                <w:szCs w:val="16"/>
                <w:lang w:val="fr-FR"/>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sidRPr="000E53A0">
              <w:rPr>
                <w:rFonts w:ascii="Avenir Next Regular" w:hAnsi="Avenir Next Regular" w:cs="Calibri"/>
                <w:color w:val="000000" w:themeColor="text1"/>
                <w:sz w:val="16"/>
                <w:szCs w:val="16"/>
                <w:lang w:val="fr-FR"/>
              </w:rPr>
              <w:t>La faune sauvage pour le développement durable</w:t>
            </w:r>
          </w:p>
        </w:tc>
      </w:tr>
      <w:tr w:rsidR="009F3374" w14:paraId="78239725" w14:textId="77777777" w:rsidTr="009F3374">
        <w:trPr>
          <w:trHeight w:val="233"/>
        </w:trPr>
        <w:tc>
          <w:tcPr>
            <w:tcW w:w="1966" w:type="pct"/>
            <w:tcBorders>
              <w:top w:val="nil"/>
              <w:left w:val="single" w:sz="4" w:space="0" w:color="auto"/>
              <w:bottom w:val="single" w:sz="4" w:space="0" w:color="auto"/>
              <w:right w:val="single" w:sz="4" w:space="0" w:color="auto"/>
            </w:tcBorders>
            <w:noWrap/>
            <w:vAlign w:val="bottom"/>
            <w:hideMark/>
          </w:tcPr>
          <w:p w14:paraId="6C08BB71" w14:textId="77777777" w:rsidR="009F3374" w:rsidRPr="000E53A0" w:rsidRDefault="009F3374">
            <w:pPr>
              <w:rPr>
                <w:rFonts w:ascii="Avenir Next Regular" w:hAnsi="Avenir Next Regular" w:cs="Calibri"/>
                <w:b/>
                <w:bCs/>
                <w:color w:val="000000" w:themeColor="text1"/>
                <w:sz w:val="16"/>
                <w:szCs w:val="16"/>
                <w:lang w:val="fr-FR"/>
              </w:rPr>
            </w:pPr>
            <w:r w:rsidRPr="000E53A0">
              <w:rPr>
                <w:rFonts w:ascii="Avenir Next Regular" w:hAnsi="Avenir Next Regular" w:cs="Calibri"/>
                <w:b/>
                <w:bCs/>
                <w:color w:val="000000" w:themeColor="text1"/>
                <w:sz w:val="16"/>
                <w:szCs w:val="16"/>
                <w:lang w:val="fr-FR"/>
              </w:rPr>
              <w:t> </w:t>
            </w:r>
          </w:p>
        </w:tc>
        <w:tc>
          <w:tcPr>
            <w:tcW w:w="825" w:type="pct"/>
            <w:tcBorders>
              <w:top w:val="nil"/>
              <w:left w:val="nil"/>
              <w:bottom w:val="single" w:sz="4" w:space="0" w:color="auto"/>
              <w:right w:val="single" w:sz="4" w:space="0" w:color="auto"/>
            </w:tcBorders>
            <w:hideMark/>
          </w:tcPr>
          <w:p w14:paraId="260BDB7C" w14:textId="77777777" w:rsidR="009F3374" w:rsidRPr="000E53A0" w:rsidRDefault="009F3374">
            <w:pPr>
              <w:rPr>
                <w:rFonts w:ascii="Avenir Next Regular" w:hAnsi="Avenir Next Regular" w:cs="Calibri"/>
                <w:b/>
                <w:bCs/>
                <w:color w:val="000000" w:themeColor="text1"/>
                <w:sz w:val="16"/>
                <w:szCs w:val="16"/>
                <w:lang w:val="fr-FR"/>
              </w:rPr>
            </w:pPr>
            <w:r w:rsidRPr="000E53A0">
              <w:rPr>
                <w:rFonts w:ascii="Avenir Next Regular" w:hAnsi="Avenir Next Regular" w:cs="Calibri"/>
                <w:b/>
                <w:bCs/>
                <w:color w:val="000000" w:themeColor="text1"/>
                <w:sz w:val="16"/>
                <w:szCs w:val="16"/>
                <w:lang w:val="fr-FR"/>
              </w:rPr>
              <w:t> </w:t>
            </w:r>
          </w:p>
        </w:tc>
        <w:tc>
          <w:tcPr>
            <w:tcW w:w="1129" w:type="pct"/>
            <w:tcBorders>
              <w:top w:val="nil"/>
              <w:left w:val="nil"/>
              <w:bottom w:val="single" w:sz="4" w:space="0" w:color="auto"/>
              <w:right w:val="single" w:sz="4" w:space="0" w:color="auto"/>
            </w:tcBorders>
            <w:hideMark/>
          </w:tcPr>
          <w:p w14:paraId="2FEFDA39" w14:textId="77777777" w:rsidR="009F3374" w:rsidRPr="000E53A0" w:rsidRDefault="009F3374">
            <w:pPr>
              <w:rPr>
                <w:rFonts w:ascii="Avenir Next Regular" w:hAnsi="Avenir Next Regular" w:cs="Calibri"/>
                <w:iCs/>
                <w:color w:val="000000" w:themeColor="text1"/>
                <w:sz w:val="16"/>
                <w:szCs w:val="16"/>
                <w:lang w:val="fr-FR"/>
              </w:rPr>
            </w:pPr>
            <w:r w:rsidRPr="000E53A0">
              <w:rPr>
                <w:rFonts w:ascii="Avenir Next Regular" w:hAnsi="Avenir Next Regular" w:cs="Calibri"/>
                <w:iCs/>
                <w:color w:val="000000" w:themeColor="text1"/>
                <w:sz w:val="16"/>
                <w:szCs w:val="16"/>
                <w:lang w:val="fr-FR"/>
              </w:rPr>
              <w:t> </w:t>
            </w:r>
          </w:p>
        </w:tc>
        <w:tc>
          <w:tcPr>
            <w:tcW w:w="1080" w:type="pct"/>
            <w:tcBorders>
              <w:top w:val="nil"/>
              <w:left w:val="nil"/>
              <w:bottom w:val="single" w:sz="4" w:space="0" w:color="auto"/>
              <w:right w:val="single" w:sz="4" w:space="0" w:color="auto"/>
            </w:tcBorders>
            <w:hideMark/>
          </w:tcPr>
          <w:p w14:paraId="1F937CB3" w14:textId="77777777" w:rsidR="00601D9B" w:rsidRDefault="000E53A0">
            <w:pPr>
              <w:rPr>
                <w:rFonts w:ascii="Avenir Next Regular" w:hAnsi="Avenir Next Regular" w:cs="Calibri"/>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color w:val="000000" w:themeColor="text1"/>
                <w:sz w:val="16"/>
                <w:szCs w:val="16"/>
              </w:rPr>
              <w:t>Cultures sauvages apparentées</w:t>
            </w:r>
          </w:p>
        </w:tc>
      </w:tr>
      <w:tr w:rsidR="009F3374" w14:paraId="13594660" w14:textId="77777777" w:rsidTr="009F3374">
        <w:trPr>
          <w:trHeight w:val="58"/>
        </w:trPr>
        <w:tc>
          <w:tcPr>
            <w:tcW w:w="1966" w:type="pct"/>
            <w:tcBorders>
              <w:top w:val="nil"/>
              <w:left w:val="single" w:sz="4" w:space="0" w:color="auto"/>
              <w:bottom w:val="single" w:sz="4" w:space="0" w:color="auto"/>
              <w:right w:val="single" w:sz="4" w:space="0" w:color="auto"/>
            </w:tcBorders>
            <w:noWrap/>
            <w:vAlign w:val="bottom"/>
            <w:hideMark/>
          </w:tcPr>
          <w:p w14:paraId="086A6885"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75387661"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12224CB2" w14:textId="77777777" w:rsidR="009F3374" w:rsidRDefault="009F3374">
            <w:pPr>
              <w:rPr>
                <w:rFonts w:ascii="Avenir Next Regular" w:hAnsi="Avenir Next Regular" w:cs="Calibri"/>
                <w:iCs/>
                <w:color w:val="000000" w:themeColor="text1"/>
                <w:sz w:val="16"/>
                <w:szCs w:val="16"/>
              </w:rPr>
            </w:pPr>
            <w:r>
              <w:rPr>
                <w:rFonts w:ascii="Avenir Next Regular" w:hAnsi="Avenir Next Regular" w:cs="Calibri"/>
                <w:iCs/>
                <w:color w:val="000000" w:themeColor="text1"/>
                <w:sz w:val="16"/>
                <w:szCs w:val="16"/>
              </w:rPr>
              <w:t> </w:t>
            </w:r>
          </w:p>
        </w:tc>
        <w:tc>
          <w:tcPr>
            <w:tcW w:w="1080" w:type="pct"/>
            <w:tcBorders>
              <w:top w:val="nil"/>
              <w:left w:val="nil"/>
              <w:bottom w:val="single" w:sz="4" w:space="0" w:color="auto"/>
              <w:right w:val="single" w:sz="4" w:space="0" w:color="auto"/>
            </w:tcBorders>
            <w:hideMark/>
          </w:tcPr>
          <w:p w14:paraId="48E4FA0B" w14:textId="77777777" w:rsidR="00601D9B" w:rsidRDefault="000E53A0">
            <w:pPr>
              <w:rPr>
                <w:rFonts w:ascii="Avenir Next Regular" w:hAnsi="Avenir Next Regular" w:cs="Calibri"/>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color w:val="000000" w:themeColor="text1"/>
                <w:sz w:val="16"/>
                <w:szCs w:val="16"/>
              </w:rPr>
              <w:t>Ressources phytogénétiques</w:t>
            </w:r>
          </w:p>
        </w:tc>
      </w:tr>
      <w:tr w:rsidR="009F3374" w14:paraId="0F7BE371" w14:textId="77777777" w:rsidTr="009F3374">
        <w:trPr>
          <w:trHeight w:val="143"/>
        </w:trPr>
        <w:tc>
          <w:tcPr>
            <w:tcW w:w="1966" w:type="pct"/>
            <w:tcBorders>
              <w:top w:val="nil"/>
              <w:left w:val="single" w:sz="4" w:space="0" w:color="auto"/>
              <w:bottom w:val="single" w:sz="4" w:space="0" w:color="auto"/>
              <w:right w:val="single" w:sz="4" w:space="0" w:color="auto"/>
            </w:tcBorders>
            <w:noWrap/>
            <w:vAlign w:val="bottom"/>
            <w:hideMark/>
          </w:tcPr>
          <w:p w14:paraId="62ED8433"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4CF582A0"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01A115C3" w14:textId="77777777" w:rsidR="009F3374" w:rsidRDefault="009F3374">
            <w:pPr>
              <w:rPr>
                <w:rFonts w:ascii="Avenir Next Regular" w:hAnsi="Avenir Next Regular" w:cs="Calibri"/>
                <w:iCs/>
                <w:color w:val="000000" w:themeColor="text1"/>
                <w:sz w:val="16"/>
                <w:szCs w:val="16"/>
              </w:rPr>
            </w:pPr>
            <w:r>
              <w:rPr>
                <w:rFonts w:ascii="Avenir Next Regular" w:hAnsi="Avenir Next Regular" w:cs="Calibri"/>
                <w:iCs/>
                <w:color w:val="000000" w:themeColor="text1"/>
                <w:sz w:val="16"/>
                <w:szCs w:val="16"/>
              </w:rPr>
              <w:t> </w:t>
            </w:r>
          </w:p>
        </w:tc>
        <w:tc>
          <w:tcPr>
            <w:tcW w:w="1080" w:type="pct"/>
            <w:tcBorders>
              <w:top w:val="nil"/>
              <w:left w:val="nil"/>
              <w:bottom w:val="single" w:sz="4" w:space="0" w:color="auto"/>
              <w:right w:val="single" w:sz="4" w:space="0" w:color="auto"/>
            </w:tcBorders>
            <w:hideMark/>
          </w:tcPr>
          <w:p w14:paraId="1BCC80F4" w14:textId="77777777" w:rsidR="00601D9B" w:rsidRDefault="000E53A0">
            <w:pPr>
              <w:rPr>
                <w:rFonts w:ascii="Avenir Next Regular" w:hAnsi="Avenir Next Regular" w:cs="Calibri"/>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color w:val="000000" w:themeColor="text1"/>
                <w:sz w:val="16"/>
                <w:szCs w:val="16"/>
              </w:rPr>
              <w:t>Ressources génétiques animales</w:t>
            </w:r>
          </w:p>
        </w:tc>
      </w:tr>
      <w:tr w:rsidR="009F3374" w14:paraId="31C37EE1" w14:textId="77777777" w:rsidTr="009F3374">
        <w:trPr>
          <w:trHeight w:val="134"/>
        </w:trPr>
        <w:tc>
          <w:tcPr>
            <w:tcW w:w="1966" w:type="pct"/>
            <w:tcBorders>
              <w:top w:val="nil"/>
              <w:left w:val="single" w:sz="4" w:space="0" w:color="auto"/>
              <w:bottom w:val="single" w:sz="4" w:space="0" w:color="auto"/>
              <w:right w:val="single" w:sz="4" w:space="0" w:color="auto"/>
            </w:tcBorders>
            <w:noWrap/>
            <w:vAlign w:val="bottom"/>
            <w:hideMark/>
          </w:tcPr>
          <w:p w14:paraId="1ED11A04"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56DFD0E0"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635CF328" w14:textId="77777777" w:rsidR="009F3374" w:rsidRDefault="009F3374">
            <w:pPr>
              <w:rPr>
                <w:rFonts w:ascii="Avenir Next Regular" w:hAnsi="Avenir Next Regular" w:cs="Calibri"/>
                <w:iCs/>
                <w:color w:val="000000" w:themeColor="text1"/>
                <w:sz w:val="16"/>
                <w:szCs w:val="16"/>
              </w:rPr>
            </w:pPr>
            <w:r>
              <w:rPr>
                <w:rFonts w:ascii="Avenir Next Regular" w:hAnsi="Avenir Next Regular" w:cs="Calibri"/>
                <w:iCs/>
                <w:color w:val="000000" w:themeColor="text1"/>
                <w:sz w:val="16"/>
                <w:szCs w:val="16"/>
              </w:rPr>
              <w:t> </w:t>
            </w:r>
          </w:p>
        </w:tc>
        <w:tc>
          <w:tcPr>
            <w:tcW w:w="1080" w:type="pct"/>
            <w:tcBorders>
              <w:top w:val="nil"/>
              <w:left w:val="nil"/>
              <w:bottom w:val="single" w:sz="4" w:space="0" w:color="auto"/>
              <w:right w:val="single" w:sz="4" w:space="0" w:color="auto"/>
            </w:tcBorders>
            <w:hideMark/>
          </w:tcPr>
          <w:p w14:paraId="7FE93C84" w14:textId="77777777" w:rsidR="00601D9B" w:rsidRDefault="000E53A0">
            <w:pPr>
              <w:rPr>
                <w:rFonts w:ascii="Avenir Next Regular" w:hAnsi="Avenir Next Regular" w:cs="Calibri"/>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color w:val="000000" w:themeColor="text1"/>
                <w:sz w:val="16"/>
                <w:szCs w:val="16"/>
              </w:rPr>
              <w:t>Bétail Parents sauvages</w:t>
            </w:r>
          </w:p>
        </w:tc>
      </w:tr>
      <w:tr w:rsidR="009F3374" w14:paraId="20981BFA" w14:textId="77777777" w:rsidTr="009F3374">
        <w:trPr>
          <w:trHeight w:val="107"/>
        </w:trPr>
        <w:tc>
          <w:tcPr>
            <w:tcW w:w="1966" w:type="pct"/>
            <w:tcBorders>
              <w:top w:val="nil"/>
              <w:left w:val="single" w:sz="4" w:space="0" w:color="auto"/>
              <w:bottom w:val="single" w:sz="4" w:space="0" w:color="auto"/>
              <w:right w:val="single" w:sz="4" w:space="0" w:color="auto"/>
            </w:tcBorders>
            <w:noWrap/>
            <w:vAlign w:val="bottom"/>
            <w:hideMark/>
          </w:tcPr>
          <w:p w14:paraId="33E73902"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4882CF34"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5D53D0AF" w14:textId="77777777" w:rsidR="009F3374" w:rsidRDefault="009F3374">
            <w:pPr>
              <w:rPr>
                <w:rFonts w:ascii="Avenir Next Regular" w:hAnsi="Avenir Next Regular" w:cs="Calibri"/>
                <w:iCs/>
                <w:color w:val="000000" w:themeColor="text1"/>
                <w:sz w:val="16"/>
                <w:szCs w:val="16"/>
              </w:rPr>
            </w:pPr>
            <w:r>
              <w:rPr>
                <w:rFonts w:ascii="Avenir Next Regular" w:hAnsi="Avenir Next Regular" w:cs="Calibri"/>
                <w:iCs/>
                <w:color w:val="000000" w:themeColor="text1"/>
                <w:sz w:val="16"/>
                <w:szCs w:val="16"/>
              </w:rPr>
              <w:t> </w:t>
            </w:r>
          </w:p>
        </w:tc>
        <w:tc>
          <w:tcPr>
            <w:tcW w:w="1080" w:type="pct"/>
            <w:tcBorders>
              <w:top w:val="nil"/>
              <w:left w:val="nil"/>
              <w:bottom w:val="single" w:sz="4" w:space="0" w:color="auto"/>
              <w:right w:val="single" w:sz="4" w:space="0" w:color="auto"/>
            </w:tcBorders>
            <w:hideMark/>
          </w:tcPr>
          <w:p w14:paraId="7379BEC2" w14:textId="77777777" w:rsidR="00601D9B" w:rsidRDefault="000E53A0">
            <w:pPr>
              <w:rPr>
                <w:rFonts w:ascii="Avenir Next Regular" w:hAnsi="Avenir Next Regular" w:cs="Calibri"/>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color w:val="000000" w:themeColor="text1"/>
                <w:sz w:val="16"/>
                <w:szCs w:val="16"/>
              </w:rPr>
              <w:t>Espèces exotiques envahissantes (EEE)</w:t>
            </w:r>
          </w:p>
        </w:tc>
      </w:tr>
      <w:tr w:rsidR="009F3374" w14:paraId="28C5CD37" w14:textId="77777777" w:rsidTr="009F3374">
        <w:trPr>
          <w:trHeight w:val="98"/>
        </w:trPr>
        <w:tc>
          <w:tcPr>
            <w:tcW w:w="1966" w:type="pct"/>
            <w:tcBorders>
              <w:top w:val="nil"/>
              <w:left w:val="single" w:sz="4" w:space="0" w:color="auto"/>
              <w:bottom w:val="single" w:sz="4" w:space="0" w:color="auto"/>
              <w:right w:val="single" w:sz="4" w:space="0" w:color="auto"/>
            </w:tcBorders>
            <w:noWrap/>
            <w:vAlign w:val="bottom"/>
            <w:hideMark/>
          </w:tcPr>
          <w:p w14:paraId="06761745"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7B67768C"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4B3BD9D0" w14:textId="77777777" w:rsidR="00601D9B" w:rsidRDefault="000E53A0">
            <w:pPr>
              <w:rPr>
                <w:rFonts w:ascii="Avenir Next Regular" w:hAnsi="Avenir Next Regular" w:cs="Calibri"/>
                <w:iCs/>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iCs/>
                <w:color w:val="000000" w:themeColor="text1"/>
                <w:sz w:val="16"/>
                <w:szCs w:val="16"/>
              </w:rPr>
              <w:t>Biomes</w:t>
            </w:r>
          </w:p>
        </w:tc>
        <w:tc>
          <w:tcPr>
            <w:tcW w:w="1080" w:type="pct"/>
            <w:tcBorders>
              <w:top w:val="nil"/>
              <w:left w:val="nil"/>
              <w:bottom w:val="single" w:sz="4" w:space="0" w:color="auto"/>
              <w:right w:val="single" w:sz="4" w:space="0" w:color="auto"/>
            </w:tcBorders>
            <w:hideMark/>
          </w:tcPr>
          <w:p w14:paraId="521FCB44" w14:textId="77777777" w:rsidR="009F3374" w:rsidRDefault="009F3374">
            <w:pPr>
              <w:rPr>
                <w:rFonts w:ascii="Avenir Next Regular" w:hAnsi="Avenir Next Regular" w:cs="Calibri"/>
                <w:color w:val="000000" w:themeColor="text1"/>
                <w:sz w:val="16"/>
                <w:szCs w:val="16"/>
              </w:rPr>
            </w:pPr>
            <w:r>
              <w:rPr>
                <w:rFonts w:ascii="Avenir Next Regular" w:hAnsi="Avenir Next Regular" w:cs="Calibri"/>
                <w:color w:val="000000" w:themeColor="text1"/>
                <w:sz w:val="16"/>
                <w:szCs w:val="16"/>
              </w:rPr>
              <w:t> </w:t>
            </w:r>
          </w:p>
        </w:tc>
      </w:tr>
      <w:tr w:rsidR="009F3374" w14:paraId="7F866D1A" w14:textId="77777777" w:rsidTr="009F3374">
        <w:trPr>
          <w:trHeight w:val="58"/>
        </w:trPr>
        <w:tc>
          <w:tcPr>
            <w:tcW w:w="1966" w:type="pct"/>
            <w:tcBorders>
              <w:top w:val="nil"/>
              <w:left w:val="single" w:sz="4" w:space="0" w:color="auto"/>
              <w:bottom w:val="single" w:sz="4" w:space="0" w:color="auto"/>
              <w:right w:val="single" w:sz="4" w:space="0" w:color="auto"/>
            </w:tcBorders>
            <w:noWrap/>
            <w:vAlign w:val="bottom"/>
            <w:hideMark/>
          </w:tcPr>
          <w:p w14:paraId="475E84D5"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101AAEA8"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6AAB1D40" w14:textId="77777777" w:rsidR="009F3374" w:rsidRDefault="009F3374">
            <w:pPr>
              <w:rPr>
                <w:rFonts w:ascii="Avenir Next Regular" w:hAnsi="Avenir Next Regular" w:cs="Calibri"/>
                <w:iCs/>
                <w:color w:val="000000" w:themeColor="text1"/>
                <w:sz w:val="16"/>
                <w:szCs w:val="16"/>
              </w:rPr>
            </w:pPr>
            <w:r>
              <w:rPr>
                <w:rFonts w:ascii="Avenir Next Regular" w:hAnsi="Avenir Next Regular" w:cs="Calibri"/>
                <w:iCs/>
                <w:color w:val="000000" w:themeColor="text1"/>
                <w:sz w:val="16"/>
                <w:szCs w:val="16"/>
              </w:rPr>
              <w:t> </w:t>
            </w:r>
          </w:p>
        </w:tc>
        <w:tc>
          <w:tcPr>
            <w:tcW w:w="1080" w:type="pct"/>
            <w:tcBorders>
              <w:top w:val="nil"/>
              <w:left w:val="nil"/>
              <w:bottom w:val="single" w:sz="4" w:space="0" w:color="auto"/>
              <w:right w:val="single" w:sz="4" w:space="0" w:color="auto"/>
            </w:tcBorders>
            <w:hideMark/>
          </w:tcPr>
          <w:p w14:paraId="418DFF42" w14:textId="77777777" w:rsidR="00601D9B" w:rsidRDefault="000E53A0">
            <w:pPr>
              <w:rPr>
                <w:rFonts w:ascii="Avenir Next Regular" w:hAnsi="Avenir Next Regular" w:cs="Calibri"/>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color w:val="000000" w:themeColor="text1"/>
                <w:sz w:val="16"/>
                <w:szCs w:val="16"/>
              </w:rPr>
              <w:t>Mangroves</w:t>
            </w:r>
          </w:p>
        </w:tc>
      </w:tr>
      <w:tr w:rsidR="009F3374" w14:paraId="63068F8E" w14:textId="77777777" w:rsidTr="009F3374">
        <w:trPr>
          <w:trHeight w:val="58"/>
        </w:trPr>
        <w:tc>
          <w:tcPr>
            <w:tcW w:w="1966" w:type="pct"/>
            <w:tcBorders>
              <w:top w:val="nil"/>
              <w:left w:val="single" w:sz="4" w:space="0" w:color="auto"/>
              <w:bottom w:val="single" w:sz="4" w:space="0" w:color="auto"/>
              <w:right w:val="single" w:sz="4" w:space="0" w:color="auto"/>
            </w:tcBorders>
            <w:noWrap/>
            <w:vAlign w:val="bottom"/>
            <w:hideMark/>
          </w:tcPr>
          <w:p w14:paraId="63146E63"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21DBB431"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049C88AE" w14:textId="77777777" w:rsidR="009F3374" w:rsidRDefault="009F3374">
            <w:pPr>
              <w:rPr>
                <w:rFonts w:ascii="Avenir Next Regular" w:hAnsi="Avenir Next Regular" w:cs="Calibri"/>
                <w:iCs/>
                <w:color w:val="000000" w:themeColor="text1"/>
                <w:sz w:val="16"/>
                <w:szCs w:val="16"/>
              </w:rPr>
            </w:pPr>
            <w:r>
              <w:rPr>
                <w:rFonts w:ascii="Avenir Next Regular" w:hAnsi="Avenir Next Regular" w:cs="Calibri"/>
                <w:iCs/>
                <w:color w:val="000000" w:themeColor="text1"/>
                <w:sz w:val="16"/>
                <w:szCs w:val="16"/>
              </w:rPr>
              <w:t> </w:t>
            </w:r>
          </w:p>
        </w:tc>
        <w:tc>
          <w:tcPr>
            <w:tcW w:w="1080" w:type="pct"/>
            <w:tcBorders>
              <w:top w:val="nil"/>
              <w:left w:val="nil"/>
              <w:bottom w:val="single" w:sz="4" w:space="0" w:color="auto"/>
              <w:right w:val="single" w:sz="4" w:space="0" w:color="auto"/>
            </w:tcBorders>
            <w:hideMark/>
          </w:tcPr>
          <w:p w14:paraId="04343CA1" w14:textId="77777777" w:rsidR="00601D9B" w:rsidRDefault="000E53A0">
            <w:pPr>
              <w:rPr>
                <w:rFonts w:ascii="Avenir Next Regular" w:hAnsi="Avenir Next Regular" w:cs="Calibri"/>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color w:val="000000" w:themeColor="text1"/>
                <w:sz w:val="16"/>
                <w:szCs w:val="16"/>
              </w:rPr>
              <w:t>Récifs coralliens</w:t>
            </w:r>
          </w:p>
        </w:tc>
      </w:tr>
      <w:tr w:rsidR="009F3374" w14:paraId="5E03F58A" w14:textId="77777777" w:rsidTr="009F3374">
        <w:trPr>
          <w:trHeight w:val="58"/>
        </w:trPr>
        <w:tc>
          <w:tcPr>
            <w:tcW w:w="1966" w:type="pct"/>
            <w:tcBorders>
              <w:top w:val="nil"/>
              <w:left w:val="single" w:sz="4" w:space="0" w:color="auto"/>
              <w:bottom w:val="single" w:sz="4" w:space="0" w:color="auto"/>
              <w:right w:val="single" w:sz="4" w:space="0" w:color="auto"/>
            </w:tcBorders>
            <w:noWrap/>
            <w:vAlign w:val="bottom"/>
          </w:tcPr>
          <w:p w14:paraId="0DBE14BA" w14:textId="77777777" w:rsidR="009F3374" w:rsidRDefault="009F3374">
            <w:pPr>
              <w:rPr>
                <w:rFonts w:ascii="Avenir Next Regular" w:hAnsi="Avenir Next Regular" w:cs="Calibri"/>
                <w:b/>
                <w:bCs/>
                <w:color w:val="000000" w:themeColor="text1"/>
                <w:sz w:val="16"/>
                <w:szCs w:val="16"/>
              </w:rPr>
            </w:pPr>
          </w:p>
          <w:p w14:paraId="502DEAC0"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0C93B706"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19E10A8B" w14:textId="77777777" w:rsidR="009F3374" w:rsidRDefault="009F3374">
            <w:pPr>
              <w:rPr>
                <w:rFonts w:ascii="Avenir Next Regular" w:hAnsi="Avenir Next Regular" w:cs="Calibri"/>
                <w:iCs/>
                <w:color w:val="000000" w:themeColor="text1"/>
                <w:sz w:val="16"/>
                <w:szCs w:val="16"/>
              </w:rPr>
            </w:pPr>
            <w:r>
              <w:rPr>
                <w:rFonts w:ascii="Avenir Next Regular" w:hAnsi="Avenir Next Regular" w:cs="Calibri"/>
                <w:iCs/>
                <w:color w:val="000000" w:themeColor="text1"/>
                <w:sz w:val="16"/>
                <w:szCs w:val="16"/>
              </w:rPr>
              <w:t> </w:t>
            </w:r>
          </w:p>
        </w:tc>
        <w:tc>
          <w:tcPr>
            <w:tcW w:w="1080" w:type="pct"/>
            <w:tcBorders>
              <w:top w:val="nil"/>
              <w:left w:val="nil"/>
              <w:bottom w:val="single" w:sz="4" w:space="0" w:color="auto"/>
              <w:right w:val="single" w:sz="4" w:space="0" w:color="auto"/>
            </w:tcBorders>
            <w:hideMark/>
          </w:tcPr>
          <w:p w14:paraId="695E3429" w14:textId="77777777" w:rsidR="00601D9B" w:rsidRDefault="000E53A0">
            <w:pPr>
              <w:rPr>
                <w:rFonts w:ascii="Avenir Next Regular" w:hAnsi="Avenir Next Regular" w:cs="Calibri"/>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color w:val="000000" w:themeColor="text1"/>
                <w:sz w:val="16"/>
                <w:szCs w:val="16"/>
              </w:rPr>
              <w:t>Herbes marines</w:t>
            </w:r>
          </w:p>
        </w:tc>
      </w:tr>
      <w:tr w:rsidR="009F3374" w14:paraId="15856671" w14:textId="77777777" w:rsidTr="009F3374">
        <w:trPr>
          <w:trHeight w:val="58"/>
        </w:trPr>
        <w:tc>
          <w:tcPr>
            <w:tcW w:w="1966" w:type="pct"/>
            <w:tcBorders>
              <w:top w:val="nil"/>
              <w:left w:val="single" w:sz="4" w:space="0" w:color="auto"/>
              <w:bottom w:val="single" w:sz="4" w:space="0" w:color="auto"/>
              <w:right w:val="single" w:sz="4" w:space="0" w:color="auto"/>
            </w:tcBorders>
            <w:noWrap/>
            <w:vAlign w:val="bottom"/>
            <w:hideMark/>
          </w:tcPr>
          <w:p w14:paraId="58EF9782"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7A943109"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222A2C2B" w14:textId="77777777" w:rsidR="009F3374" w:rsidRDefault="009F3374">
            <w:pPr>
              <w:rPr>
                <w:rFonts w:ascii="Avenir Next Regular" w:hAnsi="Avenir Next Regular" w:cs="Calibri"/>
                <w:iCs/>
                <w:color w:val="000000" w:themeColor="text1"/>
                <w:sz w:val="16"/>
                <w:szCs w:val="16"/>
              </w:rPr>
            </w:pPr>
            <w:r>
              <w:rPr>
                <w:rFonts w:ascii="Avenir Next Regular" w:hAnsi="Avenir Next Regular" w:cs="Calibri"/>
                <w:iCs/>
                <w:color w:val="000000" w:themeColor="text1"/>
                <w:sz w:val="16"/>
                <w:szCs w:val="16"/>
              </w:rPr>
              <w:t> </w:t>
            </w:r>
          </w:p>
        </w:tc>
        <w:tc>
          <w:tcPr>
            <w:tcW w:w="1080" w:type="pct"/>
            <w:tcBorders>
              <w:top w:val="nil"/>
              <w:left w:val="nil"/>
              <w:bottom w:val="single" w:sz="4" w:space="0" w:color="auto"/>
              <w:right w:val="single" w:sz="4" w:space="0" w:color="auto"/>
            </w:tcBorders>
            <w:hideMark/>
          </w:tcPr>
          <w:p w14:paraId="46ED37E0" w14:textId="77777777" w:rsidR="00601D9B" w:rsidRDefault="000E53A0">
            <w:pPr>
              <w:rPr>
                <w:rFonts w:ascii="Avenir Next Regular" w:hAnsi="Avenir Next Regular" w:cs="Calibri"/>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color w:val="000000" w:themeColor="text1"/>
                <w:sz w:val="16"/>
                <w:szCs w:val="16"/>
              </w:rPr>
              <w:t>Zones humides</w:t>
            </w:r>
          </w:p>
        </w:tc>
      </w:tr>
      <w:tr w:rsidR="009F3374" w14:paraId="0A80C2A5" w14:textId="77777777" w:rsidTr="009F3374">
        <w:trPr>
          <w:trHeight w:val="179"/>
        </w:trPr>
        <w:tc>
          <w:tcPr>
            <w:tcW w:w="1966" w:type="pct"/>
            <w:tcBorders>
              <w:top w:val="nil"/>
              <w:left w:val="single" w:sz="4" w:space="0" w:color="auto"/>
              <w:bottom w:val="single" w:sz="4" w:space="0" w:color="auto"/>
              <w:right w:val="single" w:sz="4" w:space="0" w:color="auto"/>
            </w:tcBorders>
            <w:noWrap/>
            <w:vAlign w:val="bottom"/>
            <w:hideMark/>
          </w:tcPr>
          <w:p w14:paraId="39B7BD44"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58E4A6BA"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56DD2348" w14:textId="77777777" w:rsidR="009F3374" w:rsidRDefault="009F3374">
            <w:pPr>
              <w:rPr>
                <w:rFonts w:ascii="Avenir Next Regular" w:hAnsi="Avenir Next Regular" w:cs="Calibri"/>
                <w:iCs/>
                <w:color w:val="000000" w:themeColor="text1"/>
                <w:sz w:val="16"/>
                <w:szCs w:val="16"/>
              </w:rPr>
            </w:pPr>
            <w:r>
              <w:rPr>
                <w:rFonts w:ascii="Avenir Next Regular" w:hAnsi="Avenir Next Regular" w:cs="Calibri"/>
                <w:iCs/>
                <w:color w:val="000000" w:themeColor="text1"/>
                <w:sz w:val="16"/>
                <w:szCs w:val="16"/>
              </w:rPr>
              <w:t> </w:t>
            </w:r>
          </w:p>
        </w:tc>
        <w:tc>
          <w:tcPr>
            <w:tcW w:w="1080" w:type="pct"/>
            <w:tcBorders>
              <w:top w:val="nil"/>
              <w:left w:val="nil"/>
              <w:bottom w:val="single" w:sz="4" w:space="0" w:color="auto"/>
              <w:right w:val="single" w:sz="4" w:space="0" w:color="auto"/>
            </w:tcBorders>
            <w:hideMark/>
          </w:tcPr>
          <w:p w14:paraId="7C9F68B4" w14:textId="77777777" w:rsidR="00601D9B" w:rsidRDefault="000E53A0">
            <w:pPr>
              <w:rPr>
                <w:rFonts w:ascii="Avenir Next Regular" w:hAnsi="Avenir Next Regular" w:cs="Calibri"/>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color w:val="000000" w:themeColor="text1"/>
                <w:sz w:val="16"/>
                <w:szCs w:val="16"/>
              </w:rPr>
              <w:t>Rivières</w:t>
            </w:r>
          </w:p>
        </w:tc>
      </w:tr>
      <w:tr w:rsidR="009F3374" w14:paraId="4E434EEF" w14:textId="77777777" w:rsidTr="009F3374">
        <w:trPr>
          <w:trHeight w:val="170"/>
        </w:trPr>
        <w:tc>
          <w:tcPr>
            <w:tcW w:w="1966" w:type="pct"/>
            <w:tcBorders>
              <w:top w:val="nil"/>
              <w:left w:val="single" w:sz="4" w:space="0" w:color="auto"/>
              <w:bottom w:val="single" w:sz="4" w:space="0" w:color="auto"/>
              <w:right w:val="single" w:sz="4" w:space="0" w:color="auto"/>
            </w:tcBorders>
            <w:noWrap/>
            <w:vAlign w:val="bottom"/>
            <w:hideMark/>
          </w:tcPr>
          <w:p w14:paraId="08B7F429"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141E6F8F"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6EAA904C" w14:textId="77777777" w:rsidR="009F3374" w:rsidRDefault="009F3374">
            <w:pPr>
              <w:rPr>
                <w:rFonts w:ascii="Avenir Next Regular" w:hAnsi="Avenir Next Regular" w:cs="Calibri"/>
                <w:iCs/>
                <w:color w:val="000000" w:themeColor="text1"/>
                <w:sz w:val="16"/>
                <w:szCs w:val="16"/>
              </w:rPr>
            </w:pPr>
            <w:r>
              <w:rPr>
                <w:rFonts w:ascii="Avenir Next Regular" w:hAnsi="Avenir Next Regular" w:cs="Calibri"/>
                <w:iCs/>
                <w:color w:val="000000" w:themeColor="text1"/>
                <w:sz w:val="16"/>
                <w:szCs w:val="16"/>
              </w:rPr>
              <w:t> </w:t>
            </w:r>
          </w:p>
        </w:tc>
        <w:tc>
          <w:tcPr>
            <w:tcW w:w="1080" w:type="pct"/>
            <w:tcBorders>
              <w:top w:val="nil"/>
              <w:left w:val="nil"/>
              <w:bottom w:val="single" w:sz="4" w:space="0" w:color="auto"/>
              <w:right w:val="single" w:sz="4" w:space="0" w:color="auto"/>
            </w:tcBorders>
            <w:hideMark/>
          </w:tcPr>
          <w:p w14:paraId="206E9B2A" w14:textId="77777777" w:rsidR="00601D9B" w:rsidRDefault="000E53A0">
            <w:pPr>
              <w:rPr>
                <w:rFonts w:ascii="Avenir Next Regular" w:hAnsi="Avenir Next Regular" w:cs="Calibri"/>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color w:val="000000" w:themeColor="text1"/>
                <w:sz w:val="16"/>
                <w:szCs w:val="16"/>
              </w:rPr>
              <w:t>Lacs</w:t>
            </w:r>
          </w:p>
        </w:tc>
      </w:tr>
      <w:tr w:rsidR="009F3374" w14:paraId="56ED2A8E" w14:textId="77777777" w:rsidTr="009F3374">
        <w:trPr>
          <w:trHeight w:val="58"/>
        </w:trPr>
        <w:tc>
          <w:tcPr>
            <w:tcW w:w="1966" w:type="pct"/>
            <w:tcBorders>
              <w:top w:val="nil"/>
              <w:left w:val="single" w:sz="4" w:space="0" w:color="auto"/>
              <w:bottom w:val="single" w:sz="4" w:space="0" w:color="auto"/>
              <w:right w:val="single" w:sz="4" w:space="0" w:color="auto"/>
            </w:tcBorders>
            <w:noWrap/>
            <w:vAlign w:val="bottom"/>
            <w:hideMark/>
          </w:tcPr>
          <w:p w14:paraId="0737F4E7"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08BAFFBD"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08F1A385" w14:textId="77777777" w:rsidR="009F3374" w:rsidRDefault="009F3374">
            <w:pPr>
              <w:rPr>
                <w:rFonts w:ascii="Avenir Next Regular" w:hAnsi="Avenir Next Regular" w:cs="Calibri"/>
                <w:iCs/>
                <w:color w:val="000000" w:themeColor="text1"/>
                <w:sz w:val="16"/>
                <w:szCs w:val="16"/>
              </w:rPr>
            </w:pPr>
            <w:r>
              <w:rPr>
                <w:rFonts w:ascii="Avenir Next Regular" w:hAnsi="Avenir Next Regular" w:cs="Calibri"/>
                <w:iCs/>
                <w:color w:val="000000" w:themeColor="text1"/>
                <w:sz w:val="16"/>
                <w:szCs w:val="16"/>
              </w:rPr>
              <w:t> </w:t>
            </w:r>
          </w:p>
        </w:tc>
        <w:tc>
          <w:tcPr>
            <w:tcW w:w="1080" w:type="pct"/>
            <w:tcBorders>
              <w:top w:val="nil"/>
              <w:left w:val="nil"/>
              <w:bottom w:val="single" w:sz="4" w:space="0" w:color="auto"/>
              <w:right w:val="single" w:sz="4" w:space="0" w:color="auto"/>
            </w:tcBorders>
            <w:hideMark/>
          </w:tcPr>
          <w:p w14:paraId="391ADF16" w14:textId="77777777" w:rsidR="00601D9B" w:rsidRDefault="000E53A0">
            <w:pPr>
              <w:rPr>
                <w:rFonts w:ascii="Avenir Next Regular" w:hAnsi="Avenir Next Regular" w:cs="Calibri"/>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color w:val="000000" w:themeColor="text1"/>
                <w:sz w:val="16"/>
                <w:szCs w:val="16"/>
              </w:rPr>
              <w:t>Forêts tropicales humides</w:t>
            </w:r>
          </w:p>
        </w:tc>
      </w:tr>
      <w:tr w:rsidR="009F3374" w14:paraId="57DD310B" w14:textId="77777777" w:rsidTr="009F3374">
        <w:trPr>
          <w:trHeight w:val="58"/>
        </w:trPr>
        <w:tc>
          <w:tcPr>
            <w:tcW w:w="1966" w:type="pct"/>
            <w:tcBorders>
              <w:top w:val="nil"/>
              <w:left w:val="single" w:sz="4" w:space="0" w:color="auto"/>
              <w:bottom w:val="single" w:sz="4" w:space="0" w:color="auto"/>
              <w:right w:val="single" w:sz="4" w:space="0" w:color="auto"/>
            </w:tcBorders>
            <w:noWrap/>
            <w:vAlign w:val="bottom"/>
            <w:hideMark/>
          </w:tcPr>
          <w:p w14:paraId="63866213"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356D6099"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401FA46D" w14:textId="77777777" w:rsidR="009F3374" w:rsidRDefault="009F3374">
            <w:pPr>
              <w:rPr>
                <w:rFonts w:ascii="Avenir Next Regular" w:hAnsi="Avenir Next Regular" w:cs="Calibri"/>
                <w:iCs/>
                <w:color w:val="000000" w:themeColor="text1"/>
                <w:sz w:val="16"/>
                <w:szCs w:val="16"/>
              </w:rPr>
            </w:pPr>
            <w:r>
              <w:rPr>
                <w:rFonts w:ascii="Avenir Next Regular" w:hAnsi="Avenir Next Regular" w:cs="Calibri"/>
                <w:iCs/>
                <w:color w:val="000000" w:themeColor="text1"/>
                <w:sz w:val="16"/>
                <w:szCs w:val="16"/>
              </w:rPr>
              <w:t> </w:t>
            </w:r>
          </w:p>
        </w:tc>
        <w:tc>
          <w:tcPr>
            <w:tcW w:w="1080" w:type="pct"/>
            <w:tcBorders>
              <w:top w:val="nil"/>
              <w:left w:val="nil"/>
              <w:bottom w:val="single" w:sz="4" w:space="0" w:color="auto"/>
              <w:right w:val="single" w:sz="4" w:space="0" w:color="auto"/>
            </w:tcBorders>
            <w:hideMark/>
          </w:tcPr>
          <w:p w14:paraId="18F3B115" w14:textId="77777777" w:rsidR="00601D9B" w:rsidRDefault="000E53A0">
            <w:pPr>
              <w:rPr>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color w:val="000000" w:themeColor="text1"/>
                <w:sz w:val="16"/>
                <w:szCs w:val="16"/>
              </w:rPr>
              <w:t>Forêts tropicales sèches</w:t>
            </w:r>
          </w:p>
        </w:tc>
      </w:tr>
      <w:tr w:rsidR="009F3374" w14:paraId="28C5F816" w14:textId="77777777" w:rsidTr="009F3374">
        <w:trPr>
          <w:trHeight w:val="125"/>
        </w:trPr>
        <w:tc>
          <w:tcPr>
            <w:tcW w:w="1966" w:type="pct"/>
            <w:tcBorders>
              <w:top w:val="nil"/>
              <w:left w:val="single" w:sz="4" w:space="0" w:color="auto"/>
              <w:bottom w:val="single" w:sz="4" w:space="0" w:color="auto"/>
              <w:right w:val="single" w:sz="4" w:space="0" w:color="auto"/>
            </w:tcBorders>
            <w:noWrap/>
            <w:vAlign w:val="bottom"/>
            <w:hideMark/>
          </w:tcPr>
          <w:p w14:paraId="5BAF5899"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70E6CB1B"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610ACFBB" w14:textId="77777777" w:rsidR="009F3374" w:rsidRDefault="009F3374">
            <w:pPr>
              <w:rPr>
                <w:rFonts w:ascii="Avenir Next Regular" w:hAnsi="Avenir Next Regular" w:cs="Calibri"/>
                <w:iCs/>
                <w:color w:val="000000" w:themeColor="text1"/>
                <w:sz w:val="16"/>
                <w:szCs w:val="16"/>
              </w:rPr>
            </w:pPr>
            <w:r>
              <w:rPr>
                <w:rFonts w:ascii="Avenir Next Regular" w:hAnsi="Avenir Next Regular" w:cs="Calibri"/>
                <w:iCs/>
                <w:color w:val="000000" w:themeColor="text1"/>
                <w:sz w:val="16"/>
                <w:szCs w:val="16"/>
              </w:rPr>
              <w:t> </w:t>
            </w:r>
          </w:p>
        </w:tc>
        <w:tc>
          <w:tcPr>
            <w:tcW w:w="1080" w:type="pct"/>
            <w:tcBorders>
              <w:top w:val="nil"/>
              <w:left w:val="nil"/>
              <w:bottom w:val="single" w:sz="4" w:space="0" w:color="auto"/>
              <w:right w:val="single" w:sz="4" w:space="0" w:color="auto"/>
            </w:tcBorders>
            <w:hideMark/>
          </w:tcPr>
          <w:p w14:paraId="76D01BC3" w14:textId="77777777" w:rsidR="00601D9B" w:rsidRDefault="000E53A0">
            <w:pPr>
              <w:rPr>
                <w:rFonts w:ascii="Avenir Next Regular" w:hAnsi="Avenir Next Regular" w:cs="Calibri"/>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color w:val="000000" w:themeColor="text1"/>
                <w:sz w:val="16"/>
                <w:szCs w:val="16"/>
              </w:rPr>
              <w:t>Forêts tempérées</w:t>
            </w:r>
          </w:p>
        </w:tc>
      </w:tr>
      <w:tr w:rsidR="009F3374" w14:paraId="1D3F7EDB" w14:textId="77777777" w:rsidTr="009F3374">
        <w:trPr>
          <w:trHeight w:val="58"/>
        </w:trPr>
        <w:tc>
          <w:tcPr>
            <w:tcW w:w="1966" w:type="pct"/>
            <w:tcBorders>
              <w:top w:val="nil"/>
              <w:left w:val="single" w:sz="4" w:space="0" w:color="auto"/>
              <w:bottom w:val="single" w:sz="4" w:space="0" w:color="auto"/>
              <w:right w:val="single" w:sz="4" w:space="0" w:color="auto"/>
            </w:tcBorders>
            <w:noWrap/>
            <w:vAlign w:val="bottom"/>
            <w:hideMark/>
          </w:tcPr>
          <w:p w14:paraId="4DCB1B5D"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03E5A18B"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1B731469" w14:textId="77777777" w:rsidR="009F3374" w:rsidRDefault="009F3374">
            <w:pPr>
              <w:rPr>
                <w:rFonts w:ascii="Avenir Next Regular" w:hAnsi="Avenir Next Regular" w:cs="Calibri"/>
                <w:iCs/>
                <w:color w:val="000000" w:themeColor="text1"/>
                <w:sz w:val="16"/>
                <w:szCs w:val="16"/>
              </w:rPr>
            </w:pPr>
            <w:r>
              <w:rPr>
                <w:rFonts w:ascii="Avenir Next Regular" w:hAnsi="Avenir Next Regular" w:cs="Calibri"/>
                <w:iCs/>
                <w:color w:val="000000" w:themeColor="text1"/>
                <w:sz w:val="16"/>
                <w:szCs w:val="16"/>
              </w:rPr>
              <w:t> </w:t>
            </w:r>
          </w:p>
        </w:tc>
        <w:tc>
          <w:tcPr>
            <w:tcW w:w="1080" w:type="pct"/>
            <w:tcBorders>
              <w:top w:val="nil"/>
              <w:left w:val="nil"/>
              <w:bottom w:val="single" w:sz="4" w:space="0" w:color="auto"/>
              <w:right w:val="single" w:sz="4" w:space="0" w:color="auto"/>
            </w:tcBorders>
            <w:hideMark/>
          </w:tcPr>
          <w:p w14:paraId="28E2BB7D" w14:textId="77777777" w:rsidR="00601D9B" w:rsidRDefault="000E53A0">
            <w:pPr>
              <w:rPr>
                <w:rFonts w:ascii="Avenir Next Regular" w:hAnsi="Avenir Next Regular" w:cs="Calibri"/>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color w:val="000000" w:themeColor="text1"/>
                <w:sz w:val="16"/>
                <w:szCs w:val="16"/>
              </w:rPr>
              <w:t xml:space="preserve">Prairies </w:t>
            </w:r>
          </w:p>
        </w:tc>
      </w:tr>
      <w:tr w:rsidR="009F3374" w14:paraId="5D0592FD" w14:textId="77777777" w:rsidTr="009F3374">
        <w:trPr>
          <w:trHeight w:val="89"/>
        </w:trPr>
        <w:tc>
          <w:tcPr>
            <w:tcW w:w="1966" w:type="pct"/>
            <w:tcBorders>
              <w:top w:val="nil"/>
              <w:left w:val="single" w:sz="4" w:space="0" w:color="auto"/>
              <w:bottom w:val="single" w:sz="4" w:space="0" w:color="auto"/>
              <w:right w:val="single" w:sz="4" w:space="0" w:color="auto"/>
            </w:tcBorders>
            <w:noWrap/>
            <w:vAlign w:val="bottom"/>
            <w:hideMark/>
          </w:tcPr>
          <w:p w14:paraId="27F2663C"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1948DB00"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1B064241" w14:textId="77777777" w:rsidR="009F3374" w:rsidRDefault="009F3374">
            <w:pPr>
              <w:rPr>
                <w:rFonts w:ascii="Avenir Next Regular" w:hAnsi="Avenir Next Regular" w:cs="Calibri"/>
                <w:iCs/>
                <w:color w:val="000000" w:themeColor="text1"/>
                <w:sz w:val="16"/>
                <w:szCs w:val="16"/>
              </w:rPr>
            </w:pPr>
            <w:r>
              <w:rPr>
                <w:rFonts w:ascii="Avenir Next Regular" w:hAnsi="Avenir Next Regular" w:cs="Calibri"/>
                <w:iCs/>
                <w:color w:val="000000" w:themeColor="text1"/>
                <w:sz w:val="16"/>
                <w:szCs w:val="16"/>
              </w:rPr>
              <w:t> </w:t>
            </w:r>
          </w:p>
        </w:tc>
        <w:tc>
          <w:tcPr>
            <w:tcW w:w="1080" w:type="pct"/>
            <w:tcBorders>
              <w:top w:val="nil"/>
              <w:left w:val="nil"/>
              <w:bottom w:val="single" w:sz="4" w:space="0" w:color="auto"/>
              <w:right w:val="single" w:sz="4" w:space="0" w:color="auto"/>
            </w:tcBorders>
            <w:hideMark/>
          </w:tcPr>
          <w:p w14:paraId="5A287461" w14:textId="77777777" w:rsidR="00601D9B" w:rsidRDefault="000E53A0">
            <w:pPr>
              <w:rPr>
                <w:rFonts w:ascii="Avenir Next Regular" w:hAnsi="Avenir Next Regular" w:cs="Calibri"/>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color w:val="000000" w:themeColor="text1"/>
                <w:sz w:val="16"/>
                <w:szCs w:val="16"/>
              </w:rPr>
              <w:t>Paramo</w:t>
            </w:r>
          </w:p>
        </w:tc>
      </w:tr>
      <w:tr w:rsidR="009F3374" w14:paraId="65C840A4" w14:textId="77777777" w:rsidTr="009F3374">
        <w:trPr>
          <w:trHeight w:val="152"/>
        </w:trPr>
        <w:tc>
          <w:tcPr>
            <w:tcW w:w="1966" w:type="pct"/>
            <w:tcBorders>
              <w:top w:val="nil"/>
              <w:left w:val="single" w:sz="4" w:space="0" w:color="auto"/>
              <w:bottom w:val="single" w:sz="4" w:space="0" w:color="auto"/>
              <w:right w:val="single" w:sz="4" w:space="0" w:color="auto"/>
            </w:tcBorders>
            <w:noWrap/>
            <w:vAlign w:val="bottom"/>
            <w:hideMark/>
          </w:tcPr>
          <w:p w14:paraId="39E4E760"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1D8D2432"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4AB24F3B" w14:textId="77777777" w:rsidR="009F3374" w:rsidRDefault="009F3374">
            <w:pPr>
              <w:rPr>
                <w:rFonts w:ascii="Avenir Next Regular" w:hAnsi="Avenir Next Regular" w:cs="Calibri"/>
                <w:iCs/>
                <w:color w:val="000000" w:themeColor="text1"/>
                <w:sz w:val="16"/>
                <w:szCs w:val="16"/>
              </w:rPr>
            </w:pPr>
            <w:r>
              <w:rPr>
                <w:rFonts w:ascii="Avenir Next Regular" w:hAnsi="Avenir Next Regular" w:cs="Calibri"/>
                <w:iCs/>
                <w:color w:val="000000" w:themeColor="text1"/>
                <w:sz w:val="16"/>
                <w:szCs w:val="16"/>
              </w:rPr>
              <w:t> </w:t>
            </w:r>
          </w:p>
        </w:tc>
        <w:tc>
          <w:tcPr>
            <w:tcW w:w="1080" w:type="pct"/>
            <w:tcBorders>
              <w:top w:val="nil"/>
              <w:left w:val="nil"/>
              <w:bottom w:val="single" w:sz="4" w:space="0" w:color="auto"/>
              <w:right w:val="single" w:sz="4" w:space="0" w:color="auto"/>
            </w:tcBorders>
            <w:hideMark/>
          </w:tcPr>
          <w:p w14:paraId="359665B2" w14:textId="77777777" w:rsidR="00601D9B" w:rsidRDefault="000E53A0">
            <w:pPr>
              <w:rPr>
                <w:rFonts w:ascii="Avenir Next Regular" w:hAnsi="Avenir Next Regular" w:cs="Calibri"/>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color w:val="000000" w:themeColor="text1"/>
                <w:sz w:val="16"/>
                <w:szCs w:val="16"/>
              </w:rPr>
              <w:t>Désert</w:t>
            </w:r>
          </w:p>
        </w:tc>
      </w:tr>
      <w:tr w:rsidR="009F3374" w14:paraId="1BE3F605" w14:textId="77777777" w:rsidTr="009F3374">
        <w:trPr>
          <w:trHeight w:val="233"/>
        </w:trPr>
        <w:tc>
          <w:tcPr>
            <w:tcW w:w="1966" w:type="pct"/>
            <w:tcBorders>
              <w:top w:val="nil"/>
              <w:left w:val="single" w:sz="4" w:space="0" w:color="auto"/>
              <w:bottom w:val="single" w:sz="4" w:space="0" w:color="auto"/>
              <w:right w:val="single" w:sz="4" w:space="0" w:color="auto"/>
            </w:tcBorders>
            <w:noWrap/>
            <w:vAlign w:val="bottom"/>
            <w:hideMark/>
          </w:tcPr>
          <w:p w14:paraId="4E64D1C2"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0CCFD4D3"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1C2451DC" w14:textId="77777777" w:rsidR="00601D9B" w:rsidRDefault="000E53A0">
            <w:pPr>
              <w:rPr>
                <w:rFonts w:ascii="Avenir Next Regular" w:hAnsi="Avenir Next Regular" w:cs="Calibri"/>
                <w:iCs/>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iCs/>
                <w:color w:val="000000" w:themeColor="text1"/>
                <w:sz w:val="16"/>
                <w:szCs w:val="16"/>
              </w:rPr>
              <w:t>Finances et comptabilité</w:t>
            </w:r>
          </w:p>
        </w:tc>
        <w:tc>
          <w:tcPr>
            <w:tcW w:w="1080" w:type="pct"/>
            <w:tcBorders>
              <w:top w:val="nil"/>
              <w:left w:val="nil"/>
              <w:bottom w:val="single" w:sz="4" w:space="0" w:color="auto"/>
              <w:right w:val="single" w:sz="4" w:space="0" w:color="auto"/>
            </w:tcBorders>
            <w:hideMark/>
          </w:tcPr>
          <w:p w14:paraId="38652908" w14:textId="77777777" w:rsidR="009F3374" w:rsidRDefault="009F3374">
            <w:pPr>
              <w:rPr>
                <w:rFonts w:ascii="Avenir Next Regular" w:hAnsi="Avenir Next Regular" w:cs="Calibri"/>
                <w:color w:val="000000" w:themeColor="text1"/>
                <w:sz w:val="16"/>
                <w:szCs w:val="16"/>
              </w:rPr>
            </w:pPr>
            <w:r>
              <w:rPr>
                <w:rFonts w:ascii="Avenir Next Regular" w:hAnsi="Avenir Next Regular" w:cs="Calibri"/>
                <w:color w:val="000000" w:themeColor="text1"/>
                <w:sz w:val="16"/>
                <w:szCs w:val="16"/>
              </w:rPr>
              <w:t> </w:t>
            </w:r>
          </w:p>
        </w:tc>
      </w:tr>
      <w:tr w:rsidR="009F3374" w:rsidRPr="000E53A0" w14:paraId="0281EC80" w14:textId="77777777" w:rsidTr="009F3374">
        <w:trPr>
          <w:trHeight w:val="161"/>
        </w:trPr>
        <w:tc>
          <w:tcPr>
            <w:tcW w:w="1966" w:type="pct"/>
            <w:tcBorders>
              <w:top w:val="nil"/>
              <w:left w:val="single" w:sz="4" w:space="0" w:color="auto"/>
              <w:bottom w:val="single" w:sz="4" w:space="0" w:color="auto"/>
              <w:right w:val="single" w:sz="4" w:space="0" w:color="auto"/>
            </w:tcBorders>
            <w:noWrap/>
            <w:vAlign w:val="bottom"/>
            <w:hideMark/>
          </w:tcPr>
          <w:p w14:paraId="1361D6B1"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2B75F29C"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66E907E3" w14:textId="77777777" w:rsidR="009F3374" w:rsidRDefault="009F3374">
            <w:pPr>
              <w:rPr>
                <w:rFonts w:ascii="Avenir Next Regular" w:hAnsi="Avenir Next Regular" w:cs="Calibri"/>
                <w:iCs/>
                <w:color w:val="000000" w:themeColor="text1"/>
                <w:sz w:val="16"/>
                <w:szCs w:val="16"/>
              </w:rPr>
            </w:pPr>
            <w:r>
              <w:rPr>
                <w:rFonts w:ascii="Avenir Next Regular" w:hAnsi="Avenir Next Regular" w:cs="Calibri"/>
                <w:iCs/>
                <w:color w:val="000000" w:themeColor="text1"/>
                <w:sz w:val="16"/>
                <w:szCs w:val="16"/>
              </w:rPr>
              <w:t> </w:t>
            </w:r>
          </w:p>
        </w:tc>
        <w:tc>
          <w:tcPr>
            <w:tcW w:w="1080" w:type="pct"/>
            <w:tcBorders>
              <w:top w:val="nil"/>
              <w:left w:val="nil"/>
              <w:bottom w:val="single" w:sz="4" w:space="0" w:color="auto"/>
              <w:right w:val="single" w:sz="4" w:space="0" w:color="auto"/>
            </w:tcBorders>
            <w:hideMark/>
          </w:tcPr>
          <w:p w14:paraId="14E078AB" w14:textId="77777777" w:rsidR="00601D9B" w:rsidRPr="000E53A0" w:rsidRDefault="000E53A0">
            <w:pPr>
              <w:rPr>
                <w:rFonts w:ascii="Avenir Next Regular" w:hAnsi="Avenir Next Regular" w:cs="Calibri"/>
                <w:color w:val="000000" w:themeColor="text1"/>
                <w:sz w:val="16"/>
                <w:szCs w:val="16"/>
                <w:lang w:val="fr-FR"/>
              </w:rPr>
            </w:pPr>
            <w:r>
              <w:rPr>
                <w:color w:val="000000" w:themeColor="text1"/>
                <w:sz w:val="16"/>
                <w:szCs w:val="16"/>
              </w:rPr>
              <w:fldChar w:fldCharType="begin">
                <w:ffData>
                  <w:name w:val="IAP_cities"/>
                  <w:enabled/>
                  <w:calcOnExit w:val="0"/>
                  <w:checkBox>
                    <w:sizeAuto/>
                    <w:default w:val="0"/>
                  </w:checkBox>
                </w:ffData>
              </w:fldChar>
            </w:r>
            <w:r w:rsidRPr="000E53A0">
              <w:rPr>
                <w:color w:val="000000" w:themeColor="text1"/>
                <w:sz w:val="16"/>
                <w:szCs w:val="16"/>
                <w:lang w:val="fr-FR"/>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sidRPr="000E53A0">
              <w:rPr>
                <w:rFonts w:ascii="Avenir Next Regular" w:hAnsi="Avenir Next Regular" w:cs="Calibri"/>
                <w:color w:val="000000" w:themeColor="text1"/>
                <w:sz w:val="16"/>
                <w:szCs w:val="16"/>
                <w:lang w:val="fr-FR"/>
              </w:rPr>
              <w:t xml:space="preserve">Paiement pour les services écosystémiques </w:t>
            </w:r>
          </w:p>
        </w:tc>
      </w:tr>
      <w:tr w:rsidR="009F3374" w:rsidRPr="000E53A0" w14:paraId="36E18CF6" w14:textId="77777777" w:rsidTr="009F3374">
        <w:trPr>
          <w:trHeight w:val="420"/>
        </w:trPr>
        <w:tc>
          <w:tcPr>
            <w:tcW w:w="1966" w:type="pct"/>
            <w:tcBorders>
              <w:top w:val="nil"/>
              <w:left w:val="single" w:sz="4" w:space="0" w:color="auto"/>
              <w:bottom w:val="single" w:sz="4" w:space="0" w:color="auto"/>
              <w:right w:val="single" w:sz="4" w:space="0" w:color="auto"/>
            </w:tcBorders>
            <w:noWrap/>
            <w:vAlign w:val="bottom"/>
            <w:hideMark/>
          </w:tcPr>
          <w:p w14:paraId="4D5A9CB4" w14:textId="77777777" w:rsidR="009F3374" w:rsidRPr="000E53A0" w:rsidRDefault="009F3374">
            <w:pPr>
              <w:rPr>
                <w:rFonts w:ascii="Avenir Next Regular" w:hAnsi="Avenir Next Regular" w:cs="Calibri"/>
                <w:b/>
                <w:bCs/>
                <w:color w:val="000000" w:themeColor="text1"/>
                <w:sz w:val="16"/>
                <w:szCs w:val="16"/>
                <w:lang w:val="fr-FR"/>
              </w:rPr>
            </w:pPr>
            <w:r w:rsidRPr="000E53A0">
              <w:rPr>
                <w:rFonts w:ascii="Avenir Next Regular" w:hAnsi="Avenir Next Regular" w:cs="Calibri"/>
                <w:b/>
                <w:bCs/>
                <w:color w:val="000000" w:themeColor="text1"/>
                <w:sz w:val="16"/>
                <w:szCs w:val="16"/>
                <w:lang w:val="fr-FR"/>
              </w:rPr>
              <w:t> </w:t>
            </w:r>
          </w:p>
        </w:tc>
        <w:tc>
          <w:tcPr>
            <w:tcW w:w="825" w:type="pct"/>
            <w:tcBorders>
              <w:top w:val="nil"/>
              <w:left w:val="nil"/>
              <w:bottom w:val="single" w:sz="4" w:space="0" w:color="auto"/>
              <w:right w:val="single" w:sz="4" w:space="0" w:color="auto"/>
            </w:tcBorders>
            <w:hideMark/>
          </w:tcPr>
          <w:p w14:paraId="283A73B2" w14:textId="77777777" w:rsidR="009F3374" w:rsidRPr="000E53A0" w:rsidRDefault="009F3374">
            <w:pPr>
              <w:rPr>
                <w:rFonts w:ascii="Avenir Next Regular" w:hAnsi="Avenir Next Regular" w:cs="Calibri"/>
                <w:b/>
                <w:bCs/>
                <w:color w:val="000000" w:themeColor="text1"/>
                <w:sz w:val="16"/>
                <w:szCs w:val="16"/>
                <w:lang w:val="fr-FR"/>
              </w:rPr>
            </w:pPr>
            <w:r w:rsidRPr="000E53A0">
              <w:rPr>
                <w:rFonts w:ascii="Avenir Next Regular" w:hAnsi="Avenir Next Regular" w:cs="Calibri"/>
                <w:b/>
                <w:bCs/>
                <w:color w:val="000000" w:themeColor="text1"/>
                <w:sz w:val="16"/>
                <w:szCs w:val="16"/>
                <w:lang w:val="fr-FR"/>
              </w:rPr>
              <w:t> </w:t>
            </w:r>
          </w:p>
        </w:tc>
        <w:tc>
          <w:tcPr>
            <w:tcW w:w="1129" w:type="pct"/>
            <w:tcBorders>
              <w:top w:val="nil"/>
              <w:left w:val="nil"/>
              <w:bottom w:val="single" w:sz="4" w:space="0" w:color="auto"/>
              <w:right w:val="single" w:sz="4" w:space="0" w:color="auto"/>
            </w:tcBorders>
            <w:hideMark/>
          </w:tcPr>
          <w:p w14:paraId="65753706" w14:textId="77777777" w:rsidR="009F3374" w:rsidRPr="000E53A0" w:rsidRDefault="009F3374">
            <w:pPr>
              <w:rPr>
                <w:rFonts w:ascii="Avenir Next Regular" w:hAnsi="Avenir Next Regular" w:cs="Calibri"/>
                <w:iCs/>
                <w:color w:val="000000" w:themeColor="text1"/>
                <w:sz w:val="16"/>
                <w:szCs w:val="16"/>
                <w:lang w:val="fr-FR"/>
              </w:rPr>
            </w:pPr>
            <w:r w:rsidRPr="000E53A0">
              <w:rPr>
                <w:rFonts w:ascii="Avenir Next Regular" w:hAnsi="Avenir Next Regular" w:cs="Calibri"/>
                <w:iCs/>
                <w:color w:val="000000" w:themeColor="text1"/>
                <w:sz w:val="16"/>
                <w:szCs w:val="16"/>
                <w:lang w:val="fr-FR"/>
              </w:rPr>
              <w:t> </w:t>
            </w:r>
          </w:p>
        </w:tc>
        <w:tc>
          <w:tcPr>
            <w:tcW w:w="1080" w:type="pct"/>
            <w:tcBorders>
              <w:top w:val="nil"/>
              <w:left w:val="nil"/>
              <w:bottom w:val="single" w:sz="4" w:space="0" w:color="auto"/>
              <w:right w:val="single" w:sz="4" w:space="0" w:color="auto"/>
            </w:tcBorders>
            <w:hideMark/>
          </w:tcPr>
          <w:p w14:paraId="5CCCC655" w14:textId="77777777" w:rsidR="00601D9B" w:rsidRPr="000E53A0" w:rsidRDefault="000E53A0">
            <w:pPr>
              <w:ind w:left="192" w:hanging="192"/>
              <w:rPr>
                <w:rFonts w:ascii="Avenir Next Regular" w:hAnsi="Avenir Next Regular" w:cs="Calibri"/>
                <w:color w:val="000000" w:themeColor="text1"/>
                <w:sz w:val="16"/>
                <w:szCs w:val="16"/>
                <w:lang w:val="fr-FR"/>
              </w:rPr>
            </w:pPr>
            <w:r>
              <w:rPr>
                <w:color w:val="000000" w:themeColor="text1"/>
                <w:sz w:val="16"/>
                <w:szCs w:val="16"/>
              </w:rPr>
              <w:fldChar w:fldCharType="begin">
                <w:ffData>
                  <w:name w:val="IAP_cities"/>
                  <w:enabled/>
                  <w:calcOnExit w:val="0"/>
                  <w:checkBox>
                    <w:sizeAuto/>
                    <w:default w:val="0"/>
                  </w:checkBox>
                </w:ffData>
              </w:fldChar>
            </w:r>
            <w:r w:rsidRPr="000E53A0">
              <w:rPr>
                <w:color w:val="000000" w:themeColor="text1"/>
                <w:sz w:val="16"/>
                <w:szCs w:val="16"/>
                <w:lang w:val="fr-FR"/>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sidRPr="000E53A0">
              <w:rPr>
                <w:rFonts w:ascii="Avenir Next Regular" w:hAnsi="Avenir Next Regular" w:cs="Calibri"/>
                <w:color w:val="000000" w:themeColor="text1"/>
                <w:sz w:val="16"/>
                <w:szCs w:val="16"/>
                <w:lang w:val="fr-FR"/>
              </w:rPr>
              <w:t>Évaluation et comptabilisation du capital naturel</w:t>
            </w:r>
          </w:p>
        </w:tc>
      </w:tr>
      <w:tr w:rsidR="009F3374" w14:paraId="52A172CC" w14:textId="77777777" w:rsidTr="009F3374">
        <w:trPr>
          <w:trHeight w:val="58"/>
        </w:trPr>
        <w:tc>
          <w:tcPr>
            <w:tcW w:w="1966" w:type="pct"/>
            <w:tcBorders>
              <w:top w:val="nil"/>
              <w:left w:val="single" w:sz="4" w:space="0" w:color="auto"/>
              <w:bottom w:val="single" w:sz="4" w:space="0" w:color="auto"/>
              <w:right w:val="single" w:sz="4" w:space="0" w:color="auto"/>
            </w:tcBorders>
            <w:noWrap/>
            <w:vAlign w:val="bottom"/>
            <w:hideMark/>
          </w:tcPr>
          <w:p w14:paraId="05E98A4B" w14:textId="77777777" w:rsidR="009F3374" w:rsidRPr="000E53A0" w:rsidRDefault="009F3374">
            <w:pPr>
              <w:rPr>
                <w:rFonts w:ascii="Avenir Next Regular" w:hAnsi="Avenir Next Regular" w:cs="Calibri"/>
                <w:b/>
                <w:bCs/>
                <w:color w:val="000000" w:themeColor="text1"/>
                <w:sz w:val="16"/>
                <w:szCs w:val="16"/>
                <w:lang w:val="fr-FR"/>
              </w:rPr>
            </w:pPr>
            <w:r w:rsidRPr="000E53A0">
              <w:rPr>
                <w:rFonts w:ascii="Avenir Next Regular" w:hAnsi="Avenir Next Regular" w:cs="Calibri"/>
                <w:b/>
                <w:bCs/>
                <w:color w:val="000000" w:themeColor="text1"/>
                <w:sz w:val="16"/>
                <w:szCs w:val="16"/>
                <w:lang w:val="fr-FR"/>
              </w:rPr>
              <w:t> </w:t>
            </w:r>
          </w:p>
        </w:tc>
        <w:tc>
          <w:tcPr>
            <w:tcW w:w="825" w:type="pct"/>
            <w:tcBorders>
              <w:top w:val="nil"/>
              <w:left w:val="nil"/>
              <w:bottom w:val="single" w:sz="4" w:space="0" w:color="auto"/>
              <w:right w:val="single" w:sz="4" w:space="0" w:color="auto"/>
            </w:tcBorders>
            <w:hideMark/>
          </w:tcPr>
          <w:p w14:paraId="6B6B1950" w14:textId="77777777" w:rsidR="009F3374" w:rsidRPr="000E53A0" w:rsidRDefault="009F3374">
            <w:pPr>
              <w:rPr>
                <w:rFonts w:ascii="Avenir Next Regular" w:hAnsi="Avenir Next Regular" w:cs="Calibri"/>
                <w:b/>
                <w:bCs/>
                <w:color w:val="000000" w:themeColor="text1"/>
                <w:sz w:val="16"/>
                <w:szCs w:val="16"/>
                <w:lang w:val="fr-FR"/>
              </w:rPr>
            </w:pPr>
            <w:r w:rsidRPr="000E53A0">
              <w:rPr>
                <w:rFonts w:ascii="Avenir Next Regular" w:hAnsi="Avenir Next Regular" w:cs="Calibri"/>
                <w:b/>
                <w:bCs/>
                <w:color w:val="000000" w:themeColor="text1"/>
                <w:sz w:val="16"/>
                <w:szCs w:val="16"/>
                <w:lang w:val="fr-FR"/>
              </w:rPr>
              <w:t> </w:t>
            </w:r>
          </w:p>
        </w:tc>
        <w:tc>
          <w:tcPr>
            <w:tcW w:w="1129" w:type="pct"/>
            <w:tcBorders>
              <w:top w:val="nil"/>
              <w:left w:val="nil"/>
              <w:bottom w:val="single" w:sz="4" w:space="0" w:color="auto"/>
              <w:right w:val="single" w:sz="4" w:space="0" w:color="auto"/>
            </w:tcBorders>
            <w:hideMark/>
          </w:tcPr>
          <w:p w14:paraId="06B70981" w14:textId="77777777" w:rsidR="009F3374" w:rsidRPr="000E53A0" w:rsidRDefault="009F3374">
            <w:pPr>
              <w:rPr>
                <w:rFonts w:ascii="Avenir Next Regular" w:hAnsi="Avenir Next Regular" w:cs="Calibri"/>
                <w:iCs/>
                <w:color w:val="000000" w:themeColor="text1"/>
                <w:sz w:val="16"/>
                <w:szCs w:val="16"/>
                <w:lang w:val="fr-FR"/>
              </w:rPr>
            </w:pPr>
            <w:r w:rsidRPr="000E53A0">
              <w:rPr>
                <w:rFonts w:ascii="Avenir Next Regular" w:hAnsi="Avenir Next Regular" w:cs="Calibri"/>
                <w:iCs/>
                <w:color w:val="000000" w:themeColor="text1"/>
                <w:sz w:val="16"/>
                <w:szCs w:val="16"/>
                <w:lang w:val="fr-FR"/>
              </w:rPr>
              <w:t> </w:t>
            </w:r>
          </w:p>
        </w:tc>
        <w:tc>
          <w:tcPr>
            <w:tcW w:w="1080" w:type="pct"/>
            <w:tcBorders>
              <w:top w:val="nil"/>
              <w:left w:val="nil"/>
              <w:bottom w:val="single" w:sz="4" w:space="0" w:color="auto"/>
              <w:right w:val="single" w:sz="4" w:space="0" w:color="auto"/>
            </w:tcBorders>
            <w:hideMark/>
          </w:tcPr>
          <w:p w14:paraId="36F43BA8" w14:textId="77777777" w:rsidR="00601D9B" w:rsidRDefault="000E53A0">
            <w:pPr>
              <w:rPr>
                <w:rFonts w:ascii="Avenir Next Regular" w:hAnsi="Avenir Next Regular" w:cs="Calibri"/>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color w:val="000000" w:themeColor="text1"/>
                <w:sz w:val="16"/>
                <w:szCs w:val="16"/>
              </w:rPr>
              <w:t>Fonds fiduciaires de conservation</w:t>
            </w:r>
          </w:p>
        </w:tc>
      </w:tr>
      <w:tr w:rsidR="009F3374" w14:paraId="1397214B" w14:textId="77777777" w:rsidTr="009F3374">
        <w:trPr>
          <w:trHeight w:val="80"/>
        </w:trPr>
        <w:tc>
          <w:tcPr>
            <w:tcW w:w="1966" w:type="pct"/>
            <w:tcBorders>
              <w:top w:val="nil"/>
              <w:left w:val="single" w:sz="4" w:space="0" w:color="auto"/>
              <w:bottom w:val="single" w:sz="4" w:space="0" w:color="auto"/>
              <w:right w:val="single" w:sz="4" w:space="0" w:color="auto"/>
            </w:tcBorders>
            <w:noWrap/>
            <w:vAlign w:val="bottom"/>
            <w:hideMark/>
          </w:tcPr>
          <w:p w14:paraId="16BDE2FD"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0DB9C673"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2AFEE8A5" w14:textId="77777777" w:rsidR="009F3374" w:rsidRDefault="009F3374">
            <w:pPr>
              <w:rPr>
                <w:rFonts w:ascii="Avenir Next Regular" w:hAnsi="Avenir Next Regular" w:cs="Calibri"/>
                <w:iCs/>
                <w:color w:val="000000" w:themeColor="text1"/>
                <w:sz w:val="16"/>
                <w:szCs w:val="16"/>
              </w:rPr>
            </w:pPr>
            <w:r>
              <w:rPr>
                <w:rFonts w:ascii="Avenir Next Regular" w:hAnsi="Avenir Next Regular" w:cs="Calibri"/>
                <w:iCs/>
                <w:color w:val="000000" w:themeColor="text1"/>
                <w:sz w:val="16"/>
                <w:szCs w:val="16"/>
              </w:rPr>
              <w:t> </w:t>
            </w:r>
          </w:p>
        </w:tc>
        <w:tc>
          <w:tcPr>
            <w:tcW w:w="1080" w:type="pct"/>
            <w:tcBorders>
              <w:top w:val="nil"/>
              <w:left w:val="nil"/>
              <w:bottom w:val="single" w:sz="4" w:space="0" w:color="auto"/>
              <w:right w:val="single" w:sz="4" w:space="0" w:color="auto"/>
            </w:tcBorders>
            <w:hideMark/>
          </w:tcPr>
          <w:p w14:paraId="102FC4A1" w14:textId="77777777" w:rsidR="00601D9B" w:rsidRDefault="000E53A0">
            <w:pPr>
              <w:rPr>
                <w:rFonts w:ascii="Avenir Next Regular" w:hAnsi="Avenir Next Regular" w:cs="Calibri"/>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color w:val="000000" w:themeColor="text1"/>
                <w:sz w:val="16"/>
                <w:szCs w:val="16"/>
              </w:rPr>
              <w:t>Financement de la conservation</w:t>
            </w:r>
          </w:p>
        </w:tc>
      </w:tr>
      <w:tr w:rsidR="009F3374" w:rsidRPr="000E53A0" w14:paraId="21EE0F0D" w14:textId="77777777" w:rsidTr="009F3374">
        <w:trPr>
          <w:trHeight w:val="58"/>
        </w:trPr>
        <w:tc>
          <w:tcPr>
            <w:tcW w:w="1966" w:type="pct"/>
            <w:tcBorders>
              <w:top w:val="nil"/>
              <w:left w:val="single" w:sz="4" w:space="0" w:color="auto"/>
              <w:bottom w:val="single" w:sz="4" w:space="0" w:color="auto"/>
              <w:right w:val="single" w:sz="4" w:space="0" w:color="auto"/>
            </w:tcBorders>
            <w:noWrap/>
            <w:vAlign w:val="bottom"/>
            <w:hideMark/>
          </w:tcPr>
          <w:p w14:paraId="27E4F4B1"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158BF7DB"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35B03FF6" w14:textId="77777777" w:rsidR="00601D9B" w:rsidRPr="000E53A0" w:rsidRDefault="000E53A0">
            <w:pPr>
              <w:ind w:left="150" w:hanging="150"/>
              <w:rPr>
                <w:rFonts w:ascii="Avenir Next Regular" w:hAnsi="Avenir Next Regular" w:cs="Calibri"/>
                <w:iCs/>
                <w:color w:val="000000" w:themeColor="text1"/>
                <w:sz w:val="16"/>
                <w:szCs w:val="16"/>
                <w:lang w:val="fr-FR"/>
              </w:rPr>
            </w:pPr>
            <w:r>
              <w:rPr>
                <w:color w:val="000000" w:themeColor="text1"/>
                <w:sz w:val="16"/>
                <w:szCs w:val="16"/>
              </w:rPr>
              <w:fldChar w:fldCharType="begin">
                <w:ffData>
                  <w:name w:val="IAP_cities"/>
                  <w:enabled/>
                  <w:calcOnExit w:val="0"/>
                  <w:checkBox>
                    <w:sizeAuto/>
                    <w:default w:val="0"/>
                  </w:checkBox>
                </w:ffData>
              </w:fldChar>
            </w:r>
            <w:r w:rsidRPr="000E53A0">
              <w:rPr>
                <w:color w:val="000000" w:themeColor="text1"/>
                <w:sz w:val="16"/>
                <w:szCs w:val="16"/>
                <w:lang w:val="fr-FR"/>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sidRPr="000E53A0">
              <w:rPr>
                <w:rFonts w:ascii="Avenir Next Regular" w:hAnsi="Avenir Next Regular" w:cs="Calibri"/>
                <w:iCs/>
                <w:color w:val="000000" w:themeColor="text1"/>
                <w:sz w:val="16"/>
                <w:szCs w:val="16"/>
                <w:lang w:val="fr-FR"/>
              </w:rPr>
              <w:t>Protocole additionnel à la CDB</w:t>
            </w:r>
          </w:p>
        </w:tc>
        <w:tc>
          <w:tcPr>
            <w:tcW w:w="1080" w:type="pct"/>
            <w:tcBorders>
              <w:top w:val="nil"/>
              <w:left w:val="nil"/>
              <w:bottom w:val="single" w:sz="4" w:space="0" w:color="auto"/>
              <w:right w:val="single" w:sz="4" w:space="0" w:color="auto"/>
            </w:tcBorders>
            <w:hideMark/>
          </w:tcPr>
          <w:p w14:paraId="45928B12" w14:textId="77777777" w:rsidR="009F3374" w:rsidRPr="000E53A0" w:rsidRDefault="009F3374">
            <w:pPr>
              <w:rPr>
                <w:rFonts w:ascii="Avenir Next Regular" w:hAnsi="Avenir Next Regular" w:cs="Calibri"/>
                <w:color w:val="000000" w:themeColor="text1"/>
                <w:sz w:val="16"/>
                <w:szCs w:val="16"/>
                <w:lang w:val="fr-FR"/>
              </w:rPr>
            </w:pPr>
            <w:r w:rsidRPr="000E53A0">
              <w:rPr>
                <w:rFonts w:ascii="Avenir Next Regular" w:hAnsi="Avenir Next Regular" w:cs="Calibri"/>
                <w:color w:val="000000" w:themeColor="text1"/>
                <w:sz w:val="16"/>
                <w:szCs w:val="16"/>
                <w:lang w:val="fr-FR"/>
              </w:rPr>
              <w:t> </w:t>
            </w:r>
          </w:p>
        </w:tc>
      </w:tr>
      <w:tr w:rsidR="009F3374" w14:paraId="4F988838" w14:textId="77777777" w:rsidTr="009F3374">
        <w:trPr>
          <w:trHeight w:val="98"/>
        </w:trPr>
        <w:tc>
          <w:tcPr>
            <w:tcW w:w="1966" w:type="pct"/>
            <w:tcBorders>
              <w:top w:val="nil"/>
              <w:left w:val="single" w:sz="4" w:space="0" w:color="auto"/>
              <w:bottom w:val="single" w:sz="4" w:space="0" w:color="auto"/>
              <w:right w:val="single" w:sz="4" w:space="0" w:color="auto"/>
            </w:tcBorders>
            <w:noWrap/>
            <w:vAlign w:val="bottom"/>
            <w:hideMark/>
          </w:tcPr>
          <w:p w14:paraId="44C43393" w14:textId="77777777" w:rsidR="009F3374" w:rsidRPr="000E53A0" w:rsidRDefault="009F3374">
            <w:pPr>
              <w:rPr>
                <w:rFonts w:ascii="Avenir Next Regular" w:hAnsi="Avenir Next Regular" w:cs="Calibri"/>
                <w:b/>
                <w:bCs/>
                <w:color w:val="000000" w:themeColor="text1"/>
                <w:sz w:val="16"/>
                <w:szCs w:val="16"/>
                <w:lang w:val="fr-FR"/>
              </w:rPr>
            </w:pPr>
            <w:r w:rsidRPr="000E53A0">
              <w:rPr>
                <w:rFonts w:ascii="Avenir Next Regular" w:hAnsi="Avenir Next Regular" w:cs="Calibri"/>
                <w:b/>
                <w:bCs/>
                <w:color w:val="000000" w:themeColor="text1"/>
                <w:sz w:val="16"/>
                <w:szCs w:val="16"/>
                <w:lang w:val="fr-FR"/>
              </w:rPr>
              <w:t> </w:t>
            </w:r>
          </w:p>
        </w:tc>
        <w:tc>
          <w:tcPr>
            <w:tcW w:w="825" w:type="pct"/>
            <w:tcBorders>
              <w:top w:val="nil"/>
              <w:left w:val="nil"/>
              <w:bottom w:val="single" w:sz="4" w:space="0" w:color="auto"/>
              <w:right w:val="single" w:sz="4" w:space="0" w:color="auto"/>
            </w:tcBorders>
            <w:hideMark/>
          </w:tcPr>
          <w:p w14:paraId="35FB5DAD" w14:textId="77777777" w:rsidR="009F3374" w:rsidRPr="000E53A0" w:rsidRDefault="009F3374">
            <w:pPr>
              <w:rPr>
                <w:rFonts w:ascii="Avenir Next Regular" w:hAnsi="Avenir Next Regular" w:cs="Calibri"/>
                <w:b/>
                <w:bCs/>
                <w:color w:val="000000" w:themeColor="text1"/>
                <w:sz w:val="16"/>
                <w:szCs w:val="16"/>
                <w:lang w:val="fr-FR"/>
              </w:rPr>
            </w:pPr>
            <w:r w:rsidRPr="000E53A0">
              <w:rPr>
                <w:rFonts w:ascii="Avenir Next Regular" w:hAnsi="Avenir Next Regular" w:cs="Calibri"/>
                <w:b/>
                <w:bCs/>
                <w:color w:val="000000" w:themeColor="text1"/>
                <w:sz w:val="16"/>
                <w:szCs w:val="16"/>
                <w:lang w:val="fr-FR"/>
              </w:rPr>
              <w:t> </w:t>
            </w:r>
          </w:p>
        </w:tc>
        <w:tc>
          <w:tcPr>
            <w:tcW w:w="1129" w:type="pct"/>
            <w:tcBorders>
              <w:top w:val="nil"/>
              <w:left w:val="nil"/>
              <w:bottom w:val="single" w:sz="4" w:space="0" w:color="auto"/>
              <w:right w:val="single" w:sz="4" w:space="0" w:color="auto"/>
            </w:tcBorders>
            <w:hideMark/>
          </w:tcPr>
          <w:p w14:paraId="0745966F" w14:textId="77777777" w:rsidR="009F3374" w:rsidRPr="000E53A0" w:rsidRDefault="009F3374">
            <w:pPr>
              <w:rPr>
                <w:rFonts w:ascii="Avenir Next Regular" w:hAnsi="Avenir Next Regular" w:cs="Calibri"/>
                <w:iCs/>
                <w:color w:val="000000" w:themeColor="text1"/>
                <w:sz w:val="16"/>
                <w:szCs w:val="16"/>
                <w:lang w:val="fr-FR"/>
              </w:rPr>
            </w:pPr>
            <w:r w:rsidRPr="000E53A0">
              <w:rPr>
                <w:rFonts w:ascii="Avenir Next Regular" w:hAnsi="Avenir Next Regular" w:cs="Calibri"/>
                <w:iCs/>
                <w:color w:val="000000" w:themeColor="text1"/>
                <w:sz w:val="16"/>
                <w:szCs w:val="16"/>
                <w:lang w:val="fr-FR"/>
              </w:rPr>
              <w:t> </w:t>
            </w:r>
          </w:p>
        </w:tc>
        <w:tc>
          <w:tcPr>
            <w:tcW w:w="1080" w:type="pct"/>
            <w:tcBorders>
              <w:top w:val="nil"/>
              <w:left w:val="nil"/>
              <w:bottom w:val="single" w:sz="4" w:space="0" w:color="auto"/>
              <w:right w:val="single" w:sz="4" w:space="0" w:color="auto"/>
            </w:tcBorders>
            <w:hideMark/>
          </w:tcPr>
          <w:p w14:paraId="13A8D8F9" w14:textId="77777777" w:rsidR="00601D9B" w:rsidRDefault="000E53A0">
            <w:pPr>
              <w:rPr>
                <w:rFonts w:ascii="Avenir Next Regular" w:hAnsi="Avenir Next Regular" w:cs="Calibri"/>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color w:val="000000" w:themeColor="text1"/>
                <w:sz w:val="16"/>
                <w:szCs w:val="16"/>
              </w:rPr>
              <w:t>Biosécurité</w:t>
            </w:r>
          </w:p>
        </w:tc>
      </w:tr>
      <w:tr w:rsidR="009F3374" w:rsidRPr="000E53A0" w14:paraId="557F11FF" w14:textId="77777777" w:rsidTr="009F3374">
        <w:trPr>
          <w:trHeight w:val="58"/>
        </w:trPr>
        <w:tc>
          <w:tcPr>
            <w:tcW w:w="1966" w:type="pct"/>
            <w:tcBorders>
              <w:top w:val="nil"/>
              <w:left w:val="single" w:sz="4" w:space="0" w:color="auto"/>
              <w:bottom w:val="single" w:sz="4" w:space="0" w:color="auto"/>
              <w:right w:val="single" w:sz="4" w:space="0" w:color="auto"/>
            </w:tcBorders>
            <w:noWrap/>
            <w:vAlign w:val="bottom"/>
            <w:hideMark/>
          </w:tcPr>
          <w:p w14:paraId="29AEBC4A"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2F7A2499"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7BDAC085" w14:textId="77777777" w:rsidR="009F3374" w:rsidRDefault="009F3374">
            <w:pPr>
              <w:rPr>
                <w:rFonts w:ascii="Avenir Next Regular" w:hAnsi="Avenir Next Regular" w:cs="Calibri"/>
                <w:iCs/>
                <w:color w:val="000000" w:themeColor="text1"/>
                <w:sz w:val="16"/>
                <w:szCs w:val="16"/>
              </w:rPr>
            </w:pPr>
            <w:r>
              <w:rPr>
                <w:rFonts w:ascii="Avenir Next Regular" w:hAnsi="Avenir Next Regular" w:cs="Calibri"/>
                <w:iCs/>
                <w:color w:val="000000" w:themeColor="text1"/>
                <w:sz w:val="16"/>
                <w:szCs w:val="16"/>
              </w:rPr>
              <w:t> </w:t>
            </w:r>
          </w:p>
        </w:tc>
        <w:tc>
          <w:tcPr>
            <w:tcW w:w="1080" w:type="pct"/>
            <w:tcBorders>
              <w:top w:val="nil"/>
              <w:left w:val="nil"/>
              <w:bottom w:val="single" w:sz="4" w:space="0" w:color="auto"/>
              <w:right w:val="single" w:sz="4" w:space="0" w:color="auto"/>
            </w:tcBorders>
            <w:hideMark/>
          </w:tcPr>
          <w:p w14:paraId="12189E56" w14:textId="77777777" w:rsidR="00601D9B" w:rsidRPr="000E53A0" w:rsidRDefault="000E53A0">
            <w:pPr>
              <w:ind w:left="192" w:hanging="192"/>
              <w:rPr>
                <w:rFonts w:ascii="Avenir Next Regular" w:hAnsi="Avenir Next Regular" w:cs="Calibri"/>
                <w:color w:val="000000" w:themeColor="text1"/>
                <w:sz w:val="16"/>
                <w:szCs w:val="16"/>
                <w:lang w:val="fr-FR"/>
              </w:rPr>
            </w:pPr>
            <w:r>
              <w:rPr>
                <w:color w:val="000000" w:themeColor="text1"/>
                <w:sz w:val="16"/>
                <w:szCs w:val="16"/>
              </w:rPr>
              <w:fldChar w:fldCharType="begin">
                <w:ffData>
                  <w:name w:val="IAP_cities"/>
                  <w:enabled/>
                  <w:calcOnExit w:val="0"/>
                  <w:checkBox>
                    <w:sizeAuto/>
                    <w:default w:val="0"/>
                  </w:checkBox>
                </w:ffData>
              </w:fldChar>
            </w:r>
            <w:r w:rsidRPr="000E53A0">
              <w:rPr>
                <w:color w:val="000000" w:themeColor="text1"/>
                <w:sz w:val="16"/>
                <w:szCs w:val="16"/>
                <w:lang w:val="fr-FR"/>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sidRPr="000E53A0">
              <w:rPr>
                <w:rFonts w:ascii="Avenir Next Regular" w:hAnsi="Avenir Next Regular" w:cs="Calibri"/>
                <w:color w:val="000000" w:themeColor="text1"/>
                <w:sz w:val="16"/>
                <w:szCs w:val="16"/>
                <w:lang w:val="fr-FR"/>
              </w:rPr>
              <w:t>Accès aux ressources génétiques Partage des avantages</w:t>
            </w:r>
          </w:p>
        </w:tc>
      </w:tr>
      <w:tr w:rsidR="009F3374" w14:paraId="140544C8" w14:textId="77777777" w:rsidTr="009F3374">
        <w:trPr>
          <w:trHeight w:val="179"/>
        </w:trPr>
        <w:tc>
          <w:tcPr>
            <w:tcW w:w="1966" w:type="pct"/>
            <w:tcBorders>
              <w:top w:val="nil"/>
              <w:left w:val="single" w:sz="4" w:space="0" w:color="auto"/>
              <w:bottom w:val="single" w:sz="4" w:space="0" w:color="auto"/>
              <w:right w:val="single" w:sz="4" w:space="0" w:color="auto"/>
            </w:tcBorders>
            <w:noWrap/>
            <w:vAlign w:val="bottom"/>
            <w:hideMark/>
          </w:tcPr>
          <w:p w14:paraId="06E24BCA" w14:textId="77777777" w:rsidR="009F3374" w:rsidRPr="000E53A0" w:rsidRDefault="009F3374">
            <w:pPr>
              <w:rPr>
                <w:rFonts w:ascii="Avenir Next Regular" w:hAnsi="Avenir Next Regular" w:cs="Calibri"/>
                <w:b/>
                <w:bCs/>
                <w:color w:val="000000" w:themeColor="text1"/>
                <w:sz w:val="16"/>
                <w:szCs w:val="16"/>
                <w:lang w:val="fr-FR"/>
              </w:rPr>
            </w:pPr>
            <w:r w:rsidRPr="000E53A0">
              <w:rPr>
                <w:rFonts w:ascii="Avenir Next Regular" w:hAnsi="Avenir Next Regular" w:cs="Calibri"/>
                <w:b/>
                <w:bCs/>
                <w:color w:val="000000" w:themeColor="text1"/>
                <w:sz w:val="16"/>
                <w:szCs w:val="16"/>
                <w:lang w:val="fr-FR"/>
              </w:rPr>
              <w:t> </w:t>
            </w:r>
          </w:p>
        </w:tc>
        <w:tc>
          <w:tcPr>
            <w:tcW w:w="825" w:type="pct"/>
            <w:tcBorders>
              <w:top w:val="nil"/>
              <w:left w:val="nil"/>
              <w:bottom w:val="single" w:sz="4" w:space="0" w:color="auto"/>
              <w:right w:val="single" w:sz="4" w:space="0" w:color="auto"/>
            </w:tcBorders>
            <w:hideMark/>
          </w:tcPr>
          <w:p w14:paraId="32824A4B" w14:textId="77777777" w:rsidR="00601D9B" w:rsidRDefault="000E53A0">
            <w:pPr>
              <w:rPr>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b/>
                <w:bCs/>
                <w:color w:val="000000" w:themeColor="text1"/>
                <w:sz w:val="16"/>
                <w:szCs w:val="16"/>
              </w:rPr>
              <w:t>Forêts</w:t>
            </w:r>
          </w:p>
        </w:tc>
        <w:tc>
          <w:tcPr>
            <w:tcW w:w="1129" w:type="pct"/>
            <w:tcBorders>
              <w:top w:val="nil"/>
              <w:left w:val="nil"/>
              <w:bottom w:val="single" w:sz="4" w:space="0" w:color="auto"/>
              <w:right w:val="single" w:sz="4" w:space="0" w:color="auto"/>
            </w:tcBorders>
          </w:tcPr>
          <w:p w14:paraId="4B68E4C7" w14:textId="77777777" w:rsidR="009F3374" w:rsidRDefault="009F3374">
            <w:pPr>
              <w:rPr>
                <w:rFonts w:ascii="Avenir Next Regular" w:hAnsi="Avenir Next Regular" w:cs="Calibri"/>
                <w:iCs/>
                <w:color w:val="000000" w:themeColor="text1"/>
                <w:sz w:val="16"/>
                <w:szCs w:val="16"/>
              </w:rPr>
            </w:pPr>
          </w:p>
        </w:tc>
        <w:tc>
          <w:tcPr>
            <w:tcW w:w="1080" w:type="pct"/>
            <w:tcBorders>
              <w:top w:val="nil"/>
              <w:left w:val="nil"/>
              <w:bottom w:val="single" w:sz="4" w:space="0" w:color="auto"/>
              <w:right w:val="single" w:sz="4" w:space="0" w:color="auto"/>
            </w:tcBorders>
            <w:hideMark/>
          </w:tcPr>
          <w:p w14:paraId="121D95B7" w14:textId="77777777" w:rsidR="009F3374" w:rsidRDefault="009F3374">
            <w:pPr>
              <w:rPr>
                <w:rFonts w:ascii="Avenir Next Regular" w:hAnsi="Avenir Next Regular" w:cs="Calibri"/>
                <w:color w:val="000000" w:themeColor="text1"/>
                <w:sz w:val="16"/>
                <w:szCs w:val="16"/>
              </w:rPr>
            </w:pPr>
            <w:r>
              <w:rPr>
                <w:rFonts w:ascii="Avenir Next Regular" w:hAnsi="Avenir Next Regular" w:cs="Calibri"/>
                <w:color w:val="000000" w:themeColor="text1"/>
                <w:sz w:val="16"/>
                <w:szCs w:val="16"/>
              </w:rPr>
              <w:t> </w:t>
            </w:r>
          </w:p>
        </w:tc>
      </w:tr>
      <w:tr w:rsidR="009F3374" w:rsidRPr="000E53A0" w14:paraId="09D2580E" w14:textId="77777777" w:rsidTr="009F3374">
        <w:trPr>
          <w:trHeight w:val="58"/>
        </w:trPr>
        <w:tc>
          <w:tcPr>
            <w:tcW w:w="1966" w:type="pct"/>
            <w:tcBorders>
              <w:top w:val="nil"/>
              <w:left w:val="single" w:sz="4" w:space="0" w:color="auto"/>
              <w:bottom w:val="single" w:sz="4" w:space="0" w:color="auto"/>
              <w:right w:val="single" w:sz="4" w:space="0" w:color="auto"/>
            </w:tcBorders>
            <w:noWrap/>
            <w:vAlign w:val="bottom"/>
            <w:hideMark/>
          </w:tcPr>
          <w:p w14:paraId="292C6215"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lastRenderedPageBreak/>
              <w:t> </w:t>
            </w:r>
          </w:p>
        </w:tc>
        <w:tc>
          <w:tcPr>
            <w:tcW w:w="825" w:type="pct"/>
            <w:tcBorders>
              <w:top w:val="nil"/>
              <w:left w:val="nil"/>
              <w:bottom w:val="single" w:sz="4" w:space="0" w:color="auto"/>
              <w:right w:val="single" w:sz="4" w:space="0" w:color="auto"/>
            </w:tcBorders>
            <w:hideMark/>
          </w:tcPr>
          <w:p w14:paraId="26BB86AA"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0329E2BB" w14:textId="77777777" w:rsidR="00601D9B" w:rsidRPr="000E53A0" w:rsidRDefault="000E53A0">
            <w:pPr>
              <w:ind w:left="150" w:hanging="150"/>
              <w:rPr>
                <w:rFonts w:ascii="Avenir Next Regular" w:hAnsi="Avenir Next Regular" w:cs="Calibri"/>
                <w:iCs/>
                <w:color w:val="000000" w:themeColor="text1"/>
                <w:sz w:val="16"/>
                <w:szCs w:val="16"/>
                <w:lang w:val="fr-FR"/>
              </w:rPr>
            </w:pPr>
            <w:r>
              <w:rPr>
                <w:color w:val="000000" w:themeColor="text1"/>
                <w:sz w:val="16"/>
                <w:szCs w:val="16"/>
              </w:rPr>
              <w:fldChar w:fldCharType="begin">
                <w:ffData>
                  <w:name w:val="IAP_cities"/>
                  <w:enabled/>
                  <w:calcOnExit w:val="0"/>
                  <w:checkBox>
                    <w:sizeAuto/>
                    <w:default w:val="0"/>
                  </w:checkBox>
                </w:ffData>
              </w:fldChar>
            </w:r>
            <w:r w:rsidRPr="000E53A0">
              <w:rPr>
                <w:color w:val="000000" w:themeColor="text1"/>
                <w:sz w:val="16"/>
                <w:szCs w:val="16"/>
                <w:lang w:val="fr-FR"/>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sidRPr="000E53A0">
              <w:rPr>
                <w:rFonts w:ascii="Avenir Next Regular" w:hAnsi="Avenir Next Regular" w:cs="Calibri"/>
                <w:iCs/>
                <w:color w:val="000000" w:themeColor="text1"/>
                <w:sz w:val="16"/>
                <w:szCs w:val="16"/>
                <w:lang w:val="fr-FR"/>
              </w:rPr>
              <w:t>Restauration des forêts et des paysages</w:t>
            </w:r>
          </w:p>
        </w:tc>
        <w:tc>
          <w:tcPr>
            <w:tcW w:w="1080" w:type="pct"/>
            <w:tcBorders>
              <w:top w:val="nil"/>
              <w:left w:val="nil"/>
              <w:bottom w:val="single" w:sz="4" w:space="0" w:color="auto"/>
              <w:right w:val="single" w:sz="4" w:space="0" w:color="auto"/>
            </w:tcBorders>
          </w:tcPr>
          <w:p w14:paraId="78EBD188" w14:textId="77777777" w:rsidR="009F3374" w:rsidRPr="000E53A0" w:rsidRDefault="009F3374">
            <w:pPr>
              <w:rPr>
                <w:rFonts w:ascii="Avenir Next Regular" w:hAnsi="Avenir Next Regular" w:cs="Calibri"/>
                <w:color w:val="000000" w:themeColor="text1"/>
                <w:sz w:val="16"/>
                <w:szCs w:val="16"/>
                <w:lang w:val="fr-FR"/>
              </w:rPr>
            </w:pPr>
          </w:p>
        </w:tc>
      </w:tr>
      <w:tr w:rsidR="009F3374" w14:paraId="06087FEC" w14:textId="77777777" w:rsidTr="009F3374">
        <w:trPr>
          <w:trHeight w:val="58"/>
        </w:trPr>
        <w:tc>
          <w:tcPr>
            <w:tcW w:w="1966" w:type="pct"/>
            <w:tcBorders>
              <w:top w:val="nil"/>
              <w:left w:val="single" w:sz="4" w:space="0" w:color="auto"/>
              <w:bottom w:val="single" w:sz="4" w:space="0" w:color="auto"/>
              <w:right w:val="single" w:sz="4" w:space="0" w:color="auto"/>
            </w:tcBorders>
            <w:noWrap/>
            <w:vAlign w:val="bottom"/>
          </w:tcPr>
          <w:p w14:paraId="6588CF0D" w14:textId="77777777" w:rsidR="009F3374" w:rsidRPr="000E53A0" w:rsidRDefault="009F3374">
            <w:pPr>
              <w:rPr>
                <w:rFonts w:ascii="Avenir Next Regular" w:hAnsi="Avenir Next Regular" w:cs="Calibri"/>
                <w:b/>
                <w:bCs/>
                <w:color w:val="000000" w:themeColor="text1"/>
                <w:sz w:val="16"/>
                <w:szCs w:val="16"/>
                <w:lang w:val="fr-FR"/>
              </w:rPr>
            </w:pPr>
          </w:p>
        </w:tc>
        <w:tc>
          <w:tcPr>
            <w:tcW w:w="825" w:type="pct"/>
            <w:tcBorders>
              <w:top w:val="nil"/>
              <w:left w:val="nil"/>
              <w:bottom w:val="single" w:sz="4" w:space="0" w:color="auto"/>
              <w:right w:val="single" w:sz="4" w:space="0" w:color="auto"/>
            </w:tcBorders>
          </w:tcPr>
          <w:p w14:paraId="4C7C07E1" w14:textId="77777777" w:rsidR="009F3374" w:rsidRPr="000E53A0" w:rsidRDefault="009F3374">
            <w:pPr>
              <w:rPr>
                <w:rFonts w:ascii="Avenir Next Regular" w:hAnsi="Avenir Next Regular" w:cs="Calibri"/>
                <w:b/>
                <w:bCs/>
                <w:color w:val="000000" w:themeColor="text1"/>
                <w:sz w:val="16"/>
                <w:szCs w:val="16"/>
                <w:lang w:val="fr-FR"/>
              </w:rPr>
            </w:pPr>
          </w:p>
        </w:tc>
        <w:tc>
          <w:tcPr>
            <w:tcW w:w="1129" w:type="pct"/>
            <w:tcBorders>
              <w:top w:val="nil"/>
              <w:left w:val="nil"/>
              <w:bottom w:val="single" w:sz="4" w:space="0" w:color="auto"/>
              <w:right w:val="single" w:sz="4" w:space="0" w:color="auto"/>
            </w:tcBorders>
          </w:tcPr>
          <w:p w14:paraId="4D471AA1" w14:textId="77777777" w:rsidR="009F3374" w:rsidRPr="000E53A0" w:rsidRDefault="009F3374">
            <w:pPr>
              <w:rPr>
                <w:color w:val="000000" w:themeColor="text1"/>
                <w:sz w:val="16"/>
                <w:szCs w:val="16"/>
                <w:lang w:val="fr-FR"/>
              </w:rPr>
            </w:pPr>
          </w:p>
        </w:tc>
        <w:tc>
          <w:tcPr>
            <w:tcW w:w="1080" w:type="pct"/>
            <w:tcBorders>
              <w:top w:val="nil"/>
              <w:left w:val="nil"/>
              <w:bottom w:val="single" w:sz="4" w:space="0" w:color="auto"/>
              <w:right w:val="single" w:sz="4" w:space="0" w:color="auto"/>
            </w:tcBorders>
            <w:hideMark/>
          </w:tcPr>
          <w:p w14:paraId="3BD56ECD" w14:textId="77777777" w:rsidR="00601D9B" w:rsidRDefault="000E53A0">
            <w:pPr>
              <w:rPr>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color w:val="000000" w:themeColor="text1"/>
                <w:sz w:val="16"/>
                <w:szCs w:val="16"/>
              </w:rPr>
              <w:t>REDD/REDD+</w:t>
            </w:r>
          </w:p>
        </w:tc>
      </w:tr>
      <w:tr w:rsidR="009F3374" w14:paraId="00FFA18D" w14:textId="77777777" w:rsidTr="009F3374">
        <w:trPr>
          <w:trHeight w:val="188"/>
        </w:trPr>
        <w:tc>
          <w:tcPr>
            <w:tcW w:w="1966" w:type="pct"/>
            <w:tcBorders>
              <w:top w:val="nil"/>
              <w:left w:val="single" w:sz="4" w:space="0" w:color="auto"/>
              <w:bottom w:val="single" w:sz="4" w:space="0" w:color="auto"/>
              <w:right w:val="single" w:sz="4" w:space="0" w:color="auto"/>
            </w:tcBorders>
            <w:noWrap/>
            <w:vAlign w:val="bottom"/>
            <w:hideMark/>
          </w:tcPr>
          <w:p w14:paraId="0F204539"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640C4FEE"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47634E74" w14:textId="77777777" w:rsidR="00601D9B" w:rsidRDefault="000E53A0">
            <w:pPr>
              <w:rPr>
                <w:rFonts w:ascii="Avenir Next Regular" w:hAnsi="Avenir Next Regular" w:cs="Calibri"/>
                <w:iCs/>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iCs/>
                <w:color w:val="000000" w:themeColor="text1"/>
                <w:sz w:val="16"/>
                <w:szCs w:val="16"/>
              </w:rPr>
              <w:t>Forêt</w:t>
            </w:r>
          </w:p>
        </w:tc>
        <w:tc>
          <w:tcPr>
            <w:tcW w:w="1080" w:type="pct"/>
            <w:tcBorders>
              <w:top w:val="nil"/>
              <w:left w:val="nil"/>
              <w:bottom w:val="single" w:sz="4" w:space="0" w:color="auto"/>
              <w:right w:val="single" w:sz="4" w:space="0" w:color="auto"/>
            </w:tcBorders>
            <w:hideMark/>
          </w:tcPr>
          <w:p w14:paraId="47C58EAF" w14:textId="77777777" w:rsidR="009F3374" w:rsidRDefault="009F3374">
            <w:pPr>
              <w:rPr>
                <w:rFonts w:ascii="Avenir Next Regular" w:hAnsi="Avenir Next Regular" w:cs="Calibri"/>
                <w:color w:val="000000" w:themeColor="text1"/>
                <w:sz w:val="16"/>
                <w:szCs w:val="16"/>
              </w:rPr>
            </w:pPr>
            <w:r>
              <w:rPr>
                <w:rFonts w:ascii="Avenir Next Regular" w:hAnsi="Avenir Next Regular" w:cs="Calibri"/>
                <w:color w:val="000000" w:themeColor="text1"/>
                <w:sz w:val="16"/>
                <w:szCs w:val="16"/>
              </w:rPr>
              <w:t> </w:t>
            </w:r>
          </w:p>
        </w:tc>
      </w:tr>
      <w:tr w:rsidR="009F3374" w14:paraId="50A57C3B" w14:textId="77777777" w:rsidTr="009F3374">
        <w:trPr>
          <w:trHeight w:val="161"/>
        </w:trPr>
        <w:tc>
          <w:tcPr>
            <w:tcW w:w="1966" w:type="pct"/>
            <w:tcBorders>
              <w:top w:val="nil"/>
              <w:left w:val="single" w:sz="4" w:space="0" w:color="auto"/>
              <w:bottom w:val="single" w:sz="4" w:space="0" w:color="auto"/>
              <w:right w:val="single" w:sz="4" w:space="0" w:color="auto"/>
            </w:tcBorders>
            <w:noWrap/>
            <w:vAlign w:val="bottom"/>
            <w:hideMark/>
          </w:tcPr>
          <w:p w14:paraId="69E546C2"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1BD86496"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579780D8" w14:textId="77777777" w:rsidR="009F3374" w:rsidRDefault="009F3374">
            <w:pPr>
              <w:rPr>
                <w:rFonts w:ascii="Avenir Next Regular" w:hAnsi="Avenir Next Regular" w:cs="Calibri"/>
                <w:iCs/>
                <w:color w:val="000000" w:themeColor="text1"/>
                <w:sz w:val="16"/>
                <w:szCs w:val="16"/>
              </w:rPr>
            </w:pPr>
            <w:r>
              <w:rPr>
                <w:rFonts w:ascii="Avenir Next Regular" w:hAnsi="Avenir Next Regular" w:cs="Calibri"/>
                <w:iCs/>
                <w:color w:val="000000" w:themeColor="text1"/>
                <w:sz w:val="16"/>
                <w:szCs w:val="16"/>
              </w:rPr>
              <w:t> </w:t>
            </w:r>
          </w:p>
        </w:tc>
        <w:tc>
          <w:tcPr>
            <w:tcW w:w="1080" w:type="pct"/>
            <w:tcBorders>
              <w:top w:val="nil"/>
              <w:left w:val="nil"/>
              <w:bottom w:val="single" w:sz="4" w:space="0" w:color="auto"/>
              <w:right w:val="single" w:sz="4" w:space="0" w:color="auto"/>
            </w:tcBorders>
            <w:hideMark/>
          </w:tcPr>
          <w:p w14:paraId="6A36BAB4" w14:textId="77777777" w:rsidR="00601D9B" w:rsidRDefault="000E53A0">
            <w:pPr>
              <w:rPr>
                <w:rFonts w:ascii="Avenir Next Regular" w:hAnsi="Avenir Next Regular" w:cs="Calibri"/>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color w:val="000000" w:themeColor="text1"/>
                <w:sz w:val="16"/>
                <w:szCs w:val="16"/>
              </w:rPr>
              <w:t>Amazon</w:t>
            </w:r>
          </w:p>
        </w:tc>
      </w:tr>
      <w:tr w:rsidR="009F3374" w14:paraId="188E3CE8" w14:textId="77777777" w:rsidTr="009F3374">
        <w:trPr>
          <w:trHeight w:val="107"/>
        </w:trPr>
        <w:tc>
          <w:tcPr>
            <w:tcW w:w="1966" w:type="pct"/>
            <w:tcBorders>
              <w:top w:val="nil"/>
              <w:left w:val="single" w:sz="4" w:space="0" w:color="auto"/>
              <w:bottom w:val="single" w:sz="4" w:space="0" w:color="auto"/>
              <w:right w:val="single" w:sz="4" w:space="0" w:color="auto"/>
            </w:tcBorders>
            <w:noWrap/>
            <w:vAlign w:val="bottom"/>
            <w:hideMark/>
          </w:tcPr>
          <w:p w14:paraId="779BD266"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2FE393A2"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48A37C00" w14:textId="77777777" w:rsidR="009F3374" w:rsidRDefault="009F3374">
            <w:pPr>
              <w:rPr>
                <w:rFonts w:ascii="Avenir Next Regular" w:hAnsi="Avenir Next Regular" w:cs="Calibri"/>
                <w:iCs/>
                <w:color w:val="000000" w:themeColor="text1"/>
                <w:sz w:val="16"/>
                <w:szCs w:val="16"/>
              </w:rPr>
            </w:pPr>
            <w:r>
              <w:rPr>
                <w:rFonts w:ascii="Avenir Next Regular" w:hAnsi="Avenir Next Regular" w:cs="Calibri"/>
                <w:iCs/>
                <w:color w:val="000000" w:themeColor="text1"/>
                <w:sz w:val="16"/>
                <w:szCs w:val="16"/>
              </w:rPr>
              <w:t> </w:t>
            </w:r>
          </w:p>
        </w:tc>
        <w:tc>
          <w:tcPr>
            <w:tcW w:w="1080" w:type="pct"/>
            <w:tcBorders>
              <w:top w:val="nil"/>
              <w:left w:val="nil"/>
              <w:bottom w:val="single" w:sz="4" w:space="0" w:color="auto"/>
              <w:right w:val="single" w:sz="4" w:space="0" w:color="auto"/>
            </w:tcBorders>
            <w:hideMark/>
          </w:tcPr>
          <w:p w14:paraId="42D8F726" w14:textId="77777777" w:rsidR="00601D9B" w:rsidRDefault="000E53A0">
            <w:pPr>
              <w:rPr>
                <w:rFonts w:ascii="Avenir Next Regular" w:hAnsi="Avenir Next Regular" w:cs="Calibri"/>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color w:val="000000" w:themeColor="text1"/>
                <w:sz w:val="16"/>
                <w:szCs w:val="16"/>
              </w:rPr>
              <w:t>Congo</w:t>
            </w:r>
          </w:p>
        </w:tc>
      </w:tr>
      <w:tr w:rsidR="009F3374" w14:paraId="3A2C8DEC" w14:textId="77777777" w:rsidTr="009F3374">
        <w:trPr>
          <w:trHeight w:val="58"/>
        </w:trPr>
        <w:tc>
          <w:tcPr>
            <w:tcW w:w="1966" w:type="pct"/>
            <w:tcBorders>
              <w:top w:val="nil"/>
              <w:left w:val="single" w:sz="4" w:space="0" w:color="auto"/>
              <w:bottom w:val="single" w:sz="4" w:space="0" w:color="auto"/>
              <w:right w:val="single" w:sz="4" w:space="0" w:color="auto"/>
            </w:tcBorders>
            <w:noWrap/>
            <w:vAlign w:val="bottom"/>
            <w:hideMark/>
          </w:tcPr>
          <w:p w14:paraId="23C34A6D"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160B0FA4"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4163CA77" w14:textId="77777777" w:rsidR="009F3374" w:rsidRDefault="009F3374">
            <w:pPr>
              <w:rPr>
                <w:rFonts w:ascii="Avenir Next Regular" w:hAnsi="Avenir Next Regular" w:cs="Calibri"/>
                <w:iCs/>
                <w:color w:val="000000" w:themeColor="text1"/>
                <w:sz w:val="16"/>
                <w:szCs w:val="16"/>
              </w:rPr>
            </w:pPr>
            <w:r>
              <w:rPr>
                <w:rFonts w:ascii="Avenir Next Regular" w:hAnsi="Avenir Next Regular" w:cs="Calibri"/>
                <w:iCs/>
                <w:color w:val="000000" w:themeColor="text1"/>
                <w:sz w:val="16"/>
                <w:szCs w:val="16"/>
              </w:rPr>
              <w:t> </w:t>
            </w:r>
          </w:p>
        </w:tc>
        <w:tc>
          <w:tcPr>
            <w:tcW w:w="1080" w:type="pct"/>
            <w:tcBorders>
              <w:top w:val="nil"/>
              <w:left w:val="nil"/>
              <w:bottom w:val="single" w:sz="4" w:space="0" w:color="auto"/>
              <w:right w:val="single" w:sz="4" w:space="0" w:color="auto"/>
            </w:tcBorders>
            <w:hideMark/>
          </w:tcPr>
          <w:p w14:paraId="2C5B0070" w14:textId="77777777" w:rsidR="00601D9B" w:rsidRDefault="000E53A0">
            <w:pPr>
              <w:rPr>
                <w:rFonts w:ascii="Avenir Next Regular" w:hAnsi="Avenir Next Regular" w:cs="Calibri"/>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color w:val="000000" w:themeColor="text1"/>
                <w:sz w:val="16"/>
                <w:szCs w:val="16"/>
              </w:rPr>
              <w:t>Terres arides</w:t>
            </w:r>
          </w:p>
        </w:tc>
      </w:tr>
      <w:tr w:rsidR="009F3374" w14:paraId="78F1B0B6" w14:textId="77777777" w:rsidTr="009F3374">
        <w:trPr>
          <w:trHeight w:val="161"/>
        </w:trPr>
        <w:tc>
          <w:tcPr>
            <w:tcW w:w="1966" w:type="pct"/>
            <w:tcBorders>
              <w:top w:val="nil"/>
              <w:left w:val="single" w:sz="4" w:space="0" w:color="auto"/>
              <w:bottom w:val="single" w:sz="4" w:space="0" w:color="auto"/>
              <w:right w:val="single" w:sz="4" w:space="0" w:color="auto"/>
            </w:tcBorders>
            <w:noWrap/>
            <w:vAlign w:val="bottom"/>
            <w:hideMark/>
          </w:tcPr>
          <w:p w14:paraId="5A4D6A47"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66F313EF" w14:textId="77777777" w:rsidR="00601D9B" w:rsidRDefault="000E53A0">
            <w:pPr>
              <w:rPr>
                <w:rFonts w:ascii="Avenir Next Regular" w:hAnsi="Avenir Next Regular" w:cs="Calibri"/>
                <w:b/>
                <w:bCs/>
                <w:color w:val="000000" w:themeColor="text1"/>
                <w:sz w:val="16"/>
                <w:szCs w:val="16"/>
              </w:rPr>
            </w:pPr>
            <w:r>
              <w:rPr>
                <w:color w:val="000000" w:themeColor="text1"/>
              </w:rPr>
              <w:sym w:font="Symbol" w:char="F0C4"/>
            </w:r>
            <w:r>
              <w:rPr>
                <w:rFonts w:ascii="Avenir Next Regular" w:hAnsi="Avenir Next Regular" w:cs="Calibri"/>
                <w:b/>
                <w:bCs/>
                <w:color w:val="000000" w:themeColor="text1"/>
                <w:sz w:val="16"/>
                <w:szCs w:val="16"/>
              </w:rPr>
              <w:t>Dégradation des terres</w:t>
            </w:r>
          </w:p>
        </w:tc>
        <w:tc>
          <w:tcPr>
            <w:tcW w:w="1129" w:type="pct"/>
            <w:tcBorders>
              <w:top w:val="nil"/>
              <w:left w:val="nil"/>
              <w:bottom w:val="single" w:sz="4" w:space="0" w:color="auto"/>
              <w:right w:val="single" w:sz="4" w:space="0" w:color="auto"/>
            </w:tcBorders>
            <w:hideMark/>
          </w:tcPr>
          <w:p w14:paraId="1650B87B" w14:textId="77777777" w:rsidR="009F3374" w:rsidRDefault="009F3374">
            <w:pPr>
              <w:rPr>
                <w:rFonts w:ascii="Avenir Next Regular" w:hAnsi="Avenir Next Regular" w:cs="Calibri"/>
                <w:iCs/>
                <w:color w:val="000000" w:themeColor="text1"/>
                <w:sz w:val="16"/>
                <w:szCs w:val="16"/>
              </w:rPr>
            </w:pPr>
            <w:r>
              <w:rPr>
                <w:rFonts w:ascii="Avenir Next Regular" w:hAnsi="Avenir Next Regular" w:cs="Calibri"/>
                <w:iCs/>
                <w:color w:val="000000" w:themeColor="text1"/>
                <w:sz w:val="16"/>
                <w:szCs w:val="16"/>
              </w:rPr>
              <w:t> </w:t>
            </w:r>
          </w:p>
        </w:tc>
        <w:tc>
          <w:tcPr>
            <w:tcW w:w="1080" w:type="pct"/>
            <w:tcBorders>
              <w:top w:val="nil"/>
              <w:left w:val="nil"/>
              <w:bottom w:val="single" w:sz="4" w:space="0" w:color="auto"/>
              <w:right w:val="single" w:sz="4" w:space="0" w:color="auto"/>
            </w:tcBorders>
            <w:hideMark/>
          </w:tcPr>
          <w:p w14:paraId="31C1F571" w14:textId="77777777" w:rsidR="009F3374" w:rsidRDefault="009F3374">
            <w:pPr>
              <w:rPr>
                <w:rFonts w:ascii="Avenir Next Regular" w:hAnsi="Avenir Next Regular" w:cs="Calibri"/>
                <w:color w:val="000000" w:themeColor="text1"/>
                <w:sz w:val="16"/>
                <w:szCs w:val="16"/>
              </w:rPr>
            </w:pPr>
            <w:r>
              <w:rPr>
                <w:rFonts w:ascii="Avenir Next Regular" w:hAnsi="Avenir Next Regular" w:cs="Calibri"/>
                <w:color w:val="000000" w:themeColor="text1"/>
                <w:sz w:val="16"/>
                <w:szCs w:val="16"/>
              </w:rPr>
              <w:t> </w:t>
            </w:r>
          </w:p>
        </w:tc>
      </w:tr>
      <w:tr w:rsidR="009F3374" w14:paraId="711686D0" w14:textId="77777777" w:rsidTr="009F3374">
        <w:trPr>
          <w:trHeight w:val="58"/>
        </w:trPr>
        <w:tc>
          <w:tcPr>
            <w:tcW w:w="1966" w:type="pct"/>
            <w:tcBorders>
              <w:top w:val="nil"/>
              <w:left w:val="single" w:sz="4" w:space="0" w:color="auto"/>
              <w:bottom w:val="single" w:sz="4" w:space="0" w:color="auto"/>
              <w:right w:val="single" w:sz="4" w:space="0" w:color="auto"/>
            </w:tcBorders>
            <w:noWrap/>
            <w:vAlign w:val="bottom"/>
            <w:hideMark/>
          </w:tcPr>
          <w:p w14:paraId="6B152CF3"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266A69C7"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5B68C8BD" w14:textId="77777777" w:rsidR="00601D9B" w:rsidRDefault="000E53A0">
            <w:pPr>
              <w:rPr>
                <w:rFonts w:ascii="Avenir Next Regular" w:hAnsi="Avenir Next Regular" w:cs="Calibri"/>
                <w:iCs/>
                <w:color w:val="000000" w:themeColor="text1"/>
                <w:sz w:val="16"/>
                <w:szCs w:val="16"/>
              </w:rPr>
            </w:pPr>
            <w:r>
              <w:rPr>
                <w:color w:val="000000" w:themeColor="text1"/>
              </w:rPr>
              <w:sym w:font="Symbol" w:char="F0C4"/>
            </w:r>
            <w:r>
              <w:rPr>
                <w:rFonts w:ascii="Avenir Next Regular" w:hAnsi="Avenir Next Regular" w:cs="Calibri"/>
                <w:iCs/>
                <w:color w:val="000000" w:themeColor="text1"/>
                <w:sz w:val="16"/>
                <w:szCs w:val="16"/>
              </w:rPr>
              <w:t>Gestion durable des terres</w:t>
            </w:r>
          </w:p>
        </w:tc>
        <w:tc>
          <w:tcPr>
            <w:tcW w:w="1080" w:type="pct"/>
            <w:tcBorders>
              <w:top w:val="nil"/>
              <w:left w:val="nil"/>
              <w:bottom w:val="single" w:sz="4" w:space="0" w:color="auto"/>
              <w:right w:val="single" w:sz="4" w:space="0" w:color="auto"/>
            </w:tcBorders>
            <w:hideMark/>
          </w:tcPr>
          <w:p w14:paraId="5DE9E582" w14:textId="77777777" w:rsidR="009F3374" w:rsidRDefault="009F3374">
            <w:pPr>
              <w:rPr>
                <w:rFonts w:ascii="Avenir Next Regular" w:hAnsi="Avenir Next Regular" w:cs="Calibri"/>
                <w:color w:val="000000" w:themeColor="text1"/>
                <w:sz w:val="16"/>
                <w:szCs w:val="16"/>
              </w:rPr>
            </w:pPr>
            <w:r>
              <w:rPr>
                <w:rFonts w:ascii="Avenir Next Regular" w:hAnsi="Avenir Next Regular" w:cs="Calibri"/>
                <w:color w:val="000000" w:themeColor="text1"/>
                <w:sz w:val="16"/>
                <w:szCs w:val="16"/>
              </w:rPr>
              <w:t> </w:t>
            </w:r>
          </w:p>
        </w:tc>
      </w:tr>
      <w:tr w:rsidR="009F3374" w:rsidRPr="000E53A0" w14:paraId="5E3CEB8C" w14:textId="77777777" w:rsidTr="009F3374">
        <w:trPr>
          <w:trHeight w:val="420"/>
        </w:trPr>
        <w:tc>
          <w:tcPr>
            <w:tcW w:w="1966" w:type="pct"/>
            <w:tcBorders>
              <w:top w:val="nil"/>
              <w:left w:val="single" w:sz="4" w:space="0" w:color="auto"/>
              <w:bottom w:val="single" w:sz="4" w:space="0" w:color="auto"/>
              <w:right w:val="single" w:sz="4" w:space="0" w:color="auto"/>
            </w:tcBorders>
            <w:noWrap/>
            <w:vAlign w:val="bottom"/>
            <w:hideMark/>
          </w:tcPr>
          <w:p w14:paraId="083ECA8F"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6BED8020"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115943F7" w14:textId="77777777" w:rsidR="009F3374" w:rsidRDefault="009F3374">
            <w:pPr>
              <w:rPr>
                <w:rFonts w:ascii="Avenir Next Regular" w:hAnsi="Avenir Next Regular" w:cs="Calibri"/>
                <w:iCs/>
                <w:color w:val="000000" w:themeColor="text1"/>
                <w:sz w:val="16"/>
                <w:szCs w:val="16"/>
              </w:rPr>
            </w:pPr>
            <w:r>
              <w:rPr>
                <w:rFonts w:ascii="Avenir Next Regular" w:hAnsi="Avenir Next Regular" w:cs="Calibri"/>
                <w:iCs/>
                <w:color w:val="000000" w:themeColor="text1"/>
                <w:sz w:val="16"/>
                <w:szCs w:val="16"/>
              </w:rPr>
              <w:t> </w:t>
            </w:r>
          </w:p>
        </w:tc>
        <w:tc>
          <w:tcPr>
            <w:tcW w:w="1080" w:type="pct"/>
            <w:tcBorders>
              <w:top w:val="nil"/>
              <w:left w:val="nil"/>
              <w:bottom w:val="single" w:sz="4" w:space="0" w:color="auto"/>
              <w:right w:val="single" w:sz="4" w:space="0" w:color="auto"/>
            </w:tcBorders>
            <w:hideMark/>
          </w:tcPr>
          <w:p w14:paraId="2891036B" w14:textId="77777777" w:rsidR="00601D9B" w:rsidRPr="000E53A0" w:rsidRDefault="000E53A0">
            <w:pPr>
              <w:ind w:left="192" w:hanging="192"/>
              <w:rPr>
                <w:rFonts w:ascii="Avenir Next Regular" w:hAnsi="Avenir Next Regular" w:cs="Calibri"/>
                <w:color w:val="000000" w:themeColor="text1"/>
                <w:sz w:val="16"/>
                <w:szCs w:val="16"/>
                <w:lang w:val="fr-FR"/>
              </w:rPr>
            </w:pPr>
            <w:r>
              <w:rPr>
                <w:color w:val="000000" w:themeColor="text1"/>
              </w:rPr>
              <w:sym w:font="Symbol" w:char="F0C4"/>
            </w:r>
            <w:r w:rsidRPr="000E53A0">
              <w:rPr>
                <w:rFonts w:ascii="Avenir Next Regular" w:hAnsi="Avenir Next Regular" w:cs="Calibri"/>
                <w:color w:val="000000" w:themeColor="text1"/>
                <w:sz w:val="16"/>
                <w:szCs w:val="16"/>
                <w:lang w:val="fr-FR"/>
              </w:rPr>
              <w:t xml:space="preserve">Restauration et réhabilitation des terres dégradées </w:t>
            </w:r>
          </w:p>
        </w:tc>
      </w:tr>
      <w:tr w:rsidR="009F3374" w14:paraId="5F65652E" w14:textId="77777777" w:rsidTr="009F3374">
        <w:trPr>
          <w:trHeight w:val="188"/>
        </w:trPr>
        <w:tc>
          <w:tcPr>
            <w:tcW w:w="1966" w:type="pct"/>
            <w:tcBorders>
              <w:top w:val="nil"/>
              <w:left w:val="single" w:sz="4" w:space="0" w:color="auto"/>
              <w:bottom w:val="single" w:sz="4" w:space="0" w:color="auto"/>
              <w:right w:val="single" w:sz="4" w:space="0" w:color="auto"/>
            </w:tcBorders>
            <w:noWrap/>
            <w:vAlign w:val="bottom"/>
            <w:hideMark/>
          </w:tcPr>
          <w:p w14:paraId="6225453B" w14:textId="77777777" w:rsidR="009F3374" w:rsidRPr="000E53A0" w:rsidRDefault="009F3374">
            <w:pPr>
              <w:rPr>
                <w:rFonts w:ascii="Avenir Next Regular" w:hAnsi="Avenir Next Regular" w:cs="Calibri"/>
                <w:b/>
                <w:bCs/>
                <w:color w:val="000000" w:themeColor="text1"/>
                <w:sz w:val="16"/>
                <w:szCs w:val="16"/>
                <w:lang w:val="fr-FR"/>
              </w:rPr>
            </w:pPr>
            <w:r w:rsidRPr="000E53A0">
              <w:rPr>
                <w:rFonts w:ascii="Avenir Next Regular" w:hAnsi="Avenir Next Regular" w:cs="Calibri"/>
                <w:b/>
                <w:bCs/>
                <w:color w:val="000000" w:themeColor="text1"/>
                <w:sz w:val="16"/>
                <w:szCs w:val="16"/>
                <w:lang w:val="fr-FR"/>
              </w:rPr>
              <w:t> </w:t>
            </w:r>
          </w:p>
        </w:tc>
        <w:tc>
          <w:tcPr>
            <w:tcW w:w="825" w:type="pct"/>
            <w:tcBorders>
              <w:top w:val="nil"/>
              <w:left w:val="nil"/>
              <w:bottom w:val="single" w:sz="4" w:space="0" w:color="auto"/>
              <w:right w:val="single" w:sz="4" w:space="0" w:color="auto"/>
            </w:tcBorders>
            <w:vAlign w:val="bottom"/>
            <w:hideMark/>
          </w:tcPr>
          <w:p w14:paraId="4ADDCD70" w14:textId="77777777" w:rsidR="009F3374" w:rsidRPr="000E53A0" w:rsidRDefault="009F3374">
            <w:pPr>
              <w:rPr>
                <w:rFonts w:ascii="Avenir Next Regular" w:hAnsi="Avenir Next Regular" w:cs="Calibri"/>
                <w:b/>
                <w:bCs/>
                <w:color w:val="000000" w:themeColor="text1"/>
                <w:sz w:val="16"/>
                <w:szCs w:val="16"/>
                <w:lang w:val="fr-FR"/>
              </w:rPr>
            </w:pPr>
            <w:r w:rsidRPr="000E53A0">
              <w:rPr>
                <w:rFonts w:ascii="Avenir Next Regular" w:hAnsi="Avenir Next Regular" w:cs="Calibri"/>
                <w:b/>
                <w:bCs/>
                <w:color w:val="000000" w:themeColor="text1"/>
                <w:sz w:val="16"/>
                <w:szCs w:val="16"/>
                <w:lang w:val="fr-FR"/>
              </w:rPr>
              <w:t> </w:t>
            </w:r>
          </w:p>
        </w:tc>
        <w:tc>
          <w:tcPr>
            <w:tcW w:w="1129" w:type="pct"/>
            <w:tcBorders>
              <w:top w:val="nil"/>
              <w:left w:val="nil"/>
              <w:bottom w:val="single" w:sz="4" w:space="0" w:color="auto"/>
              <w:right w:val="single" w:sz="4" w:space="0" w:color="auto"/>
            </w:tcBorders>
            <w:hideMark/>
          </w:tcPr>
          <w:p w14:paraId="3A1F15D5" w14:textId="77777777" w:rsidR="009F3374" w:rsidRPr="000E53A0" w:rsidRDefault="009F3374">
            <w:pPr>
              <w:rPr>
                <w:rFonts w:ascii="Avenir Next Regular" w:hAnsi="Avenir Next Regular" w:cs="Calibri"/>
                <w:iCs/>
                <w:color w:val="000000" w:themeColor="text1"/>
                <w:sz w:val="16"/>
                <w:szCs w:val="16"/>
                <w:lang w:val="fr-FR"/>
              </w:rPr>
            </w:pPr>
            <w:r w:rsidRPr="000E53A0">
              <w:rPr>
                <w:rFonts w:ascii="Avenir Next Regular" w:hAnsi="Avenir Next Regular" w:cs="Calibri"/>
                <w:iCs/>
                <w:color w:val="000000" w:themeColor="text1"/>
                <w:sz w:val="16"/>
                <w:szCs w:val="16"/>
                <w:lang w:val="fr-FR"/>
              </w:rPr>
              <w:t> </w:t>
            </w:r>
          </w:p>
        </w:tc>
        <w:tc>
          <w:tcPr>
            <w:tcW w:w="1080" w:type="pct"/>
            <w:tcBorders>
              <w:top w:val="nil"/>
              <w:left w:val="nil"/>
              <w:bottom w:val="single" w:sz="4" w:space="0" w:color="auto"/>
              <w:right w:val="single" w:sz="4" w:space="0" w:color="auto"/>
            </w:tcBorders>
            <w:hideMark/>
          </w:tcPr>
          <w:p w14:paraId="5595658B" w14:textId="77777777" w:rsidR="00601D9B" w:rsidRDefault="000E53A0">
            <w:pPr>
              <w:rPr>
                <w:rFonts w:ascii="Avenir Next Regular" w:hAnsi="Avenir Next Regular" w:cs="Calibri"/>
                <w:color w:val="000000" w:themeColor="text1"/>
                <w:sz w:val="16"/>
                <w:szCs w:val="16"/>
              </w:rPr>
            </w:pPr>
            <w:r>
              <w:rPr>
                <w:color w:val="000000" w:themeColor="text1"/>
              </w:rPr>
              <w:sym w:font="Symbol" w:char="F0C4"/>
            </w:r>
            <w:r>
              <w:rPr>
                <w:rFonts w:ascii="Avenir Next Regular" w:hAnsi="Avenir Next Regular" w:cs="Calibri"/>
                <w:color w:val="000000" w:themeColor="text1"/>
                <w:sz w:val="16"/>
                <w:szCs w:val="16"/>
              </w:rPr>
              <w:t>L'approche écosystémique</w:t>
            </w:r>
          </w:p>
        </w:tc>
      </w:tr>
      <w:tr w:rsidR="009F3374" w14:paraId="51DA8211" w14:textId="77777777" w:rsidTr="009F3374">
        <w:trPr>
          <w:trHeight w:val="251"/>
        </w:trPr>
        <w:tc>
          <w:tcPr>
            <w:tcW w:w="1966" w:type="pct"/>
            <w:tcBorders>
              <w:top w:val="nil"/>
              <w:left w:val="single" w:sz="4" w:space="0" w:color="auto"/>
              <w:bottom w:val="single" w:sz="4" w:space="0" w:color="auto"/>
              <w:right w:val="single" w:sz="4" w:space="0" w:color="auto"/>
            </w:tcBorders>
            <w:noWrap/>
            <w:vAlign w:val="bottom"/>
            <w:hideMark/>
          </w:tcPr>
          <w:p w14:paraId="4FE76DD3"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7C6D28DE"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02C5B81A" w14:textId="77777777" w:rsidR="009F3374" w:rsidRDefault="009F3374">
            <w:pPr>
              <w:rPr>
                <w:rFonts w:ascii="Avenir Next Regular" w:hAnsi="Avenir Next Regular" w:cs="Calibri"/>
                <w:iCs/>
                <w:color w:val="000000" w:themeColor="text1"/>
                <w:sz w:val="16"/>
                <w:szCs w:val="16"/>
              </w:rPr>
            </w:pPr>
            <w:r>
              <w:rPr>
                <w:rFonts w:ascii="Avenir Next Regular" w:hAnsi="Avenir Next Regular" w:cs="Calibri"/>
                <w:iCs/>
                <w:color w:val="000000" w:themeColor="text1"/>
                <w:sz w:val="16"/>
                <w:szCs w:val="16"/>
              </w:rPr>
              <w:t> </w:t>
            </w:r>
          </w:p>
        </w:tc>
        <w:tc>
          <w:tcPr>
            <w:tcW w:w="1080" w:type="pct"/>
            <w:tcBorders>
              <w:top w:val="nil"/>
              <w:left w:val="nil"/>
              <w:bottom w:val="single" w:sz="4" w:space="0" w:color="auto"/>
              <w:right w:val="single" w:sz="4" w:space="0" w:color="auto"/>
            </w:tcBorders>
            <w:hideMark/>
          </w:tcPr>
          <w:p w14:paraId="76345CD6" w14:textId="77777777" w:rsidR="00601D9B" w:rsidRDefault="000E53A0">
            <w:pPr>
              <w:ind w:left="192" w:hanging="192"/>
              <w:rPr>
                <w:rFonts w:ascii="Avenir Next Regular" w:hAnsi="Avenir Next Regular" w:cs="Calibri"/>
                <w:color w:val="000000" w:themeColor="text1"/>
                <w:sz w:val="16"/>
                <w:szCs w:val="16"/>
              </w:rPr>
            </w:pPr>
            <w:r>
              <w:rPr>
                <w:color w:val="000000" w:themeColor="text1"/>
              </w:rPr>
              <w:sym w:font="Symbol" w:char="F0C4"/>
            </w:r>
            <w:r>
              <w:rPr>
                <w:rFonts w:ascii="Avenir Next Regular" w:hAnsi="Avenir Next Regular" w:cs="Calibri"/>
                <w:color w:val="000000" w:themeColor="text1"/>
                <w:sz w:val="16"/>
                <w:szCs w:val="16"/>
              </w:rPr>
              <w:t>Approche intégrée et intersectorielle</w:t>
            </w:r>
          </w:p>
        </w:tc>
      </w:tr>
      <w:tr w:rsidR="009F3374" w14:paraId="2D17C38D" w14:textId="77777777" w:rsidTr="009F3374">
        <w:trPr>
          <w:trHeight w:val="58"/>
        </w:trPr>
        <w:tc>
          <w:tcPr>
            <w:tcW w:w="1966" w:type="pct"/>
            <w:tcBorders>
              <w:top w:val="nil"/>
              <w:left w:val="single" w:sz="4" w:space="0" w:color="auto"/>
              <w:bottom w:val="single" w:sz="4" w:space="0" w:color="auto"/>
              <w:right w:val="single" w:sz="4" w:space="0" w:color="auto"/>
            </w:tcBorders>
            <w:noWrap/>
            <w:vAlign w:val="bottom"/>
            <w:hideMark/>
          </w:tcPr>
          <w:p w14:paraId="46BCAE8D"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4F813209"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2A6962CE" w14:textId="77777777" w:rsidR="009F3374" w:rsidRDefault="009F3374">
            <w:pPr>
              <w:rPr>
                <w:rFonts w:ascii="Avenir Next Regular" w:hAnsi="Avenir Next Regular" w:cs="Calibri"/>
                <w:iCs/>
                <w:color w:val="000000" w:themeColor="text1"/>
                <w:sz w:val="16"/>
                <w:szCs w:val="16"/>
              </w:rPr>
            </w:pPr>
            <w:r>
              <w:rPr>
                <w:rFonts w:ascii="Avenir Next Regular" w:hAnsi="Avenir Next Regular" w:cs="Calibri"/>
                <w:iCs/>
                <w:color w:val="000000" w:themeColor="text1"/>
                <w:sz w:val="16"/>
                <w:szCs w:val="16"/>
              </w:rPr>
              <w:t> </w:t>
            </w:r>
          </w:p>
        </w:tc>
        <w:tc>
          <w:tcPr>
            <w:tcW w:w="1080" w:type="pct"/>
            <w:tcBorders>
              <w:top w:val="nil"/>
              <w:left w:val="nil"/>
              <w:bottom w:val="single" w:sz="4" w:space="0" w:color="auto"/>
              <w:right w:val="single" w:sz="4" w:space="0" w:color="auto"/>
            </w:tcBorders>
            <w:hideMark/>
          </w:tcPr>
          <w:p w14:paraId="28004304" w14:textId="77777777" w:rsidR="00601D9B" w:rsidRDefault="000E53A0">
            <w:pPr>
              <w:rPr>
                <w:rFonts w:ascii="Avenir Next Regular" w:hAnsi="Avenir Next Regular" w:cs="Calibri"/>
                <w:color w:val="000000" w:themeColor="text1"/>
                <w:sz w:val="16"/>
                <w:szCs w:val="16"/>
              </w:rPr>
            </w:pPr>
            <w:r>
              <w:rPr>
                <w:color w:val="000000" w:themeColor="text1"/>
              </w:rPr>
              <w:sym w:font="Symbol" w:char="F0C4"/>
            </w:r>
            <w:r>
              <w:rPr>
                <w:rFonts w:ascii="Avenir Next Regular" w:hAnsi="Avenir Next Regular" w:cs="Calibri"/>
                <w:color w:val="000000" w:themeColor="text1"/>
                <w:sz w:val="16"/>
                <w:szCs w:val="16"/>
              </w:rPr>
              <w:t>GRN à base communautaire</w:t>
            </w:r>
          </w:p>
        </w:tc>
      </w:tr>
      <w:tr w:rsidR="009F3374" w14:paraId="2AFD8A9A" w14:textId="77777777" w:rsidTr="009F3374">
        <w:trPr>
          <w:trHeight w:val="58"/>
        </w:trPr>
        <w:tc>
          <w:tcPr>
            <w:tcW w:w="1966" w:type="pct"/>
            <w:tcBorders>
              <w:top w:val="nil"/>
              <w:left w:val="single" w:sz="4" w:space="0" w:color="auto"/>
              <w:bottom w:val="single" w:sz="4" w:space="0" w:color="auto"/>
              <w:right w:val="single" w:sz="4" w:space="0" w:color="auto"/>
            </w:tcBorders>
            <w:noWrap/>
            <w:vAlign w:val="bottom"/>
            <w:hideMark/>
          </w:tcPr>
          <w:p w14:paraId="03B5BC90"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6E0F8699"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64AB94D0" w14:textId="77777777" w:rsidR="009F3374" w:rsidRDefault="009F3374">
            <w:pPr>
              <w:rPr>
                <w:rFonts w:ascii="Avenir Next Regular" w:hAnsi="Avenir Next Regular" w:cs="Calibri"/>
                <w:iCs/>
                <w:color w:val="000000" w:themeColor="text1"/>
                <w:sz w:val="16"/>
                <w:szCs w:val="16"/>
              </w:rPr>
            </w:pPr>
            <w:r>
              <w:rPr>
                <w:rFonts w:ascii="Avenir Next Regular" w:hAnsi="Avenir Next Regular" w:cs="Calibri"/>
                <w:iCs/>
                <w:color w:val="000000" w:themeColor="text1"/>
                <w:sz w:val="16"/>
                <w:szCs w:val="16"/>
              </w:rPr>
              <w:t> </w:t>
            </w:r>
          </w:p>
        </w:tc>
        <w:tc>
          <w:tcPr>
            <w:tcW w:w="1080" w:type="pct"/>
            <w:tcBorders>
              <w:top w:val="nil"/>
              <w:left w:val="nil"/>
              <w:bottom w:val="single" w:sz="4" w:space="0" w:color="auto"/>
              <w:right w:val="single" w:sz="4" w:space="0" w:color="auto"/>
            </w:tcBorders>
            <w:hideMark/>
          </w:tcPr>
          <w:p w14:paraId="2578EBDF" w14:textId="77777777" w:rsidR="00601D9B" w:rsidRDefault="000E53A0">
            <w:pPr>
              <w:rPr>
                <w:rFonts w:ascii="Avenir Next Regular" w:hAnsi="Avenir Next Regular" w:cs="Calibri"/>
                <w:color w:val="000000" w:themeColor="text1"/>
                <w:sz w:val="16"/>
                <w:szCs w:val="16"/>
              </w:rPr>
            </w:pPr>
            <w:r>
              <w:rPr>
                <w:color w:val="000000" w:themeColor="text1"/>
              </w:rPr>
              <w:sym w:font="Symbol" w:char="F0C4"/>
            </w:r>
            <w:r>
              <w:rPr>
                <w:rFonts w:ascii="Avenir Next Regular" w:hAnsi="Avenir Next Regular" w:cs="Calibri"/>
                <w:color w:val="000000" w:themeColor="text1"/>
                <w:sz w:val="16"/>
                <w:szCs w:val="16"/>
              </w:rPr>
              <w:t>Moyens de subsistance durables</w:t>
            </w:r>
          </w:p>
        </w:tc>
      </w:tr>
      <w:tr w:rsidR="009F3374" w14:paraId="580EAA5A" w14:textId="77777777" w:rsidTr="009F3374">
        <w:trPr>
          <w:trHeight w:val="58"/>
        </w:trPr>
        <w:tc>
          <w:tcPr>
            <w:tcW w:w="1966" w:type="pct"/>
            <w:tcBorders>
              <w:top w:val="nil"/>
              <w:left w:val="single" w:sz="4" w:space="0" w:color="auto"/>
              <w:bottom w:val="single" w:sz="4" w:space="0" w:color="auto"/>
              <w:right w:val="single" w:sz="4" w:space="0" w:color="auto"/>
            </w:tcBorders>
            <w:noWrap/>
            <w:vAlign w:val="bottom"/>
            <w:hideMark/>
          </w:tcPr>
          <w:p w14:paraId="5BBAFF73"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2FE6BFE3"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425C2A87" w14:textId="77777777" w:rsidR="009F3374" w:rsidRDefault="009F3374">
            <w:pPr>
              <w:rPr>
                <w:rFonts w:ascii="Avenir Next Regular" w:hAnsi="Avenir Next Regular" w:cs="Calibri"/>
                <w:iCs/>
                <w:color w:val="000000" w:themeColor="text1"/>
                <w:sz w:val="16"/>
                <w:szCs w:val="16"/>
              </w:rPr>
            </w:pPr>
            <w:r>
              <w:rPr>
                <w:rFonts w:ascii="Avenir Next Regular" w:hAnsi="Avenir Next Regular" w:cs="Calibri"/>
                <w:iCs/>
                <w:color w:val="000000" w:themeColor="text1"/>
                <w:sz w:val="16"/>
                <w:szCs w:val="16"/>
              </w:rPr>
              <w:t> </w:t>
            </w:r>
          </w:p>
        </w:tc>
        <w:tc>
          <w:tcPr>
            <w:tcW w:w="1080" w:type="pct"/>
            <w:tcBorders>
              <w:top w:val="nil"/>
              <w:left w:val="nil"/>
              <w:bottom w:val="single" w:sz="4" w:space="0" w:color="auto"/>
              <w:right w:val="single" w:sz="4" w:space="0" w:color="auto"/>
            </w:tcBorders>
            <w:hideMark/>
          </w:tcPr>
          <w:p w14:paraId="64D84652" w14:textId="77777777" w:rsidR="00601D9B" w:rsidRDefault="000E53A0">
            <w:pPr>
              <w:rPr>
                <w:rFonts w:ascii="Avenir Next Regular" w:hAnsi="Avenir Next Regular" w:cs="Calibri"/>
                <w:color w:val="000000" w:themeColor="text1"/>
                <w:sz w:val="16"/>
                <w:szCs w:val="16"/>
              </w:rPr>
            </w:pPr>
            <w:r>
              <w:rPr>
                <w:color w:val="000000" w:themeColor="text1"/>
              </w:rPr>
              <w:sym w:font="Symbol" w:char="F0C4"/>
            </w:r>
            <w:r>
              <w:rPr>
                <w:rFonts w:ascii="Avenir Next Regular" w:hAnsi="Avenir Next Regular" w:cs="Calibri"/>
                <w:color w:val="000000" w:themeColor="text1"/>
                <w:sz w:val="16"/>
                <w:szCs w:val="16"/>
              </w:rPr>
              <w:t>Activités génératrices de revenus</w:t>
            </w:r>
          </w:p>
        </w:tc>
      </w:tr>
      <w:tr w:rsidR="009F3374" w14:paraId="460B422E" w14:textId="77777777" w:rsidTr="009F3374">
        <w:trPr>
          <w:trHeight w:val="134"/>
        </w:trPr>
        <w:tc>
          <w:tcPr>
            <w:tcW w:w="1966" w:type="pct"/>
            <w:tcBorders>
              <w:top w:val="nil"/>
              <w:left w:val="single" w:sz="4" w:space="0" w:color="auto"/>
              <w:bottom w:val="single" w:sz="4" w:space="0" w:color="auto"/>
              <w:right w:val="single" w:sz="4" w:space="0" w:color="auto"/>
            </w:tcBorders>
            <w:noWrap/>
            <w:vAlign w:val="bottom"/>
            <w:hideMark/>
          </w:tcPr>
          <w:p w14:paraId="45AA347C"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2DAC4134"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444E3EA8" w14:textId="77777777" w:rsidR="009F3374" w:rsidRDefault="009F3374">
            <w:pPr>
              <w:rPr>
                <w:rFonts w:ascii="Avenir Next Regular" w:hAnsi="Avenir Next Regular" w:cs="Calibri"/>
                <w:iCs/>
                <w:color w:val="000000" w:themeColor="text1"/>
                <w:sz w:val="16"/>
                <w:szCs w:val="16"/>
              </w:rPr>
            </w:pPr>
            <w:r>
              <w:rPr>
                <w:rFonts w:ascii="Avenir Next Regular" w:hAnsi="Avenir Next Regular" w:cs="Calibri"/>
                <w:iCs/>
                <w:color w:val="000000" w:themeColor="text1"/>
                <w:sz w:val="16"/>
                <w:szCs w:val="16"/>
              </w:rPr>
              <w:t> </w:t>
            </w:r>
          </w:p>
        </w:tc>
        <w:tc>
          <w:tcPr>
            <w:tcW w:w="1080" w:type="pct"/>
            <w:tcBorders>
              <w:top w:val="nil"/>
              <w:left w:val="nil"/>
              <w:bottom w:val="single" w:sz="4" w:space="0" w:color="auto"/>
              <w:right w:val="single" w:sz="4" w:space="0" w:color="auto"/>
            </w:tcBorders>
            <w:hideMark/>
          </w:tcPr>
          <w:p w14:paraId="08C699E9" w14:textId="77777777" w:rsidR="00601D9B" w:rsidRDefault="000E53A0">
            <w:pPr>
              <w:rPr>
                <w:rFonts w:ascii="Avenir Next Regular" w:hAnsi="Avenir Next Regular" w:cs="Calibri"/>
                <w:color w:val="000000" w:themeColor="text1"/>
                <w:sz w:val="16"/>
                <w:szCs w:val="16"/>
              </w:rPr>
            </w:pPr>
            <w:r>
              <w:rPr>
                <w:color w:val="000000" w:themeColor="text1"/>
              </w:rPr>
              <w:sym w:font="Symbol" w:char="F0C4"/>
            </w:r>
            <w:r>
              <w:rPr>
                <w:rFonts w:ascii="Avenir Next Regular" w:hAnsi="Avenir Next Regular" w:cs="Calibri"/>
                <w:color w:val="000000" w:themeColor="text1"/>
                <w:sz w:val="16"/>
                <w:szCs w:val="16"/>
              </w:rPr>
              <w:t>Agriculture durable</w:t>
            </w:r>
          </w:p>
        </w:tc>
      </w:tr>
      <w:tr w:rsidR="009F3374" w14:paraId="65A474C4" w14:textId="77777777" w:rsidTr="009F3374">
        <w:trPr>
          <w:trHeight w:val="107"/>
        </w:trPr>
        <w:tc>
          <w:tcPr>
            <w:tcW w:w="1966" w:type="pct"/>
            <w:tcBorders>
              <w:top w:val="nil"/>
              <w:left w:val="single" w:sz="4" w:space="0" w:color="auto"/>
              <w:bottom w:val="single" w:sz="4" w:space="0" w:color="auto"/>
              <w:right w:val="single" w:sz="4" w:space="0" w:color="auto"/>
            </w:tcBorders>
            <w:noWrap/>
            <w:vAlign w:val="bottom"/>
            <w:hideMark/>
          </w:tcPr>
          <w:p w14:paraId="38F6C3F1"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6DC7B73C"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21CD6BF7" w14:textId="77777777" w:rsidR="009F3374" w:rsidRDefault="009F3374">
            <w:pPr>
              <w:rPr>
                <w:rFonts w:ascii="Avenir Next Regular" w:hAnsi="Avenir Next Regular" w:cs="Calibri"/>
                <w:iCs/>
                <w:color w:val="000000" w:themeColor="text1"/>
                <w:sz w:val="16"/>
                <w:szCs w:val="16"/>
              </w:rPr>
            </w:pPr>
            <w:r>
              <w:rPr>
                <w:rFonts w:ascii="Avenir Next Regular" w:hAnsi="Avenir Next Regular" w:cs="Calibri"/>
                <w:iCs/>
                <w:color w:val="000000" w:themeColor="text1"/>
                <w:sz w:val="16"/>
                <w:szCs w:val="16"/>
              </w:rPr>
              <w:t> </w:t>
            </w:r>
          </w:p>
        </w:tc>
        <w:tc>
          <w:tcPr>
            <w:tcW w:w="1080" w:type="pct"/>
            <w:tcBorders>
              <w:top w:val="nil"/>
              <w:left w:val="nil"/>
              <w:bottom w:val="single" w:sz="4" w:space="0" w:color="auto"/>
              <w:right w:val="single" w:sz="4" w:space="0" w:color="auto"/>
            </w:tcBorders>
            <w:hideMark/>
          </w:tcPr>
          <w:p w14:paraId="60B39D3F" w14:textId="77777777" w:rsidR="00601D9B" w:rsidRDefault="000E53A0">
            <w:pPr>
              <w:ind w:left="192" w:hanging="192"/>
              <w:rPr>
                <w:rFonts w:ascii="Avenir Next Regular" w:hAnsi="Avenir Next Regular" w:cs="Calibri"/>
                <w:color w:val="000000" w:themeColor="text1"/>
                <w:sz w:val="16"/>
                <w:szCs w:val="16"/>
              </w:rPr>
            </w:pPr>
            <w:r>
              <w:rPr>
                <w:color w:val="000000" w:themeColor="text1"/>
              </w:rPr>
              <w:sym w:font="Symbol" w:char="F0C4"/>
            </w:r>
            <w:r>
              <w:rPr>
                <w:rFonts w:ascii="Avenir Next Regular" w:hAnsi="Avenir Next Regular" w:cs="Calibri"/>
                <w:color w:val="000000" w:themeColor="text1"/>
                <w:sz w:val="16"/>
                <w:szCs w:val="16"/>
              </w:rPr>
              <w:t>Gestion durable des pâturages</w:t>
            </w:r>
          </w:p>
        </w:tc>
      </w:tr>
      <w:tr w:rsidR="009F3374" w:rsidRPr="000E53A0" w14:paraId="5B1C25B8" w14:textId="77777777" w:rsidTr="009F3374">
        <w:trPr>
          <w:trHeight w:val="420"/>
        </w:trPr>
        <w:tc>
          <w:tcPr>
            <w:tcW w:w="1966" w:type="pct"/>
            <w:tcBorders>
              <w:top w:val="nil"/>
              <w:left w:val="single" w:sz="4" w:space="0" w:color="auto"/>
              <w:bottom w:val="single" w:sz="4" w:space="0" w:color="auto"/>
              <w:right w:val="single" w:sz="4" w:space="0" w:color="auto"/>
            </w:tcBorders>
            <w:noWrap/>
            <w:vAlign w:val="bottom"/>
            <w:hideMark/>
          </w:tcPr>
          <w:p w14:paraId="71207F35"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06BD05B3"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1C9057CE" w14:textId="77777777" w:rsidR="009F3374" w:rsidRDefault="009F3374">
            <w:pPr>
              <w:rPr>
                <w:rFonts w:ascii="Avenir Next Regular" w:hAnsi="Avenir Next Regular" w:cs="Calibri"/>
                <w:iCs/>
                <w:color w:val="000000" w:themeColor="text1"/>
                <w:sz w:val="16"/>
                <w:szCs w:val="16"/>
              </w:rPr>
            </w:pPr>
            <w:r>
              <w:rPr>
                <w:rFonts w:ascii="Avenir Next Regular" w:hAnsi="Avenir Next Regular" w:cs="Calibri"/>
                <w:iCs/>
                <w:color w:val="000000" w:themeColor="text1"/>
                <w:sz w:val="16"/>
                <w:szCs w:val="16"/>
              </w:rPr>
              <w:t> </w:t>
            </w:r>
          </w:p>
        </w:tc>
        <w:tc>
          <w:tcPr>
            <w:tcW w:w="1080" w:type="pct"/>
            <w:tcBorders>
              <w:top w:val="nil"/>
              <w:left w:val="nil"/>
              <w:bottom w:val="single" w:sz="4" w:space="0" w:color="auto"/>
              <w:right w:val="single" w:sz="4" w:space="0" w:color="auto"/>
            </w:tcBorders>
            <w:hideMark/>
          </w:tcPr>
          <w:p w14:paraId="68854104" w14:textId="77777777" w:rsidR="00601D9B" w:rsidRPr="000E53A0" w:rsidRDefault="000E53A0">
            <w:pPr>
              <w:ind w:left="192" w:hanging="192"/>
              <w:rPr>
                <w:rFonts w:ascii="Avenir Next Regular" w:hAnsi="Avenir Next Regular" w:cs="Calibri"/>
                <w:color w:val="000000" w:themeColor="text1"/>
                <w:sz w:val="16"/>
                <w:szCs w:val="16"/>
                <w:lang w:val="fr-FR"/>
              </w:rPr>
            </w:pPr>
            <w:r>
              <w:rPr>
                <w:color w:val="000000" w:themeColor="text1"/>
              </w:rPr>
              <w:sym w:font="Symbol" w:char="F0C4"/>
            </w:r>
            <w:r w:rsidRPr="000E53A0">
              <w:rPr>
                <w:rFonts w:ascii="Avenir Next Regular" w:hAnsi="Avenir Next Regular" w:cs="Calibri"/>
                <w:color w:val="000000" w:themeColor="text1"/>
                <w:sz w:val="16"/>
                <w:szCs w:val="16"/>
                <w:lang w:val="fr-FR"/>
              </w:rPr>
              <w:t>Gestion durable des forêts et des zones boisées</w:t>
            </w:r>
          </w:p>
        </w:tc>
      </w:tr>
      <w:tr w:rsidR="009F3374" w:rsidRPr="000E53A0" w14:paraId="5286DDAE" w14:textId="77777777" w:rsidTr="009F3374">
        <w:trPr>
          <w:trHeight w:val="420"/>
        </w:trPr>
        <w:tc>
          <w:tcPr>
            <w:tcW w:w="1966" w:type="pct"/>
            <w:tcBorders>
              <w:top w:val="nil"/>
              <w:left w:val="single" w:sz="4" w:space="0" w:color="auto"/>
              <w:bottom w:val="single" w:sz="4" w:space="0" w:color="auto"/>
              <w:right w:val="single" w:sz="4" w:space="0" w:color="auto"/>
            </w:tcBorders>
            <w:noWrap/>
            <w:vAlign w:val="bottom"/>
            <w:hideMark/>
          </w:tcPr>
          <w:p w14:paraId="61DFF9EE" w14:textId="77777777" w:rsidR="009F3374" w:rsidRPr="000E53A0" w:rsidRDefault="009F3374">
            <w:pPr>
              <w:rPr>
                <w:rFonts w:ascii="Avenir Next Regular" w:hAnsi="Avenir Next Regular" w:cs="Calibri"/>
                <w:b/>
                <w:bCs/>
                <w:color w:val="000000" w:themeColor="text1"/>
                <w:sz w:val="16"/>
                <w:szCs w:val="16"/>
                <w:lang w:val="fr-FR"/>
              </w:rPr>
            </w:pPr>
            <w:r w:rsidRPr="000E53A0">
              <w:rPr>
                <w:rFonts w:ascii="Avenir Next Regular" w:hAnsi="Avenir Next Regular" w:cs="Calibri"/>
                <w:b/>
                <w:bCs/>
                <w:color w:val="000000" w:themeColor="text1"/>
                <w:sz w:val="16"/>
                <w:szCs w:val="16"/>
                <w:lang w:val="fr-FR"/>
              </w:rPr>
              <w:t> </w:t>
            </w:r>
          </w:p>
        </w:tc>
        <w:tc>
          <w:tcPr>
            <w:tcW w:w="825" w:type="pct"/>
            <w:tcBorders>
              <w:top w:val="nil"/>
              <w:left w:val="nil"/>
              <w:bottom w:val="single" w:sz="4" w:space="0" w:color="auto"/>
              <w:right w:val="single" w:sz="4" w:space="0" w:color="auto"/>
            </w:tcBorders>
            <w:hideMark/>
          </w:tcPr>
          <w:p w14:paraId="6884037D" w14:textId="77777777" w:rsidR="009F3374" w:rsidRPr="000E53A0" w:rsidRDefault="009F3374">
            <w:pPr>
              <w:rPr>
                <w:rFonts w:ascii="Avenir Next Regular" w:hAnsi="Avenir Next Regular" w:cs="Calibri"/>
                <w:b/>
                <w:bCs/>
                <w:color w:val="000000" w:themeColor="text1"/>
                <w:sz w:val="16"/>
                <w:szCs w:val="16"/>
                <w:lang w:val="fr-FR"/>
              </w:rPr>
            </w:pPr>
            <w:r w:rsidRPr="000E53A0">
              <w:rPr>
                <w:rFonts w:ascii="Avenir Next Regular" w:hAnsi="Avenir Next Regular" w:cs="Calibri"/>
                <w:b/>
                <w:bCs/>
                <w:color w:val="000000" w:themeColor="text1"/>
                <w:sz w:val="16"/>
                <w:szCs w:val="16"/>
                <w:lang w:val="fr-FR"/>
              </w:rPr>
              <w:t> </w:t>
            </w:r>
          </w:p>
        </w:tc>
        <w:tc>
          <w:tcPr>
            <w:tcW w:w="1129" w:type="pct"/>
            <w:tcBorders>
              <w:top w:val="nil"/>
              <w:left w:val="nil"/>
              <w:bottom w:val="single" w:sz="4" w:space="0" w:color="auto"/>
              <w:right w:val="single" w:sz="4" w:space="0" w:color="auto"/>
            </w:tcBorders>
            <w:hideMark/>
          </w:tcPr>
          <w:p w14:paraId="2B86BF0F" w14:textId="77777777" w:rsidR="009F3374" w:rsidRPr="000E53A0" w:rsidRDefault="009F3374">
            <w:pPr>
              <w:rPr>
                <w:rFonts w:ascii="Avenir Next Regular" w:hAnsi="Avenir Next Regular" w:cs="Calibri"/>
                <w:iCs/>
                <w:color w:val="000000" w:themeColor="text1"/>
                <w:sz w:val="16"/>
                <w:szCs w:val="16"/>
                <w:lang w:val="fr-FR"/>
              </w:rPr>
            </w:pPr>
            <w:r w:rsidRPr="000E53A0">
              <w:rPr>
                <w:rFonts w:ascii="Avenir Next Regular" w:hAnsi="Avenir Next Regular" w:cs="Calibri"/>
                <w:iCs/>
                <w:color w:val="000000" w:themeColor="text1"/>
                <w:sz w:val="16"/>
                <w:szCs w:val="16"/>
                <w:lang w:val="fr-FR"/>
              </w:rPr>
              <w:t> </w:t>
            </w:r>
          </w:p>
        </w:tc>
        <w:tc>
          <w:tcPr>
            <w:tcW w:w="1080" w:type="pct"/>
            <w:tcBorders>
              <w:top w:val="nil"/>
              <w:left w:val="nil"/>
              <w:bottom w:val="single" w:sz="4" w:space="0" w:color="auto"/>
              <w:right w:val="single" w:sz="4" w:space="0" w:color="auto"/>
            </w:tcBorders>
            <w:hideMark/>
          </w:tcPr>
          <w:p w14:paraId="6B5C6475" w14:textId="77777777" w:rsidR="00601D9B" w:rsidRPr="000E53A0" w:rsidRDefault="000E53A0">
            <w:pPr>
              <w:rPr>
                <w:rFonts w:ascii="Avenir Next Regular" w:hAnsi="Avenir Next Regular" w:cs="Calibri"/>
                <w:color w:val="000000" w:themeColor="text1"/>
                <w:sz w:val="16"/>
                <w:szCs w:val="16"/>
                <w:lang w:val="fr-FR"/>
              </w:rPr>
            </w:pPr>
            <w:r>
              <w:rPr>
                <w:color w:val="000000" w:themeColor="text1"/>
              </w:rPr>
              <w:sym w:font="Symbol" w:char="F0C4"/>
            </w:r>
            <w:r w:rsidRPr="000E53A0">
              <w:rPr>
                <w:rFonts w:ascii="Avenir Next Regular" w:hAnsi="Avenir Next Regular" w:cs="Calibri"/>
                <w:color w:val="000000" w:themeColor="text1"/>
                <w:sz w:val="16"/>
                <w:szCs w:val="16"/>
                <w:lang w:val="fr-FR"/>
              </w:rPr>
              <w:t>Techniques améliorées de gestion des sols et de l'eau</w:t>
            </w:r>
          </w:p>
        </w:tc>
      </w:tr>
      <w:tr w:rsidR="009F3374" w14:paraId="7382A8BD" w14:textId="77777777" w:rsidTr="009F3374">
        <w:trPr>
          <w:trHeight w:val="58"/>
        </w:trPr>
        <w:tc>
          <w:tcPr>
            <w:tcW w:w="1966" w:type="pct"/>
            <w:tcBorders>
              <w:top w:val="nil"/>
              <w:left w:val="single" w:sz="4" w:space="0" w:color="auto"/>
              <w:bottom w:val="single" w:sz="4" w:space="0" w:color="auto"/>
              <w:right w:val="single" w:sz="4" w:space="0" w:color="auto"/>
            </w:tcBorders>
            <w:noWrap/>
            <w:vAlign w:val="bottom"/>
            <w:hideMark/>
          </w:tcPr>
          <w:p w14:paraId="1AF33BBF" w14:textId="77777777" w:rsidR="009F3374" w:rsidRPr="000E53A0" w:rsidRDefault="009F3374">
            <w:pPr>
              <w:rPr>
                <w:rFonts w:ascii="Avenir Next Regular" w:hAnsi="Avenir Next Regular" w:cs="Calibri"/>
                <w:b/>
                <w:bCs/>
                <w:color w:val="000000" w:themeColor="text1"/>
                <w:sz w:val="16"/>
                <w:szCs w:val="16"/>
                <w:lang w:val="fr-FR"/>
              </w:rPr>
            </w:pPr>
            <w:r w:rsidRPr="000E53A0">
              <w:rPr>
                <w:rFonts w:ascii="Avenir Next Regular" w:hAnsi="Avenir Next Regular" w:cs="Calibri"/>
                <w:b/>
                <w:bCs/>
                <w:color w:val="000000" w:themeColor="text1"/>
                <w:sz w:val="16"/>
                <w:szCs w:val="16"/>
                <w:lang w:val="fr-FR"/>
              </w:rPr>
              <w:t> </w:t>
            </w:r>
          </w:p>
        </w:tc>
        <w:tc>
          <w:tcPr>
            <w:tcW w:w="825" w:type="pct"/>
            <w:tcBorders>
              <w:top w:val="nil"/>
              <w:left w:val="nil"/>
              <w:bottom w:val="single" w:sz="4" w:space="0" w:color="auto"/>
              <w:right w:val="single" w:sz="4" w:space="0" w:color="auto"/>
            </w:tcBorders>
            <w:hideMark/>
          </w:tcPr>
          <w:p w14:paraId="0047D892" w14:textId="77777777" w:rsidR="009F3374" w:rsidRPr="000E53A0" w:rsidRDefault="009F3374">
            <w:pPr>
              <w:rPr>
                <w:rFonts w:ascii="Avenir Next Regular" w:hAnsi="Avenir Next Regular" w:cs="Calibri"/>
                <w:b/>
                <w:bCs/>
                <w:color w:val="000000" w:themeColor="text1"/>
                <w:sz w:val="16"/>
                <w:szCs w:val="16"/>
                <w:lang w:val="fr-FR"/>
              </w:rPr>
            </w:pPr>
            <w:r w:rsidRPr="000E53A0">
              <w:rPr>
                <w:rFonts w:ascii="Avenir Next Regular" w:hAnsi="Avenir Next Regular" w:cs="Calibri"/>
                <w:b/>
                <w:bCs/>
                <w:color w:val="000000" w:themeColor="text1"/>
                <w:sz w:val="16"/>
                <w:szCs w:val="16"/>
                <w:lang w:val="fr-FR"/>
              </w:rPr>
              <w:t> </w:t>
            </w:r>
          </w:p>
        </w:tc>
        <w:tc>
          <w:tcPr>
            <w:tcW w:w="1129" w:type="pct"/>
            <w:tcBorders>
              <w:top w:val="nil"/>
              <w:left w:val="nil"/>
              <w:bottom w:val="single" w:sz="4" w:space="0" w:color="auto"/>
              <w:right w:val="single" w:sz="4" w:space="0" w:color="auto"/>
            </w:tcBorders>
            <w:hideMark/>
          </w:tcPr>
          <w:p w14:paraId="5F4C05C5" w14:textId="77777777" w:rsidR="009F3374" w:rsidRPr="000E53A0" w:rsidRDefault="009F3374">
            <w:pPr>
              <w:rPr>
                <w:rFonts w:ascii="Avenir Next Regular" w:hAnsi="Avenir Next Regular" w:cs="Calibri"/>
                <w:iCs/>
                <w:color w:val="000000" w:themeColor="text1"/>
                <w:sz w:val="16"/>
                <w:szCs w:val="16"/>
                <w:lang w:val="fr-FR"/>
              </w:rPr>
            </w:pPr>
            <w:r w:rsidRPr="000E53A0">
              <w:rPr>
                <w:rFonts w:ascii="Avenir Next Regular" w:hAnsi="Avenir Next Regular" w:cs="Calibri"/>
                <w:iCs/>
                <w:color w:val="000000" w:themeColor="text1"/>
                <w:sz w:val="16"/>
                <w:szCs w:val="16"/>
                <w:lang w:val="fr-FR"/>
              </w:rPr>
              <w:t> </w:t>
            </w:r>
          </w:p>
        </w:tc>
        <w:tc>
          <w:tcPr>
            <w:tcW w:w="1080" w:type="pct"/>
            <w:tcBorders>
              <w:top w:val="nil"/>
              <w:left w:val="nil"/>
              <w:bottom w:val="single" w:sz="4" w:space="0" w:color="auto"/>
              <w:right w:val="single" w:sz="4" w:space="0" w:color="auto"/>
            </w:tcBorders>
            <w:hideMark/>
          </w:tcPr>
          <w:p w14:paraId="02864145" w14:textId="77777777" w:rsidR="00601D9B" w:rsidRDefault="000E53A0">
            <w:pPr>
              <w:rPr>
                <w:rFonts w:ascii="Avenir Next Regular" w:hAnsi="Avenir Next Regular" w:cs="Calibri"/>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color w:val="000000" w:themeColor="text1"/>
                <w:sz w:val="16"/>
                <w:szCs w:val="16"/>
              </w:rPr>
              <w:t>Gestion durable des incendies</w:t>
            </w:r>
          </w:p>
        </w:tc>
      </w:tr>
      <w:tr w:rsidR="009F3374" w:rsidRPr="000E53A0" w14:paraId="58503B88" w14:textId="77777777" w:rsidTr="009F3374">
        <w:trPr>
          <w:trHeight w:val="125"/>
        </w:trPr>
        <w:tc>
          <w:tcPr>
            <w:tcW w:w="1966" w:type="pct"/>
            <w:tcBorders>
              <w:top w:val="nil"/>
              <w:left w:val="single" w:sz="4" w:space="0" w:color="auto"/>
              <w:bottom w:val="single" w:sz="4" w:space="0" w:color="auto"/>
              <w:right w:val="single" w:sz="4" w:space="0" w:color="auto"/>
            </w:tcBorders>
            <w:noWrap/>
            <w:vAlign w:val="bottom"/>
            <w:hideMark/>
          </w:tcPr>
          <w:p w14:paraId="76904F19"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19376D57"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7E6A74CC" w14:textId="77777777" w:rsidR="009F3374" w:rsidRDefault="009F3374">
            <w:pPr>
              <w:rPr>
                <w:rFonts w:ascii="Avenir Next Regular" w:hAnsi="Avenir Next Regular" w:cs="Calibri"/>
                <w:iCs/>
                <w:color w:val="000000" w:themeColor="text1"/>
                <w:sz w:val="16"/>
                <w:szCs w:val="16"/>
              </w:rPr>
            </w:pPr>
            <w:r>
              <w:rPr>
                <w:rFonts w:ascii="Avenir Next Regular" w:hAnsi="Avenir Next Regular" w:cs="Calibri"/>
                <w:iCs/>
                <w:color w:val="000000" w:themeColor="text1"/>
                <w:sz w:val="16"/>
                <w:szCs w:val="16"/>
              </w:rPr>
              <w:t> </w:t>
            </w:r>
          </w:p>
        </w:tc>
        <w:tc>
          <w:tcPr>
            <w:tcW w:w="1080" w:type="pct"/>
            <w:tcBorders>
              <w:top w:val="nil"/>
              <w:left w:val="nil"/>
              <w:bottom w:val="single" w:sz="4" w:space="0" w:color="auto"/>
              <w:right w:val="single" w:sz="4" w:space="0" w:color="auto"/>
            </w:tcBorders>
            <w:hideMark/>
          </w:tcPr>
          <w:p w14:paraId="550FC047" w14:textId="77777777" w:rsidR="00601D9B" w:rsidRPr="000E53A0" w:rsidRDefault="000E53A0">
            <w:pPr>
              <w:ind w:left="192" w:hanging="192"/>
              <w:rPr>
                <w:rFonts w:ascii="Avenir Next Regular" w:hAnsi="Avenir Next Regular" w:cs="Calibri"/>
                <w:color w:val="000000" w:themeColor="text1"/>
                <w:sz w:val="16"/>
                <w:szCs w:val="16"/>
                <w:lang w:val="fr-FR"/>
              </w:rPr>
            </w:pPr>
            <w:r>
              <w:rPr>
                <w:color w:val="000000" w:themeColor="text1"/>
                <w:sz w:val="16"/>
                <w:szCs w:val="16"/>
              </w:rPr>
              <w:fldChar w:fldCharType="begin">
                <w:ffData>
                  <w:name w:val="IAP_cities"/>
                  <w:enabled/>
                  <w:calcOnExit w:val="0"/>
                  <w:checkBox>
                    <w:sizeAuto/>
                    <w:default w:val="0"/>
                  </w:checkBox>
                </w:ffData>
              </w:fldChar>
            </w:r>
            <w:r w:rsidRPr="000E53A0">
              <w:rPr>
                <w:color w:val="000000" w:themeColor="text1"/>
                <w:sz w:val="16"/>
                <w:szCs w:val="16"/>
                <w:lang w:val="fr-FR"/>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sidRPr="000E53A0">
              <w:rPr>
                <w:rFonts w:ascii="Avenir Next Regular" w:hAnsi="Avenir Next Regular" w:cs="Calibri"/>
                <w:color w:val="000000" w:themeColor="text1"/>
                <w:sz w:val="16"/>
                <w:szCs w:val="16"/>
                <w:lang w:val="fr-FR"/>
              </w:rPr>
              <w:t>Atténuation de la sécheresse/alerte précoce</w:t>
            </w:r>
          </w:p>
        </w:tc>
      </w:tr>
      <w:tr w:rsidR="009F3374" w:rsidRPr="000E53A0" w14:paraId="27D4B611" w14:textId="77777777" w:rsidTr="009F3374">
        <w:trPr>
          <w:trHeight w:val="143"/>
        </w:trPr>
        <w:tc>
          <w:tcPr>
            <w:tcW w:w="1966" w:type="pct"/>
            <w:tcBorders>
              <w:top w:val="nil"/>
              <w:left w:val="single" w:sz="4" w:space="0" w:color="auto"/>
              <w:bottom w:val="single" w:sz="4" w:space="0" w:color="auto"/>
              <w:right w:val="single" w:sz="4" w:space="0" w:color="auto"/>
            </w:tcBorders>
            <w:noWrap/>
            <w:vAlign w:val="bottom"/>
            <w:hideMark/>
          </w:tcPr>
          <w:p w14:paraId="1908C526" w14:textId="77777777" w:rsidR="009F3374" w:rsidRPr="000E53A0" w:rsidRDefault="009F3374">
            <w:pPr>
              <w:rPr>
                <w:rFonts w:ascii="Avenir Next Regular" w:hAnsi="Avenir Next Regular" w:cs="Calibri"/>
                <w:b/>
                <w:bCs/>
                <w:color w:val="000000" w:themeColor="text1"/>
                <w:sz w:val="16"/>
                <w:szCs w:val="16"/>
                <w:lang w:val="fr-FR"/>
              </w:rPr>
            </w:pPr>
            <w:r w:rsidRPr="000E53A0">
              <w:rPr>
                <w:rFonts w:ascii="Avenir Next Regular" w:hAnsi="Avenir Next Regular" w:cs="Calibri"/>
                <w:b/>
                <w:bCs/>
                <w:color w:val="000000" w:themeColor="text1"/>
                <w:sz w:val="16"/>
                <w:szCs w:val="16"/>
                <w:lang w:val="fr-FR"/>
              </w:rPr>
              <w:t> </w:t>
            </w:r>
          </w:p>
        </w:tc>
        <w:tc>
          <w:tcPr>
            <w:tcW w:w="825" w:type="pct"/>
            <w:tcBorders>
              <w:top w:val="nil"/>
              <w:left w:val="nil"/>
              <w:bottom w:val="single" w:sz="4" w:space="0" w:color="auto"/>
              <w:right w:val="single" w:sz="4" w:space="0" w:color="auto"/>
            </w:tcBorders>
            <w:hideMark/>
          </w:tcPr>
          <w:p w14:paraId="007FF623" w14:textId="77777777" w:rsidR="009F3374" w:rsidRPr="000E53A0" w:rsidRDefault="009F3374">
            <w:pPr>
              <w:rPr>
                <w:rFonts w:ascii="Avenir Next Regular" w:hAnsi="Avenir Next Regular" w:cs="Calibri"/>
                <w:b/>
                <w:bCs/>
                <w:color w:val="000000" w:themeColor="text1"/>
                <w:sz w:val="16"/>
                <w:szCs w:val="16"/>
                <w:lang w:val="fr-FR"/>
              </w:rPr>
            </w:pPr>
            <w:r w:rsidRPr="000E53A0">
              <w:rPr>
                <w:rFonts w:ascii="Avenir Next Regular" w:hAnsi="Avenir Next Regular" w:cs="Calibri"/>
                <w:b/>
                <w:bCs/>
                <w:color w:val="000000" w:themeColor="text1"/>
                <w:sz w:val="16"/>
                <w:szCs w:val="16"/>
                <w:lang w:val="fr-FR"/>
              </w:rPr>
              <w:t> </w:t>
            </w:r>
          </w:p>
        </w:tc>
        <w:tc>
          <w:tcPr>
            <w:tcW w:w="1129" w:type="pct"/>
            <w:tcBorders>
              <w:top w:val="nil"/>
              <w:left w:val="nil"/>
              <w:bottom w:val="single" w:sz="4" w:space="0" w:color="auto"/>
              <w:right w:val="single" w:sz="4" w:space="0" w:color="auto"/>
            </w:tcBorders>
            <w:hideMark/>
          </w:tcPr>
          <w:p w14:paraId="48123A16" w14:textId="77777777" w:rsidR="00601D9B" w:rsidRPr="000E53A0" w:rsidRDefault="000E53A0">
            <w:pPr>
              <w:rPr>
                <w:rFonts w:ascii="Avenir Next Regular" w:hAnsi="Avenir Next Regular" w:cs="Calibri"/>
                <w:iCs/>
                <w:color w:val="000000" w:themeColor="text1"/>
                <w:sz w:val="16"/>
                <w:szCs w:val="16"/>
                <w:lang w:val="fr-FR"/>
              </w:rPr>
            </w:pPr>
            <w:r>
              <w:rPr>
                <w:color w:val="000000" w:themeColor="text1"/>
              </w:rPr>
              <w:sym w:font="Symbol" w:char="F0C4"/>
            </w:r>
            <w:r w:rsidRPr="000E53A0">
              <w:rPr>
                <w:rFonts w:ascii="Avenir Next Regular" w:hAnsi="Avenir Next Regular" w:cs="Calibri"/>
                <w:iCs/>
                <w:color w:val="000000" w:themeColor="text1"/>
                <w:sz w:val="16"/>
                <w:szCs w:val="16"/>
                <w:lang w:val="fr-FR"/>
              </w:rPr>
              <w:t>Neutralité en matière de dégradation des terres</w:t>
            </w:r>
          </w:p>
        </w:tc>
        <w:tc>
          <w:tcPr>
            <w:tcW w:w="1080" w:type="pct"/>
            <w:tcBorders>
              <w:top w:val="nil"/>
              <w:left w:val="nil"/>
              <w:bottom w:val="single" w:sz="4" w:space="0" w:color="auto"/>
              <w:right w:val="single" w:sz="4" w:space="0" w:color="auto"/>
            </w:tcBorders>
            <w:hideMark/>
          </w:tcPr>
          <w:p w14:paraId="7E4B3F9F" w14:textId="77777777" w:rsidR="009F3374" w:rsidRPr="000E53A0" w:rsidRDefault="009F3374">
            <w:pPr>
              <w:rPr>
                <w:rFonts w:ascii="Avenir Next Regular" w:hAnsi="Avenir Next Regular" w:cs="Calibri"/>
                <w:color w:val="000000" w:themeColor="text1"/>
                <w:sz w:val="16"/>
                <w:szCs w:val="16"/>
                <w:lang w:val="fr-FR"/>
              </w:rPr>
            </w:pPr>
            <w:r w:rsidRPr="000E53A0">
              <w:rPr>
                <w:rFonts w:ascii="Avenir Next Regular" w:hAnsi="Avenir Next Regular" w:cs="Calibri"/>
                <w:color w:val="000000" w:themeColor="text1"/>
                <w:sz w:val="16"/>
                <w:szCs w:val="16"/>
                <w:lang w:val="fr-FR"/>
              </w:rPr>
              <w:t> </w:t>
            </w:r>
          </w:p>
        </w:tc>
      </w:tr>
      <w:tr w:rsidR="009F3374" w14:paraId="285E702B" w14:textId="77777777" w:rsidTr="009F3374">
        <w:trPr>
          <w:trHeight w:val="58"/>
        </w:trPr>
        <w:tc>
          <w:tcPr>
            <w:tcW w:w="1966" w:type="pct"/>
            <w:tcBorders>
              <w:top w:val="nil"/>
              <w:left w:val="single" w:sz="4" w:space="0" w:color="auto"/>
              <w:bottom w:val="single" w:sz="4" w:space="0" w:color="auto"/>
              <w:right w:val="single" w:sz="4" w:space="0" w:color="auto"/>
            </w:tcBorders>
            <w:noWrap/>
            <w:vAlign w:val="bottom"/>
            <w:hideMark/>
          </w:tcPr>
          <w:p w14:paraId="26597508" w14:textId="77777777" w:rsidR="009F3374" w:rsidRPr="000E53A0" w:rsidRDefault="009F3374">
            <w:pPr>
              <w:rPr>
                <w:rFonts w:ascii="Avenir Next Regular" w:hAnsi="Avenir Next Regular" w:cs="Calibri"/>
                <w:b/>
                <w:bCs/>
                <w:color w:val="000000" w:themeColor="text1"/>
                <w:sz w:val="16"/>
                <w:szCs w:val="16"/>
                <w:lang w:val="fr-FR"/>
              </w:rPr>
            </w:pPr>
            <w:r w:rsidRPr="000E53A0">
              <w:rPr>
                <w:rFonts w:ascii="Avenir Next Regular" w:hAnsi="Avenir Next Regular" w:cs="Calibri"/>
                <w:b/>
                <w:bCs/>
                <w:color w:val="000000" w:themeColor="text1"/>
                <w:sz w:val="16"/>
                <w:szCs w:val="16"/>
                <w:lang w:val="fr-FR"/>
              </w:rPr>
              <w:t> </w:t>
            </w:r>
          </w:p>
        </w:tc>
        <w:tc>
          <w:tcPr>
            <w:tcW w:w="825" w:type="pct"/>
            <w:tcBorders>
              <w:top w:val="nil"/>
              <w:left w:val="nil"/>
              <w:bottom w:val="single" w:sz="4" w:space="0" w:color="auto"/>
              <w:right w:val="single" w:sz="4" w:space="0" w:color="auto"/>
            </w:tcBorders>
            <w:hideMark/>
          </w:tcPr>
          <w:p w14:paraId="50EB78FD" w14:textId="77777777" w:rsidR="009F3374" w:rsidRPr="000E53A0" w:rsidRDefault="009F3374">
            <w:pPr>
              <w:rPr>
                <w:rFonts w:ascii="Avenir Next Regular" w:hAnsi="Avenir Next Regular" w:cs="Calibri"/>
                <w:b/>
                <w:bCs/>
                <w:color w:val="000000" w:themeColor="text1"/>
                <w:sz w:val="16"/>
                <w:szCs w:val="16"/>
                <w:lang w:val="fr-FR"/>
              </w:rPr>
            </w:pPr>
            <w:r w:rsidRPr="000E53A0">
              <w:rPr>
                <w:rFonts w:ascii="Avenir Next Regular" w:hAnsi="Avenir Next Regular" w:cs="Calibri"/>
                <w:b/>
                <w:bCs/>
                <w:color w:val="000000" w:themeColor="text1"/>
                <w:sz w:val="16"/>
                <w:szCs w:val="16"/>
                <w:lang w:val="fr-FR"/>
              </w:rPr>
              <w:t> </w:t>
            </w:r>
          </w:p>
        </w:tc>
        <w:tc>
          <w:tcPr>
            <w:tcW w:w="1129" w:type="pct"/>
            <w:tcBorders>
              <w:top w:val="nil"/>
              <w:left w:val="nil"/>
              <w:bottom w:val="single" w:sz="4" w:space="0" w:color="auto"/>
              <w:right w:val="single" w:sz="4" w:space="0" w:color="auto"/>
            </w:tcBorders>
            <w:hideMark/>
          </w:tcPr>
          <w:p w14:paraId="748D6DE1" w14:textId="77777777" w:rsidR="009F3374" w:rsidRPr="000E53A0" w:rsidRDefault="009F3374">
            <w:pPr>
              <w:rPr>
                <w:rFonts w:ascii="Avenir Next Regular" w:hAnsi="Avenir Next Regular" w:cs="Calibri"/>
                <w:iCs/>
                <w:color w:val="000000" w:themeColor="text1"/>
                <w:sz w:val="16"/>
                <w:szCs w:val="16"/>
                <w:lang w:val="fr-FR"/>
              </w:rPr>
            </w:pPr>
            <w:r w:rsidRPr="000E53A0">
              <w:rPr>
                <w:rFonts w:ascii="Avenir Next Regular" w:hAnsi="Avenir Next Regular" w:cs="Calibri"/>
                <w:iCs/>
                <w:color w:val="000000" w:themeColor="text1"/>
                <w:sz w:val="16"/>
                <w:szCs w:val="16"/>
                <w:lang w:val="fr-FR"/>
              </w:rPr>
              <w:t> </w:t>
            </w:r>
          </w:p>
        </w:tc>
        <w:tc>
          <w:tcPr>
            <w:tcW w:w="1080" w:type="pct"/>
            <w:tcBorders>
              <w:top w:val="nil"/>
              <w:left w:val="nil"/>
              <w:bottom w:val="single" w:sz="4" w:space="0" w:color="auto"/>
              <w:right w:val="single" w:sz="4" w:space="0" w:color="auto"/>
            </w:tcBorders>
            <w:hideMark/>
          </w:tcPr>
          <w:p w14:paraId="70BD471F" w14:textId="77777777" w:rsidR="00601D9B" w:rsidRDefault="000E53A0">
            <w:pPr>
              <w:rPr>
                <w:rFonts w:ascii="Avenir Next Regular" w:hAnsi="Avenir Next Regular" w:cs="Calibri"/>
                <w:color w:val="000000" w:themeColor="text1"/>
                <w:sz w:val="16"/>
                <w:szCs w:val="16"/>
              </w:rPr>
            </w:pPr>
            <w:r>
              <w:rPr>
                <w:color w:val="000000" w:themeColor="text1"/>
              </w:rPr>
              <w:sym w:font="Symbol" w:char="F0C4"/>
            </w:r>
            <w:r>
              <w:rPr>
                <w:rFonts w:ascii="Avenir Next Regular" w:hAnsi="Avenir Next Regular" w:cs="Calibri"/>
                <w:color w:val="000000" w:themeColor="text1"/>
                <w:sz w:val="16"/>
                <w:szCs w:val="16"/>
              </w:rPr>
              <w:t>Productivité des terres</w:t>
            </w:r>
          </w:p>
        </w:tc>
      </w:tr>
      <w:tr w:rsidR="009F3374" w:rsidRPr="000E53A0" w14:paraId="244B42EB" w14:textId="77777777" w:rsidTr="009F3374">
        <w:trPr>
          <w:trHeight w:val="107"/>
        </w:trPr>
        <w:tc>
          <w:tcPr>
            <w:tcW w:w="1966" w:type="pct"/>
            <w:tcBorders>
              <w:top w:val="nil"/>
              <w:left w:val="single" w:sz="4" w:space="0" w:color="auto"/>
              <w:bottom w:val="single" w:sz="4" w:space="0" w:color="auto"/>
              <w:right w:val="single" w:sz="4" w:space="0" w:color="auto"/>
            </w:tcBorders>
            <w:noWrap/>
            <w:vAlign w:val="bottom"/>
            <w:hideMark/>
          </w:tcPr>
          <w:p w14:paraId="4A01D77F"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43B4ED9E"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0F0C8F02" w14:textId="77777777" w:rsidR="009F3374" w:rsidRDefault="009F3374">
            <w:pPr>
              <w:rPr>
                <w:rFonts w:ascii="Avenir Next Regular" w:hAnsi="Avenir Next Regular" w:cs="Calibri"/>
                <w:iCs/>
                <w:color w:val="000000" w:themeColor="text1"/>
                <w:sz w:val="16"/>
                <w:szCs w:val="16"/>
              </w:rPr>
            </w:pPr>
            <w:r>
              <w:rPr>
                <w:rFonts w:ascii="Avenir Next Regular" w:hAnsi="Avenir Next Regular" w:cs="Calibri"/>
                <w:iCs/>
                <w:color w:val="000000" w:themeColor="text1"/>
                <w:sz w:val="16"/>
                <w:szCs w:val="16"/>
              </w:rPr>
              <w:t> </w:t>
            </w:r>
          </w:p>
        </w:tc>
        <w:tc>
          <w:tcPr>
            <w:tcW w:w="1080" w:type="pct"/>
            <w:tcBorders>
              <w:top w:val="nil"/>
              <w:left w:val="nil"/>
              <w:bottom w:val="single" w:sz="4" w:space="0" w:color="auto"/>
              <w:right w:val="single" w:sz="4" w:space="0" w:color="auto"/>
            </w:tcBorders>
            <w:hideMark/>
          </w:tcPr>
          <w:p w14:paraId="6FD6F393" w14:textId="77777777" w:rsidR="00601D9B" w:rsidRPr="000E53A0" w:rsidRDefault="000E53A0">
            <w:pPr>
              <w:ind w:left="192" w:hanging="192"/>
              <w:rPr>
                <w:rFonts w:ascii="Avenir Next Regular" w:hAnsi="Avenir Next Regular" w:cs="Calibri"/>
                <w:color w:val="000000" w:themeColor="text1"/>
                <w:sz w:val="16"/>
                <w:szCs w:val="16"/>
                <w:lang w:val="fr-FR"/>
              </w:rPr>
            </w:pPr>
            <w:r>
              <w:rPr>
                <w:color w:val="000000" w:themeColor="text1"/>
              </w:rPr>
              <w:sym w:font="Symbol" w:char="F0C4"/>
            </w:r>
            <w:r w:rsidRPr="000E53A0">
              <w:rPr>
                <w:rFonts w:ascii="Avenir Next Regular" w:hAnsi="Avenir Next Regular" w:cs="Calibri"/>
                <w:color w:val="000000" w:themeColor="text1"/>
                <w:sz w:val="16"/>
                <w:szCs w:val="16"/>
                <w:lang w:val="fr-FR"/>
              </w:rPr>
              <w:t>Couverture terrestre et changement de la couverture terrestre</w:t>
            </w:r>
          </w:p>
        </w:tc>
      </w:tr>
      <w:tr w:rsidR="009F3374" w:rsidRPr="000E53A0" w14:paraId="5204743F" w14:textId="77777777" w:rsidTr="009F3374">
        <w:trPr>
          <w:trHeight w:val="179"/>
        </w:trPr>
        <w:tc>
          <w:tcPr>
            <w:tcW w:w="1966" w:type="pct"/>
            <w:tcBorders>
              <w:top w:val="nil"/>
              <w:left w:val="single" w:sz="4" w:space="0" w:color="auto"/>
              <w:bottom w:val="single" w:sz="4" w:space="0" w:color="auto"/>
              <w:right w:val="single" w:sz="4" w:space="0" w:color="auto"/>
            </w:tcBorders>
            <w:noWrap/>
            <w:vAlign w:val="bottom"/>
            <w:hideMark/>
          </w:tcPr>
          <w:p w14:paraId="7652F63A" w14:textId="77777777" w:rsidR="009F3374" w:rsidRPr="000E53A0" w:rsidRDefault="009F3374">
            <w:pPr>
              <w:rPr>
                <w:rFonts w:ascii="Avenir Next Regular" w:hAnsi="Avenir Next Regular" w:cs="Calibri"/>
                <w:b/>
                <w:bCs/>
                <w:color w:val="000000" w:themeColor="text1"/>
                <w:sz w:val="16"/>
                <w:szCs w:val="16"/>
                <w:lang w:val="fr-FR"/>
              </w:rPr>
            </w:pPr>
            <w:r w:rsidRPr="000E53A0">
              <w:rPr>
                <w:rFonts w:ascii="Avenir Next Regular" w:hAnsi="Avenir Next Regular" w:cs="Calibri"/>
                <w:b/>
                <w:bCs/>
                <w:color w:val="000000" w:themeColor="text1"/>
                <w:sz w:val="16"/>
                <w:szCs w:val="16"/>
                <w:lang w:val="fr-FR"/>
              </w:rPr>
              <w:t> </w:t>
            </w:r>
          </w:p>
        </w:tc>
        <w:tc>
          <w:tcPr>
            <w:tcW w:w="825" w:type="pct"/>
            <w:tcBorders>
              <w:top w:val="nil"/>
              <w:left w:val="nil"/>
              <w:bottom w:val="single" w:sz="4" w:space="0" w:color="auto"/>
              <w:right w:val="single" w:sz="4" w:space="0" w:color="auto"/>
            </w:tcBorders>
            <w:hideMark/>
          </w:tcPr>
          <w:p w14:paraId="67BD0C80" w14:textId="77777777" w:rsidR="009F3374" w:rsidRPr="000E53A0" w:rsidRDefault="009F3374">
            <w:pPr>
              <w:rPr>
                <w:rFonts w:ascii="Avenir Next Regular" w:hAnsi="Avenir Next Regular" w:cs="Calibri"/>
                <w:b/>
                <w:bCs/>
                <w:color w:val="000000" w:themeColor="text1"/>
                <w:sz w:val="16"/>
                <w:szCs w:val="16"/>
                <w:lang w:val="fr-FR"/>
              </w:rPr>
            </w:pPr>
            <w:r w:rsidRPr="000E53A0">
              <w:rPr>
                <w:rFonts w:ascii="Avenir Next Regular" w:hAnsi="Avenir Next Regular" w:cs="Calibri"/>
                <w:b/>
                <w:bCs/>
                <w:color w:val="000000" w:themeColor="text1"/>
                <w:sz w:val="16"/>
                <w:szCs w:val="16"/>
                <w:lang w:val="fr-FR"/>
              </w:rPr>
              <w:t> </w:t>
            </w:r>
          </w:p>
        </w:tc>
        <w:tc>
          <w:tcPr>
            <w:tcW w:w="1129" w:type="pct"/>
            <w:tcBorders>
              <w:top w:val="nil"/>
              <w:left w:val="nil"/>
              <w:bottom w:val="single" w:sz="4" w:space="0" w:color="auto"/>
              <w:right w:val="single" w:sz="4" w:space="0" w:color="auto"/>
            </w:tcBorders>
            <w:hideMark/>
          </w:tcPr>
          <w:p w14:paraId="5A956709" w14:textId="77777777" w:rsidR="009F3374" w:rsidRPr="000E53A0" w:rsidRDefault="009F3374">
            <w:pPr>
              <w:rPr>
                <w:rFonts w:ascii="Avenir Next Regular" w:hAnsi="Avenir Next Regular" w:cs="Calibri"/>
                <w:iCs/>
                <w:color w:val="000000" w:themeColor="text1"/>
                <w:sz w:val="16"/>
                <w:szCs w:val="16"/>
                <w:lang w:val="fr-FR"/>
              </w:rPr>
            </w:pPr>
            <w:r w:rsidRPr="000E53A0">
              <w:rPr>
                <w:rFonts w:ascii="Avenir Next Regular" w:hAnsi="Avenir Next Regular" w:cs="Calibri"/>
                <w:iCs/>
                <w:color w:val="000000" w:themeColor="text1"/>
                <w:sz w:val="16"/>
                <w:szCs w:val="16"/>
                <w:lang w:val="fr-FR"/>
              </w:rPr>
              <w:t> </w:t>
            </w:r>
          </w:p>
        </w:tc>
        <w:tc>
          <w:tcPr>
            <w:tcW w:w="1080" w:type="pct"/>
            <w:tcBorders>
              <w:top w:val="nil"/>
              <w:left w:val="nil"/>
              <w:bottom w:val="single" w:sz="4" w:space="0" w:color="auto"/>
              <w:right w:val="single" w:sz="4" w:space="0" w:color="auto"/>
            </w:tcBorders>
            <w:hideMark/>
          </w:tcPr>
          <w:p w14:paraId="309EAA9F" w14:textId="77777777" w:rsidR="00601D9B" w:rsidRPr="000E53A0" w:rsidRDefault="000E53A0">
            <w:pPr>
              <w:ind w:left="192" w:hanging="192"/>
              <w:rPr>
                <w:rFonts w:ascii="Avenir Next Regular" w:hAnsi="Avenir Next Regular" w:cs="Calibri"/>
                <w:color w:val="000000" w:themeColor="text1"/>
                <w:sz w:val="16"/>
                <w:szCs w:val="16"/>
                <w:lang w:val="fr-FR"/>
              </w:rPr>
            </w:pPr>
            <w:r>
              <w:rPr>
                <w:color w:val="000000" w:themeColor="text1"/>
                <w:sz w:val="16"/>
                <w:szCs w:val="16"/>
              </w:rPr>
              <w:fldChar w:fldCharType="begin">
                <w:ffData>
                  <w:name w:val="IAP_cities"/>
                  <w:enabled/>
                  <w:calcOnExit w:val="0"/>
                  <w:checkBox>
                    <w:sizeAuto/>
                    <w:default w:val="0"/>
                  </w:checkBox>
                </w:ffData>
              </w:fldChar>
            </w:r>
            <w:r w:rsidRPr="000E53A0">
              <w:rPr>
                <w:color w:val="000000" w:themeColor="text1"/>
                <w:sz w:val="16"/>
                <w:szCs w:val="16"/>
                <w:lang w:val="fr-FR"/>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sidRPr="000E53A0">
              <w:rPr>
                <w:rFonts w:ascii="Avenir Next Regular" w:hAnsi="Avenir Next Regular" w:cs="Calibri"/>
                <w:color w:val="000000" w:themeColor="text1"/>
                <w:sz w:val="16"/>
                <w:szCs w:val="16"/>
                <w:lang w:val="fr-FR"/>
              </w:rPr>
              <w:t>Stocks de carbone au-dessus ou au-dessous du sol</w:t>
            </w:r>
          </w:p>
        </w:tc>
      </w:tr>
      <w:tr w:rsidR="009F3374" w14:paraId="0AE25285" w14:textId="77777777" w:rsidTr="009F3374">
        <w:trPr>
          <w:trHeight w:val="58"/>
        </w:trPr>
        <w:tc>
          <w:tcPr>
            <w:tcW w:w="1966" w:type="pct"/>
            <w:tcBorders>
              <w:top w:val="nil"/>
              <w:left w:val="single" w:sz="4" w:space="0" w:color="auto"/>
              <w:bottom w:val="single" w:sz="4" w:space="0" w:color="auto"/>
              <w:right w:val="single" w:sz="4" w:space="0" w:color="auto"/>
            </w:tcBorders>
            <w:noWrap/>
            <w:vAlign w:val="bottom"/>
            <w:hideMark/>
          </w:tcPr>
          <w:p w14:paraId="0FEC709A" w14:textId="77777777" w:rsidR="009F3374" w:rsidRPr="000E53A0" w:rsidRDefault="009F3374">
            <w:pPr>
              <w:rPr>
                <w:rFonts w:ascii="Avenir Next Regular" w:hAnsi="Avenir Next Regular" w:cs="Calibri"/>
                <w:b/>
                <w:bCs/>
                <w:color w:val="000000" w:themeColor="text1"/>
                <w:sz w:val="16"/>
                <w:szCs w:val="16"/>
                <w:lang w:val="fr-FR"/>
              </w:rPr>
            </w:pPr>
            <w:r w:rsidRPr="000E53A0">
              <w:rPr>
                <w:rFonts w:ascii="Avenir Next Regular" w:hAnsi="Avenir Next Regular" w:cs="Calibri"/>
                <w:b/>
                <w:bCs/>
                <w:color w:val="000000" w:themeColor="text1"/>
                <w:sz w:val="16"/>
                <w:szCs w:val="16"/>
                <w:lang w:val="fr-FR"/>
              </w:rPr>
              <w:t> </w:t>
            </w:r>
          </w:p>
        </w:tc>
        <w:tc>
          <w:tcPr>
            <w:tcW w:w="825" w:type="pct"/>
            <w:tcBorders>
              <w:top w:val="nil"/>
              <w:left w:val="nil"/>
              <w:bottom w:val="single" w:sz="4" w:space="0" w:color="auto"/>
              <w:right w:val="single" w:sz="4" w:space="0" w:color="auto"/>
            </w:tcBorders>
            <w:hideMark/>
          </w:tcPr>
          <w:p w14:paraId="7CA88401" w14:textId="77777777" w:rsidR="009F3374" w:rsidRPr="000E53A0" w:rsidRDefault="009F3374">
            <w:pPr>
              <w:rPr>
                <w:rFonts w:ascii="Avenir Next Regular" w:hAnsi="Avenir Next Regular" w:cs="Calibri"/>
                <w:b/>
                <w:bCs/>
                <w:color w:val="000000" w:themeColor="text1"/>
                <w:sz w:val="16"/>
                <w:szCs w:val="16"/>
                <w:lang w:val="fr-FR"/>
              </w:rPr>
            </w:pPr>
            <w:r w:rsidRPr="000E53A0">
              <w:rPr>
                <w:rFonts w:ascii="Avenir Next Regular" w:hAnsi="Avenir Next Regular" w:cs="Calibri"/>
                <w:b/>
                <w:bCs/>
                <w:color w:val="000000" w:themeColor="text1"/>
                <w:sz w:val="16"/>
                <w:szCs w:val="16"/>
                <w:lang w:val="fr-FR"/>
              </w:rPr>
              <w:t> </w:t>
            </w:r>
          </w:p>
        </w:tc>
        <w:tc>
          <w:tcPr>
            <w:tcW w:w="1129" w:type="pct"/>
            <w:tcBorders>
              <w:top w:val="nil"/>
              <w:left w:val="nil"/>
              <w:bottom w:val="single" w:sz="4" w:space="0" w:color="auto"/>
              <w:right w:val="single" w:sz="4" w:space="0" w:color="auto"/>
            </w:tcBorders>
            <w:hideMark/>
          </w:tcPr>
          <w:p w14:paraId="67DD262D" w14:textId="77777777" w:rsidR="00601D9B" w:rsidRDefault="000E53A0">
            <w:pPr>
              <w:rPr>
                <w:rFonts w:ascii="Avenir Next Regular" w:hAnsi="Avenir Next Regular" w:cs="Calibri"/>
                <w:iCs/>
                <w:color w:val="000000" w:themeColor="text1"/>
                <w:sz w:val="16"/>
                <w:szCs w:val="16"/>
              </w:rPr>
            </w:pPr>
            <w:r>
              <w:rPr>
                <w:color w:val="000000" w:themeColor="text1"/>
              </w:rPr>
              <w:sym w:font="Symbol" w:char="F0C4"/>
            </w:r>
            <w:r>
              <w:rPr>
                <w:rFonts w:ascii="Avenir Next Regular" w:hAnsi="Avenir Next Regular" w:cs="Calibri"/>
                <w:iCs/>
                <w:color w:val="000000" w:themeColor="text1"/>
                <w:sz w:val="16"/>
                <w:szCs w:val="16"/>
              </w:rPr>
              <w:t>Sécurité alimentaire</w:t>
            </w:r>
          </w:p>
        </w:tc>
        <w:tc>
          <w:tcPr>
            <w:tcW w:w="1080" w:type="pct"/>
            <w:tcBorders>
              <w:top w:val="nil"/>
              <w:left w:val="nil"/>
              <w:bottom w:val="single" w:sz="4" w:space="0" w:color="auto"/>
              <w:right w:val="single" w:sz="4" w:space="0" w:color="auto"/>
            </w:tcBorders>
            <w:hideMark/>
          </w:tcPr>
          <w:p w14:paraId="2A0E8A74" w14:textId="77777777" w:rsidR="009F3374" w:rsidRDefault="009F3374">
            <w:pPr>
              <w:rPr>
                <w:rFonts w:ascii="Avenir Next Regular" w:hAnsi="Avenir Next Regular" w:cs="Calibri"/>
                <w:color w:val="000000" w:themeColor="text1"/>
                <w:sz w:val="16"/>
                <w:szCs w:val="16"/>
              </w:rPr>
            </w:pPr>
            <w:r>
              <w:rPr>
                <w:rFonts w:ascii="Avenir Next Regular" w:hAnsi="Avenir Next Regular" w:cs="Calibri"/>
                <w:color w:val="000000" w:themeColor="text1"/>
                <w:sz w:val="16"/>
                <w:szCs w:val="16"/>
              </w:rPr>
              <w:t> </w:t>
            </w:r>
          </w:p>
        </w:tc>
      </w:tr>
      <w:tr w:rsidR="009F3374" w14:paraId="046D4DB2" w14:textId="77777777" w:rsidTr="009F3374">
        <w:trPr>
          <w:trHeight w:val="143"/>
        </w:trPr>
        <w:tc>
          <w:tcPr>
            <w:tcW w:w="1966" w:type="pct"/>
            <w:tcBorders>
              <w:top w:val="nil"/>
              <w:left w:val="single" w:sz="4" w:space="0" w:color="auto"/>
              <w:bottom w:val="single" w:sz="4" w:space="0" w:color="auto"/>
              <w:right w:val="single" w:sz="4" w:space="0" w:color="auto"/>
            </w:tcBorders>
            <w:noWrap/>
            <w:vAlign w:val="bottom"/>
            <w:hideMark/>
          </w:tcPr>
          <w:p w14:paraId="27846BA5"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1E225CAE" w14:textId="77777777" w:rsidR="00601D9B" w:rsidRDefault="000E53A0">
            <w:pPr>
              <w:rPr>
                <w:rFonts w:ascii="Avenir Next Regular" w:hAnsi="Avenir Next Regular" w:cs="Calibri"/>
                <w:b/>
                <w:bCs/>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b/>
                <w:bCs/>
                <w:color w:val="000000" w:themeColor="text1"/>
                <w:sz w:val="16"/>
                <w:szCs w:val="16"/>
              </w:rPr>
              <w:t>Eaux internationales</w:t>
            </w:r>
          </w:p>
        </w:tc>
        <w:tc>
          <w:tcPr>
            <w:tcW w:w="1129" w:type="pct"/>
            <w:tcBorders>
              <w:top w:val="nil"/>
              <w:left w:val="nil"/>
              <w:bottom w:val="single" w:sz="4" w:space="0" w:color="auto"/>
              <w:right w:val="single" w:sz="4" w:space="0" w:color="auto"/>
            </w:tcBorders>
            <w:noWrap/>
            <w:vAlign w:val="bottom"/>
            <w:hideMark/>
          </w:tcPr>
          <w:p w14:paraId="274A3A7B" w14:textId="77777777" w:rsidR="009F3374" w:rsidRDefault="009F3374">
            <w:pPr>
              <w:rPr>
                <w:rFonts w:ascii="Avenir Next Regular" w:hAnsi="Avenir Next Regular" w:cs="Calibri"/>
                <w:iCs/>
                <w:color w:val="000000" w:themeColor="text1"/>
                <w:sz w:val="16"/>
                <w:szCs w:val="16"/>
              </w:rPr>
            </w:pPr>
            <w:r>
              <w:rPr>
                <w:rFonts w:ascii="Avenir Next Regular" w:hAnsi="Avenir Next Regular" w:cs="Calibri"/>
                <w:iCs/>
                <w:color w:val="000000" w:themeColor="text1"/>
                <w:sz w:val="16"/>
                <w:szCs w:val="16"/>
              </w:rPr>
              <w:t> </w:t>
            </w:r>
          </w:p>
        </w:tc>
        <w:tc>
          <w:tcPr>
            <w:tcW w:w="1080" w:type="pct"/>
            <w:tcBorders>
              <w:top w:val="nil"/>
              <w:left w:val="nil"/>
              <w:bottom w:val="single" w:sz="4" w:space="0" w:color="auto"/>
              <w:right w:val="single" w:sz="4" w:space="0" w:color="auto"/>
            </w:tcBorders>
            <w:noWrap/>
            <w:vAlign w:val="bottom"/>
            <w:hideMark/>
          </w:tcPr>
          <w:p w14:paraId="65B24E28" w14:textId="77777777" w:rsidR="009F3374" w:rsidRDefault="009F3374">
            <w:pPr>
              <w:rPr>
                <w:rFonts w:ascii="Avenir Next Regular" w:hAnsi="Avenir Next Regular" w:cs="Calibri"/>
                <w:color w:val="000000" w:themeColor="text1"/>
                <w:sz w:val="16"/>
                <w:szCs w:val="16"/>
              </w:rPr>
            </w:pPr>
            <w:r>
              <w:rPr>
                <w:rFonts w:ascii="Avenir Next Regular" w:hAnsi="Avenir Next Regular" w:cs="Calibri"/>
                <w:color w:val="000000" w:themeColor="text1"/>
                <w:sz w:val="16"/>
                <w:szCs w:val="16"/>
              </w:rPr>
              <w:t> </w:t>
            </w:r>
          </w:p>
        </w:tc>
      </w:tr>
      <w:tr w:rsidR="009F3374" w14:paraId="6D522F9B" w14:textId="77777777" w:rsidTr="009F3374">
        <w:trPr>
          <w:trHeight w:val="58"/>
        </w:trPr>
        <w:tc>
          <w:tcPr>
            <w:tcW w:w="1966" w:type="pct"/>
            <w:tcBorders>
              <w:top w:val="nil"/>
              <w:left w:val="single" w:sz="4" w:space="0" w:color="auto"/>
              <w:bottom w:val="single" w:sz="4" w:space="0" w:color="auto"/>
              <w:right w:val="single" w:sz="4" w:space="0" w:color="auto"/>
            </w:tcBorders>
            <w:noWrap/>
            <w:vAlign w:val="bottom"/>
            <w:hideMark/>
          </w:tcPr>
          <w:p w14:paraId="704A4E1F"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6DA3FEC2"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vAlign w:val="center"/>
            <w:hideMark/>
          </w:tcPr>
          <w:p w14:paraId="47715049" w14:textId="77777777" w:rsidR="00601D9B" w:rsidRDefault="000E53A0">
            <w:pPr>
              <w:rPr>
                <w:rFonts w:ascii="Avenir Next Regular" w:hAnsi="Avenir Next Regular" w:cs="Calibri"/>
                <w:iCs/>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iCs/>
                <w:color w:val="000000" w:themeColor="text1"/>
                <w:sz w:val="16"/>
                <w:szCs w:val="16"/>
              </w:rPr>
              <w:t xml:space="preserve">Navire </w:t>
            </w:r>
          </w:p>
        </w:tc>
        <w:tc>
          <w:tcPr>
            <w:tcW w:w="1080" w:type="pct"/>
            <w:tcBorders>
              <w:top w:val="nil"/>
              <w:left w:val="nil"/>
              <w:bottom w:val="single" w:sz="4" w:space="0" w:color="auto"/>
              <w:right w:val="single" w:sz="4" w:space="0" w:color="auto"/>
            </w:tcBorders>
            <w:hideMark/>
          </w:tcPr>
          <w:p w14:paraId="6121EB71" w14:textId="77777777" w:rsidR="009F3374" w:rsidRDefault="009F3374">
            <w:pPr>
              <w:rPr>
                <w:rFonts w:ascii="Avenir Next Regular" w:hAnsi="Avenir Next Regular" w:cs="Calibri"/>
                <w:color w:val="000000" w:themeColor="text1"/>
                <w:sz w:val="16"/>
                <w:szCs w:val="16"/>
              </w:rPr>
            </w:pPr>
            <w:r>
              <w:rPr>
                <w:rFonts w:ascii="Avenir Next Regular" w:hAnsi="Avenir Next Regular" w:cs="Calibri"/>
                <w:color w:val="000000" w:themeColor="text1"/>
                <w:sz w:val="16"/>
                <w:szCs w:val="16"/>
              </w:rPr>
              <w:t> </w:t>
            </w:r>
          </w:p>
        </w:tc>
      </w:tr>
      <w:tr w:rsidR="009F3374" w14:paraId="0D1F8EA7" w14:textId="77777777" w:rsidTr="009F3374">
        <w:trPr>
          <w:trHeight w:val="58"/>
        </w:trPr>
        <w:tc>
          <w:tcPr>
            <w:tcW w:w="1966" w:type="pct"/>
            <w:tcBorders>
              <w:top w:val="nil"/>
              <w:left w:val="single" w:sz="4" w:space="0" w:color="auto"/>
              <w:bottom w:val="single" w:sz="4" w:space="0" w:color="auto"/>
              <w:right w:val="single" w:sz="4" w:space="0" w:color="auto"/>
            </w:tcBorders>
            <w:noWrap/>
            <w:vAlign w:val="bottom"/>
            <w:hideMark/>
          </w:tcPr>
          <w:p w14:paraId="04F93A2F"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6839CDB3"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vAlign w:val="center"/>
            <w:hideMark/>
          </w:tcPr>
          <w:p w14:paraId="0C9547D0" w14:textId="77777777" w:rsidR="00601D9B" w:rsidRDefault="000E53A0">
            <w:pPr>
              <w:rPr>
                <w:rFonts w:ascii="Avenir Next Regular" w:hAnsi="Avenir Next Regular" w:cs="Calibri"/>
                <w:iCs/>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iCs/>
                <w:color w:val="000000" w:themeColor="text1"/>
                <w:sz w:val="16"/>
                <w:szCs w:val="16"/>
              </w:rPr>
              <w:t>Littoral</w:t>
            </w:r>
          </w:p>
        </w:tc>
        <w:tc>
          <w:tcPr>
            <w:tcW w:w="1080" w:type="pct"/>
            <w:tcBorders>
              <w:top w:val="nil"/>
              <w:left w:val="nil"/>
              <w:bottom w:val="single" w:sz="4" w:space="0" w:color="auto"/>
              <w:right w:val="single" w:sz="4" w:space="0" w:color="auto"/>
            </w:tcBorders>
            <w:hideMark/>
          </w:tcPr>
          <w:p w14:paraId="55F0ACBC" w14:textId="77777777" w:rsidR="009F3374" w:rsidRDefault="009F3374">
            <w:pPr>
              <w:rPr>
                <w:rFonts w:ascii="Avenir Next Regular" w:hAnsi="Avenir Next Regular" w:cs="Calibri"/>
                <w:color w:val="000000" w:themeColor="text1"/>
                <w:sz w:val="16"/>
                <w:szCs w:val="16"/>
              </w:rPr>
            </w:pPr>
            <w:r>
              <w:rPr>
                <w:rFonts w:ascii="Avenir Next Regular" w:hAnsi="Avenir Next Regular" w:cs="Calibri"/>
                <w:color w:val="000000" w:themeColor="text1"/>
                <w:sz w:val="16"/>
                <w:szCs w:val="16"/>
              </w:rPr>
              <w:t> </w:t>
            </w:r>
          </w:p>
        </w:tc>
      </w:tr>
      <w:tr w:rsidR="009F3374" w14:paraId="3898C8C9" w14:textId="77777777" w:rsidTr="009F3374">
        <w:trPr>
          <w:trHeight w:val="58"/>
        </w:trPr>
        <w:tc>
          <w:tcPr>
            <w:tcW w:w="1966" w:type="pct"/>
            <w:tcBorders>
              <w:top w:val="nil"/>
              <w:left w:val="single" w:sz="4" w:space="0" w:color="auto"/>
              <w:bottom w:val="single" w:sz="4" w:space="0" w:color="auto"/>
              <w:right w:val="single" w:sz="4" w:space="0" w:color="auto"/>
            </w:tcBorders>
            <w:noWrap/>
            <w:vAlign w:val="bottom"/>
          </w:tcPr>
          <w:p w14:paraId="0EB054CB" w14:textId="77777777" w:rsidR="009F3374" w:rsidRDefault="009F3374">
            <w:pPr>
              <w:rPr>
                <w:rFonts w:ascii="Avenir Next Regular" w:hAnsi="Avenir Next Regular" w:cs="Calibri"/>
                <w:b/>
                <w:bCs/>
                <w:color w:val="000000" w:themeColor="text1"/>
                <w:sz w:val="16"/>
                <w:szCs w:val="16"/>
              </w:rPr>
            </w:pPr>
          </w:p>
        </w:tc>
        <w:tc>
          <w:tcPr>
            <w:tcW w:w="825" w:type="pct"/>
            <w:tcBorders>
              <w:top w:val="nil"/>
              <w:left w:val="nil"/>
              <w:bottom w:val="single" w:sz="4" w:space="0" w:color="auto"/>
              <w:right w:val="single" w:sz="4" w:space="0" w:color="auto"/>
            </w:tcBorders>
          </w:tcPr>
          <w:p w14:paraId="1DB1A519" w14:textId="77777777" w:rsidR="009F3374" w:rsidRDefault="009F3374">
            <w:pPr>
              <w:rPr>
                <w:rFonts w:ascii="Avenir Next Regular" w:hAnsi="Avenir Next Regular" w:cs="Calibri"/>
                <w:b/>
                <w:bCs/>
                <w:color w:val="000000" w:themeColor="text1"/>
                <w:sz w:val="16"/>
                <w:szCs w:val="16"/>
              </w:rPr>
            </w:pPr>
          </w:p>
        </w:tc>
        <w:tc>
          <w:tcPr>
            <w:tcW w:w="1129" w:type="pct"/>
            <w:tcBorders>
              <w:top w:val="nil"/>
              <w:left w:val="nil"/>
              <w:bottom w:val="single" w:sz="4" w:space="0" w:color="auto"/>
              <w:right w:val="single" w:sz="4" w:space="0" w:color="auto"/>
            </w:tcBorders>
            <w:vAlign w:val="center"/>
            <w:hideMark/>
          </w:tcPr>
          <w:p w14:paraId="43177025" w14:textId="77777777" w:rsidR="00601D9B" w:rsidRDefault="000E53A0">
            <w:pPr>
              <w:rPr>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color w:val="000000" w:themeColor="text1"/>
                <w:sz w:val="16"/>
                <w:szCs w:val="16"/>
              </w:rPr>
              <w:t>Eau douce</w:t>
            </w:r>
          </w:p>
        </w:tc>
        <w:tc>
          <w:tcPr>
            <w:tcW w:w="1080" w:type="pct"/>
            <w:tcBorders>
              <w:top w:val="nil"/>
              <w:left w:val="nil"/>
              <w:bottom w:val="single" w:sz="4" w:space="0" w:color="auto"/>
              <w:right w:val="single" w:sz="4" w:space="0" w:color="auto"/>
            </w:tcBorders>
          </w:tcPr>
          <w:p w14:paraId="753620E4" w14:textId="77777777" w:rsidR="009F3374" w:rsidRDefault="009F3374">
            <w:pPr>
              <w:rPr>
                <w:rFonts w:ascii="Avenir Next Regular" w:hAnsi="Avenir Next Regular" w:cs="Calibri"/>
                <w:color w:val="000000" w:themeColor="text1"/>
                <w:sz w:val="16"/>
                <w:szCs w:val="16"/>
              </w:rPr>
            </w:pPr>
          </w:p>
        </w:tc>
      </w:tr>
      <w:tr w:rsidR="009F3374" w14:paraId="09FECB97" w14:textId="77777777" w:rsidTr="009F3374">
        <w:trPr>
          <w:trHeight w:val="80"/>
        </w:trPr>
        <w:tc>
          <w:tcPr>
            <w:tcW w:w="1966" w:type="pct"/>
            <w:tcBorders>
              <w:top w:val="nil"/>
              <w:left w:val="single" w:sz="4" w:space="0" w:color="auto"/>
              <w:bottom w:val="single" w:sz="4" w:space="0" w:color="auto"/>
              <w:right w:val="single" w:sz="4" w:space="0" w:color="auto"/>
            </w:tcBorders>
            <w:noWrap/>
            <w:vAlign w:val="bottom"/>
            <w:hideMark/>
          </w:tcPr>
          <w:p w14:paraId="585B8788"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4A6B554E"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vAlign w:val="center"/>
          </w:tcPr>
          <w:p w14:paraId="12B47691" w14:textId="77777777" w:rsidR="009F3374" w:rsidRDefault="009F3374">
            <w:pPr>
              <w:rPr>
                <w:rFonts w:ascii="Avenir Next Regular" w:hAnsi="Avenir Next Regular" w:cs="Calibri"/>
                <w:iCs/>
                <w:color w:val="000000" w:themeColor="text1"/>
                <w:sz w:val="16"/>
                <w:szCs w:val="16"/>
              </w:rPr>
            </w:pPr>
          </w:p>
        </w:tc>
        <w:tc>
          <w:tcPr>
            <w:tcW w:w="1080" w:type="pct"/>
            <w:tcBorders>
              <w:top w:val="nil"/>
              <w:left w:val="nil"/>
              <w:bottom w:val="single" w:sz="4" w:space="0" w:color="auto"/>
              <w:right w:val="single" w:sz="4" w:space="0" w:color="auto"/>
            </w:tcBorders>
            <w:vAlign w:val="center"/>
            <w:hideMark/>
          </w:tcPr>
          <w:p w14:paraId="30355B5D" w14:textId="77777777" w:rsidR="00601D9B" w:rsidRDefault="000E53A0">
            <w:pPr>
              <w:rPr>
                <w:rFonts w:ascii="Avenir Next Regular" w:hAnsi="Avenir Next Regular" w:cs="Calibri"/>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iCs/>
                <w:color w:val="000000" w:themeColor="text1"/>
                <w:sz w:val="16"/>
                <w:szCs w:val="16"/>
              </w:rPr>
              <w:t>Aquifère</w:t>
            </w:r>
          </w:p>
        </w:tc>
      </w:tr>
      <w:tr w:rsidR="009F3374" w14:paraId="6C9E877B" w14:textId="77777777" w:rsidTr="009F3374">
        <w:trPr>
          <w:trHeight w:val="58"/>
        </w:trPr>
        <w:tc>
          <w:tcPr>
            <w:tcW w:w="1966" w:type="pct"/>
            <w:tcBorders>
              <w:top w:val="nil"/>
              <w:left w:val="single" w:sz="4" w:space="0" w:color="auto"/>
              <w:bottom w:val="single" w:sz="4" w:space="0" w:color="auto"/>
              <w:right w:val="single" w:sz="4" w:space="0" w:color="auto"/>
            </w:tcBorders>
            <w:noWrap/>
            <w:vAlign w:val="bottom"/>
            <w:hideMark/>
          </w:tcPr>
          <w:p w14:paraId="0ED51A4E"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lastRenderedPageBreak/>
              <w:t> </w:t>
            </w:r>
          </w:p>
        </w:tc>
        <w:tc>
          <w:tcPr>
            <w:tcW w:w="825" w:type="pct"/>
            <w:tcBorders>
              <w:top w:val="nil"/>
              <w:left w:val="nil"/>
              <w:bottom w:val="single" w:sz="4" w:space="0" w:color="auto"/>
              <w:right w:val="single" w:sz="4" w:space="0" w:color="auto"/>
            </w:tcBorders>
            <w:vAlign w:val="bottom"/>
            <w:hideMark/>
          </w:tcPr>
          <w:p w14:paraId="205EC987"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vAlign w:val="center"/>
          </w:tcPr>
          <w:p w14:paraId="6F65F371" w14:textId="77777777" w:rsidR="009F3374" w:rsidRDefault="009F3374">
            <w:pPr>
              <w:rPr>
                <w:rFonts w:ascii="Avenir Next Regular" w:hAnsi="Avenir Next Regular" w:cs="Calibri"/>
                <w:iCs/>
                <w:color w:val="000000" w:themeColor="text1"/>
                <w:sz w:val="16"/>
                <w:szCs w:val="16"/>
              </w:rPr>
            </w:pPr>
          </w:p>
        </w:tc>
        <w:tc>
          <w:tcPr>
            <w:tcW w:w="1080" w:type="pct"/>
            <w:tcBorders>
              <w:top w:val="nil"/>
              <w:left w:val="nil"/>
              <w:bottom w:val="single" w:sz="4" w:space="0" w:color="auto"/>
              <w:right w:val="single" w:sz="4" w:space="0" w:color="auto"/>
            </w:tcBorders>
            <w:vAlign w:val="center"/>
            <w:hideMark/>
          </w:tcPr>
          <w:p w14:paraId="3539271E" w14:textId="77777777" w:rsidR="00601D9B" w:rsidRDefault="000E53A0">
            <w:pPr>
              <w:rPr>
                <w:rFonts w:ascii="Avenir Next Regular" w:hAnsi="Avenir Next Regular" w:cs="Calibri"/>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iCs/>
                <w:color w:val="000000" w:themeColor="text1"/>
                <w:sz w:val="16"/>
                <w:szCs w:val="16"/>
              </w:rPr>
              <w:t>Bassin hydrographique</w:t>
            </w:r>
          </w:p>
        </w:tc>
      </w:tr>
      <w:tr w:rsidR="009F3374" w14:paraId="0049C84E" w14:textId="77777777" w:rsidTr="009F3374">
        <w:trPr>
          <w:trHeight w:val="58"/>
        </w:trPr>
        <w:tc>
          <w:tcPr>
            <w:tcW w:w="1966" w:type="pct"/>
            <w:tcBorders>
              <w:top w:val="nil"/>
              <w:left w:val="single" w:sz="4" w:space="0" w:color="auto"/>
              <w:bottom w:val="single" w:sz="4" w:space="0" w:color="auto"/>
              <w:right w:val="single" w:sz="4" w:space="0" w:color="auto"/>
            </w:tcBorders>
            <w:noWrap/>
            <w:vAlign w:val="bottom"/>
            <w:hideMark/>
          </w:tcPr>
          <w:p w14:paraId="18C074DE"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2A5033CE"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vAlign w:val="center"/>
          </w:tcPr>
          <w:p w14:paraId="61E0206E" w14:textId="77777777" w:rsidR="009F3374" w:rsidRDefault="009F3374">
            <w:pPr>
              <w:rPr>
                <w:rFonts w:ascii="Avenir Next Regular" w:hAnsi="Avenir Next Regular" w:cs="Calibri"/>
                <w:iCs/>
                <w:color w:val="000000" w:themeColor="text1"/>
                <w:sz w:val="16"/>
                <w:szCs w:val="16"/>
              </w:rPr>
            </w:pPr>
          </w:p>
        </w:tc>
        <w:tc>
          <w:tcPr>
            <w:tcW w:w="1080" w:type="pct"/>
            <w:tcBorders>
              <w:top w:val="nil"/>
              <w:left w:val="nil"/>
              <w:bottom w:val="single" w:sz="4" w:space="0" w:color="auto"/>
              <w:right w:val="single" w:sz="4" w:space="0" w:color="auto"/>
            </w:tcBorders>
            <w:vAlign w:val="center"/>
            <w:hideMark/>
          </w:tcPr>
          <w:p w14:paraId="6E48F772" w14:textId="77777777" w:rsidR="00601D9B" w:rsidRDefault="000E53A0">
            <w:pPr>
              <w:rPr>
                <w:rFonts w:ascii="Avenir Next Regular" w:hAnsi="Avenir Next Regular" w:cs="Calibri"/>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iCs/>
                <w:color w:val="000000" w:themeColor="text1"/>
                <w:sz w:val="16"/>
                <w:szCs w:val="16"/>
              </w:rPr>
              <w:t>Bassin du lac</w:t>
            </w:r>
          </w:p>
        </w:tc>
      </w:tr>
      <w:tr w:rsidR="009F3374" w14:paraId="10C5679F" w14:textId="77777777" w:rsidTr="009F3374">
        <w:trPr>
          <w:trHeight w:val="58"/>
        </w:trPr>
        <w:tc>
          <w:tcPr>
            <w:tcW w:w="1966" w:type="pct"/>
            <w:tcBorders>
              <w:top w:val="nil"/>
              <w:left w:val="single" w:sz="4" w:space="0" w:color="auto"/>
              <w:bottom w:val="single" w:sz="4" w:space="0" w:color="auto"/>
              <w:right w:val="single" w:sz="4" w:space="0" w:color="auto"/>
            </w:tcBorders>
            <w:noWrap/>
            <w:vAlign w:val="bottom"/>
            <w:hideMark/>
          </w:tcPr>
          <w:p w14:paraId="2995FD6D"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7A281510"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vAlign w:val="center"/>
            <w:hideMark/>
          </w:tcPr>
          <w:p w14:paraId="6EBD0690" w14:textId="77777777" w:rsidR="00601D9B" w:rsidRDefault="000E53A0">
            <w:pPr>
              <w:rPr>
                <w:rFonts w:ascii="Avenir Next Regular" w:hAnsi="Avenir Next Regular" w:cs="Calibri"/>
                <w:iCs/>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iCs/>
                <w:color w:val="000000" w:themeColor="text1"/>
                <w:sz w:val="16"/>
                <w:szCs w:val="16"/>
              </w:rPr>
              <w:t>Apprendre</w:t>
            </w:r>
          </w:p>
        </w:tc>
        <w:tc>
          <w:tcPr>
            <w:tcW w:w="1080" w:type="pct"/>
            <w:tcBorders>
              <w:top w:val="nil"/>
              <w:left w:val="nil"/>
              <w:bottom w:val="single" w:sz="4" w:space="0" w:color="auto"/>
              <w:right w:val="single" w:sz="4" w:space="0" w:color="auto"/>
            </w:tcBorders>
            <w:hideMark/>
          </w:tcPr>
          <w:p w14:paraId="64B1B6F9" w14:textId="77777777" w:rsidR="009F3374" w:rsidRDefault="009F3374">
            <w:pPr>
              <w:rPr>
                <w:rFonts w:ascii="Avenir Next Regular" w:hAnsi="Avenir Next Regular" w:cs="Calibri"/>
                <w:color w:val="000000" w:themeColor="text1"/>
                <w:sz w:val="16"/>
                <w:szCs w:val="16"/>
              </w:rPr>
            </w:pPr>
            <w:r>
              <w:rPr>
                <w:rFonts w:ascii="Avenir Next Regular" w:hAnsi="Avenir Next Regular" w:cs="Calibri"/>
                <w:color w:val="000000" w:themeColor="text1"/>
                <w:sz w:val="16"/>
                <w:szCs w:val="16"/>
              </w:rPr>
              <w:t> </w:t>
            </w:r>
          </w:p>
        </w:tc>
      </w:tr>
      <w:tr w:rsidR="009F3374" w14:paraId="6DE0D96C" w14:textId="77777777" w:rsidTr="009F3374">
        <w:trPr>
          <w:trHeight w:val="58"/>
        </w:trPr>
        <w:tc>
          <w:tcPr>
            <w:tcW w:w="1966" w:type="pct"/>
            <w:tcBorders>
              <w:top w:val="nil"/>
              <w:left w:val="single" w:sz="4" w:space="0" w:color="auto"/>
              <w:bottom w:val="single" w:sz="4" w:space="0" w:color="auto"/>
              <w:right w:val="single" w:sz="4" w:space="0" w:color="auto"/>
            </w:tcBorders>
            <w:noWrap/>
            <w:vAlign w:val="bottom"/>
            <w:hideMark/>
          </w:tcPr>
          <w:p w14:paraId="0024E73A"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22C752D8"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vAlign w:val="center"/>
            <w:hideMark/>
          </w:tcPr>
          <w:p w14:paraId="53C1F9D7" w14:textId="77777777" w:rsidR="00601D9B" w:rsidRDefault="000E53A0">
            <w:pPr>
              <w:rPr>
                <w:rFonts w:ascii="Avenir Next Regular" w:hAnsi="Avenir Next Regular" w:cs="Calibri"/>
                <w:iCs/>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iCs/>
                <w:color w:val="000000" w:themeColor="text1"/>
                <w:sz w:val="16"/>
                <w:szCs w:val="16"/>
              </w:rPr>
              <w:t>Pêche</w:t>
            </w:r>
          </w:p>
        </w:tc>
        <w:tc>
          <w:tcPr>
            <w:tcW w:w="1080" w:type="pct"/>
            <w:tcBorders>
              <w:top w:val="nil"/>
              <w:left w:val="nil"/>
              <w:bottom w:val="single" w:sz="4" w:space="0" w:color="auto"/>
              <w:right w:val="single" w:sz="4" w:space="0" w:color="auto"/>
            </w:tcBorders>
            <w:hideMark/>
          </w:tcPr>
          <w:p w14:paraId="539A9F5F" w14:textId="77777777" w:rsidR="009F3374" w:rsidRDefault="009F3374">
            <w:pPr>
              <w:rPr>
                <w:rFonts w:ascii="Avenir Next Regular" w:hAnsi="Avenir Next Regular" w:cs="Calibri"/>
                <w:color w:val="000000" w:themeColor="text1"/>
                <w:sz w:val="16"/>
                <w:szCs w:val="16"/>
              </w:rPr>
            </w:pPr>
            <w:r>
              <w:rPr>
                <w:rFonts w:ascii="Avenir Next Regular" w:hAnsi="Avenir Next Regular" w:cs="Calibri"/>
                <w:color w:val="000000" w:themeColor="text1"/>
                <w:sz w:val="16"/>
                <w:szCs w:val="16"/>
              </w:rPr>
              <w:t> </w:t>
            </w:r>
          </w:p>
        </w:tc>
      </w:tr>
      <w:tr w:rsidR="009F3374" w14:paraId="1707982E" w14:textId="77777777" w:rsidTr="009F3374">
        <w:trPr>
          <w:trHeight w:val="58"/>
        </w:trPr>
        <w:tc>
          <w:tcPr>
            <w:tcW w:w="1966" w:type="pct"/>
            <w:tcBorders>
              <w:top w:val="nil"/>
              <w:left w:val="single" w:sz="4" w:space="0" w:color="auto"/>
              <w:bottom w:val="single" w:sz="4" w:space="0" w:color="auto"/>
              <w:right w:val="single" w:sz="4" w:space="0" w:color="auto"/>
            </w:tcBorders>
            <w:noWrap/>
            <w:vAlign w:val="bottom"/>
            <w:hideMark/>
          </w:tcPr>
          <w:p w14:paraId="6602033C"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76431080"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vAlign w:val="center"/>
            <w:hideMark/>
          </w:tcPr>
          <w:p w14:paraId="05DCFA6F" w14:textId="77777777" w:rsidR="00601D9B" w:rsidRDefault="000E53A0">
            <w:pPr>
              <w:rPr>
                <w:rFonts w:ascii="Avenir Next Regular" w:hAnsi="Avenir Next Regular" w:cs="Calibri"/>
                <w:iCs/>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iCs/>
                <w:color w:val="000000" w:themeColor="text1"/>
                <w:sz w:val="16"/>
                <w:szCs w:val="16"/>
              </w:rPr>
              <w:t>Substances toxiques persistantes</w:t>
            </w:r>
          </w:p>
        </w:tc>
        <w:tc>
          <w:tcPr>
            <w:tcW w:w="1080" w:type="pct"/>
            <w:tcBorders>
              <w:top w:val="nil"/>
              <w:left w:val="nil"/>
              <w:bottom w:val="single" w:sz="4" w:space="0" w:color="auto"/>
              <w:right w:val="single" w:sz="4" w:space="0" w:color="auto"/>
            </w:tcBorders>
            <w:hideMark/>
          </w:tcPr>
          <w:p w14:paraId="09803896" w14:textId="77777777" w:rsidR="009F3374" w:rsidRDefault="009F3374">
            <w:pPr>
              <w:rPr>
                <w:rFonts w:ascii="Avenir Next Regular" w:hAnsi="Avenir Next Regular" w:cs="Calibri"/>
                <w:color w:val="000000" w:themeColor="text1"/>
                <w:sz w:val="16"/>
                <w:szCs w:val="16"/>
              </w:rPr>
            </w:pPr>
            <w:r>
              <w:rPr>
                <w:rFonts w:ascii="Avenir Next Regular" w:hAnsi="Avenir Next Regular" w:cs="Calibri"/>
                <w:color w:val="000000" w:themeColor="text1"/>
                <w:sz w:val="16"/>
                <w:szCs w:val="16"/>
              </w:rPr>
              <w:t> </w:t>
            </w:r>
          </w:p>
        </w:tc>
      </w:tr>
      <w:tr w:rsidR="009F3374" w:rsidRPr="000E53A0" w14:paraId="75597DBB" w14:textId="77777777" w:rsidTr="009F3374">
        <w:trPr>
          <w:trHeight w:val="58"/>
        </w:trPr>
        <w:tc>
          <w:tcPr>
            <w:tcW w:w="1966" w:type="pct"/>
            <w:tcBorders>
              <w:top w:val="nil"/>
              <w:left w:val="single" w:sz="4" w:space="0" w:color="auto"/>
              <w:bottom w:val="single" w:sz="4" w:space="0" w:color="auto"/>
              <w:right w:val="single" w:sz="4" w:space="0" w:color="auto"/>
            </w:tcBorders>
            <w:noWrap/>
            <w:vAlign w:val="bottom"/>
            <w:hideMark/>
          </w:tcPr>
          <w:p w14:paraId="1965CD58"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71835805"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vAlign w:val="center"/>
            <w:hideMark/>
          </w:tcPr>
          <w:p w14:paraId="56D4BAB7" w14:textId="77777777" w:rsidR="00601D9B" w:rsidRPr="000E53A0" w:rsidRDefault="000E53A0">
            <w:pPr>
              <w:rPr>
                <w:rFonts w:ascii="Avenir Next Regular" w:hAnsi="Avenir Next Regular" w:cs="Calibri"/>
                <w:iCs/>
                <w:color w:val="000000" w:themeColor="text1"/>
                <w:sz w:val="16"/>
                <w:szCs w:val="16"/>
                <w:lang w:val="fr-FR"/>
              </w:rPr>
            </w:pPr>
            <w:r>
              <w:rPr>
                <w:color w:val="000000" w:themeColor="text1"/>
                <w:sz w:val="16"/>
                <w:szCs w:val="16"/>
              </w:rPr>
              <w:fldChar w:fldCharType="begin">
                <w:ffData>
                  <w:name w:val="IAP_cities"/>
                  <w:enabled/>
                  <w:calcOnExit w:val="0"/>
                  <w:checkBox>
                    <w:sizeAuto/>
                    <w:default w:val="0"/>
                  </w:checkBox>
                </w:ffData>
              </w:fldChar>
            </w:r>
            <w:r w:rsidRPr="000E53A0">
              <w:rPr>
                <w:color w:val="000000" w:themeColor="text1"/>
                <w:sz w:val="16"/>
                <w:szCs w:val="16"/>
                <w:lang w:val="fr-FR"/>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sidRPr="000E53A0">
              <w:rPr>
                <w:rFonts w:ascii="Avenir Next Regular" w:hAnsi="Avenir Next Regular" w:cs="Calibri"/>
                <w:iCs/>
                <w:color w:val="000000" w:themeColor="text1"/>
                <w:sz w:val="16"/>
                <w:szCs w:val="16"/>
                <w:lang w:val="fr-FR"/>
              </w:rPr>
              <w:t>PEID : Petits États insulaires en développement</w:t>
            </w:r>
          </w:p>
        </w:tc>
        <w:tc>
          <w:tcPr>
            <w:tcW w:w="1080" w:type="pct"/>
            <w:tcBorders>
              <w:top w:val="nil"/>
              <w:left w:val="nil"/>
              <w:bottom w:val="single" w:sz="4" w:space="0" w:color="auto"/>
              <w:right w:val="single" w:sz="4" w:space="0" w:color="auto"/>
            </w:tcBorders>
            <w:hideMark/>
          </w:tcPr>
          <w:p w14:paraId="3A0BE4E8" w14:textId="77777777" w:rsidR="009F3374" w:rsidRPr="000E53A0" w:rsidRDefault="009F3374">
            <w:pPr>
              <w:rPr>
                <w:rFonts w:ascii="Avenir Next Regular" w:hAnsi="Avenir Next Regular" w:cs="Calibri"/>
                <w:color w:val="000000" w:themeColor="text1"/>
                <w:sz w:val="16"/>
                <w:szCs w:val="16"/>
                <w:lang w:val="fr-FR"/>
              </w:rPr>
            </w:pPr>
            <w:r w:rsidRPr="000E53A0">
              <w:rPr>
                <w:rFonts w:ascii="Avenir Next Regular" w:hAnsi="Avenir Next Regular" w:cs="Calibri"/>
                <w:color w:val="000000" w:themeColor="text1"/>
                <w:sz w:val="16"/>
                <w:szCs w:val="16"/>
                <w:lang w:val="fr-FR"/>
              </w:rPr>
              <w:t> </w:t>
            </w:r>
          </w:p>
        </w:tc>
      </w:tr>
      <w:tr w:rsidR="009F3374" w14:paraId="7A423267" w14:textId="77777777" w:rsidTr="009F3374">
        <w:trPr>
          <w:trHeight w:val="58"/>
        </w:trPr>
        <w:tc>
          <w:tcPr>
            <w:tcW w:w="1966" w:type="pct"/>
            <w:tcBorders>
              <w:top w:val="nil"/>
              <w:left w:val="single" w:sz="4" w:space="0" w:color="auto"/>
              <w:bottom w:val="single" w:sz="4" w:space="0" w:color="auto"/>
              <w:right w:val="single" w:sz="4" w:space="0" w:color="auto"/>
            </w:tcBorders>
            <w:noWrap/>
            <w:vAlign w:val="bottom"/>
            <w:hideMark/>
          </w:tcPr>
          <w:p w14:paraId="05396CE4" w14:textId="77777777" w:rsidR="009F3374" w:rsidRPr="000E53A0" w:rsidRDefault="009F3374">
            <w:pPr>
              <w:rPr>
                <w:rFonts w:ascii="Avenir Next Regular" w:hAnsi="Avenir Next Regular" w:cs="Calibri"/>
                <w:b/>
                <w:bCs/>
                <w:color w:val="000000" w:themeColor="text1"/>
                <w:sz w:val="16"/>
                <w:szCs w:val="16"/>
                <w:lang w:val="fr-FR"/>
              </w:rPr>
            </w:pPr>
            <w:r w:rsidRPr="000E53A0">
              <w:rPr>
                <w:rFonts w:ascii="Avenir Next Regular" w:hAnsi="Avenir Next Regular" w:cs="Calibri"/>
                <w:b/>
                <w:bCs/>
                <w:color w:val="000000" w:themeColor="text1"/>
                <w:sz w:val="16"/>
                <w:szCs w:val="16"/>
                <w:lang w:val="fr-FR"/>
              </w:rPr>
              <w:t> </w:t>
            </w:r>
          </w:p>
        </w:tc>
        <w:tc>
          <w:tcPr>
            <w:tcW w:w="825" w:type="pct"/>
            <w:tcBorders>
              <w:top w:val="nil"/>
              <w:left w:val="nil"/>
              <w:bottom w:val="single" w:sz="4" w:space="0" w:color="auto"/>
              <w:right w:val="single" w:sz="4" w:space="0" w:color="auto"/>
            </w:tcBorders>
            <w:hideMark/>
          </w:tcPr>
          <w:p w14:paraId="07132758" w14:textId="77777777" w:rsidR="009F3374" w:rsidRPr="000E53A0" w:rsidRDefault="009F3374">
            <w:pPr>
              <w:rPr>
                <w:rFonts w:ascii="Avenir Next Regular" w:hAnsi="Avenir Next Regular" w:cs="Calibri"/>
                <w:b/>
                <w:bCs/>
                <w:color w:val="000000" w:themeColor="text1"/>
                <w:sz w:val="16"/>
                <w:szCs w:val="16"/>
                <w:lang w:val="fr-FR"/>
              </w:rPr>
            </w:pPr>
            <w:r w:rsidRPr="000E53A0">
              <w:rPr>
                <w:rFonts w:ascii="Avenir Next Regular" w:hAnsi="Avenir Next Regular" w:cs="Calibri"/>
                <w:b/>
                <w:bCs/>
                <w:color w:val="000000" w:themeColor="text1"/>
                <w:sz w:val="16"/>
                <w:szCs w:val="16"/>
                <w:lang w:val="fr-FR"/>
              </w:rPr>
              <w:t> </w:t>
            </w:r>
          </w:p>
        </w:tc>
        <w:tc>
          <w:tcPr>
            <w:tcW w:w="1129" w:type="pct"/>
            <w:tcBorders>
              <w:top w:val="nil"/>
              <w:left w:val="nil"/>
              <w:bottom w:val="single" w:sz="4" w:space="0" w:color="auto"/>
              <w:right w:val="single" w:sz="4" w:space="0" w:color="auto"/>
            </w:tcBorders>
            <w:vAlign w:val="center"/>
            <w:hideMark/>
          </w:tcPr>
          <w:p w14:paraId="04D91D82" w14:textId="77777777" w:rsidR="00601D9B" w:rsidRDefault="000E53A0">
            <w:pPr>
              <w:rPr>
                <w:rFonts w:ascii="Avenir Next Regular" w:hAnsi="Avenir Next Regular" w:cs="Calibri"/>
                <w:iCs/>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iCs/>
                <w:color w:val="000000" w:themeColor="text1"/>
                <w:sz w:val="16"/>
                <w:szCs w:val="16"/>
              </w:rPr>
              <w:t>Recherche ciblée</w:t>
            </w:r>
          </w:p>
        </w:tc>
        <w:tc>
          <w:tcPr>
            <w:tcW w:w="1080" w:type="pct"/>
            <w:tcBorders>
              <w:top w:val="nil"/>
              <w:left w:val="nil"/>
              <w:bottom w:val="single" w:sz="4" w:space="0" w:color="auto"/>
              <w:right w:val="single" w:sz="4" w:space="0" w:color="auto"/>
            </w:tcBorders>
            <w:hideMark/>
          </w:tcPr>
          <w:p w14:paraId="184DC318" w14:textId="77777777" w:rsidR="009F3374" w:rsidRDefault="009F3374">
            <w:pPr>
              <w:rPr>
                <w:rFonts w:ascii="Avenir Next Regular" w:hAnsi="Avenir Next Regular" w:cs="Calibri"/>
                <w:color w:val="000000" w:themeColor="text1"/>
                <w:sz w:val="16"/>
                <w:szCs w:val="16"/>
              </w:rPr>
            </w:pPr>
            <w:r>
              <w:rPr>
                <w:rFonts w:ascii="Avenir Next Regular" w:hAnsi="Avenir Next Regular" w:cs="Calibri"/>
                <w:color w:val="000000" w:themeColor="text1"/>
                <w:sz w:val="16"/>
                <w:szCs w:val="16"/>
              </w:rPr>
              <w:t> </w:t>
            </w:r>
          </w:p>
        </w:tc>
      </w:tr>
      <w:tr w:rsidR="009F3374" w14:paraId="28CEA081" w14:textId="77777777" w:rsidTr="009F3374">
        <w:trPr>
          <w:trHeight w:val="58"/>
        </w:trPr>
        <w:tc>
          <w:tcPr>
            <w:tcW w:w="1966" w:type="pct"/>
            <w:tcBorders>
              <w:top w:val="nil"/>
              <w:left w:val="single" w:sz="4" w:space="0" w:color="auto"/>
              <w:bottom w:val="single" w:sz="4" w:space="0" w:color="auto"/>
              <w:right w:val="single" w:sz="4" w:space="0" w:color="auto"/>
            </w:tcBorders>
            <w:noWrap/>
            <w:vAlign w:val="bottom"/>
          </w:tcPr>
          <w:p w14:paraId="58948C95" w14:textId="77777777" w:rsidR="009F3374" w:rsidRDefault="009F3374">
            <w:pPr>
              <w:rPr>
                <w:rFonts w:ascii="Avenir Next Regular" w:hAnsi="Avenir Next Regular" w:cs="Calibri"/>
                <w:b/>
                <w:bCs/>
                <w:color w:val="000000" w:themeColor="text1"/>
                <w:sz w:val="16"/>
                <w:szCs w:val="16"/>
              </w:rPr>
            </w:pPr>
          </w:p>
        </w:tc>
        <w:tc>
          <w:tcPr>
            <w:tcW w:w="825" w:type="pct"/>
            <w:tcBorders>
              <w:top w:val="nil"/>
              <w:left w:val="nil"/>
              <w:bottom w:val="single" w:sz="4" w:space="0" w:color="auto"/>
              <w:right w:val="single" w:sz="4" w:space="0" w:color="auto"/>
            </w:tcBorders>
          </w:tcPr>
          <w:p w14:paraId="55E21103" w14:textId="77777777" w:rsidR="009F3374" w:rsidRDefault="009F3374">
            <w:pPr>
              <w:rPr>
                <w:rFonts w:ascii="Avenir Next Regular" w:hAnsi="Avenir Next Regular" w:cs="Calibri"/>
                <w:b/>
                <w:bCs/>
                <w:color w:val="000000" w:themeColor="text1"/>
                <w:sz w:val="16"/>
                <w:szCs w:val="16"/>
              </w:rPr>
            </w:pPr>
          </w:p>
        </w:tc>
        <w:tc>
          <w:tcPr>
            <w:tcW w:w="1129" w:type="pct"/>
            <w:tcBorders>
              <w:top w:val="nil"/>
              <w:left w:val="nil"/>
              <w:bottom w:val="single" w:sz="4" w:space="0" w:color="auto"/>
              <w:right w:val="single" w:sz="4" w:space="0" w:color="auto"/>
            </w:tcBorders>
            <w:vAlign w:val="center"/>
            <w:hideMark/>
          </w:tcPr>
          <w:p w14:paraId="5CB3749C" w14:textId="77777777" w:rsidR="00601D9B" w:rsidRDefault="000E53A0">
            <w:pPr>
              <w:rPr>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color w:val="000000" w:themeColor="text1"/>
                <w:sz w:val="16"/>
                <w:szCs w:val="16"/>
              </w:rPr>
              <w:t>Pollution</w:t>
            </w:r>
          </w:p>
        </w:tc>
        <w:tc>
          <w:tcPr>
            <w:tcW w:w="1080" w:type="pct"/>
            <w:tcBorders>
              <w:top w:val="nil"/>
              <w:left w:val="nil"/>
              <w:bottom w:val="single" w:sz="4" w:space="0" w:color="auto"/>
              <w:right w:val="single" w:sz="4" w:space="0" w:color="auto"/>
            </w:tcBorders>
          </w:tcPr>
          <w:p w14:paraId="6B8D5A50" w14:textId="77777777" w:rsidR="009F3374" w:rsidRDefault="009F3374">
            <w:pPr>
              <w:rPr>
                <w:rFonts w:ascii="Avenir Next Regular" w:hAnsi="Avenir Next Regular" w:cs="Calibri"/>
                <w:color w:val="000000" w:themeColor="text1"/>
                <w:sz w:val="16"/>
                <w:szCs w:val="16"/>
              </w:rPr>
            </w:pPr>
          </w:p>
        </w:tc>
      </w:tr>
      <w:tr w:rsidR="009F3374" w14:paraId="28325921" w14:textId="77777777" w:rsidTr="009F3374">
        <w:trPr>
          <w:trHeight w:val="58"/>
        </w:trPr>
        <w:tc>
          <w:tcPr>
            <w:tcW w:w="1966" w:type="pct"/>
            <w:tcBorders>
              <w:top w:val="nil"/>
              <w:left w:val="single" w:sz="4" w:space="0" w:color="auto"/>
              <w:bottom w:val="single" w:sz="4" w:space="0" w:color="auto"/>
              <w:right w:val="single" w:sz="4" w:space="0" w:color="auto"/>
            </w:tcBorders>
            <w:noWrap/>
            <w:vAlign w:val="bottom"/>
          </w:tcPr>
          <w:p w14:paraId="19F04F01" w14:textId="77777777" w:rsidR="009F3374" w:rsidRDefault="009F3374">
            <w:pPr>
              <w:rPr>
                <w:rFonts w:ascii="Avenir Next Regular" w:hAnsi="Avenir Next Regular" w:cs="Calibri"/>
                <w:b/>
                <w:bCs/>
                <w:color w:val="000000" w:themeColor="text1"/>
                <w:sz w:val="16"/>
                <w:szCs w:val="16"/>
              </w:rPr>
            </w:pPr>
          </w:p>
        </w:tc>
        <w:tc>
          <w:tcPr>
            <w:tcW w:w="825" w:type="pct"/>
            <w:tcBorders>
              <w:top w:val="nil"/>
              <w:left w:val="nil"/>
              <w:bottom w:val="single" w:sz="4" w:space="0" w:color="auto"/>
              <w:right w:val="single" w:sz="4" w:space="0" w:color="auto"/>
            </w:tcBorders>
          </w:tcPr>
          <w:p w14:paraId="3313A08C" w14:textId="77777777" w:rsidR="009F3374" w:rsidRDefault="009F3374">
            <w:pPr>
              <w:rPr>
                <w:rFonts w:ascii="Avenir Next Regular" w:hAnsi="Avenir Next Regular" w:cs="Calibri"/>
                <w:b/>
                <w:bCs/>
                <w:color w:val="000000" w:themeColor="text1"/>
                <w:sz w:val="16"/>
                <w:szCs w:val="16"/>
              </w:rPr>
            </w:pPr>
          </w:p>
        </w:tc>
        <w:tc>
          <w:tcPr>
            <w:tcW w:w="1129" w:type="pct"/>
            <w:tcBorders>
              <w:top w:val="nil"/>
              <w:left w:val="nil"/>
              <w:bottom w:val="single" w:sz="4" w:space="0" w:color="auto"/>
              <w:right w:val="single" w:sz="4" w:space="0" w:color="auto"/>
            </w:tcBorders>
            <w:vAlign w:val="center"/>
          </w:tcPr>
          <w:p w14:paraId="1302E3C5" w14:textId="77777777" w:rsidR="009F3374" w:rsidRDefault="009F3374">
            <w:pPr>
              <w:rPr>
                <w:color w:val="000000" w:themeColor="text1"/>
                <w:sz w:val="16"/>
                <w:szCs w:val="16"/>
              </w:rPr>
            </w:pPr>
          </w:p>
        </w:tc>
        <w:tc>
          <w:tcPr>
            <w:tcW w:w="1080" w:type="pct"/>
            <w:tcBorders>
              <w:top w:val="nil"/>
              <w:left w:val="nil"/>
              <w:bottom w:val="single" w:sz="4" w:space="0" w:color="auto"/>
              <w:right w:val="single" w:sz="4" w:space="0" w:color="auto"/>
            </w:tcBorders>
            <w:hideMark/>
          </w:tcPr>
          <w:p w14:paraId="70E8A5ED" w14:textId="77777777" w:rsidR="00601D9B" w:rsidRDefault="000E53A0">
            <w:pPr>
              <w:rPr>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color w:val="000000" w:themeColor="text1"/>
                <w:sz w:val="16"/>
                <w:szCs w:val="16"/>
              </w:rPr>
              <w:t>Substances toxiques persistantes</w:t>
            </w:r>
          </w:p>
        </w:tc>
      </w:tr>
      <w:tr w:rsidR="009F3374" w14:paraId="19FBABD7" w14:textId="77777777" w:rsidTr="009F3374">
        <w:trPr>
          <w:trHeight w:val="58"/>
        </w:trPr>
        <w:tc>
          <w:tcPr>
            <w:tcW w:w="1966" w:type="pct"/>
            <w:tcBorders>
              <w:top w:val="nil"/>
              <w:left w:val="single" w:sz="4" w:space="0" w:color="auto"/>
              <w:bottom w:val="single" w:sz="4" w:space="0" w:color="auto"/>
              <w:right w:val="single" w:sz="4" w:space="0" w:color="auto"/>
            </w:tcBorders>
            <w:noWrap/>
            <w:vAlign w:val="bottom"/>
            <w:hideMark/>
          </w:tcPr>
          <w:p w14:paraId="2E920D59"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3416D850"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vAlign w:val="center"/>
          </w:tcPr>
          <w:p w14:paraId="6B754BC1" w14:textId="77777777" w:rsidR="009F3374" w:rsidRDefault="009F3374">
            <w:pPr>
              <w:rPr>
                <w:rFonts w:ascii="Avenir Next Regular" w:hAnsi="Avenir Next Regular" w:cs="Calibri"/>
                <w:iCs/>
                <w:color w:val="000000" w:themeColor="text1"/>
                <w:sz w:val="16"/>
                <w:szCs w:val="16"/>
              </w:rPr>
            </w:pPr>
          </w:p>
        </w:tc>
        <w:tc>
          <w:tcPr>
            <w:tcW w:w="1080" w:type="pct"/>
            <w:tcBorders>
              <w:top w:val="nil"/>
              <w:left w:val="nil"/>
              <w:bottom w:val="single" w:sz="4" w:space="0" w:color="auto"/>
              <w:right w:val="single" w:sz="4" w:space="0" w:color="auto"/>
            </w:tcBorders>
            <w:hideMark/>
          </w:tcPr>
          <w:p w14:paraId="0DE80B06" w14:textId="77777777" w:rsidR="00601D9B" w:rsidRDefault="000E53A0">
            <w:pPr>
              <w:rPr>
                <w:rFonts w:ascii="Avenir Next Regular" w:hAnsi="Avenir Next Regular" w:cs="Calibri"/>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iCs/>
                <w:color w:val="000000" w:themeColor="text1"/>
                <w:sz w:val="16"/>
                <w:szCs w:val="16"/>
              </w:rPr>
              <w:t>Plastiques</w:t>
            </w:r>
          </w:p>
        </w:tc>
      </w:tr>
      <w:tr w:rsidR="009F3374" w:rsidRPr="000E53A0" w14:paraId="7FD69095" w14:textId="77777777" w:rsidTr="009F3374">
        <w:trPr>
          <w:trHeight w:val="408"/>
        </w:trPr>
        <w:tc>
          <w:tcPr>
            <w:tcW w:w="1966" w:type="pct"/>
            <w:tcBorders>
              <w:top w:val="nil"/>
              <w:left w:val="single" w:sz="4" w:space="0" w:color="auto"/>
              <w:bottom w:val="single" w:sz="4" w:space="0" w:color="auto"/>
              <w:right w:val="single" w:sz="4" w:space="0" w:color="auto"/>
            </w:tcBorders>
            <w:noWrap/>
            <w:vAlign w:val="bottom"/>
            <w:hideMark/>
          </w:tcPr>
          <w:p w14:paraId="66FC1598"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6FD554CA"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vAlign w:val="center"/>
            <w:hideMark/>
          </w:tcPr>
          <w:p w14:paraId="6622AACA" w14:textId="77777777" w:rsidR="009F3374" w:rsidRDefault="009F3374">
            <w:pPr>
              <w:rPr>
                <w:rFonts w:ascii="Avenir Next Regular" w:hAnsi="Avenir Next Regular" w:cs="Calibri"/>
                <w:iCs/>
                <w:color w:val="000000" w:themeColor="text1"/>
                <w:sz w:val="16"/>
                <w:szCs w:val="16"/>
              </w:rPr>
            </w:pPr>
            <w:r>
              <w:rPr>
                <w:rFonts w:ascii="Avenir Next Regular" w:hAnsi="Avenir Next Regular" w:cs="Calibri"/>
                <w:iCs/>
                <w:color w:val="000000" w:themeColor="text1"/>
                <w:sz w:val="16"/>
                <w:szCs w:val="16"/>
              </w:rPr>
              <w:t> </w:t>
            </w:r>
          </w:p>
        </w:tc>
        <w:tc>
          <w:tcPr>
            <w:tcW w:w="1080" w:type="pct"/>
            <w:tcBorders>
              <w:top w:val="nil"/>
              <w:left w:val="nil"/>
              <w:bottom w:val="single" w:sz="4" w:space="0" w:color="auto"/>
              <w:right w:val="single" w:sz="4" w:space="0" w:color="auto"/>
            </w:tcBorders>
            <w:hideMark/>
          </w:tcPr>
          <w:p w14:paraId="5AFEE651" w14:textId="77777777" w:rsidR="00601D9B" w:rsidRPr="000E53A0" w:rsidRDefault="000E53A0">
            <w:pPr>
              <w:ind w:left="192" w:hanging="192"/>
              <w:rPr>
                <w:rFonts w:ascii="Avenir Next Regular" w:hAnsi="Avenir Next Regular" w:cs="Calibri"/>
                <w:color w:val="000000" w:themeColor="text1"/>
                <w:sz w:val="16"/>
                <w:szCs w:val="16"/>
                <w:lang w:val="fr-FR"/>
              </w:rPr>
            </w:pPr>
            <w:r>
              <w:rPr>
                <w:color w:val="000000" w:themeColor="text1"/>
                <w:sz w:val="16"/>
                <w:szCs w:val="16"/>
              </w:rPr>
              <w:fldChar w:fldCharType="begin">
                <w:ffData>
                  <w:name w:val="IAP_cities"/>
                  <w:enabled/>
                  <w:calcOnExit w:val="0"/>
                  <w:checkBox>
                    <w:sizeAuto/>
                    <w:default w:val="0"/>
                  </w:checkBox>
                </w:ffData>
              </w:fldChar>
            </w:r>
            <w:r w:rsidRPr="000E53A0">
              <w:rPr>
                <w:color w:val="000000" w:themeColor="text1"/>
                <w:sz w:val="16"/>
                <w:szCs w:val="16"/>
                <w:lang w:val="fr-FR"/>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sidRPr="000E53A0">
              <w:rPr>
                <w:rFonts w:ascii="Avenir Next Regular" w:hAnsi="Avenir Next Regular" w:cs="Calibri"/>
                <w:color w:val="000000" w:themeColor="text1"/>
                <w:sz w:val="16"/>
                <w:szCs w:val="16"/>
                <w:lang w:val="fr-FR"/>
              </w:rPr>
              <w:t>Pollution par les nutriments dans tous les secteurs, à l'exception des eaux usées.</w:t>
            </w:r>
          </w:p>
        </w:tc>
      </w:tr>
      <w:tr w:rsidR="009F3374" w:rsidRPr="000E53A0" w14:paraId="4921B185" w14:textId="77777777" w:rsidTr="009F3374">
        <w:trPr>
          <w:trHeight w:val="58"/>
        </w:trPr>
        <w:tc>
          <w:tcPr>
            <w:tcW w:w="1966" w:type="pct"/>
            <w:tcBorders>
              <w:top w:val="nil"/>
              <w:left w:val="single" w:sz="4" w:space="0" w:color="auto"/>
              <w:bottom w:val="single" w:sz="4" w:space="0" w:color="auto"/>
              <w:right w:val="single" w:sz="4" w:space="0" w:color="auto"/>
            </w:tcBorders>
            <w:noWrap/>
            <w:vAlign w:val="bottom"/>
            <w:hideMark/>
          </w:tcPr>
          <w:p w14:paraId="65759831" w14:textId="77777777" w:rsidR="009F3374" w:rsidRPr="000E53A0" w:rsidRDefault="009F3374">
            <w:pPr>
              <w:rPr>
                <w:rFonts w:ascii="Avenir Next Regular" w:hAnsi="Avenir Next Regular" w:cs="Calibri"/>
                <w:b/>
                <w:bCs/>
                <w:color w:val="000000" w:themeColor="text1"/>
                <w:sz w:val="16"/>
                <w:szCs w:val="16"/>
                <w:lang w:val="fr-FR"/>
              </w:rPr>
            </w:pPr>
            <w:r w:rsidRPr="000E53A0">
              <w:rPr>
                <w:rFonts w:ascii="Avenir Next Regular" w:hAnsi="Avenir Next Regular" w:cs="Calibri"/>
                <w:b/>
                <w:bCs/>
                <w:color w:val="000000" w:themeColor="text1"/>
                <w:sz w:val="16"/>
                <w:szCs w:val="16"/>
                <w:lang w:val="fr-FR"/>
              </w:rPr>
              <w:t> </w:t>
            </w:r>
          </w:p>
        </w:tc>
        <w:tc>
          <w:tcPr>
            <w:tcW w:w="825" w:type="pct"/>
            <w:tcBorders>
              <w:top w:val="nil"/>
              <w:left w:val="nil"/>
              <w:bottom w:val="single" w:sz="4" w:space="0" w:color="auto"/>
              <w:right w:val="single" w:sz="4" w:space="0" w:color="auto"/>
            </w:tcBorders>
            <w:hideMark/>
          </w:tcPr>
          <w:p w14:paraId="6B5C7793" w14:textId="77777777" w:rsidR="009F3374" w:rsidRPr="000E53A0" w:rsidRDefault="009F3374">
            <w:pPr>
              <w:rPr>
                <w:rFonts w:ascii="Avenir Next Regular" w:hAnsi="Avenir Next Regular" w:cs="Calibri"/>
                <w:b/>
                <w:bCs/>
                <w:color w:val="000000" w:themeColor="text1"/>
                <w:sz w:val="16"/>
                <w:szCs w:val="16"/>
                <w:lang w:val="fr-FR"/>
              </w:rPr>
            </w:pPr>
            <w:r w:rsidRPr="000E53A0">
              <w:rPr>
                <w:rFonts w:ascii="Avenir Next Regular" w:hAnsi="Avenir Next Regular" w:cs="Calibri"/>
                <w:b/>
                <w:bCs/>
                <w:color w:val="000000" w:themeColor="text1"/>
                <w:sz w:val="16"/>
                <w:szCs w:val="16"/>
                <w:lang w:val="fr-FR"/>
              </w:rPr>
              <w:t> </w:t>
            </w:r>
          </w:p>
        </w:tc>
        <w:tc>
          <w:tcPr>
            <w:tcW w:w="1129" w:type="pct"/>
            <w:tcBorders>
              <w:top w:val="nil"/>
              <w:left w:val="nil"/>
              <w:bottom w:val="single" w:sz="4" w:space="0" w:color="auto"/>
              <w:right w:val="single" w:sz="4" w:space="0" w:color="auto"/>
            </w:tcBorders>
            <w:vAlign w:val="center"/>
            <w:hideMark/>
          </w:tcPr>
          <w:p w14:paraId="55643232" w14:textId="77777777" w:rsidR="009F3374" w:rsidRPr="000E53A0" w:rsidRDefault="009F3374">
            <w:pPr>
              <w:rPr>
                <w:rFonts w:ascii="Avenir Next Regular" w:hAnsi="Avenir Next Regular" w:cs="Calibri"/>
                <w:iCs/>
                <w:color w:val="000000" w:themeColor="text1"/>
                <w:sz w:val="16"/>
                <w:szCs w:val="16"/>
                <w:lang w:val="fr-FR"/>
              </w:rPr>
            </w:pPr>
            <w:r w:rsidRPr="000E53A0">
              <w:rPr>
                <w:rFonts w:ascii="Avenir Next Regular" w:hAnsi="Avenir Next Regular" w:cs="Calibri"/>
                <w:iCs/>
                <w:color w:val="000000" w:themeColor="text1"/>
                <w:sz w:val="16"/>
                <w:szCs w:val="16"/>
                <w:lang w:val="fr-FR"/>
              </w:rPr>
              <w:t> </w:t>
            </w:r>
          </w:p>
        </w:tc>
        <w:tc>
          <w:tcPr>
            <w:tcW w:w="1080" w:type="pct"/>
            <w:tcBorders>
              <w:top w:val="nil"/>
              <w:left w:val="nil"/>
              <w:bottom w:val="single" w:sz="4" w:space="0" w:color="auto"/>
              <w:right w:val="single" w:sz="4" w:space="0" w:color="auto"/>
            </w:tcBorders>
            <w:hideMark/>
          </w:tcPr>
          <w:p w14:paraId="7FE6824D" w14:textId="77777777" w:rsidR="00601D9B" w:rsidRPr="000E53A0" w:rsidRDefault="000E53A0">
            <w:pPr>
              <w:ind w:left="192" w:hanging="192"/>
              <w:rPr>
                <w:rFonts w:ascii="Avenir Next Regular" w:hAnsi="Avenir Next Regular" w:cs="Calibri"/>
                <w:color w:val="000000" w:themeColor="text1"/>
                <w:sz w:val="16"/>
                <w:szCs w:val="16"/>
                <w:lang w:val="fr-FR"/>
              </w:rPr>
            </w:pPr>
            <w:r>
              <w:rPr>
                <w:color w:val="000000" w:themeColor="text1"/>
                <w:sz w:val="16"/>
                <w:szCs w:val="16"/>
              </w:rPr>
              <w:fldChar w:fldCharType="begin">
                <w:ffData>
                  <w:name w:val="IAP_cities"/>
                  <w:enabled/>
                  <w:calcOnExit w:val="0"/>
                  <w:checkBox>
                    <w:sizeAuto/>
                    <w:default w:val="0"/>
                  </w:checkBox>
                </w:ffData>
              </w:fldChar>
            </w:r>
            <w:r w:rsidRPr="000E53A0">
              <w:rPr>
                <w:color w:val="000000" w:themeColor="text1"/>
                <w:sz w:val="16"/>
                <w:szCs w:val="16"/>
                <w:lang w:val="fr-FR"/>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sidRPr="000E53A0">
              <w:rPr>
                <w:rFonts w:ascii="Avenir Next Regular" w:hAnsi="Avenir Next Regular" w:cs="Calibri"/>
                <w:color w:val="000000" w:themeColor="text1"/>
                <w:sz w:val="16"/>
                <w:szCs w:val="16"/>
                <w:lang w:val="fr-FR"/>
              </w:rPr>
              <w:t>Pollution par les nutriments provenant des eaux usées</w:t>
            </w:r>
          </w:p>
        </w:tc>
      </w:tr>
      <w:tr w:rsidR="009F3374" w:rsidRPr="000E53A0" w14:paraId="431039B3" w14:textId="77777777" w:rsidTr="009F3374">
        <w:trPr>
          <w:trHeight w:val="368"/>
        </w:trPr>
        <w:tc>
          <w:tcPr>
            <w:tcW w:w="1966" w:type="pct"/>
            <w:tcBorders>
              <w:top w:val="nil"/>
              <w:left w:val="single" w:sz="4" w:space="0" w:color="auto"/>
              <w:bottom w:val="single" w:sz="4" w:space="0" w:color="auto"/>
              <w:right w:val="single" w:sz="4" w:space="0" w:color="auto"/>
            </w:tcBorders>
            <w:noWrap/>
            <w:vAlign w:val="bottom"/>
            <w:hideMark/>
          </w:tcPr>
          <w:p w14:paraId="2CA4045F" w14:textId="77777777" w:rsidR="009F3374" w:rsidRPr="000E53A0" w:rsidRDefault="009F3374">
            <w:pPr>
              <w:rPr>
                <w:rFonts w:ascii="Avenir Next Regular" w:hAnsi="Avenir Next Regular" w:cs="Calibri"/>
                <w:b/>
                <w:bCs/>
                <w:color w:val="000000" w:themeColor="text1"/>
                <w:sz w:val="16"/>
                <w:szCs w:val="16"/>
                <w:lang w:val="fr-FR"/>
              </w:rPr>
            </w:pPr>
            <w:r w:rsidRPr="000E53A0">
              <w:rPr>
                <w:rFonts w:ascii="Avenir Next Regular" w:hAnsi="Avenir Next Regular" w:cs="Calibri"/>
                <w:b/>
                <w:bCs/>
                <w:color w:val="000000" w:themeColor="text1"/>
                <w:sz w:val="16"/>
                <w:szCs w:val="16"/>
                <w:lang w:val="fr-FR"/>
              </w:rPr>
              <w:t> </w:t>
            </w:r>
          </w:p>
        </w:tc>
        <w:tc>
          <w:tcPr>
            <w:tcW w:w="825" w:type="pct"/>
            <w:tcBorders>
              <w:top w:val="nil"/>
              <w:left w:val="nil"/>
              <w:bottom w:val="single" w:sz="4" w:space="0" w:color="auto"/>
              <w:right w:val="single" w:sz="4" w:space="0" w:color="auto"/>
            </w:tcBorders>
            <w:hideMark/>
          </w:tcPr>
          <w:p w14:paraId="2B488E2C" w14:textId="77777777" w:rsidR="009F3374" w:rsidRPr="000E53A0" w:rsidRDefault="009F3374">
            <w:pPr>
              <w:rPr>
                <w:rFonts w:ascii="Avenir Next Regular" w:hAnsi="Avenir Next Regular" w:cs="Calibri"/>
                <w:b/>
                <w:bCs/>
                <w:color w:val="000000" w:themeColor="text1"/>
                <w:sz w:val="16"/>
                <w:szCs w:val="16"/>
                <w:lang w:val="fr-FR"/>
              </w:rPr>
            </w:pPr>
            <w:r w:rsidRPr="000E53A0">
              <w:rPr>
                <w:rFonts w:ascii="Avenir Next Regular" w:hAnsi="Avenir Next Regular" w:cs="Calibri"/>
                <w:b/>
                <w:bCs/>
                <w:color w:val="000000" w:themeColor="text1"/>
                <w:sz w:val="16"/>
                <w:szCs w:val="16"/>
                <w:lang w:val="fr-FR"/>
              </w:rPr>
              <w:t> </w:t>
            </w:r>
          </w:p>
        </w:tc>
        <w:tc>
          <w:tcPr>
            <w:tcW w:w="1129" w:type="pct"/>
            <w:tcBorders>
              <w:top w:val="nil"/>
              <w:left w:val="nil"/>
              <w:bottom w:val="single" w:sz="4" w:space="0" w:color="auto"/>
              <w:right w:val="single" w:sz="4" w:space="0" w:color="auto"/>
            </w:tcBorders>
            <w:vAlign w:val="center"/>
            <w:hideMark/>
          </w:tcPr>
          <w:p w14:paraId="198309C6" w14:textId="77777777" w:rsidR="00601D9B" w:rsidRPr="000E53A0" w:rsidRDefault="000E53A0">
            <w:pPr>
              <w:ind w:left="150" w:hanging="150"/>
              <w:rPr>
                <w:rFonts w:ascii="Avenir Next Regular" w:hAnsi="Avenir Next Regular" w:cs="Calibri"/>
                <w:iCs/>
                <w:color w:val="000000" w:themeColor="text1"/>
                <w:sz w:val="16"/>
                <w:szCs w:val="16"/>
                <w:lang w:val="fr-FR"/>
              </w:rPr>
            </w:pPr>
            <w:r>
              <w:rPr>
                <w:color w:val="000000" w:themeColor="text1"/>
                <w:sz w:val="16"/>
                <w:szCs w:val="16"/>
              </w:rPr>
              <w:fldChar w:fldCharType="begin">
                <w:ffData>
                  <w:name w:val="IAP_cities"/>
                  <w:enabled/>
                  <w:calcOnExit w:val="0"/>
                  <w:checkBox>
                    <w:sizeAuto/>
                    <w:default w:val="0"/>
                  </w:checkBox>
                </w:ffData>
              </w:fldChar>
            </w:r>
            <w:r w:rsidRPr="000E53A0">
              <w:rPr>
                <w:color w:val="000000" w:themeColor="text1"/>
                <w:sz w:val="16"/>
                <w:szCs w:val="16"/>
                <w:lang w:val="fr-FR"/>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sidRPr="000E53A0">
              <w:rPr>
                <w:rFonts w:ascii="Avenir Next Regular" w:hAnsi="Avenir Next Regular" w:cs="Calibri"/>
                <w:iCs/>
                <w:color w:val="000000" w:themeColor="text1"/>
                <w:sz w:val="16"/>
                <w:szCs w:val="16"/>
                <w:lang w:val="fr-FR"/>
              </w:rPr>
              <w:t>Analyse diagnostique transfrontalière et préparation du plan d'action stratégique</w:t>
            </w:r>
          </w:p>
        </w:tc>
        <w:tc>
          <w:tcPr>
            <w:tcW w:w="1080" w:type="pct"/>
            <w:tcBorders>
              <w:top w:val="nil"/>
              <w:left w:val="nil"/>
              <w:bottom w:val="single" w:sz="4" w:space="0" w:color="auto"/>
              <w:right w:val="single" w:sz="4" w:space="0" w:color="auto"/>
            </w:tcBorders>
            <w:hideMark/>
          </w:tcPr>
          <w:p w14:paraId="531AB7F6" w14:textId="77777777" w:rsidR="009F3374" w:rsidRPr="000E53A0" w:rsidRDefault="009F3374">
            <w:pPr>
              <w:rPr>
                <w:rFonts w:ascii="Avenir Next Regular" w:hAnsi="Avenir Next Regular" w:cs="Calibri"/>
                <w:color w:val="000000" w:themeColor="text1"/>
                <w:sz w:val="16"/>
                <w:szCs w:val="16"/>
                <w:lang w:val="fr-FR"/>
              </w:rPr>
            </w:pPr>
            <w:r w:rsidRPr="000E53A0">
              <w:rPr>
                <w:rFonts w:ascii="Avenir Next Regular" w:hAnsi="Avenir Next Regular" w:cs="Calibri"/>
                <w:color w:val="000000" w:themeColor="text1"/>
                <w:sz w:val="16"/>
                <w:szCs w:val="16"/>
                <w:lang w:val="fr-FR"/>
              </w:rPr>
              <w:t> </w:t>
            </w:r>
          </w:p>
        </w:tc>
      </w:tr>
      <w:tr w:rsidR="009F3374" w:rsidRPr="000E53A0" w14:paraId="35317ECB" w14:textId="77777777" w:rsidTr="009F3374">
        <w:trPr>
          <w:trHeight w:val="161"/>
        </w:trPr>
        <w:tc>
          <w:tcPr>
            <w:tcW w:w="1966" w:type="pct"/>
            <w:tcBorders>
              <w:top w:val="nil"/>
              <w:left w:val="single" w:sz="4" w:space="0" w:color="auto"/>
              <w:bottom w:val="single" w:sz="4" w:space="0" w:color="auto"/>
              <w:right w:val="single" w:sz="4" w:space="0" w:color="auto"/>
            </w:tcBorders>
            <w:noWrap/>
            <w:vAlign w:val="bottom"/>
            <w:hideMark/>
          </w:tcPr>
          <w:p w14:paraId="60825FFE" w14:textId="77777777" w:rsidR="009F3374" w:rsidRPr="000E53A0" w:rsidRDefault="009F3374">
            <w:pPr>
              <w:rPr>
                <w:rFonts w:ascii="Avenir Next Regular" w:hAnsi="Avenir Next Regular" w:cs="Calibri"/>
                <w:b/>
                <w:bCs/>
                <w:color w:val="000000" w:themeColor="text1"/>
                <w:sz w:val="16"/>
                <w:szCs w:val="16"/>
                <w:lang w:val="fr-FR"/>
              </w:rPr>
            </w:pPr>
            <w:r w:rsidRPr="000E53A0">
              <w:rPr>
                <w:rFonts w:ascii="Avenir Next Regular" w:hAnsi="Avenir Next Regular" w:cs="Calibri"/>
                <w:b/>
                <w:bCs/>
                <w:color w:val="000000" w:themeColor="text1"/>
                <w:sz w:val="16"/>
                <w:szCs w:val="16"/>
                <w:lang w:val="fr-FR"/>
              </w:rPr>
              <w:t> </w:t>
            </w:r>
          </w:p>
        </w:tc>
        <w:tc>
          <w:tcPr>
            <w:tcW w:w="825" w:type="pct"/>
            <w:tcBorders>
              <w:top w:val="nil"/>
              <w:left w:val="nil"/>
              <w:bottom w:val="single" w:sz="4" w:space="0" w:color="auto"/>
              <w:right w:val="single" w:sz="4" w:space="0" w:color="auto"/>
            </w:tcBorders>
            <w:hideMark/>
          </w:tcPr>
          <w:p w14:paraId="04A9768F" w14:textId="77777777" w:rsidR="009F3374" w:rsidRPr="000E53A0" w:rsidRDefault="009F3374">
            <w:pPr>
              <w:rPr>
                <w:rFonts w:ascii="Avenir Next Regular" w:hAnsi="Avenir Next Regular" w:cs="Calibri"/>
                <w:b/>
                <w:bCs/>
                <w:color w:val="000000" w:themeColor="text1"/>
                <w:sz w:val="16"/>
                <w:szCs w:val="16"/>
                <w:lang w:val="fr-FR"/>
              </w:rPr>
            </w:pPr>
            <w:r w:rsidRPr="000E53A0">
              <w:rPr>
                <w:rFonts w:ascii="Avenir Next Regular" w:hAnsi="Avenir Next Regular" w:cs="Calibri"/>
                <w:b/>
                <w:bCs/>
                <w:color w:val="000000" w:themeColor="text1"/>
                <w:sz w:val="16"/>
                <w:szCs w:val="16"/>
                <w:lang w:val="fr-FR"/>
              </w:rPr>
              <w:t> </w:t>
            </w:r>
          </w:p>
        </w:tc>
        <w:tc>
          <w:tcPr>
            <w:tcW w:w="1129" w:type="pct"/>
            <w:tcBorders>
              <w:top w:val="nil"/>
              <w:left w:val="nil"/>
              <w:bottom w:val="single" w:sz="4" w:space="0" w:color="auto"/>
              <w:right w:val="single" w:sz="4" w:space="0" w:color="auto"/>
            </w:tcBorders>
            <w:vAlign w:val="center"/>
            <w:hideMark/>
          </w:tcPr>
          <w:p w14:paraId="7435F2E9" w14:textId="77777777" w:rsidR="00601D9B" w:rsidRPr="000E53A0" w:rsidRDefault="000E53A0">
            <w:pPr>
              <w:ind w:left="150" w:hanging="150"/>
              <w:rPr>
                <w:rFonts w:ascii="Avenir Next Regular" w:hAnsi="Avenir Next Regular" w:cs="Calibri"/>
                <w:iCs/>
                <w:color w:val="000000" w:themeColor="text1"/>
                <w:sz w:val="16"/>
                <w:szCs w:val="16"/>
                <w:lang w:val="fr-FR"/>
              </w:rPr>
            </w:pPr>
            <w:r>
              <w:rPr>
                <w:color w:val="000000" w:themeColor="text1"/>
                <w:sz w:val="16"/>
                <w:szCs w:val="16"/>
              </w:rPr>
              <w:fldChar w:fldCharType="begin">
                <w:ffData>
                  <w:name w:val="IAP_cities"/>
                  <w:enabled/>
                  <w:calcOnExit w:val="0"/>
                  <w:checkBox>
                    <w:sizeAuto/>
                    <w:default w:val="0"/>
                  </w:checkBox>
                </w:ffData>
              </w:fldChar>
            </w:r>
            <w:r w:rsidRPr="000E53A0">
              <w:rPr>
                <w:color w:val="000000" w:themeColor="text1"/>
                <w:sz w:val="16"/>
                <w:szCs w:val="16"/>
                <w:lang w:val="fr-FR"/>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sidRPr="000E53A0">
              <w:rPr>
                <w:rFonts w:ascii="Avenir Next Regular" w:hAnsi="Avenir Next Regular" w:cs="Calibri"/>
                <w:iCs/>
                <w:color w:val="000000" w:themeColor="text1"/>
                <w:sz w:val="16"/>
                <w:szCs w:val="16"/>
                <w:lang w:val="fr-FR"/>
              </w:rPr>
              <w:t>Mise en œuvre du plan d'action stratégique</w:t>
            </w:r>
          </w:p>
        </w:tc>
        <w:tc>
          <w:tcPr>
            <w:tcW w:w="1080" w:type="pct"/>
            <w:tcBorders>
              <w:top w:val="nil"/>
              <w:left w:val="nil"/>
              <w:bottom w:val="single" w:sz="4" w:space="0" w:color="auto"/>
              <w:right w:val="single" w:sz="4" w:space="0" w:color="auto"/>
            </w:tcBorders>
            <w:hideMark/>
          </w:tcPr>
          <w:p w14:paraId="54B4BFDE" w14:textId="77777777" w:rsidR="009F3374" w:rsidRPr="000E53A0" w:rsidRDefault="009F3374">
            <w:pPr>
              <w:rPr>
                <w:rFonts w:ascii="Avenir Next Regular" w:hAnsi="Avenir Next Regular" w:cs="Calibri"/>
                <w:color w:val="000000" w:themeColor="text1"/>
                <w:sz w:val="16"/>
                <w:szCs w:val="16"/>
                <w:lang w:val="fr-FR"/>
              </w:rPr>
            </w:pPr>
            <w:r w:rsidRPr="000E53A0">
              <w:rPr>
                <w:rFonts w:ascii="Avenir Next Regular" w:hAnsi="Avenir Next Regular" w:cs="Calibri"/>
                <w:color w:val="000000" w:themeColor="text1"/>
                <w:sz w:val="16"/>
                <w:szCs w:val="16"/>
                <w:lang w:val="fr-FR"/>
              </w:rPr>
              <w:t> </w:t>
            </w:r>
          </w:p>
        </w:tc>
      </w:tr>
      <w:tr w:rsidR="009F3374" w:rsidRPr="000E53A0" w14:paraId="08DD3919" w14:textId="77777777" w:rsidTr="009F3374">
        <w:trPr>
          <w:trHeight w:val="58"/>
        </w:trPr>
        <w:tc>
          <w:tcPr>
            <w:tcW w:w="1966" w:type="pct"/>
            <w:tcBorders>
              <w:top w:val="nil"/>
              <w:left w:val="single" w:sz="4" w:space="0" w:color="auto"/>
              <w:bottom w:val="single" w:sz="4" w:space="0" w:color="auto"/>
              <w:right w:val="single" w:sz="4" w:space="0" w:color="auto"/>
            </w:tcBorders>
            <w:noWrap/>
            <w:vAlign w:val="bottom"/>
            <w:hideMark/>
          </w:tcPr>
          <w:p w14:paraId="46D9EEBD" w14:textId="77777777" w:rsidR="009F3374" w:rsidRPr="000E53A0" w:rsidRDefault="009F3374">
            <w:pPr>
              <w:rPr>
                <w:rFonts w:ascii="Avenir Next Regular" w:hAnsi="Avenir Next Regular" w:cs="Calibri"/>
                <w:b/>
                <w:bCs/>
                <w:color w:val="000000" w:themeColor="text1"/>
                <w:sz w:val="16"/>
                <w:szCs w:val="16"/>
                <w:lang w:val="fr-FR"/>
              </w:rPr>
            </w:pPr>
            <w:r w:rsidRPr="000E53A0">
              <w:rPr>
                <w:rFonts w:ascii="Avenir Next Regular" w:hAnsi="Avenir Next Regular" w:cs="Calibri"/>
                <w:b/>
                <w:bCs/>
                <w:color w:val="000000" w:themeColor="text1"/>
                <w:sz w:val="16"/>
                <w:szCs w:val="16"/>
                <w:lang w:val="fr-FR"/>
              </w:rPr>
              <w:t> </w:t>
            </w:r>
          </w:p>
        </w:tc>
        <w:tc>
          <w:tcPr>
            <w:tcW w:w="825" w:type="pct"/>
            <w:tcBorders>
              <w:top w:val="nil"/>
              <w:left w:val="nil"/>
              <w:bottom w:val="single" w:sz="4" w:space="0" w:color="auto"/>
              <w:right w:val="single" w:sz="4" w:space="0" w:color="auto"/>
            </w:tcBorders>
            <w:hideMark/>
          </w:tcPr>
          <w:p w14:paraId="31A89CF5" w14:textId="77777777" w:rsidR="009F3374" w:rsidRPr="000E53A0" w:rsidRDefault="009F3374">
            <w:pPr>
              <w:rPr>
                <w:rFonts w:ascii="Avenir Next Regular" w:hAnsi="Avenir Next Regular" w:cs="Calibri"/>
                <w:b/>
                <w:bCs/>
                <w:color w:val="000000" w:themeColor="text1"/>
                <w:sz w:val="16"/>
                <w:szCs w:val="16"/>
                <w:lang w:val="fr-FR"/>
              </w:rPr>
            </w:pPr>
            <w:r w:rsidRPr="000E53A0">
              <w:rPr>
                <w:rFonts w:ascii="Avenir Next Regular" w:hAnsi="Avenir Next Regular" w:cs="Calibri"/>
                <w:b/>
                <w:bCs/>
                <w:color w:val="000000" w:themeColor="text1"/>
                <w:sz w:val="16"/>
                <w:szCs w:val="16"/>
                <w:lang w:val="fr-FR"/>
              </w:rPr>
              <w:t> </w:t>
            </w:r>
          </w:p>
        </w:tc>
        <w:tc>
          <w:tcPr>
            <w:tcW w:w="1129" w:type="pct"/>
            <w:tcBorders>
              <w:top w:val="nil"/>
              <w:left w:val="nil"/>
              <w:bottom w:val="single" w:sz="4" w:space="0" w:color="auto"/>
              <w:right w:val="single" w:sz="4" w:space="0" w:color="auto"/>
            </w:tcBorders>
            <w:vAlign w:val="center"/>
            <w:hideMark/>
          </w:tcPr>
          <w:p w14:paraId="2C9A23BE" w14:textId="77777777" w:rsidR="00601D9B" w:rsidRPr="000E53A0" w:rsidRDefault="000E53A0">
            <w:pPr>
              <w:ind w:left="150" w:hanging="150"/>
              <w:rPr>
                <w:rFonts w:ascii="Avenir Next Regular" w:hAnsi="Avenir Next Regular" w:cs="Calibri"/>
                <w:iCs/>
                <w:color w:val="000000" w:themeColor="text1"/>
                <w:sz w:val="16"/>
                <w:szCs w:val="16"/>
                <w:lang w:val="fr-FR"/>
              </w:rPr>
            </w:pPr>
            <w:r>
              <w:rPr>
                <w:color w:val="000000" w:themeColor="text1"/>
                <w:sz w:val="16"/>
                <w:szCs w:val="16"/>
              </w:rPr>
              <w:fldChar w:fldCharType="begin">
                <w:ffData>
                  <w:name w:val="IAP_cities"/>
                  <w:enabled/>
                  <w:calcOnExit w:val="0"/>
                  <w:checkBox>
                    <w:sizeAuto/>
                    <w:default w:val="0"/>
                  </w:checkBox>
                </w:ffData>
              </w:fldChar>
            </w:r>
            <w:r w:rsidRPr="000E53A0">
              <w:rPr>
                <w:color w:val="000000" w:themeColor="text1"/>
                <w:sz w:val="16"/>
                <w:szCs w:val="16"/>
                <w:lang w:val="fr-FR"/>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sidRPr="000E53A0">
              <w:rPr>
                <w:rFonts w:ascii="Avenir Next Regular" w:hAnsi="Avenir Next Regular" w:cs="Calibri"/>
                <w:iCs/>
                <w:color w:val="000000" w:themeColor="text1"/>
                <w:sz w:val="16"/>
                <w:szCs w:val="16"/>
                <w:lang w:val="fr-FR"/>
              </w:rPr>
              <w:t>Domaines ne relevant pas de la compétence nationale</w:t>
            </w:r>
          </w:p>
        </w:tc>
        <w:tc>
          <w:tcPr>
            <w:tcW w:w="1080" w:type="pct"/>
            <w:tcBorders>
              <w:top w:val="nil"/>
              <w:left w:val="nil"/>
              <w:bottom w:val="single" w:sz="4" w:space="0" w:color="auto"/>
              <w:right w:val="single" w:sz="4" w:space="0" w:color="auto"/>
            </w:tcBorders>
            <w:hideMark/>
          </w:tcPr>
          <w:p w14:paraId="305A0777" w14:textId="77777777" w:rsidR="009F3374" w:rsidRPr="000E53A0" w:rsidRDefault="009F3374">
            <w:pPr>
              <w:rPr>
                <w:rFonts w:ascii="Avenir Next Regular" w:hAnsi="Avenir Next Regular" w:cs="Calibri"/>
                <w:color w:val="000000" w:themeColor="text1"/>
                <w:sz w:val="16"/>
                <w:szCs w:val="16"/>
                <w:lang w:val="fr-FR"/>
              </w:rPr>
            </w:pPr>
            <w:r w:rsidRPr="000E53A0">
              <w:rPr>
                <w:rFonts w:ascii="Avenir Next Regular" w:hAnsi="Avenir Next Regular" w:cs="Calibri"/>
                <w:color w:val="000000" w:themeColor="text1"/>
                <w:sz w:val="16"/>
                <w:szCs w:val="16"/>
                <w:lang w:val="fr-FR"/>
              </w:rPr>
              <w:t> </w:t>
            </w:r>
          </w:p>
        </w:tc>
      </w:tr>
      <w:tr w:rsidR="009F3374" w14:paraId="65DA89E2" w14:textId="77777777" w:rsidTr="009F3374">
        <w:trPr>
          <w:trHeight w:val="58"/>
        </w:trPr>
        <w:tc>
          <w:tcPr>
            <w:tcW w:w="1966" w:type="pct"/>
            <w:tcBorders>
              <w:top w:val="nil"/>
              <w:left w:val="single" w:sz="4" w:space="0" w:color="auto"/>
              <w:bottom w:val="single" w:sz="4" w:space="0" w:color="auto"/>
              <w:right w:val="single" w:sz="4" w:space="0" w:color="auto"/>
            </w:tcBorders>
            <w:noWrap/>
            <w:vAlign w:val="bottom"/>
            <w:hideMark/>
          </w:tcPr>
          <w:p w14:paraId="29E437E5" w14:textId="77777777" w:rsidR="009F3374" w:rsidRPr="000E53A0" w:rsidRDefault="009F3374">
            <w:pPr>
              <w:rPr>
                <w:rFonts w:ascii="Avenir Next Regular" w:hAnsi="Avenir Next Regular" w:cs="Calibri"/>
                <w:b/>
                <w:bCs/>
                <w:color w:val="000000" w:themeColor="text1"/>
                <w:sz w:val="16"/>
                <w:szCs w:val="16"/>
                <w:lang w:val="fr-FR"/>
              </w:rPr>
            </w:pPr>
            <w:r w:rsidRPr="000E53A0">
              <w:rPr>
                <w:rFonts w:ascii="Avenir Next Regular" w:hAnsi="Avenir Next Regular" w:cs="Calibri"/>
                <w:b/>
                <w:bCs/>
                <w:color w:val="000000" w:themeColor="text1"/>
                <w:sz w:val="16"/>
                <w:szCs w:val="16"/>
                <w:lang w:val="fr-FR"/>
              </w:rPr>
              <w:t> </w:t>
            </w:r>
          </w:p>
        </w:tc>
        <w:tc>
          <w:tcPr>
            <w:tcW w:w="825" w:type="pct"/>
            <w:tcBorders>
              <w:top w:val="nil"/>
              <w:left w:val="nil"/>
              <w:bottom w:val="single" w:sz="4" w:space="0" w:color="auto"/>
              <w:right w:val="single" w:sz="4" w:space="0" w:color="auto"/>
            </w:tcBorders>
            <w:hideMark/>
          </w:tcPr>
          <w:p w14:paraId="33410E6E" w14:textId="77777777" w:rsidR="009F3374" w:rsidRPr="000E53A0" w:rsidRDefault="009F3374">
            <w:pPr>
              <w:rPr>
                <w:rFonts w:ascii="Avenir Next Regular" w:hAnsi="Avenir Next Regular" w:cs="Calibri"/>
                <w:b/>
                <w:bCs/>
                <w:color w:val="000000" w:themeColor="text1"/>
                <w:sz w:val="16"/>
                <w:szCs w:val="16"/>
                <w:lang w:val="fr-FR"/>
              </w:rPr>
            </w:pPr>
            <w:r w:rsidRPr="000E53A0">
              <w:rPr>
                <w:rFonts w:ascii="Avenir Next Regular" w:hAnsi="Avenir Next Regular" w:cs="Calibri"/>
                <w:b/>
                <w:bCs/>
                <w:color w:val="000000" w:themeColor="text1"/>
                <w:sz w:val="16"/>
                <w:szCs w:val="16"/>
                <w:lang w:val="fr-FR"/>
              </w:rPr>
              <w:t> </w:t>
            </w:r>
          </w:p>
        </w:tc>
        <w:tc>
          <w:tcPr>
            <w:tcW w:w="1129" w:type="pct"/>
            <w:tcBorders>
              <w:top w:val="nil"/>
              <w:left w:val="nil"/>
              <w:bottom w:val="single" w:sz="4" w:space="0" w:color="auto"/>
              <w:right w:val="single" w:sz="4" w:space="0" w:color="auto"/>
            </w:tcBorders>
            <w:vAlign w:val="center"/>
            <w:hideMark/>
          </w:tcPr>
          <w:p w14:paraId="61D35B50" w14:textId="77777777" w:rsidR="00601D9B" w:rsidRDefault="000E53A0">
            <w:pPr>
              <w:rPr>
                <w:rFonts w:ascii="Avenir Next Regular" w:hAnsi="Avenir Next Regular" w:cs="Calibri"/>
                <w:iCs/>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iCs/>
                <w:color w:val="000000" w:themeColor="text1"/>
                <w:sz w:val="16"/>
                <w:szCs w:val="16"/>
              </w:rPr>
              <w:t>Grands écosystèmes marins</w:t>
            </w:r>
          </w:p>
        </w:tc>
        <w:tc>
          <w:tcPr>
            <w:tcW w:w="1080" w:type="pct"/>
            <w:tcBorders>
              <w:top w:val="nil"/>
              <w:left w:val="nil"/>
              <w:bottom w:val="single" w:sz="4" w:space="0" w:color="auto"/>
              <w:right w:val="single" w:sz="4" w:space="0" w:color="auto"/>
            </w:tcBorders>
            <w:hideMark/>
          </w:tcPr>
          <w:p w14:paraId="0463059A" w14:textId="77777777" w:rsidR="009F3374" w:rsidRDefault="009F3374">
            <w:pPr>
              <w:rPr>
                <w:rFonts w:ascii="Avenir Next Regular" w:hAnsi="Avenir Next Regular" w:cs="Calibri"/>
                <w:color w:val="000000" w:themeColor="text1"/>
                <w:sz w:val="16"/>
                <w:szCs w:val="16"/>
              </w:rPr>
            </w:pPr>
            <w:r>
              <w:rPr>
                <w:rFonts w:ascii="Avenir Next Regular" w:hAnsi="Avenir Next Regular" w:cs="Calibri"/>
                <w:color w:val="000000" w:themeColor="text1"/>
                <w:sz w:val="16"/>
                <w:szCs w:val="16"/>
              </w:rPr>
              <w:t> </w:t>
            </w:r>
          </w:p>
        </w:tc>
      </w:tr>
      <w:tr w:rsidR="009F3374" w14:paraId="58996CE1" w14:textId="77777777" w:rsidTr="009F3374">
        <w:trPr>
          <w:trHeight w:val="58"/>
        </w:trPr>
        <w:tc>
          <w:tcPr>
            <w:tcW w:w="1966" w:type="pct"/>
            <w:tcBorders>
              <w:top w:val="nil"/>
              <w:left w:val="single" w:sz="4" w:space="0" w:color="auto"/>
              <w:bottom w:val="single" w:sz="4" w:space="0" w:color="auto"/>
              <w:right w:val="single" w:sz="4" w:space="0" w:color="auto"/>
            </w:tcBorders>
            <w:noWrap/>
            <w:vAlign w:val="bottom"/>
            <w:hideMark/>
          </w:tcPr>
          <w:p w14:paraId="0BE89200"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7435B6E1"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vAlign w:val="center"/>
            <w:hideMark/>
          </w:tcPr>
          <w:p w14:paraId="4BB5CE5F" w14:textId="77777777" w:rsidR="00601D9B" w:rsidRDefault="000E53A0">
            <w:pPr>
              <w:rPr>
                <w:rFonts w:ascii="Avenir Next Regular" w:hAnsi="Avenir Next Regular" w:cs="Calibri"/>
                <w:iCs/>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iCs/>
                <w:color w:val="000000" w:themeColor="text1"/>
                <w:sz w:val="16"/>
                <w:szCs w:val="16"/>
              </w:rPr>
              <w:t>Secteur privé</w:t>
            </w:r>
          </w:p>
        </w:tc>
        <w:tc>
          <w:tcPr>
            <w:tcW w:w="1080" w:type="pct"/>
            <w:tcBorders>
              <w:top w:val="nil"/>
              <w:left w:val="nil"/>
              <w:bottom w:val="single" w:sz="4" w:space="0" w:color="auto"/>
              <w:right w:val="single" w:sz="4" w:space="0" w:color="auto"/>
            </w:tcBorders>
            <w:hideMark/>
          </w:tcPr>
          <w:p w14:paraId="18BAFD70" w14:textId="77777777" w:rsidR="009F3374" w:rsidRDefault="009F3374">
            <w:pPr>
              <w:rPr>
                <w:rFonts w:ascii="Avenir Next Regular" w:hAnsi="Avenir Next Regular" w:cs="Calibri"/>
                <w:color w:val="000000" w:themeColor="text1"/>
                <w:sz w:val="16"/>
                <w:szCs w:val="16"/>
              </w:rPr>
            </w:pPr>
            <w:r>
              <w:rPr>
                <w:rFonts w:ascii="Avenir Next Regular" w:hAnsi="Avenir Next Regular" w:cs="Calibri"/>
                <w:color w:val="000000" w:themeColor="text1"/>
                <w:sz w:val="16"/>
                <w:szCs w:val="16"/>
              </w:rPr>
              <w:t> </w:t>
            </w:r>
          </w:p>
        </w:tc>
      </w:tr>
      <w:tr w:rsidR="009F3374" w14:paraId="175A6041" w14:textId="77777777" w:rsidTr="009F3374">
        <w:trPr>
          <w:trHeight w:val="58"/>
        </w:trPr>
        <w:tc>
          <w:tcPr>
            <w:tcW w:w="1966" w:type="pct"/>
            <w:tcBorders>
              <w:top w:val="nil"/>
              <w:left w:val="single" w:sz="4" w:space="0" w:color="auto"/>
              <w:bottom w:val="single" w:sz="4" w:space="0" w:color="auto"/>
              <w:right w:val="single" w:sz="4" w:space="0" w:color="auto"/>
            </w:tcBorders>
            <w:noWrap/>
            <w:vAlign w:val="bottom"/>
            <w:hideMark/>
          </w:tcPr>
          <w:p w14:paraId="10F2E09D"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509F9797"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vAlign w:val="center"/>
            <w:hideMark/>
          </w:tcPr>
          <w:p w14:paraId="15874A4F" w14:textId="77777777" w:rsidR="00601D9B" w:rsidRDefault="000E53A0">
            <w:pPr>
              <w:rPr>
                <w:rFonts w:ascii="Avenir Next Regular" w:hAnsi="Avenir Next Regular" w:cs="Calibri"/>
                <w:iCs/>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iCs/>
                <w:color w:val="000000" w:themeColor="text1"/>
                <w:sz w:val="16"/>
                <w:szCs w:val="16"/>
              </w:rPr>
              <w:t>Aquaculture</w:t>
            </w:r>
          </w:p>
        </w:tc>
        <w:tc>
          <w:tcPr>
            <w:tcW w:w="1080" w:type="pct"/>
            <w:tcBorders>
              <w:top w:val="nil"/>
              <w:left w:val="nil"/>
              <w:bottom w:val="single" w:sz="4" w:space="0" w:color="auto"/>
              <w:right w:val="single" w:sz="4" w:space="0" w:color="auto"/>
            </w:tcBorders>
            <w:hideMark/>
          </w:tcPr>
          <w:p w14:paraId="023A72FF" w14:textId="77777777" w:rsidR="009F3374" w:rsidRDefault="009F3374">
            <w:pPr>
              <w:rPr>
                <w:rFonts w:ascii="Avenir Next Regular" w:hAnsi="Avenir Next Regular" w:cs="Calibri"/>
                <w:color w:val="000000" w:themeColor="text1"/>
                <w:sz w:val="16"/>
                <w:szCs w:val="16"/>
              </w:rPr>
            </w:pPr>
            <w:r>
              <w:rPr>
                <w:rFonts w:ascii="Avenir Next Regular" w:hAnsi="Avenir Next Regular" w:cs="Calibri"/>
                <w:color w:val="000000" w:themeColor="text1"/>
                <w:sz w:val="16"/>
                <w:szCs w:val="16"/>
              </w:rPr>
              <w:t> </w:t>
            </w:r>
          </w:p>
        </w:tc>
      </w:tr>
      <w:tr w:rsidR="009F3374" w14:paraId="216F30E7" w14:textId="77777777" w:rsidTr="009F3374">
        <w:trPr>
          <w:trHeight w:val="58"/>
        </w:trPr>
        <w:tc>
          <w:tcPr>
            <w:tcW w:w="1966" w:type="pct"/>
            <w:tcBorders>
              <w:top w:val="nil"/>
              <w:left w:val="single" w:sz="4" w:space="0" w:color="auto"/>
              <w:bottom w:val="single" w:sz="4" w:space="0" w:color="auto"/>
              <w:right w:val="single" w:sz="4" w:space="0" w:color="auto"/>
            </w:tcBorders>
            <w:noWrap/>
            <w:vAlign w:val="bottom"/>
            <w:hideMark/>
          </w:tcPr>
          <w:p w14:paraId="012B5943"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770C19EE"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vAlign w:val="center"/>
            <w:hideMark/>
          </w:tcPr>
          <w:p w14:paraId="264BC151" w14:textId="77777777" w:rsidR="00601D9B" w:rsidRDefault="000E53A0">
            <w:pPr>
              <w:rPr>
                <w:rFonts w:ascii="Avenir Next Regular" w:hAnsi="Avenir Next Regular" w:cs="Calibri"/>
                <w:iCs/>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iCs/>
                <w:color w:val="000000" w:themeColor="text1"/>
                <w:sz w:val="16"/>
                <w:szCs w:val="16"/>
              </w:rPr>
              <w:t>Zone de protection marine</w:t>
            </w:r>
          </w:p>
        </w:tc>
        <w:tc>
          <w:tcPr>
            <w:tcW w:w="1080" w:type="pct"/>
            <w:tcBorders>
              <w:top w:val="nil"/>
              <w:left w:val="nil"/>
              <w:bottom w:val="single" w:sz="4" w:space="0" w:color="auto"/>
              <w:right w:val="single" w:sz="4" w:space="0" w:color="auto"/>
            </w:tcBorders>
            <w:hideMark/>
          </w:tcPr>
          <w:p w14:paraId="4343F733" w14:textId="77777777" w:rsidR="009F3374" w:rsidRDefault="009F3374">
            <w:pPr>
              <w:rPr>
                <w:rFonts w:ascii="Avenir Next Regular" w:hAnsi="Avenir Next Regular" w:cs="Calibri"/>
                <w:color w:val="000000" w:themeColor="text1"/>
                <w:sz w:val="16"/>
                <w:szCs w:val="16"/>
              </w:rPr>
            </w:pPr>
            <w:r>
              <w:rPr>
                <w:rFonts w:ascii="Avenir Next Regular" w:hAnsi="Avenir Next Regular" w:cs="Calibri"/>
                <w:color w:val="000000" w:themeColor="text1"/>
                <w:sz w:val="16"/>
                <w:szCs w:val="16"/>
              </w:rPr>
              <w:t> </w:t>
            </w:r>
          </w:p>
        </w:tc>
      </w:tr>
      <w:tr w:rsidR="009F3374" w14:paraId="66359099" w14:textId="77777777" w:rsidTr="009F3374">
        <w:trPr>
          <w:trHeight w:val="58"/>
        </w:trPr>
        <w:tc>
          <w:tcPr>
            <w:tcW w:w="1966" w:type="pct"/>
            <w:tcBorders>
              <w:top w:val="nil"/>
              <w:left w:val="single" w:sz="4" w:space="0" w:color="auto"/>
              <w:bottom w:val="single" w:sz="4" w:space="0" w:color="auto"/>
              <w:right w:val="single" w:sz="4" w:space="0" w:color="auto"/>
            </w:tcBorders>
            <w:noWrap/>
            <w:vAlign w:val="bottom"/>
            <w:hideMark/>
          </w:tcPr>
          <w:p w14:paraId="41B3CB6F"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29904009"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vAlign w:val="center"/>
            <w:hideMark/>
          </w:tcPr>
          <w:p w14:paraId="1DF56387" w14:textId="77777777" w:rsidR="00601D9B" w:rsidRDefault="000E53A0">
            <w:pPr>
              <w:rPr>
                <w:rFonts w:ascii="Avenir Next Regular" w:hAnsi="Avenir Next Regular" w:cs="Calibri"/>
                <w:iCs/>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iCs/>
                <w:color w:val="000000" w:themeColor="text1"/>
                <w:sz w:val="16"/>
                <w:szCs w:val="16"/>
              </w:rPr>
              <w:t>Biomes</w:t>
            </w:r>
          </w:p>
        </w:tc>
        <w:tc>
          <w:tcPr>
            <w:tcW w:w="1080" w:type="pct"/>
            <w:tcBorders>
              <w:top w:val="nil"/>
              <w:left w:val="nil"/>
              <w:bottom w:val="single" w:sz="4" w:space="0" w:color="auto"/>
              <w:right w:val="single" w:sz="4" w:space="0" w:color="auto"/>
            </w:tcBorders>
            <w:hideMark/>
          </w:tcPr>
          <w:p w14:paraId="69F7E5BE" w14:textId="77777777" w:rsidR="009F3374" w:rsidRDefault="009F3374">
            <w:pPr>
              <w:rPr>
                <w:rFonts w:ascii="Avenir Next Regular" w:hAnsi="Avenir Next Regular" w:cs="Calibri"/>
                <w:color w:val="000000" w:themeColor="text1"/>
                <w:sz w:val="16"/>
                <w:szCs w:val="16"/>
              </w:rPr>
            </w:pPr>
            <w:r>
              <w:rPr>
                <w:rFonts w:ascii="Avenir Next Regular" w:hAnsi="Avenir Next Regular" w:cs="Calibri"/>
                <w:color w:val="000000" w:themeColor="text1"/>
                <w:sz w:val="16"/>
                <w:szCs w:val="16"/>
              </w:rPr>
              <w:t> </w:t>
            </w:r>
          </w:p>
        </w:tc>
      </w:tr>
      <w:tr w:rsidR="009F3374" w14:paraId="1ADBC2B3" w14:textId="77777777" w:rsidTr="009F3374">
        <w:trPr>
          <w:trHeight w:val="58"/>
        </w:trPr>
        <w:tc>
          <w:tcPr>
            <w:tcW w:w="1966" w:type="pct"/>
            <w:tcBorders>
              <w:top w:val="nil"/>
              <w:left w:val="single" w:sz="4" w:space="0" w:color="auto"/>
              <w:bottom w:val="single" w:sz="4" w:space="0" w:color="auto"/>
              <w:right w:val="single" w:sz="4" w:space="0" w:color="auto"/>
            </w:tcBorders>
            <w:noWrap/>
            <w:vAlign w:val="bottom"/>
            <w:hideMark/>
          </w:tcPr>
          <w:p w14:paraId="2FF930F9"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05D88FCF"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vAlign w:val="center"/>
            <w:hideMark/>
          </w:tcPr>
          <w:p w14:paraId="6011B963" w14:textId="77777777" w:rsidR="009F3374" w:rsidRDefault="009F3374">
            <w:pPr>
              <w:rPr>
                <w:rFonts w:ascii="Avenir Next Regular" w:hAnsi="Avenir Next Regular" w:cs="Calibri"/>
                <w:iCs/>
                <w:color w:val="000000" w:themeColor="text1"/>
                <w:sz w:val="16"/>
                <w:szCs w:val="16"/>
              </w:rPr>
            </w:pPr>
            <w:r>
              <w:rPr>
                <w:rFonts w:ascii="Avenir Next Regular" w:hAnsi="Avenir Next Regular" w:cs="Calibri"/>
                <w:iCs/>
                <w:color w:val="000000" w:themeColor="text1"/>
                <w:sz w:val="16"/>
                <w:szCs w:val="16"/>
              </w:rPr>
              <w:t> </w:t>
            </w:r>
          </w:p>
        </w:tc>
        <w:tc>
          <w:tcPr>
            <w:tcW w:w="1080" w:type="pct"/>
            <w:tcBorders>
              <w:top w:val="nil"/>
              <w:left w:val="nil"/>
              <w:bottom w:val="single" w:sz="4" w:space="0" w:color="auto"/>
              <w:right w:val="single" w:sz="4" w:space="0" w:color="auto"/>
            </w:tcBorders>
            <w:vAlign w:val="center"/>
            <w:hideMark/>
          </w:tcPr>
          <w:p w14:paraId="2301E5DB" w14:textId="77777777" w:rsidR="00601D9B" w:rsidRDefault="000E53A0">
            <w:pPr>
              <w:rPr>
                <w:rFonts w:ascii="Avenir Next Regular" w:hAnsi="Avenir Next Regular" w:cs="Calibri"/>
                <w:iCs/>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iCs/>
                <w:color w:val="000000" w:themeColor="text1"/>
                <w:sz w:val="16"/>
                <w:szCs w:val="16"/>
              </w:rPr>
              <w:t>Mangrove</w:t>
            </w:r>
          </w:p>
        </w:tc>
      </w:tr>
      <w:tr w:rsidR="009F3374" w14:paraId="3FA1F62D" w14:textId="77777777" w:rsidTr="009F3374">
        <w:trPr>
          <w:trHeight w:val="58"/>
        </w:trPr>
        <w:tc>
          <w:tcPr>
            <w:tcW w:w="1966" w:type="pct"/>
            <w:tcBorders>
              <w:top w:val="nil"/>
              <w:left w:val="single" w:sz="4" w:space="0" w:color="auto"/>
              <w:bottom w:val="single" w:sz="4" w:space="0" w:color="auto"/>
              <w:right w:val="single" w:sz="4" w:space="0" w:color="auto"/>
            </w:tcBorders>
            <w:noWrap/>
            <w:vAlign w:val="bottom"/>
            <w:hideMark/>
          </w:tcPr>
          <w:p w14:paraId="7BC91315"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6BEE0676"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vAlign w:val="center"/>
            <w:hideMark/>
          </w:tcPr>
          <w:p w14:paraId="257AC432" w14:textId="77777777" w:rsidR="009F3374" w:rsidRDefault="009F3374">
            <w:pPr>
              <w:rPr>
                <w:rFonts w:ascii="Avenir Next Regular" w:hAnsi="Avenir Next Regular" w:cs="Calibri"/>
                <w:iCs/>
                <w:color w:val="000000" w:themeColor="text1"/>
                <w:sz w:val="16"/>
                <w:szCs w:val="16"/>
              </w:rPr>
            </w:pPr>
            <w:r>
              <w:rPr>
                <w:rFonts w:ascii="Avenir Next Regular" w:hAnsi="Avenir Next Regular" w:cs="Calibri"/>
                <w:iCs/>
                <w:color w:val="000000" w:themeColor="text1"/>
                <w:sz w:val="16"/>
                <w:szCs w:val="16"/>
              </w:rPr>
              <w:t> </w:t>
            </w:r>
          </w:p>
        </w:tc>
        <w:tc>
          <w:tcPr>
            <w:tcW w:w="1080" w:type="pct"/>
            <w:tcBorders>
              <w:top w:val="nil"/>
              <w:left w:val="nil"/>
              <w:bottom w:val="single" w:sz="4" w:space="0" w:color="auto"/>
              <w:right w:val="single" w:sz="4" w:space="0" w:color="auto"/>
            </w:tcBorders>
            <w:vAlign w:val="center"/>
            <w:hideMark/>
          </w:tcPr>
          <w:p w14:paraId="71C57838" w14:textId="77777777" w:rsidR="00601D9B" w:rsidRDefault="000E53A0">
            <w:pPr>
              <w:rPr>
                <w:rFonts w:ascii="Avenir Next Regular" w:hAnsi="Avenir Next Regular" w:cs="Calibri"/>
                <w:iCs/>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iCs/>
                <w:color w:val="000000" w:themeColor="text1"/>
                <w:sz w:val="16"/>
                <w:szCs w:val="16"/>
              </w:rPr>
              <w:t>Récifs coralliens</w:t>
            </w:r>
          </w:p>
        </w:tc>
      </w:tr>
      <w:tr w:rsidR="009F3374" w14:paraId="7241EA2C" w14:textId="77777777" w:rsidTr="009F3374">
        <w:trPr>
          <w:trHeight w:val="58"/>
        </w:trPr>
        <w:tc>
          <w:tcPr>
            <w:tcW w:w="1966" w:type="pct"/>
            <w:tcBorders>
              <w:top w:val="nil"/>
              <w:left w:val="single" w:sz="4" w:space="0" w:color="auto"/>
              <w:bottom w:val="single" w:sz="4" w:space="0" w:color="auto"/>
              <w:right w:val="single" w:sz="4" w:space="0" w:color="auto"/>
            </w:tcBorders>
            <w:noWrap/>
            <w:vAlign w:val="bottom"/>
            <w:hideMark/>
          </w:tcPr>
          <w:p w14:paraId="436E03AD"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6E8FC9D4"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vAlign w:val="center"/>
            <w:hideMark/>
          </w:tcPr>
          <w:p w14:paraId="1D3EBCE2" w14:textId="77777777" w:rsidR="009F3374" w:rsidRDefault="009F3374">
            <w:pPr>
              <w:rPr>
                <w:rFonts w:ascii="Avenir Next Regular" w:hAnsi="Avenir Next Regular" w:cs="Calibri"/>
                <w:iCs/>
                <w:color w:val="000000" w:themeColor="text1"/>
                <w:sz w:val="16"/>
                <w:szCs w:val="16"/>
              </w:rPr>
            </w:pPr>
            <w:r>
              <w:rPr>
                <w:rFonts w:ascii="Avenir Next Regular" w:hAnsi="Avenir Next Regular" w:cs="Calibri"/>
                <w:iCs/>
                <w:color w:val="000000" w:themeColor="text1"/>
                <w:sz w:val="16"/>
                <w:szCs w:val="16"/>
              </w:rPr>
              <w:t> </w:t>
            </w:r>
          </w:p>
        </w:tc>
        <w:tc>
          <w:tcPr>
            <w:tcW w:w="1080" w:type="pct"/>
            <w:tcBorders>
              <w:top w:val="nil"/>
              <w:left w:val="nil"/>
              <w:bottom w:val="single" w:sz="4" w:space="0" w:color="auto"/>
              <w:right w:val="single" w:sz="4" w:space="0" w:color="auto"/>
            </w:tcBorders>
            <w:vAlign w:val="center"/>
            <w:hideMark/>
          </w:tcPr>
          <w:p w14:paraId="0AE0EF1D" w14:textId="77777777" w:rsidR="00601D9B" w:rsidRDefault="000E53A0">
            <w:pPr>
              <w:rPr>
                <w:rFonts w:ascii="Avenir Next Regular" w:hAnsi="Avenir Next Regular" w:cs="Calibri"/>
                <w:iCs/>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iCs/>
                <w:color w:val="000000" w:themeColor="text1"/>
                <w:sz w:val="16"/>
                <w:szCs w:val="16"/>
              </w:rPr>
              <w:t>Algues marines</w:t>
            </w:r>
          </w:p>
        </w:tc>
      </w:tr>
      <w:tr w:rsidR="009F3374" w14:paraId="01F8E00C" w14:textId="77777777" w:rsidTr="009F3374">
        <w:trPr>
          <w:trHeight w:val="58"/>
        </w:trPr>
        <w:tc>
          <w:tcPr>
            <w:tcW w:w="1966" w:type="pct"/>
            <w:tcBorders>
              <w:top w:val="nil"/>
              <w:left w:val="single" w:sz="4" w:space="0" w:color="auto"/>
              <w:bottom w:val="single" w:sz="4" w:space="0" w:color="auto"/>
              <w:right w:val="single" w:sz="4" w:space="0" w:color="auto"/>
            </w:tcBorders>
            <w:noWrap/>
            <w:vAlign w:val="bottom"/>
            <w:hideMark/>
          </w:tcPr>
          <w:p w14:paraId="65C1947D"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4E6A7F03"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vAlign w:val="center"/>
            <w:hideMark/>
          </w:tcPr>
          <w:p w14:paraId="66977CBD" w14:textId="77777777" w:rsidR="009F3374" w:rsidRDefault="009F3374">
            <w:pPr>
              <w:rPr>
                <w:rFonts w:ascii="Avenir Next Regular" w:hAnsi="Avenir Next Regular" w:cs="Calibri"/>
                <w:iCs/>
                <w:color w:val="000000" w:themeColor="text1"/>
                <w:sz w:val="16"/>
                <w:szCs w:val="16"/>
              </w:rPr>
            </w:pPr>
            <w:r>
              <w:rPr>
                <w:rFonts w:ascii="Avenir Next Regular" w:hAnsi="Avenir Next Regular" w:cs="Calibri"/>
                <w:iCs/>
                <w:color w:val="000000" w:themeColor="text1"/>
                <w:sz w:val="16"/>
                <w:szCs w:val="16"/>
              </w:rPr>
              <w:t> </w:t>
            </w:r>
          </w:p>
        </w:tc>
        <w:tc>
          <w:tcPr>
            <w:tcW w:w="1080" w:type="pct"/>
            <w:tcBorders>
              <w:top w:val="nil"/>
              <w:left w:val="nil"/>
              <w:bottom w:val="single" w:sz="4" w:space="0" w:color="auto"/>
              <w:right w:val="single" w:sz="4" w:space="0" w:color="auto"/>
            </w:tcBorders>
            <w:vAlign w:val="center"/>
            <w:hideMark/>
          </w:tcPr>
          <w:p w14:paraId="5C995904" w14:textId="77777777" w:rsidR="00601D9B" w:rsidRDefault="000E53A0">
            <w:pPr>
              <w:rPr>
                <w:rFonts w:ascii="Avenir Next Regular" w:hAnsi="Avenir Next Regular" w:cs="Calibri"/>
                <w:iCs/>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iCs/>
                <w:color w:val="000000" w:themeColor="text1"/>
                <w:sz w:val="16"/>
                <w:szCs w:val="16"/>
              </w:rPr>
              <w:t>Écosystèmes polaires</w:t>
            </w:r>
          </w:p>
        </w:tc>
      </w:tr>
      <w:tr w:rsidR="009F3374" w14:paraId="76D06337" w14:textId="77777777" w:rsidTr="009F3374">
        <w:trPr>
          <w:trHeight w:val="58"/>
        </w:trPr>
        <w:tc>
          <w:tcPr>
            <w:tcW w:w="1966" w:type="pct"/>
            <w:tcBorders>
              <w:top w:val="nil"/>
              <w:left w:val="single" w:sz="4" w:space="0" w:color="auto"/>
              <w:bottom w:val="single" w:sz="4" w:space="0" w:color="auto"/>
              <w:right w:val="single" w:sz="4" w:space="0" w:color="auto"/>
            </w:tcBorders>
            <w:noWrap/>
            <w:vAlign w:val="bottom"/>
            <w:hideMark/>
          </w:tcPr>
          <w:p w14:paraId="43B7EDEC"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022F4E1B"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vAlign w:val="center"/>
            <w:hideMark/>
          </w:tcPr>
          <w:p w14:paraId="6BD42458" w14:textId="77777777" w:rsidR="009F3374" w:rsidRDefault="009F3374">
            <w:pPr>
              <w:rPr>
                <w:rFonts w:ascii="Avenir Next Regular" w:hAnsi="Avenir Next Regular" w:cs="Calibri"/>
                <w:iCs/>
                <w:color w:val="000000" w:themeColor="text1"/>
                <w:sz w:val="16"/>
                <w:szCs w:val="16"/>
              </w:rPr>
            </w:pPr>
            <w:r>
              <w:rPr>
                <w:rFonts w:ascii="Avenir Next Regular" w:hAnsi="Avenir Next Regular" w:cs="Calibri"/>
                <w:iCs/>
                <w:color w:val="000000" w:themeColor="text1"/>
                <w:sz w:val="16"/>
                <w:szCs w:val="16"/>
              </w:rPr>
              <w:t> </w:t>
            </w:r>
          </w:p>
        </w:tc>
        <w:tc>
          <w:tcPr>
            <w:tcW w:w="1080" w:type="pct"/>
            <w:tcBorders>
              <w:top w:val="nil"/>
              <w:left w:val="nil"/>
              <w:bottom w:val="single" w:sz="4" w:space="0" w:color="auto"/>
              <w:right w:val="single" w:sz="4" w:space="0" w:color="auto"/>
            </w:tcBorders>
            <w:vAlign w:val="center"/>
            <w:hideMark/>
          </w:tcPr>
          <w:p w14:paraId="44832933" w14:textId="77777777" w:rsidR="00601D9B" w:rsidRDefault="000E53A0">
            <w:pPr>
              <w:rPr>
                <w:rFonts w:ascii="Avenir Next Regular" w:hAnsi="Avenir Next Regular" w:cs="Calibri"/>
                <w:iCs/>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iCs/>
                <w:color w:val="000000" w:themeColor="text1"/>
                <w:sz w:val="16"/>
                <w:szCs w:val="16"/>
              </w:rPr>
              <w:t>Zones humides construites</w:t>
            </w:r>
          </w:p>
        </w:tc>
      </w:tr>
      <w:tr w:rsidR="009F3374" w14:paraId="3C587537" w14:textId="77777777" w:rsidTr="009F3374">
        <w:trPr>
          <w:trHeight w:val="58"/>
        </w:trPr>
        <w:tc>
          <w:tcPr>
            <w:tcW w:w="1966" w:type="pct"/>
            <w:tcBorders>
              <w:top w:val="nil"/>
              <w:left w:val="single" w:sz="4" w:space="0" w:color="auto"/>
              <w:bottom w:val="single" w:sz="4" w:space="0" w:color="auto"/>
              <w:right w:val="single" w:sz="4" w:space="0" w:color="auto"/>
            </w:tcBorders>
            <w:noWrap/>
            <w:vAlign w:val="bottom"/>
            <w:hideMark/>
          </w:tcPr>
          <w:p w14:paraId="337B1F14"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156423E6" w14:textId="77777777" w:rsidR="00601D9B" w:rsidRDefault="000E53A0">
            <w:pPr>
              <w:rPr>
                <w:rFonts w:ascii="Avenir Next Regular" w:hAnsi="Avenir Next Regular" w:cs="Calibri"/>
                <w:b/>
                <w:bCs/>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b/>
                <w:bCs/>
                <w:color w:val="000000" w:themeColor="text1"/>
                <w:sz w:val="16"/>
                <w:szCs w:val="16"/>
              </w:rPr>
              <w:t>Produits chimiques et déchets</w:t>
            </w:r>
          </w:p>
        </w:tc>
        <w:tc>
          <w:tcPr>
            <w:tcW w:w="1129" w:type="pct"/>
            <w:tcBorders>
              <w:top w:val="nil"/>
              <w:left w:val="nil"/>
              <w:bottom w:val="single" w:sz="4" w:space="0" w:color="auto"/>
              <w:right w:val="single" w:sz="4" w:space="0" w:color="auto"/>
            </w:tcBorders>
          </w:tcPr>
          <w:p w14:paraId="3DC1FC08" w14:textId="77777777" w:rsidR="009F3374" w:rsidRDefault="009F3374">
            <w:pPr>
              <w:rPr>
                <w:rFonts w:ascii="Avenir Next Regular" w:hAnsi="Avenir Next Regular" w:cs="Calibri"/>
                <w:iCs/>
                <w:color w:val="000000" w:themeColor="text1"/>
                <w:sz w:val="16"/>
                <w:szCs w:val="16"/>
              </w:rPr>
            </w:pPr>
          </w:p>
        </w:tc>
        <w:tc>
          <w:tcPr>
            <w:tcW w:w="1080" w:type="pct"/>
            <w:tcBorders>
              <w:top w:val="nil"/>
              <w:left w:val="nil"/>
              <w:bottom w:val="single" w:sz="4" w:space="0" w:color="auto"/>
              <w:right w:val="single" w:sz="4" w:space="0" w:color="auto"/>
            </w:tcBorders>
            <w:hideMark/>
          </w:tcPr>
          <w:p w14:paraId="55EE91B3" w14:textId="77777777" w:rsidR="009F3374" w:rsidRDefault="009F3374">
            <w:pPr>
              <w:rPr>
                <w:rFonts w:ascii="Avenir Next Regular" w:hAnsi="Avenir Next Regular" w:cs="Calibri"/>
                <w:color w:val="000000" w:themeColor="text1"/>
                <w:sz w:val="16"/>
                <w:szCs w:val="16"/>
              </w:rPr>
            </w:pPr>
            <w:r>
              <w:rPr>
                <w:rFonts w:ascii="Avenir Next Regular" w:hAnsi="Avenir Next Regular" w:cs="Calibri"/>
                <w:color w:val="000000" w:themeColor="text1"/>
                <w:sz w:val="16"/>
                <w:szCs w:val="16"/>
              </w:rPr>
              <w:t> </w:t>
            </w:r>
          </w:p>
        </w:tc>
      </w:tr>
      <w:tr w:rsidR="009F3374" w14:paraId="49D79461" w14:textId="77777777" w:rsidTr="009F3374">
        <w:trPr>
          <w:trHeight w:val="58"/>
        </w:trPr>
        <w:tc>
          <w:tcPr>
            <w:tcW w:w="1966" w:type="pct"/>
            <w:tcBorders>
              <w:top w:val="nil"/>
              <w:left w:val="single" w:sz="4" w:space="0" w:color="auto"/>
              <w:bottom w:val="single" w:sz="4" w:space="0" w:color="auto"/>
              <w:right w:val="single" w:sz="4" w:space="0" w:color="auto"/>
            </w:tcBorders>
            <w:noWrap/>
            <w:vAlign w:val="bottom"/>
          </w:tcPr>
          <w:p w14:paraId="28959C1E" w14:textId="77777777" w:rsidR="009F3374" w:rsidRDefault="009F3374">
            <w:pPr>
              <w:rPr>
                <w:rFonts w:ascii="Avenir Next Regular" w:hAnsi="Avenir Next Regular" w:cs="Calibri"/>
                <w:b/>
                <w:bCs/>
                <w:color w:val="000000" w:themeColor="text1"/>
                <w:sz w:val="16"/>
                <w:szCs w:val="16"/>
              </w:rPr>
            </w:pPr>
          </w:p>
        </w:tc>
        <w:tc>
          <w:tcPr>
            <w:tcW w:w="825" w:type="pct"/>
            <w:tcBorders>
              <w:top w:val="nil"/>
              <w:left w:val="nil"/>
              <w:bottom w:val="single" w:sz="4" w:space="0" w:color="auto"/>
              <w:right w:val="single" w:sz="4" w:space="0" w:color="auto"/>
            </w:tcBorders>
          </w:tcPr>
          <w:p w14:paraId="0E92FC46" w14:textId="77777777" w:rsidR="009F3374" w:rsidRDefault="009F3374">
            <w:pPr>
              <w:rPr>
                <w:color w:val="000000" w:themeColor="text1"/>
                <w:sz w:val="16"/>
                <w:szCs w:val="16"/>
              </w:rPr>
            </w:pPr>
          </w:p>
        </w:tc>
        <w:tc>
          <w:tcPr>
            <w:tcW w:w="1129" w:type="pct"/>
            <w:tcBorders>
              <w:top w:val="nil"/>
              <w:left w:val="nil"/>
              <w:bottom w:val="single" w:sz="4" w:space="0" w:color="auto"/>
              <w:right w:val="single" w:sz="4" w:space="0" w:color="auto"/>
            </w:tcBorders>
            <w:hideMark/>
          </w:tcPr>
          <w:p w14:paraId="37E4C6F2" w14:textId="77777777" w:rsidR="00601D9B" w:rsidRDefault="000E53A0">
            <w:pPr>
              <w:rPr>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iCs/>
                <w:color w:val="000000" w:themeColor="text1"/>
                <w:sz w:val="16"/>
                <w:szCs w:val="16"/>
              </w:rPr>
              <w:t>Mercure</w:t>
            </w:r>
          </w:p>
        </w:tc>
        <w:tc>
          <w:tcPr>
            <w:tcW w:w="1080" w:type="pct"/>
            <w:tcBorders>
              <w:top w:val="nil"/>
              <w:left w:val="nil"/>
              <w:bottom w:val="single" w:sz="4" w:space="0" w:color="auto"/>
              <w:right w:val="single" w:sz="4" w:space="0" w:color="auto"/>
            </w:tcBorders>
          </w:tcPr>
          <w:p w14:paraId="5EB1109F" w14:textId="77777777" w:rsidR="009F3374" w:rsidRDefault="009F3374">
            <w:pPr>
              <w:rPr>
                <w:rFonts w:ascii="Avenir Next Regular" w:hAnsi="Avenir Next Regular" w:cs="Calibri"/>
                <w:color w:val="000000" w:themeColor="text1"/>
                <w:sz w:val="16"/>
                <w:szCs w:val="16"/>
              </w:rPr>
            </w:pPr>
          </w:p>
        </w:tc>
      </w:tr>
      <w:tr w:rsidR="009F3374" w:rsidRPr="000E53A0" w14:paraId="5A7A3206" w14:textId="77777777" w:rsidTr="009F3374">
        <w:trPr>
          <w:trHeight w:val="58"/>
        </w:trPr>
        <w:tc>
          <w:tcPr>
            <w:tcW w:w="1966" w:type="pct"/>
            <w:tcBorders>
              <w:top w:val="nil"/>
              <w:left w:val="single" w:sz="4" w:space="0" w:color="auto"/>
              <w:bottom w:val="single" w:sz="4" w:space="0" w:color="auto"/>
              <w:right w:val="single" w:sz="4" w:space="0" w:color="auto"/>
            </w:tcBorders>
            <w:noWrap/>
            <w:vAlign w:val="bottom"/>
            <w:hideMark/>
          </w:tcPr>
          <w:p w14:paraId="6E64274D"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13449B8D"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4A103D53" w14:textId="77777777" w:rsidR="00601D9B" w:rsidRPr="000E53A0" w:rsidRDefault="000E53A0">
            <w:pPr>
              <w:rPr>
                <w:rFonts w:ascii="Avenir Next Regular" w:hAnsi="Avenir Next Regular" w:cs="Calibri"/>
                <w:iCs/>
                <w:color w:val="000000" w:themeColor="text1"/>
                <w:sz w:val="16"/>
                <w:szCs w:val="16"/>
                <w:lang w:val="fr-FR"/>
              </w:rPr>
            </w:pPr>
            <w:r>
              <w:rPr>
                <w:color w:val="000000" w:themeColor="text1"/>
                <w:sz w:val="16"/>
                <w:szCs w:val="16"/>
              </w:rPr>
              <w:fldChar w:fldCharType="begin">
                <w:ffData>
                  <w:name w:val="IAP_cities"/>
                  <w:enabled/>
                  <w:calcOnExit w:val="0"/>
                  <w:checkBox>
                    <w:sizeAuto/>
                    <w:default w:val="0"/>
                  </w:checkBox>
                </w:ffData>
              </w:fldChar>
            </w:r>
            <w:r w:rsidRPr="000E53A0">
              <w:rPr>
                <w:color w:val="000000" w:themeColor="text1"/>
                <w:sz w:val="16"/>
                <w:szCs w:val="16"/>
                <w:lang w:val="fr-FR"/>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sidRPr="000E53A0">
              <w:rPr>
                <w:rFonts w:ascii="Avenir Next Regular" w:hAnsi="Avenir Next Regular" w:cs="Calibri"/>
                <w:iCs/>
                <w:color w:val="000000" w:themeColor="text1"/>
                <w:sz w:val="16"/>
                <w:szCs w:val="16"/>
                <w:lang w:val="fr-FR"/>
              </w:rPr>
              <w:t>L'exploitation minière artisanale et à l'échelle de l'or</w:t>
            </w:r>
          </w:p>
        </w:tc>
        <w:tc>
          <w:tcPr>
            <w:tcW w:w="1080" w:type="pct"/>
            <w:tcBorders>
              <w:top w:val="nil"/>
              <w:left w:val="nil"/>
              <w:bottom w:val="single" w:sz="4" w:space="0" w:color="auto"/>
              <w:right w:val="single" w:sz="4" w:space="0" w:color="auto"/>
            </w:tcBorders>
            <w:hideMark/>
          </w:tcPr>
          <w:p w14:paraId="6C0D6F78" w14:textId="77777777" w:rsidR="009F3374" w:rsidRPr="000E53A0" w:rsidRDefault="009F3374">
            <w:pPr>
              <w:rPr>
                <w:rFonts w:ascii="Avenir Next Regular" w:hAnsi="Avenir Next Regular" w:cs="Calibri"/>
                <w:color w:val="000000" w:themeColor="text1"/>
                <w:sz w:val="16"/>
                <w:szCs w:val="16"/>
                <w:lang w:val="fr-FR"/>
              </w:rPr>
            </w:pPr>
            <w:r w:rsidRPr="000E53A0">
              <w:rPr>
                <w:rFonts w:ascii="Avenir Next Regular" w:hAnsi="Avenir Next Regular" w:cs="Calibri"/>
                <w:color w:val="000000" w:themeColor="text1"/>
                <w:sz w:val="16"/>
                <w:szCs w:val="16"/>
                <w:lang w:val="fr-FR"/>
              </w:rPr>
              <w:t> </w:t>
            </w:r>
          </w:p>
        </w:tc>
      </w:tr>
      <w:tr w:rsidR="009F3374" w:rsidRPr="000E53A0" w14:paraId="3A593329" w14:textId="77777777" w:rsidTr="009F3374">
        <w:trPr>
          <w:trHeight w:val="58"/>
        </w:trPr>
        <w:tc>
          <w:tcPr>
            <w:tcW w:w="1966" w:type="pct"/>
            <w:tcBorders>
              <w:top w:val="nil"/>
              <w:left w:val="single" w:sz="4" w:space="0" w:color="auto"/>
              <w:bottom w:val="single" w:sz="4" w:space="0" w:color="auto"/>
              <w:right w:val="single" w:sz="4" w:space="0" w:color="auto"/>
            </w:tcBorders>
            <w:noWrap/>
            <w:vAlign w:val="bottom"/>
            <w:hideMark/>
          </w:tcPr>
          <w:p w14:paraId="1CDDEB85" w14:textId="77777777" w:rsidR="009F3374" w:rsidRPr="000E53A0" w:rsidRDefault="009F3374">
            <w:pPr>
              <w:rPr>
                <w:rFonts w:ascii="Avenir Next Regular" w:hAnsi="Avenir Next Regular" w:cs="Calibri"/>
                <w:b/>
                <w:bCs/>
                <w:color w:val="000000" w:themeColor="text1"/>
                <w:sz w:val="16"/>
                <w:szCs w:val="16"/>
                <w:lang w:val="fr-FR"/>
              </w:rPr>
            </w:pPr>
            <w:r w:rsidRPr="000E53A0">
              <w:rPr>
                <w:rFonts w:ascii="Avenir Next Regular" w:hAnsi="Avenir Next Regular" w:cs="Calibri"/>
                <w:b/>
                <w:bCs/>
                <w:color w:val="000000" w:themeColor="text1"/>
                <w:sz w:val="16"/>
                <w:szCs w:val="16"/>
                <w:lang w:val="fr-FR"/>
              </w:rPr>
              <w:t> </w:t>
            </w:r>
          </w:p>
        </w:tc>
        <w:tc>
          <w:tcPr>
            <w:tcW w:w="825" w:type="pct"/>
            <w:tcBorders>
              <w:top w:val="nil"/>
              <w:left w:val="nil"/>
              <w:bottom w:val="single" w:sz="4" w:space="0" w:color="auto"/>
              <w:right w:val="single" w:sz="4" w:space="0" w:color="auto"/>
            </w:tcBorders>
            <w:hideMark/>
          </w:tcPr>
          <w:p w14:paraId="08A110E8" w14:textId="77777777" w:rsidR="009F3374" w:rsidRPr="000E53A0" w:rsidRDefault="009F3374">
            <w:pPr>
              <w:rPr>
                <w:rFonts w:ascii="Avenir Next Regular" w:hAnsi="Avenir Next Regular" w:cs="Calibri"/>
                <w:b/>
                <w:bCs/>
                <w:color w:val="000000" w:themeColor="text1"/>
                <w:sz w:val="16"/>
                <w:szCs w:val="16"/>
                <w:lang w:val="fr-FR"/>
              </w:rPr>
            </w:pPr>
            <w:r w:rsidRPr="000E53A0">
              <w:rPr>
                <w:rFonts w:ascii="Avenir Next Regular" w:hAnsi="Avenir Next Regular" w:cs="Calibri"/>
                <w:b/>
                <w:bCs/>
                <w:color w:val="000000" w:themeColor="text1"/>
                <w:sz w:val="16"/>
                <w:szCs w:val="16"/>
                <w:lang w:val="fr-FR"/>
              </w:rPr>
              <w:t> </w:t>
            </w:r>
          </w:p>
        </w:tc>
        <w:tc>
          <w:tcPr>
            <w:tcW w:w="1129" w:type="pct"/>
            <w:tcBorders>
              <w:top w:val="nil"/>
              <w:left w:val="nil"/>
              <w:bottom w:val="single" w:sz="4" w:space="0" w:color="auto"/>
              <w:right w:val="single" w:sz="4" w:space="0" w:color="auto"/>
            </w:tcBorders>
            <w:hideMark/>
          </w:tcPr>
          <w:p w14:paraId="2612419D" w14:textId="77777777" w:rsidR="00601D9B" w:rsidRPr="000E53A0" w:rsidRDefault="000E53A0">
            <w:pPr>
              <w:rPr>
                <w:rFonts w:ascii="Avenir Next Regular" w:hAnsi="Avenir Next Regular" w:cs="Calibri"/>
                <w:iCs/>
                <w:color w:val="000000" w:themeColor="text1"/>
                <w:sz w:val="16"/>
                <w:szCs w:val="16"/>
                <w:lang w:val="fr-FR"/>
              </w:rPr>
            </w:pPr>
            <w:r>
              <w:rPr>
                <w:color w:val="000000" w:themeColor="text1"/>
                <w:sz w:val="16"/>
                <w:szCs w:val="16"/>
              </w:rPr>
              <w:fldChar w:fldCharType="begin">
                <w:ffData>
                  <w:name w:val="IAP_cities"/>
                  <w:enabled/>
                  <w:calcOnExit w:val="0"/>
                  <w:checkBox>
                    <w:sizeAuto/>
                    <w:default w:val="0"/>
                  </w:checkBox>
                </w:ffData>
              </w:fldChar>
            </w:r>
            <w:r w:rsidRPr="000E53A0">
              <w:rPr>
                <w:color w:val="000000" w:themeColor="text1"/>
                <w:sz w:val="16"/>
                <w:szCs w:val="16"/>
                <w:lang w:val="fr-FR"/>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sidRPr="000E53A0">
              <w:rPr>
                <w:rFonts w:ascii="Avenir Next Regular" w:hAnsi="Avenir Next Regular" w:cs="Calibri"/>
                <w:iCs/>
                <w:color w:val="000000" w:themeColor="text1"/>
                <w:sz w:val="16"/>
                <w:szCs w:val="16"/>
                <w:lang w:val="fr-FR"/>
              </w:rPr>
              <w:t>Centrales électriques alimentées au charbon</w:t>
            </w:r>
          </w:p>
        </w:tc>
        <w:tc>
          <w:tcPr>
            <w:tcW w:w="1080" w:type="pct"/>
            <w:tcBorders>
              <w:top w:val="nil"/>
              <w:left w:val="nil"/>
              <w:bottom w:val="single" w:sz="4" w:space="0" w:color="auto"/>
              <w:right w:val="single" w:sz="4" w:space="0" w:color="auto"/>
            </w:tcBorders>
            <w:hideMark/>
          </w:tcPr>
          <w:p w14:paraId="256BF9C1" w14:textId="77777777" w:rsidR="009F3374" w:rsidRPr="000E53A0" w:rsidRDefault="009F3374">
            <w:pPr>
              <w:rPr>
                <w:rFonts w:ascii="Avenir Next Regular" w:hAnsi="Avenir Next Regular" w:cs="Calibri"/>
                <w:color w:val="000000" w:themeColor="text1"/>
                <w:sz w:val="16"/>
                <w:szCs w:val="16"/>
                <w:lang w:val="fr-FR"/>
              </w:rPr>
            </w:pPr>
            <w:r w:rsidRPr="000E53A0">
              <w:rPr>
                <w:rFonts w:ascii="Avenir Next Regular" w:hAnsi="Avenir Next Regular" w:cs="Calibri"/>
                <w:color w:val="000000" w:themeColor="text1"/>
                <w:sz w:val="16"/>
                <w:szCs w:val="16"/>
                <w:lang w:val="fr-FR"/>
              </w:rPr>
              <w:t> </w:t>
            </w:r>
          </w:p>
        </w:tc>
      </w:tr>
      <w:tr w:rsidR="009F3374" w14:paraId="058F8AA1" w14:textId="77777777" w:rsidTr="009F3374">
        <w:trPr>
          <w:trHeight w:val="58"/>
        </w:trPr>
        <w:tc>
          <w:tcPr>
            <w:tcW w:w="1966" w:type="pct"/>
            <w:tcBorders>
              <w:top w:val="nil"/>
              <w:left w:val="single" w:sz="4" w:space="0" w:color="auto"/>
              <w:bottom w:val="single" w:sz="4" w:space="0" w:color="auto"/>
              <w:right w:val="single" w:sz="4" w:space="0" w:color="auto"/>
            </w:tcBorders>
            <w:noWrap/>
            <w:vAlign w:val="bottom"/>
            <w:hideMark/>
          </w:tcPr>
          <w:p w14:paraId="0B0C81C4" w14:textId="77777777" w:rsidR="009F3374" w:rsidRPr="000E53A0" w:rsidRDefault="009F3374">
            <w:pPr>
              <w:rPr>
                <w:rFonts w:ascii="Avenir Next Regular" w:hAnsi="Avenir Next Regular" w:cs="Calibri"/>
                <w:b/>
                <w:bCs/>
                <w:color w:val="000000" w:themeColor="text1"/>
                <w:sz w:val="16"/>
                <w:szCs w:val="16"/>
                <w:lang w:val="fr-FR"/>
              </w:rPr>
            </w:pPr>
            <w:r w:rsidRPr="000E53A0">
              <w:rPr>
                <w:rFonts w:ascii="Avenir Next Regular" w:hAnsi="Avenir Next Regular" w:cs="Calibri"/>
                <w:b/>
                <w:bCs/>
                <w:color w:val="000000" w:themeColor="text1"/>
                <w:sz w:val="16"/>
                <w:szCs w:val="16"/>
                <w:lang w:val="fr-FR"/>
              </w:rPr>
              <w:t> </w:t>
            </w:r>
          </w:p>
        </w:tc>
        <w:tc>
          <w:tcPr>
            <w:tcW w:w="825" w:type="pct"/>
            <w:tcBorders>
              <w:top w:val="nil"/>
              <w:left w:val="nil"/>
              <w:bottom w:val="single" w:sz="4" w:space="0" w:color="auto"/>
              <w:right w:val="single" w:sz="4" w:space="0" w:color="auto"/>
            </w:tcBorders>
            <w:hideMark/>
          </w:tcPr>
          <w:p w14:paraId="79DAF5D2" w14:textId="77777777" w:rsidR="009F3374" w:rsidRPr="000E53A0" w:rsidRDefault="009F3374">
            <w:pPr>
              <w:rPr>
                <w:rFonts w:ascii="Avenir Next Regular" w:hAnsi="Avenir Next Regular" w:cs="Calibri"/>
                <w:b/>
                <w:bCs/>
                <w:color w:val="000000" w:themeColor="text1"/>
                <w:sz w:val="16"/>
                <w:szCs w:val="16"/>
                <w:lang w:val="fr-FR"/>
              </w:rPr>
            </w:pPr>
            <w:r w:rsidRPr="000E53A0">
              <w:rPr>
                <w:rFonts w:ascii="Avenir Next Regular" w:hAnsi="Avenir Next Regular" w:cs="Calibri"/>
                <w:b/>
                <w:bCs/>
                <w:color w:val="000000" w:themeColor="text1"/>
                <w:sz w:val="16"/>
                <w:szCs w:val="16"/>
                <w:lang w:val="fr-FR"/>
              </w:rPr>
              <w:t> </w:t>
            </w:r>
          </w:p>
        </w:tc>
        <w:tc>
          <w:tcPr>
            <w:tcW w:w="1129" w:type="pct"/>
            <w:tcBorders>
              <w:top w:val="nil"/>
              <w:left w:val="nil"/>
              <w:bottom w:val="single" w:sz="4" w:space="0" w:color="auto"/>
              <w:right w:val="single" w:sz="4" w:space="0" w:color="auto"/>
            </w:tcBorders>
            <w:hideMark/>
          </w:tcPr>
          <w:p w14:paraId="60156D47" w14:textId="77777777" w:rsidR="00601D9B" w:rsidRDefault="000E53A0">
            <w:pPr>
              <w:rPr>
                <w:rFonts w:ascii="Avenir Next Regular" w:hAnsi="Avenir Next Regular" w:cs="Calibri"/>
                <w:iCs/>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iCs/>
                <w:color w:val="000000" w:themeColor="text1"/>
                <w:sz w:val="16"/>
                <w:szCs w:val="16"/>
              </w:rPr>
              <w:t>Chaudières industrielles au charbon</w:t>
            </w:r>
          </w:p>
        </w:tc>
        <w:tc>
          <w:tcPr>
            <w:tcW w:w="1080" w:type="pct"/>
            <w:tcBorders>
              <w:top w:val="nil"/>
              <w:left w:val="nil"/>
              <w:bottom w:val="single" w:sz="4" w:space="0" w:color="auto"/>
              <w:right w:val="single" w:sz="4" w:space="0" w:color="auto"/>
            </w:tcBorders>
            <w:hideMark/>
          </w:tcPr>
          <w:p w14:paraId="310E1D87" w14:textId="77777777" w:rsidR="009F3374" w:rsidRDefault="009F3374">
            <w:pPr>
              <w:rPr>
                <w:rFonts w:ascii="Avenir Next Regular" w:hAnsi="Avenir Next Regular" w:cs="Calibri"/>
                <w:color w:val="000000" w:themeColor="text1"/>
                <w:sz w:val="16"/>
                <w:szCs w:val="16"/>
              </w:rPr>
            </w:pPr>
            <w:r>
              <w:rPr>
                <w:rFonts w:ascii="Avenir Next Regular" w:hAnsi="Avenir Next Regular" w:cs="Calibri"/>
                <w:color w:val="000000" w:themeColor="text1"/>
                <w:sz w:val="16"/>
                <w:szCs w:val="16"/>
              </w:rPr>
              <w:t> </w:t>
            </w:r>
          </w:p>
        </w:tc>
      </w:tr>
      <w:tr w:rsidR="009F3374" w14:paraId="7E35EC46" w14:textId="77777777" w:rsidTr="009F3374">
        <w:trPr>
          <w:trHeight w:val="58"/>
        </w:trPr>
        <w:tc>
          <w:tcPr>
            <w:tcW w:w="1966" w:type="pct"/>
            <w:tcBorders>
              <w:top w:val="nil"/>
              <w:left w:val="single" w:sz="4" w:space="0" w:color="auto"/>
              <w:bottom w:val="single" w:sz="4" w:space="0" w:color="auto"/>
              <w:right w:val="single" w:sz="4" w:space="0" w:color="auto"/>
            </w:tcBorders>
            <w:noWrap/>
            <w:vAlign w:val="bottom"/>
            <w:hideMark/>
          </w:tcPr>
          <w:p w14:paraId="6EC5FA02"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3C150F6B"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0EFD5CE8" w14:textId="77777777" w:rsidR="00601D9B" w:rsidRDefault="000E53A0">
            <w:pPr>
              <w:rPr>
                <w:rFonts w:ascii="Avenir Next Regular" w:hAnsi="Avenir Next Regular" w:cs="Calibri"/>
                <w:iCs/>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iCs/>
                <w:color w:val="000000" w:themeColor="text1"/>
                <w:sz w:val="16"/>
                <w:szCs w:val="16"/>
              </w:rPr>
              <w:t>Ciment</w:t>
            </w:r>
          </w:p>
        </w:tc>
        <w:tc>
          <w:tcPr>
            <w:tcW w:w="1080" w:type="pct"/>
            <w:tcBorders>
              <w:top w:val="nil"/>
              <w:left w:val="nil"/>
              <w:bottom w:val="single" w:sz="4" w:space="0" w:color="auto"/>
              <w:right w:val="single" w:sz="4" w:space="0" w:color="auto"/>
            </w:tcBorders>
            <w:hideMark/>
          </w:tcPr>
          <w:p w14:paraId="28E1EC60" w14:textId="77777777" w:rsidR="009F3374" w:rsidRDefault="009F3374">
            <w:pPr>
              <w:rPr>
                <w:rFonts w:ascii="Avenir Next Regular" w:hAnsi="Avenir Next Regular" w:cs="Calibri"/>
                <w:color w:val="000000" w:themeColor="text1"/>
                <w:sz w:val="16"/>
                <w:szCs w:val="16"/>
              </w:rPr>
            </w:pPr>
            <w:r>
              <w:rPr>
                <w:rFonts w:ascii="Avenir Next Regular" w:hAnsi="Avenir Next Regular" w:cs="Calibri"/>
                <w:color w:val="000000" w:themeColor="text1"/>
                <w:sz w:val="16"/>
                <w:szCs w:val="16"/>
              </w:rPr>
              <w:t> </w:t>
            </w:r>
          </w:p>
        </w:tc>
      </w:tr>
      <w:tr w:rsidR="009F3374" w:rsidRPr="000E53A0" w14:paraId="5752A1D8" w14:textId="77777777" w:rsidTr="009F3374">
        <w:trPr>
          <w:trHeight w:val="58"/>
        </w:trPr>
        <w:tc>
          <w:tcPr>
            <w:tcW w:w="1966" w:type="pct"/>
            <w:tcBorders>
              <w:top w:val="nil"/>
              <w:left w:val="single" w:sz="4" w:space="0" w:color="auto"/>
              <w:bottom w:val="single" w:sz="4" w:space="0" w:color="auto"/>
              <w:right w:val="single" w:sz="4" w:space="0" w:color="auto"/>
            </w:tcBorders>
            <w:noWrap/>
            <w:vAlign w:val="bottom"/>
            <w:hideMark/>
          </w:tcPr>
          <w:p w14:paraId="75B62B9E"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68B445B5"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66E30D97" w14:textId="77777777" w:rsidR="00601D9B" w:rsidRPr="000E53A0" w:rsidRDefault="000E53A0">
            <w:pPr>
              <w:rPr>
                <w:rFonts w:ascii="Avenir Next Regular" w:hAnsi="Avenir Next Regular" w:cs="Calibri"/>
                <w:iCs/>
                <w:color w:val="000000" w:themeColor="text1"/>
                <w:sz w:val="16"/>
                <w:szCs w:val="16"/>
                <w:lang w:val="fr-FR"/>
              </w:rPr>
            </w:pPr>
            <w:r>
              <w:rPr>
                <w:color w:val="000000" w:themeColor="text1"/>
                <w:sz w:val="16"/>
                <w:szCs w:val="16"/>
              </w:rPr>
              <w:fldChar w:fldCharType="begin">
                <w:ffData>
                  <w:name w:val="IAP_cities"/>
                  <w:enabled/>
                  <w:calcOnExit w:val="0"/>
                  <w:checkBox>
                    <w:sizeAuto/>
                    <w:default w:val="0"/>
                  </w:checkBox>
                </w:ffData>
              </w:fldChar>
            </w:r>
            <w:r w:rsidRPr="000E53A0">
              <w:rPr>
                <w:color w:val="000000" w:themeColor="text1"/>
                <w:sz w:val="16"/>
                <w:szCs w:val="16"/>
                <w:lang w:val="fr-FR"/>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sidRPr="000E53A0">
              <w:rPr>
                <w:rFonts w:ascii="Avenir Next Regular" w:hAnsi="Avenir Next Regular" w:cs="Calibri"/>
                <w:iCs/>
                <w:color w:val="000000" w:themeColor="text1"/>
                <w:sz w:val="16"/>
                <w:szCs w:val="16"/>
                <w:lang w:val="fr-FR"/>
              </w:rPr>
              <w:t xml:space="preserve">Production de métaux non ferreux </w:t>
            </w:r>
          </w:p>
        </w:tc>
        <w:tc>
          <w:tcPr>
            <w:tcW w:w="1080" w:type="pct"/>
            <w:tcBorders>
              <w:top w:val="nil"/>
              <w:left w:val="nil"/>
              <w:bottom w:val="single" w:sz="4" w:space="0" w:color="auto"/>
              <w:right w:val="single" w:sz="4" w:space="0" w:color="auto"/>
            </w:tcBorders>
            <w:hideMark/>
          </w:tcPr>
          <w:p w14:paraId="2F8D35B8" w14:textId="77777777" w:rsidR="009F3374" w:rsidRPr="000E53A0" w:rsidRDefault="009F3374">
            <w:pPr>
              <w:rPr>
                <w:rFonts w:ascii="Avenir Next Regular" w:hAnsi="Avenir Next Regular" w:cs="Calibri"/>
                <w:color w:val="000000" w:themeColor="text1"/>
                <w:sz w:val="16"/>
                <w:szCs w:val="16"/>
                <w:lang w:val="fr-FR"/>
              </w:rPr>
            </w:pPr>
            <w:r w:rsidRPr="000E53A0">
              <w:rPr>
                <w:rFonts w:ascii="Avenir Next Regular" w:hAnsi="Avenir Next Regular" w:cs="Calibri"/>
                <w:color w:val="000000" w:themeColor="text1"/>
                <w:sz w:val="16"/>
                <w:szCs w:val="16"/>
                <w:lang w:val="fr-FR"/>
              </w:rPr>
              <w:t> </w:t>
            </w:r>
          </w:p>
        </w:tc>
      </w:tr>
      <w:tr w:rsidR="009F3374" w14:paraId="3947F8E0" w14:textId="77777777" w:rsidTr="009F3374">
        <w:trPr>
          <w:trHeight w:val="71"/>
        </w:trPr>
        <w:tc>
          <w:tcPr>
            <w:tcW w:w="1966" w:type="pct"/>
            <w:tcBorders>
              <w:top w:val="nil"/>
              <w:left w:val="single" w:sz="4" w:space="0" w:color="auto"/>
              <w:bottom w:val="single" w:sz="4" w:space="0" w:color="auto"/>
              <w:right w:val="single" w:sz="4" w:space="0" w:color="auto"/>
            </w:tcBorders>
            <w:noWrap/>
            <w:vAlign w:val="bottom"/>
            <w:hideMark/>
          </w:tcPr>
          <w:p w14:paraId="1817B8AF" w14:textId="77777777" w:rsidR="009F3374" w:rsidRPr="000E53A0" w:rsidRDefault="009F3374">
            <w:pPr>
              <w:rPr>
                <w:rFonts w:ascii="Avenir Next Regular" w:hAnsi="Avenir Next Regular" w:cs="Calibri"/>
                <w:b/>
                <w:bCs/>
                <w:color w:val="000000" w:themeColor="text1"/>
                <w:sz w:val="16"/>
                <w:szCs w:val="16"/>
                <w:lang w:val="fr-FR"/>
              </w:rPr>
            </w:pPr>
            <w:r w:rsidRPr="000E53A0">
              <w:rPr>
                <w:rFonts w:ascii="Avenir Next Regular" w:hAnsi="Avenir Next Regular" w:cs="Calibri"/>
                <w:b/>
                <w:bCs/>
                <w:color w:val="000000" w:themeColor="text1"/>
                <w:sz w:val="16"/>
                <w:szCs w:val="16"/>
                <w:lang w:val="fr-FR"/>
              </w:rPr>
              <w:t> </w:t>
            </w:r>
          </w:p>
        </w:tc>
        <w:tc>
          <w:tcPr>
            <w:tcW w:w="825" w:type="pct"/>
            <w:tcBorders>
              <w:top w:val="nil"/>
              <w:left w:val="nil"/>
              <w:bottom w:val="single" w:sz="4" w:space="0" w:color="auto"/>
              <w:right w:val="single" w:sz="4" w:space="0" w:color="auto"/>
            </w:tcBorders>
            <w:hideMark/>
          </w:tcPr>
          <w:p w14:paraId="6114C38D" w14:textId="77777777" w:rsidR="009F3374" w:rsidRPr="000E53A0" w:rsidRDefault="009F3374">
            <w:pPr>
              <w:rPr>
                <w:rFonts w:ascii="Avenir Next Regular" w:hAnsi="Avenir Next Regular" w:cs="Calibri"/>
                <w:b/>
                <w:bCs/>
                <w:color w:val="000000" w:themeColor="text1"/>
                <w:sz w:val="16"/>
                <w:szCs w:val="16"/>
                <w:lang w:val="fr-FR"/>
              </w:rPr>
            </w:pPr>
            <w:r w:rsidRPr="000E53A0">
              <w:rPr>
                <w:rFonts w:ascii="Avenir Next Regular" w:hAnsi="Avenir Next Regular" w:cs="Calibri"/>
                <w:b/>
                <w:bCs/>
                <w:color w:val="000000" w:themeColor="text1"/>
                <w:sz w:val="16"/>
                <w:szCs w:val="16"/>
                <w:lang w:val="fr-FR"/>
              </w:rPr>
              <w:t> </w:t>
            </w:r>
          </w:p>
        </w:tc>
        <w:tc>
          <w:tcPr>
            <w:tcW w:w="1129" w:type="pct"/>
            <w:tcBorders>
              <w:top w:val="nil"/>
              <w:left w:val="nil"/>
              <w:bottom w:val="single" w:sz="4" w:space="0" w:color="auto"/>
              <w:right w:val="single" w:sz="4" w:space="0" w:color="auto"/>
            </w:tcBorders>
            <w:hideMark/>
          </w:tcPr>
          <w:p w14:paraId="749ED7FA" w14:textId="77777777" w:rsidR="00601D9B" w:rsidRDefault="000E53A0">
            <w:pPr>
              <w:rPr>
                <w:rFonts w:ascii="Avenir Next Regular" w:hAnsi="Avenir Next Regular" w:cs="Calibri"/>
                <w:iCs/>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iCs/>
                <w:color w:val="000000" w:themeColor="text1"/>
                <w:sz w:val="16"/>
                <w:szCs w:val="16"/>
              </w:rPr>
              <w:t>Ozone</w:t>
            </w:r>
          </w:p>
        </w:tc>
        <w:tc>
          <w:tcPr>
            <w:tcW w:w="1080" w:type="pct"/>
            <w:tcBorders>
              <w:top w:val="nil"/>
              <w:left w:val="nil"/>
              <w:bottom w:val="single" w:sz="4" w:space="0" w:color="auto"/>
              <w:right w:val="single" w:sz="4" w:space="0" w:color="auto"/>
            </w:tcBorders>
            <w:hideMark/>
          </w:tcPr>
          <w:p w14:paraId="0CD09745" w14:textId="77777777" w:rsidR="009F3374" w:rsidRDefault="009F3374">
            <w:pPr>
              <w:rPr>
                <w:rFonts w:ascii="Avenir Next Regular" w:hAnsi="Avenir Next Regular" w:cs="Calibri"/>
                <w:color w:val="000000" w:themeColor="text1"/>
                <w:sz w:val="16"/>
                <w:szCs w:val="16"/>
              </w:rPr>
            </w:pPr>
            <w:r>
              <w:rPr>
                <w:rFonts w:ascii="Avenir Next Regular" w:hAnsi="Avenir Next Regular" w:cs="Calibri"/>
                <w:color w:val="000000" w:themeColor="text1"/>
                <w:sz w:val="16"/>
                <w:szCs w:val="16"/>
              </w:rPr>
              <w:t> </w:t>
            </w:r>
          </w:p>
        </w:tc>
      </w:tr>
      <w:tr w:rsidR="009F3374" w14:paraId="7807040C" w14:textId="77777777" w:rsidTr="009F3374">
        <w:trPr>
          <w:trHeight w:val="58"/>
        </w:trPr>
        <w:tc>
          <w:tcPr>
            <w:tcW w:w="1966" w:type="pct"/>
            <w:tcBorders>
              <w:top w:val="nil"/>
              <w:left w:val="single" w:sz="4" w:space="0" w:color="auto"/>
              <w:bottom w:val="single" w:sz="4" w:space="0" w:color="auto"/>
              <w:right w:val="single" w:sz="4" w:space="0" w:color="auto"/>
            </w:tcBorders>
            <w:noWrap/>
            <w:vAlign w:val="bottom"/>
            <w:hideMark/>
          </w:tcPr>
          <w:p w14:paraId="192375CE"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006B1DCE"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286323A1" w14:textId="77777777" w:rsidR="00601D9B" w:rsidRDefault="000E53A0">
            <w:pPr>
              <w:rPr>
                <w:rFonts w:ascii="Avenir Next Regular" w:hAnsi="Avenir Next Regular" w:cs="Calibri"/>
                <w:iCs/>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iCs/>
                <w:color w:val="000000" w:themeColor="text1"/>
                <w:sz w:val="16"/>
                <w:szCs w:val="16"/>
              </w:rPr>
              <w:t>Polluants organiques persistants</w:t>
            </w:r>
          </w:p>
        </w:tc>
        <w:tc>
          <w:tcPr>
            <w:tcW w:w="1080" w:type="pct"/>
            <w:tcBorders>
              <w:top w:val="nil"/>
              <w:left w:val="nil"/>
              <w:bottom w:val="single" w:sz="4" w:space="0" w:color="auto"/>
              <w:right w:val="single" w:sz="4" w:space="0" w:color="auto"/>
            </w:tcBorders>
            <w:hideMark/>
          </w:tcPr>
          <w:p w14:paraId="7E5AAF60" w14:textId="77777777" w:rsidR="009F3374" w:rsidRDefault="009F3374">
            <w:pPr>
              <w:rPr>
                <w:rFonts w:ascii="Avenir Next Regular" w:hAnsi="Avenir Next Regular" w:cs="Calibri"/>
                <w:color w:val="000000" w:themeColor="text1"/>
                <w:sz w:val="16"/>
                <w:szCs w:val="16"/>
              </w:rPr>
            </w:pPr>
            <w:r>
              <w:rPr>
                <w:rFonts w:ascii="Avenir Next Regular" w:hAnsi="Avenir Next Regular" w:cs="Calibri"/>
                <w:color w:val="000000" w:themeColor="text1"/>
                <w:sz w:val="16"/>
                <w:szCs w:val="16"/>
              </w:rPr>
              <w:t> </w:t>
            </w:r>
          </w:p>
        </w:tc>
      </w:tr>
      <w:tr w:rsidR="009F3374" w:rsidRPr="000E53A0" w14:paraId="3338EF76" w14:textId="77777777" w:rsidTr="009F3374">
        <w:trPr>
          <w:trHeight w:val="125"/>
        </w:trPr>
        <w:tc>
          <w:tcPr>
            <w:tcW w:w="1966" w:type="pct"/>
            <w:tcBorders>
              <w:top w:val="nil"/>
              <w:left w:val="single" w:sz="4" w:space="0" w:color="auto"/>
              <w:bottom w:val="single" w:sz="4" w:space="0" w:color="auto"/>
              <w:right w:val="single" w:sz="4" w:space="0" w:color="auto"/>
            </w:tcBorders>
            <w:noWrap/>
            <w:vAlign w:val="bottom"/>
            <w:hideMark/>
          </w:tcPr>
          <w:p w14:paraId="403346DB"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0A321B33"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3F4A2CA0" w14:textId="77777777" w:rsidR="00601D9B" w:rsidRPr="000E53A0" w:rsidRDefault="000E53A0">
            <w:pPr>
              <w:ind w:left="150" w:hanging="150"/>
              <w:rPr>
                <w:rFonts w:ascii="Avenir Next Regular" w:hAnsi="Avenir Next Regular" w:cs="Calibri"/>
                <w:iCs/>
                <w:color w:val="000000" w:themeColor="text1"/>
                <w:sz w:val="16"/>
                <w:szCs w:val="16"/>
                <w:lang w:val="fr-FR"/>
              </w:rPr>
            </w:pPr>
            <w:r>
              <w:rPr>
                <w:color w:val="000000" w:themeColor="text1"/>
                <w:sz w:val="16"/>
                <w:szCs w:val="16"/>
              </w:rPr>
              <w:fldChar w:fldCharType="begin">
                <w:ffData>
                  <w:name w:val="IAP_cities"/>
                  <w:enabled/>
                  <w:calcOnExit w:val="0"/>
                  <w:checkBox>
                    <w:sizeAuto/>
                    <w:default w:val="0"/>
                  </w:checkBox>
                </w:ffData>
              </w:fldChar>
            </w:r>
            <w:r w:rsidRPr="000E53A0">
              <w:rPr>
                <w:color w:val="000000" w:themeColor="text1"/>
                <w:sz w:val="16"/>
                <w:szCs w:val="16"/>
                <w:lang w:val="fr-FR"/>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sidRPr="000E53A0">
              <w:rPr>
                <w:rFonts w:ascii="Avenir Next Regular" w:hAnsi="Avenir Next Regular" w:cs="Calibri"/>
                <w:iCs/>
                <w:color w:val="000000" w:themeColor="text1"/>
                <w:sz w:val="16"/>
                <w:szCs w:val="16"/>
                <w:lang w:val="fr-FR"/>
              </w:rPr>
              <w:t>Polluants organiques persistants non intentionnels</w:t>
            </w:r>
          </w:p>
        </w:tc>
        <w:tc>
          <w:tcPr>
            <w:tcW w:w="1080" w:type="pct"/>
            <w:tcBorders>
              <w:top w:val="nil"/>
              <w:left w:val="nil"/>
              <w:bottom w:val="single" w:sz="4" w:space="0" w:color="auto"/>
              <w:right w:val="single" w:sz="4" w:space="0" w:color="auto"/>
            </w:tcBorders>
            <w:hideMark/>
          </w:tcPr>
          <w:p w14:paraId="1B9EB957" w14:textId="77777777" w:rsidR="009F3374" w:rsidRPr="000E53A0" w:rsidRDefault="009F3374">
            <w:pPr>
              <w:rPr>
                <w:rFonts w:ascii="Avenir Next Regular" w:hAnsi="Avenir Next Regular" w:cs="Calibri"/>
                <w:color w:val="000000" w:themeColor="text1"/>
                <w:sz w:val="16"/>
                <w:szCs w:val="16"/>
                <w:lang w:val="fr-FR"/>
              </w:rPr>
            </w:pPr>
            <w:r w:rsidRPr="000E53A0">
              <w:rPr>
                <w:rFonts w:ascii="Avenir Next Regular" w:hAnsi="Avenir Next Regular" w:cs="Calibri"/>
                <w:color w:val="000000" w:themeColor="text1"/>
                <w:sz w:val="16"/>
                <w:szCs w:val="16"/>
                <w:lang w:val="fr-FR"/>
              </w:rPr>
              <w:t> </w:t>
            </w:r>
          </w:p>
        </w:tc>
      </w:tr>
      <w:tr w:rsidR="009F3374" w:rsidRPr="000E53A0" w14:paraId="142658B9" w14:textId="77777777" w:rsidTr="009F3374">
        <w:trPr>
          <w:trHeight w:val="58"/>
        </w:trPr>
        <w:tc>
          <w:tcPr>
            <w:tcW w:w="1966" w:type="pct"/>
            <w:tcBorders>
              <w:top w:val="nil"/>
              <w:left w:val="single" w:sz="4" w:space="0" w:color="auto"/>
              <w:bottom w:val="single" w:sz="4" w:space="0" w:color="auto"/>
              <w:right w:val="single" w:sz="4" w:space="0" w:color="auto"/>
            </w:tcBorders>
            <w:noWrap/>
            <w:vAlign w:val="bottom"/>
            <w:hideMark/>
          </w:tcPr>
          <w:p w14:paraId="2A4745D4" w14:textId="77777777" w:rsidR="009F3374" w:rsidRPr="000E53A0" w:rsidRDefault="009F3374">
            <w:pPr>
              <w:rPr>
                <w:rFonts w:ascii="Avenir Next Regular" w:hAnsi="Avenir Next Regular" w:cs="Calibri"/>
                <w:b/>
                <w:bCs/>
                <w:color w:val="000000" w:themeColor="text1"/>
                <w:sz w:val="16"/>
                <w:szCs w:val="16"/>
                <w:lang w:val="fr-FR"/>
              </w:rPr>
            </w:pPr>
            <w:r w:rsidRPr="000E53A0">
              <w:rPr>
                <w:rFonts w:ascii="Avenir Next Regular" w:hAnsi="Avenir Next Regular" w:cs="Calibri"/>
                <w:b/>
                <w:bCs/>
                <w:color w:val="000000" w:themeColor="text1"/>
                <w:sz w:val="16"/>
                <w:szCs w:val="16"/>
                <w:lang w:val="fr-FR"/>
              </w:rPr>
              <w:lastRenderedPageBreak/>
              <w:t> </w:t>
            </w:r>
          </w:p>
        </w:tc>
        <w:tc>
          <w:tcPr>
            <w:tcW w:w="825" w:type="pct"/>
            <w:tcBorders>
              <w:top w:val="nil"/>
              <w:left w:val="nil"/>
              <w:bottom w:val="single" w:sz="4" w:space="0" w:color="auto"/>
              <w:right w:val="single" w:sz="4" w:space="0" w:color="auto"/>
            </w:tcBorders>
            <w:hideMark/>
          </w:tcPr>
          <w:p w14:paraId="0B4EA631" w14:textId="77777777" w:rsidR="009F3374" w:rsidRPr="000E53A0" w:rsidRDefault="009F3374">
            <w:pPr>
              <w:rPr>
                <w:rFonts w:ascii="Avenir Next Regular" w:hAnsi="Avenir Next Regular" w:cs="Calibri"/>
                <w:b/>
                <w:bCs/>
                <w:color w:val="000000" w:themeColor="text1"/>
                <w:sz w:val="16"/>
                <w:szCs w:val="16"/>
                <w:lang w:val="fr-FR"/>
              </w:rPr>
            </w:pPr>
            <w:r w:rsidRPr="000E53A0">
              <w:rPr>
                <w:rFonts w:ascii="Avenir Next Regular" w:hAnsi="Avenir Next Regular" w:cs="Calibri"/>
                <w:b/>
                <w:bCs/>
                <w:color w:val="000000" w:themeColor="text1"/>
                <w:sz w:val="16"/>
                <w:szCs w:val="16"/>
                <w:lang w:val="fr-FR"/>
              </w:rPr>
              <w:t> </w:t>
            </w:r>
          </w:p>
        </w:tc>
        <w:tc>
          <w:tcPr>
            <w:tcW w:w="1129" w:type="pct"/>
            <w:tcBorders>
              <w:top w:val="nil"/>
              <w:left w:val="nil"/>
              <w:bottom w:val="single" w:sz="4" w:space="0" w:color="auto"/>
              <w:right w:val="single" w:sz="4" w:space="0" w:color="auto"/>
            </w:tcBorders>
            <w:hideMark/>
          </w:tcPr>
          <w:p w14:paraId="634A66E9" w14:textId="77777777" w:rsidR="00601D9B" w:rsidRPr="000E53A0" w:rsidRDefault="000E53A0">
            <w:pPr>
              <w:ind w:left="150" w:hanging="150"/>
              <w:rPr>
                <w:rFonts w:ascii="Avenir Next Regular" w:hAnsi="Avenir Next Regular" w:cs="Calibri"/>
                <w:iCs/>
                <w:color w:val="000000" w:themeColor="text1"/>
                <w:sz w:val="16"/>
                <w:szCs w:val="16"/>
                <w:lang w:val="fr-FR"/>
              </w:rPr>
            </w:pPr>
            <w:r>
              <w:rPr>
                <w:color w:val="000000" w:themeColor="text1"/>
                <w:sz w:val="16"/>
                <w:szCs w:val="16"/>
              </w:rPr>
              <w:fldChar w:fldCharType="begin">
                <w:ffData>
                  <w:name w:val="IAP_cities"/>
                  <w:enabled/>
                  <w:calcOnExit w:val="0"/>
                  <w:checkBox>
                    <w:sizeAuto/>
                    <w:default w:val="0"/>
                  </w:checkBox>
                </w:ffData>
              </w:fldChar>
            </w:r>
            <w:r w:rsidRPr="000E53A0">
              <w:rPr>
                <w:color w:val="000000" w:themeColor="text1"/>
                <w:sz w:val="16"/>
                <w:szCs w:val="16"/>
                <w:lang w:val="fr-FR"/>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sidRPr="000E53A0">
              <w:rPr>
                <w:rFonts w:ascii="Avenir Next Regular" w:hAnsi="Avenir Next Regular" w:cs="Calibri"/>
                <w:iCs/>
                <w:color w:val="000000" w:themeColor="text1"/>
                <w:sz w:val="16"/>
                <w:szCs w:val="16"/>
                <w:lang w:val="fr-FR"/>
              </w:rPr>
              <w:t>Gestion saine des produits chimiques et des déchets</w:t>
            </w:r>
          </w:p>
        </w:tc>
        <w:tc>
          <w:tcPr>
            <w:tcW w:w="1080" w:type="pct"/>
            <w:tcBorders>
              <w:top w:val="nil"/>
              <w:left w:val="nil"/>
              <w:bottom w:val="single" w:sz="4" w:space="0" w:color="auto"/>
              <w:right w:val="single" w:sz="4" w:space="0" w:color="auto"/>
            </w:tcBorders>
            <w:hideMark/>
          </w:tcPr>
          <w:p w14:paraId="385AF2EE" w14:textId="77777777" w:rsidR="009F3374" w:rsidRPr="000E53A0" w:rsidRDefault="009F3374">
            <w:pPr>
              <w:rPr>
                <w:rFonts w:ascii="Avenir Next Regular" w:hAnsi="Avenir Next Regular" w:cs="Calibri"/>
                <w:color w:val="000000" w:themeColor="text1"/>
                <w:sz w:val="16"/>
                <w:szCs w:val="16"/>
                <w:lang w:val="fr-FR"/>
              </w:rPr>
            </w:pPr>
            <w:r w:rsidRPr="000E53A0">
              <w:rPr>
                <w:rFonts w:ascii="Avenir Next Regular" w:hAnsi="Avenir Next Regular" w:cs="Calibri"/>
                <w:color w:val="000000" w:themeColor="text1"/>
                <w:sz w:val="16"/>
                <w:szCs w:val="16"/>
                <w:lang w:val="fr-FR"/>
              </w:rPr>
              <w:t> </w:t>
            </w:r>
          </w:p>
        </w:tc>
      </w:tr>
      <w:tr w:rsidR="009F3374" w14:paraId="503B593C" w14:textId="77777777" w:rsidTr="009F3374">
        <w:trPr>
          <w:trHeight w:val="58"/>
        </w:trPr>
        <w:tc>
          <w:tcPr>
            <w:tcW w:w="1966" w:type="pct"/>
            <w:tcBorders>
              <w:top w:val="nil"/>
              <w:left w:val="single" w:sz="4" w:space="0" w:color="auto"/>
              <w:bottom w:val="single" w:sz="4" w:space="0" w:color="auto"/>
              <w:right w:val="single" w:sz="4" w:space="0" w:color="auto"/>
            </w:tcBorders>
            <w:noWrap/>
            <w:vAlign w:val="bottom"/>
            <w:hideMark/>
          </w:tcPr>
          <w:p w14:paraId="1E2676E5" w14:textId="77777777" w:rsidR="009F3374" w:rsidRPr="000E53A0" w:rsidRDefault="009F3374">
            <w:pPr>
              <w:rPr>
                <w:rFonts w:ascii="Avenir Next Regular" w:hAnsi="Avenir Next Regular" w:cs="Calibri"/>
                <w:b/>
                <w:bCs/>
                <w:color w:val="000000" w:themeColor="text1"/>
                <w:sz w:val="16"/>
                <w:szCs w:val="16"/>
                <w:lang w:val="fr-FR"/>
              </w:rPr>
            </w:pPr>
            <w:r w:rsidRPr="000E53A0">
              <w:rPr>
                <w:rFonts w:ascii="Avenir Next Regular" w:hAnsi="Avenir Next Regular" w:cs="Calibri"/>
                <w:b/>
                <w:bCs/>
                <w:color w:val="000000" w:themeColor="text1"/>
                <w:sz w:val="16"/>
                <w:szCs w:val="16"/>
                <w:lang w:val="fr-FR"/>
              </w:rPr>
              <w:t> </w:t>
            </w:r>
          </w:p>
        </w:tc>
        <w:tc>
          <w:tcPr>
            <w:tcW w:w="825" w:type="pct"/>
            <w:tcBorders>
              <w:top w:val="nil"/>
              <w:left w:val="nil"/>
              <w:bottom w:val="single" w:sz="4" w:space="0" w:color="auto"/>
              <w:right w:val="single" w:sz="4" w:space="0" w:color="auto"/>
            </w:tcBorders>
            <w:vAlign w:val="bottom"/>
            <w:hideMark/>
          </w:tcPr>
          <w:p w14:paraId="44ABDFD2" w14:textId="77777777" w:rsidR="009F3374" w:rsidRPr="000E53A0" w:rsidRDefault="009F3374">
            <w:pPr>
              <w:rPr>
                <w:rFonts w:ascii="Avenir Next Regular" w:hAnsi="Avenir Next Regular" w:cs="Calibri"/>
                <w:b/>
                <w:bCs/>
                <w:color w:val="000000" w:themeColor="text1"/>
                <w:sz w:val="16"/>
                <w:szCs w:val="16"/>
                <w:lang w:val="fr-FR"/>
              </w:rPr>
            </w:pPr>
            <w:r w:rsidRPr="000E53A0">
              <w:rPr>
                <w:rFonts w:ascii="Avenir Next Regular" w:hAnsi="Avenir Next Regular" w:cs="Calibri"/>
                <w:b/>
                <w:bCs/>
                <w:color w:val="000000" w:themeColor="text1"/>
                <w:sz w:val="16"/>
                <w:szCs w:val="16"/>
                <w:lang w:val="fr-FR"/>
              </w:rPr>
              <w:t> </w:t>
            </w:r>
          </w:p>
        </w:tc>
        <w:tc>
          <w:tcPr>
            <w:tcW w:w="1129" w:type="pct"/>
            <w:tcBorders>
              <w:top w:val="nil"/>
              <w:left w:val="nil"/>
              <w:bottom w:val="single" w:sz="4" w:space="0" w:color="auto"/>
              <w:right w:val="single" w:sz="4" w:space="0" w:color="auto"/>
            </w:tcBorders>
            <w:hideMark/>
          </w:tcPr>
          <w:p w14:paraId="10B650B6" w14:textId="77777777" w:rsidR="00601D9B" w:rsidRDefault="000E53A0">
            <w:pPr>
              <w:rPr>
                <w:rFonts w:ascii="Avenir Next Regular" w:hAnsi="Avenir Next Regular" w:cs="Calibri"/>
                <w:iCs/>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iCs/>
                <w:color w:val="000000" w:themeColor="text1"/>
                <w:sz w:val="16"/>
                <w:szCs w:val="16"/>
              </w:rPr>
              <w:t>Gestion des déchets</w:t>
            </w:r>
          </w:p>
        </w:tc>
        <w:tc>
          <w:tcPr>
            <w:tcW w:w="1080" w:type="pct"/>
            <w:tcBorders>
              <w:top w:val="nil"/>
              <w:left w:val="nil"/>
              <w:bottom w:val="single" w:sz="4" w:space="0" w:color="auto"/>
              <w:right w:val="single" w:sz="4" w:space="0" w:color="auto"/>
            </w:tcBorders>
            <w:hideMark/>
          </w:tcPr>
          <w:p w14:paraId="3D430C4A" w14:textId="77777777" w:rsidR="009F3374" w:rsidRDefault="009F3374">
            <w:pPr>
              <w:rPr>
                <w:rFonts w:ascii="Avenir Next Regular" w:hAnsi="Avenir Next Regular" w:cs="Calibri"/>
                <w:color w:val="000000" w:themeColor="text1"/>
                <w:sz w:val="16"/>
                <w:szCs w:val="16"/>
              </w:rPr>
            </w:pPr>
            <w:r>
              <w:rPr>
                <w:rFonts w:ascii="Avenir Next Regular" w:hAnsi="Avenir Next Regular" w:cs="Calibri"/>
                <w:color w:val="000000" w:themeColor="text1"/>
                <w:sz w:val="16"/>
                <w:szCs w:val="16"/>
              </w:rPr>
              <w:t> </w:t>
            </w:r>
          </w:p>
        </w:tc>
      </w:tr>
      <w:tr w:rsidR="009F3374" w14:paraId="0A0D7DA7" w14:textId="77777777" w:rsidTr="009F3374">
        <w:trPr>
          <w:trHeight w:val="58"/>
        </w:trPr>
        <w:tc>
          <w:tcPr>
            <w:tcW w:w="1966" w:type="pct"/>
            <w:tcBorders>
              <w:top w:val="nil"/>
              <w:left w:val="single" w:sz="4" w:space="0" w:color="auto"/>
              <w:bottom w:val="single" w:sz="4" w:space="0" w:color="auto"/>
              <w:right w:val="single" w:sz="4" w:space="0" w:color="auto"/>
            </w:tcBorders>
            <w:noWrap/>
            <w:vAlign w:val="bottom"/>
            <w:hideMark/>
          </w:tcPr>
          <w:p w14:paraId="0FDB3149"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66FE72DE"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4A899513" w14:textId="77777777" w:rsidR="009F3374" w:rsidRDefault="009F3374">
            <w:pPr>
              <w:rPr>
                <w:rFonts w:ascii="Avenir Next Regular" w:hAnsi="Avenir Next Regular" w:cs="Calibri"/>
                <w:iCs/>
                <w:color w:val="000000" w:themeColor="text1"/>
                <w:sz w:val="16"/>
                <w:szCs w:val="16"/>
              </w:rPr>
            </w:pPr>
            <w:r>
              <w:rPr>
                <w:rFonts w:ascii="Avenir Next Regular" w:hAnsi="Avenir Next Regular" w:cs="Calibri"/>
                <w:iCs/>
                <w:color w:val="000000" w:themeColor="text1"/>
                <w:sz w:val="16"/>
                <w:szCs w:val="16"/>
              </w:rPr>
              <w:t> </w:t>
            </w:r>
          </w:p>
        </w:tc>
        <w:tc>
          <w:tcPr>
            <w:tcW w:w="1080" w:type="pct"/>
            <w:tcBorders>
              <w:top w:val="nil"/>
              <w:left w:val="nil"/>
              <w:bottom w:val="single" w:sz="4" w:space="0" w:color="auto"/>
              <w:right w:val="single" w:sz="4" w:space="0" w:color="auto"/>
            </w:tcBorders>
            <w:hideMark/>
          </w:tcPr>
          <w:p w14:paraId="1B28DF5C" w14:textId="77777777" w:rsidR="00601D9B" w:rsidRDefault="000E53A0">
            <w:pPr>
              <w:rPr>
                <w:rFonts w:ascii="Avenir Next Regular" w:hAnsi="Avenir Next Regular" w:cs="Calibri"/>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color w:val="000000" w:themeColor="text1"/>
                <w:sz w:val="16"/>
                <w:szCs w:val="16"/>
              </w:rPr>
              <w:t>Gestion des déchets dangereux</w:t>
            </w:r>
          </w:p>
        </w:tc>
      </w:tr>
      <w:tr w:rsidR="009F3374" w14:paraId="6E206DBD" w14:textId="77777777" w:rsidTr="009F3374">
        <w:trPr>
          <w:trHeight w:val="58"/>
        </w:trPr>
        <w:tc>
          <w:tcPr>
            <w:tcW w:w="1966" w:type="pct"/>
            <w:tcBorders>
              <w:top w:val="nil"/>
              <w:left w:val="single" w:sz="4" w:space="0" w:color="auto"/>
              <w:bottom w:val="single" w:sz="4" w:space="0" w:color="auto"/>
              <w:right w:val="single" w:sz="4" w:space="0" w:color="auto"/>
            </w:tcBorders>
            <w:noWrap/>
            <w:vAlign w:val="bottom"/>
            <w:hideMark/>
          </w:tcPr>
          <w:p w14:paraId="429A301B"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30345DBE"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63FD0502" w14:textId="77777777" w:rsidR="009F3374" w:rsidRDefault="009F3374">
            <w:pPr>
              <w:rPr>
                <w:rFonts w:ascii="Avenir Next Regular" w:hAnsi="Avenir Next Regular" w:cs="Calibri"/>
                <w:iCs/>
                <w:color w:val="000000" w:themeColor="text1"/>
                <w:sz w:val="16"/>
                <w:szCs w:val="16"/>
              </w:rPr>
            </w:pPr>
            <w:r>
              <w:rPr>
                <w:rFonts w:ascii="Avenir Next Regular" w:hAnsi="Avenir Next Regular" w:cs="Calibri"/>
                <w:iCs/>
                <w:color w:val="000000" w:themeColor="text1"/>
                <w:sz w:val="16"/>
                <w:szCs w:val="16"/>
              </w:rPr>
              <w:t> </w:t>
            </w:r>
          </w:p>
        </w:tc>
        <w:tc>
          <w:tcPr>
            <w:tcW w:w="1080" w:type="pct"/>
            <w:tcBorders>
              <w:top w:val="nil"/>
              <w:left w:val="nil"/>
              <w:bottom w:val="single" w:sz="4" w:space="0" w:color="auto"/>
              <w:right w:val="single" w:sz="4" w:space="0" w:color="auto"/>
            </w:tcBorders>
            <w:hideMark/>
          </w:tcPr>
          <w:p w14:paraId="7CB60666" w14:textId="77777777" w:rsidR="00601D9B" w:rsidRDefault="000E53A0">
            <w:pPr>
              <w:rPr>
                <w:rFonts w:ascii="Avenir Next Regular" w:hAnsi="Avenir Next Regular" w:cs="Calibri"/>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color w:val="000000" w:themeColor="text1"/>
                <w:sz w:val="16"/>
                <w:szCs w:val="16"/>
              </w:rPr>
              <w:t>Déchets industriels</w:t>
            </w:r>
          </w:p>
        </w:tc>
      </w:tr>
      <w:tr w:rsidR="009F3374" w14:paraId="00B25E16" w14:textId="77777777" w:rsidTr="009F3374">
        <w:trPr>
          <w:trHeight w:val="58"/>
        </w:trPr>
        <w:tc>
          <w:tcPr>
            <w:tcW w:w="1966" w:type="pct"/>
            <w:tcBorders>
              <w:top w:val="nil"/>
              <w:left w:val="single" w:sz="4" w:space="0" w:color="auto"/>
              <w:bottom w:val="single" w:sz="4" w:space="0" w:color="auto"/>
              <w:right w:val="single" w:sz="4" w:space="0" w:color="auto"/>
            </w:tcBorders>
            <w:noWrap/>
            <w:vAlign w:val="bottom"/>
            <w:hideMark/>
          </w:tcPr>
          <w:p w14:paraId="6D1EE112"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54AD61A7"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1A883616" w14:textId="77777777" w:rsidR="009F3374" w:rsidRDefault="009F3374">
            <w:pPr>
              <w:rPr>
                <w:rFonts w:ascii="Avenir Next Regular" w:hAnsi="Avenir Next Regular" w:cs="Calibri"/>
                <w:iCs/>
                <w:color w:val="000000" w:themeColor="text1"/>
                <w:sz w:val="16"/>
                <w:szCs w:val="16"/>
              </w:rPr>
            </w:pPr>
            <w:r>
              <w:rPr>
                <w:rFonts w:ascii="Avenir Next Regular" w:hAnsi="Avenir Next Regular" w:cs="Calibri"/>
                <w:iCs/>
                <w:color w:val="000000" w:themeColor="text1"/>
                <w:sz w:val="16"/>
                <w:szCs w:val="16"/>
              </w:rPr>
              <w:t> </w:t>
            </w:r>
          </w:p>
        </w:tc>
        <w:tc>
          <w:tcPr>
            <w:tcW w:w="1080" w:type="pct"/>
            <w:tcBorders>
              <w:top w:val="nil"/>
              <w:left w:val="nil"/>
              <w:bottom w:val="single" w:sz="4" w:space="0" w:color="auto"/>
              <w:right w:val="single" w:sz="4" w:space="0" w:color="auto"/>
            </w:tcBorders>
            <w:hideMark/>
          </w:tcPr>
          <w:p w14:paraId="768FAB7A" w14:textId="77777777" w:rsidR="00601D9B" w:rsidRDefault="000E53A0">
            <w:pPr>
              <w:rPr>
                <w:rFonts w:ascii="Avenir Next Regular" w:hAnsi="Avenir Next Regular" w:cs="Calibri"/>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color w:val="000000" w:themeColor="text1"/>
                <w:sz w:val="16"/>
                <w:szCs w:val="16"/>
              </w:rPr>
              <w:t>Déchets électroniques</w:t>
            </w:r>
          </w:p>
        </w:tc>
      </w:tr>
      <w:tr w:rsidR="009F3374" w14:paraId="3601667D" w14:textId="77777777" w:rsidTr="009F3374">
        <w:trPr>
          <w:trHeight w:val="58"/>
        </w:trPr>
        <w:tc>
          <w:tcPr>
            <w:tcW w:w="1966" w:type="pct"/>
            <w:tcBorders>
              <w:top w:val="nil"/>
              <w:left w:val="single" w:sz="4" w:space="0" w:color="auto"/>
              <w:bottom w:val="single" w:sz="4" w:space="0" w:color="auto"/>
              <w:right w:val="single" w:sz="4" w:space="0" w:color="auto"/>
            </w:tcBorders>
            <w:noWrap/>
            <w:vAlign w:val="bottom"/>
            <w:hideMark/>
          </w:tcPr>
          <w:p w14:paraId="55D021B8"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2CAA84BC"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24B2ED07" w14:textId="77777777" w:rsidR="00601D9B" w:rsidRDefault="000E53A0">
            <w:pPr>
              <w:rPr>
                <w:rFonts w:ascii="Avenir Next Regular" w:hAnsi="Avenir Next Regular" w:cs="Calibri"/>
                <w:iCs/>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iCs/>
                <w:color w:val="000000" w:themeColor="text1"/>
                <w:sz w:val="16"/>
                <w:szCs w:val="16"/>
              </w:rPr>
              <w:t>Émissions</w:t>
            </w:r>
          </w:p>
        </w:tc>
        <w:tc>
          <w:tcPr>
            <w:tcW w:w="1080" w:type="pct"/>
            <w:tcBorders>
              <w:top w:val="nil"/>
              <w:left w:val="nil"/>
              <w:bottom w:val="single" w:sz="4" w:space="0" w:color="auto"/>
              <w:right w:val="single" w:sz="4" w:space="0" w:color="auto"/>
            </w:tcBorders>
            <w:hideMark/>
          </w:tcPr>
          <w:p w14:paraId="7F3BD904" w14:textId="77777777" w:rsidR="009F3374" w:rsidRDefault="009F3374">
            <w:pPr>
              <w:rPr>
                <w:rFonts w:ascii="Avenir Next Regular" w:hAnsi="Avenir Next Regular" w:cs="Calibri"/>
                <w:color w:val="000000" w:themeColor="text1"/>
                <w:sz w:val="16"/>
                <w:szCs w:val="16"/>
              </w:rPr>
            </w:pPr>
            <w:r>
              <w:rPr>
                <w:rFonts w:ascii="Avenir Next Regular" w:hAnsi="Avenir Next Regular" w:cs="Calibri"/>
                <w:color w:val="000000" w:themeColor="text1"/>
                <w:sz w:val="16"/>
                <w:szCs w:val="16"/>
              </w:rPr>
              <w:t> </w:t>
            </w:r>
          </w:p>
        </w:tc>
      </w:tr>
      <w:tr w:rsidR="009F3374" w14:paraId="5E66CC40" w14:textId="77777777" w:rsidTr="009F3374">
        <w:trPr>
          <w:trHeight w:val="58"/>
        </w:trPr>
        <w:tc>
          <w:tcPr>
            <w:tcW w:w="1966" w:type="pct"/>
            <w:tcBorders>
              <w:top w:val="nil"/>
              <w:left w:val="single" w:sz="4" w:space="0" w:color="auto"/>
              <w:bottom w:val="single" w:sz="4" w:space="0" w:color="auto"/>
              <w:right w:val="single" w:sz="4" w:space="0" w:color="auto"/>
            </w:tcBorders>
            <w:noWrap/>
            <w:vAlign w:val="bottom"/>
            <w:hideMark/>
          </w:tcPr>
          <w:p w14:paraId="6EC5A2F2"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2F092071"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0C2E52B7" w14:textId="77777777" w:rsidR="00601D9B" w:rsidRDefault="000E53A0">
            <w:pPr>
              <w:rPr>
                <w:rFonts w:ascii="Avenir Next Regular" w:hAnsi="Avenir Next Regular" w:cs="Calibri"/>
                <w:iCs/>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iCs/>
                <w:color w:val="000000" w:themeColor="text1"/>
                <w:sz w:val="16"/>
                <w:szCs w:val="16"/>
              </w:rPr>
              <w:t>Élimination</w:t>
            </w:r>
          </w:p>
        </w:tc>
        <w:tc>
          <w:tcPr>
            <w:tcW w:w="1080" w:type="pct"/>
            <w:tcBorders>
              <w:top w:val="nil"/>
              <w:left w:val="nil"/>
              <w:bottom w:val="single" w:sz="4" w:space="0" w:color="auto"/>
              <w:right w:val="single" w:sz="4" w:space="0" w:color="auto"/>
            </w:tcBorders>
            <w:hideMark/>
          </w:tcPr>
          <w:p w14:paraId="6827EAC7" w14:textId="77777777" w:rsidR="009F3374" w:rsidRDefault="009F3374">
            <w:pPr>
              <w:rPr>
                <w:rFonts w:ascii="Avenir Next Regular" w:hAnsi="Avenir Next Regular" w:cs="Calibri"/>
                <w:color w:val="000000" w:themeColor="text1"/>
                <w:sz w:val="16"/>
                <w:szCs w:val="16"/>
              </w:rPr>
            </w:pPr>
            <w:r>
              <w:rPr>
                <w:rFonts w:ascii="Avenir Next Regular" w:hAnsi="Avenir Next Regular" w:cs="Calibri"/>
                <w:color w:val="000000" w:themeColor="text1"/>
                <w:sz w:val="16"/>
                <w:szCs w:val="16"/>
              </w:rPr>
              <w:t> </w:t>
            </w:r>
          </w:p>
        </w:tc>
      </w:tr>
      <w:tr w:rsidR="009F3374" w14:paraId="57FD49DF" w14:textId="77777777" w:rsidTr="009F3374">
        <w:trPr>
          <w:trHeight w:val="58"/>
        </w:trPr>
        <w:tc>
          <w:tcPr>
            <w:tcW w:w="1966" w:type="pct"/>
            <w:tcBorders>
              <w:top w:val="nil"/>
              <w:left w:val="single" w:sz="4" w:space="0" w:color="auto"/>
              <w:bottom w:val="single" w:sz="4" w:space="0" w:color="auto"/>
              <w:right w:val="single" w:sz="4" w:space="0" w:color="auto"/>
            </w:tcBorders>
            <w:noWrap/>
            <w:vAlign w:val="bottom"/>
            <w:hideMark/>
          </w:tcPr>
          <w:p w14:paraId="28B6AC09"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02F2A79F"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321523C7" w14:textId="77777777" w:rsidR="00601D9B" w:rsidRDefault="000E53A0">
            <w:pPr>
              <w:ind w:left="150" w:hanging="150"/>
              <w:rPr>
                <w:rFonts w:ascii="Avenir Next Regular" w:hAnsi="Avenir Next Regular" w:cs="Calibri"/>
                <w:iCs/>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iCs/>
                <w:color w:val="000000" w:themeColor="text1"/>
                <w:sz w:val="16"/>
                <w:szCs w:val="16"/>
              </w:rPr>
              <w:t>Nouveaux polluants organiques persistants</w:t>
            </w:r>
          </w:p>
        </w:tc>
        <w:tc>
          <w:tcPr>
            <w:tcW w:w="1080" w:type="pct"/>
            <w:tcBorders>
              <w:top w:val="nil"/>
              <w:left w:val="nil"/>
              <w:bottom w:val="single" w:sz="4" w:space="0" w:color="auto"/>
              <w:right w:val="single" w:sz="4" w:space="0" w:color="auto"/>
            </w:tcBorders>
            <w:hideMark/>
          </w:tcPr>
          <w:p w14:paraId="700A58CB" w14:textId="77777777" w:rsidR="009F3374" w:rsidRDefault="009F3374">
            <w:pPr>
              <w:rPr>
                <w:rFonts w:ascii="Avenir Next Regular" w:hAnsi="Avenir Next Regular" w:cs="Calibri"/>
                <w:color w:val="000000" w:themeColor="text1"/>
                <w:sz w:val="16"/>
                <w:szCs w:val="16"/>
              </w:rPr>
            </w:pPr>
            <w:r>
              <w:rPr>
                <w:rFonts w:ascii="Avenir Next Regular" w:hAnsi="Avenir Next Regular" w:cs="Calibri"/>
                <w:color w:val="000000" w:themeColor="text1"/>
                <w:sz w:val="16"/>
                <w:szCs w:val="16"/>
              </w:rPr>
              <w:t> </w:t>
            </w:r>
          </w:p>
        </w:tc>
      </w:tr>
      <w:tr w:rsidR="009F3374" w14:paraId="261FD4E6" w14:textId="77777777" w:rsidTr="009F3374">
        <w:trPr>
          <w:trHeight w:val="58"/>
        </w:trPr>
        <w:tc>
          <w:tcPr>
            <w:tcW w:w="1966" w:type="pct"/>
            <w:tcBorders>
              <w:top w:val="nil"/>
              <w:left w:val="single" w:sz="4" w:space="0" w:color="auto"/>
              <w:bottom w:val="single" w:sz="4" w:space="0" w:color="auto"/>
              <w:right w:val="single" w:sz="4" w:space="0" w:color="auto"/>
            </w:tcBorders>
            <w:noWrap/>
            <w:vAlign w:val="bottom"/>
            <w:hideMark/>
          </w:tcPr>
          <w:p w14:paraId="2B07E008"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682A5B96"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3C086AAD" w14:textId="77777777" w:rsidR="00601D9B" w:rsidRDefault="000E53A0">
            <w:pPr>
              <w:rPr>
                <w:rFonts w:ascii="Avenir Next Regular" w:hAnsi="Avenir Next Regular" w:cs="Calibri"/>
                <w:iCs/>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iCs/>
                <w:color w:val="000000" w:themeColor="text1"/>
                <w:sz w:val="16"/>
                <w:szCs w:val="16"/>
              </w:rPr>
              <w:t>Biphényles polychlorés</w:t>
            </w:r>
          </w:p>
        </w:tc>
        <w:tc>
          <w:tcPr>
            <w:tcW w:w="1080" w:type="pct"/>
            <w:tcBorders>
              <w:top w:val="nil"/>
              <w:left w:val="nil"/>
              <w:bottom w:val="single" w:sz="4" w:space="0" w:color="auto"/>
              <w:right w:val="single" w:sz="4" w:space="0" w:color="auto"/>
            </w:tcBorders>
            <w:hideMark/>
          </w:tcPr>
          <w:p w14:paraId="29F138E1" w14:textId="77777777" w:rsidR="009F3374" w:rsidRDefault="009F3374">
            <w:pPr>
              <w:rPr>
                <w:rFonts w:ascii="Avenir Next Regular" w:hAnsi="Avenir Next Regular" w:cs="Calibri"/>
                <w:color w:val="000000" w:themeColor="text1"/>
                <w:sz w:val="16"/>
                <w:szCs w:val="16"/>
              </w:rPr>
            </w:pPr>
            <w:r>
              <w:rPr>
                <w:rFonts w:ascii="Avenir Next Regular" w:hAnsi="Avenir Next Regular" w:cs="Calibri"/>
                <w:color w:val="000000" w:themeColor="text1"/>
                <w:sz w:val="16"/>
                <w:szCs w:val="16"/>
              </w:rPr>
              <w:t> </w:t>
            </w:r>
          </w:p>
        </w:tc>
      </w:tr>
      <w:tr w:rsidR="009F3374" w14:paraId="60C7C0D7" w14:textId="77777777" w:rsidTr="009F3374">
        <w:trPr>
          <w:trHeight w:val="58"/>
        </w:trPr>
        <w:tc>
          <w:tcPr>
            <w:tcW w:w="1966" w:type="pct"/>
            <w:tcBorders>
              <w:top w:val="nil"/>
              <w:left w:val="single" w:sz="4" w:space="0" w:color="auto"/>
              <w:bottom w:val="single" w:sz="4" w:space="0" w:color="auto"/>
              <w:right w:val="single" w:sz="4" w:space="0" w:color="auto"/>
            </w:tcBorders>
            <w:noWrap/>
            <w:vAlign w:val="bottom"/>
            <w:hideMark/>
          </w:tcPr>
          <w:p w14:paraId="2E374822"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19D70C42"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69FDF386" w14:textId="77777777" w:rsidR="00601D9B" w:rsidRDefault="000E53A0">
            <w:pPr>
              <w:rPr>
                <w:rFonts w:ascii="Avenir Next Regular" w:hAnsi="Avenir Next Regular" w:cs="Calibri"/>
                <w:iCs/>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iCs/>
                <w:color w:val="000000" w:themeColor="text1"/>
                <w:sz w:val="16"/>
                <w:szCs w:val="16"/>
              </w:rPr>
              <w:t>Plastiques</w:t>
            </w:r>
          </w:p>
        </w:tc>
        <w:tc>
          <w:tcPr>
            <w:tcW w:w="1080" w:type="pct"/>
            <w:tcBorders>
              <w:top w:val="nil"/>
              <w:left w:val="nil"/>
              <w:bottom w:val="single" w:sz="4" w:space="0" w:color="auto"/>
              <w:right w:val="single" w:sz="4" w:space="0" w:color="auto"/>
            </w:tcBorders>
            <w:hideMark/>
          </w:tcPr>
          <w:p w14:paraId="4E745AAF" w14:textId="77777777" w:rsidR="009F3374" w:rsidRDefault="009F3374">
            <w:pPr>
              <w:rPr>
                <w:rFonts w:ascii="Avenir Next Regular" w:hAnsi="Avenir Next Regular" w:cs="Calibri"/>
                <w:color w:val="000000" w:themeColor="text1"/>
                <w:sz w:val="16"/>
                <w:szCs w:val="16"/>
              </w:rPr>
            </w:pPr>
            <w:r>
              <w:rPr>
                <w:rFonts w:ascii="Avenir Next Regular" w:hAnsi="Avenir Next Regular" w:cs="Calibri"/>
                <w:color w:val="000000" w:themeColor="text1"/>
                <w:sz w:val="16"/>
                <w:szCs w:val="16"/>
              </w:rPr>
              <w:t> </w:t>
            </w:r>
          </w:p>
        </w:tc>
      </w:tr>
      <w:tr w:rsidR="009F3374" w14:paraId="02F59ED9" w14:textId="77777777" w:rsidTr="009F3374">
        <w:trPr>
          <w:trHeight w:val="58"/>
        </w:trPr>
        <w:tc>
          <w:tcPr>
            <w:tcW w:w="1966" w:type="pct"/>
            <w:tcBorders>
              <w:top w:val="nil"/>
              <w:left w:val="single" w:sz="4" w:space="0" w:color="auto"/>
              <w:bottom w:val="single" w:sz="4" w:space="0" w:color="auto"/>
              <w:right w:val="single" w:sz="4" w:space="0" w:color="auto"/>
            </w:tcBorders>
            <w:noWrap/>
            <w:vAlign w:val="bottom"/>
            <w:hideMark/>
          </w:tcPr>
          <w:p w14:paraId="6A3DED11"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64BC93C5"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317DCA4E" w14:textId="77777777" w:rsidR="00601D9B" w:rsidRDefault="000E53A0">
            <w:pPr>
              <w:rPr>
                <w:rFonts w:ascii="Avenir Next Regular" w:hAnsi="Avenir Next Regular" w:cs="Calibri"/>
                <w:iCs/>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iCs/>
                <w:color w:val="000000" w:themeColor="text1"/>
                <w:sz w:val="16"/>
                <w:szCs w:val="16"/>
              </w:rPr>
              <w:t>Éco-efficacité</w:t>
            </w:r>
          </w:p>
        </w:tc>
        <w:tc>
          <w:tcPr>
            <w:tcW w:w="1080" w:type="pct"/>
            <w:tcBorders>
              <w:top w:val="nil"/>
              <w:left w:val="nil"/>
              <w:bottom w:val="single" w:sz="4" w:space="0" w:color="auto"/>
              <w:right w:val="single" w:sz="4" w:space="0" w:color="auto"/>
            </w:tcBorders>
            <w:hideMark/>
          </w:tcPr>
          <w:p w14:paraId="41C6CEBA" w14:textId="77777777" w:rsidR="009F3374" w:rsidRDefault="009F3374">
            <w:pPr>
              <w:rPr>
                <w:rFonts w:ascii="Avenir Next Regular" w:hAnsi="Avenir Next Regular" w:cs="Calibri"/>
                <w:color w:val="000000" w:themeColor="text1"/>
                <w:sz w:val="16"/>
                <w:szCs w:val="16"/>
              </w:rPr>
            </w:pPr>
            <w:r>
              <w:rPr>
                <w:rFonts w:ascii="Avenir Next Regular" w:hAnsi="Avenir Next Regular" w:cs="Calibri"/>
                <w:color w:val="000000" w:themeColor="text1"/>
                <w:sz w:val="16"/>
                <w:szCs w:val="16"/>
              </w:rPr>
              <w:t> </w:t>
            </w:r>
          </w:p>
        </w:tc>
      </w:tr>
      <w:tr w:rsidR="009F3374" w14:paraId="131BA860" w14:textId="77777777" w:rsidTr="009F3374">
        <w:trPr>
          <w:trHeight w:val="58"/>
        </w:trPr>
        <w:tc>
          <w:tcPr>
            <w:tcW w:w="1966" w:type="pct"/>
            <w:tcBorders>
              <w:top w:val="nil"/>
              <w:left w:val="single" w:sz="4" w:space="0" w:color="auto"/>
              <w:bottom w:val="single" w:sz="4" w:space="0" w:color="auto"/>
              <w:right w:val="single" w:sz="4" w:space="0" w:color="auto"/>
            </w:tcBorders>
            <w:noWrap/>
            <w:vAlign w:val="bottom"/>
            <w:hideMark/>
          </w:tcPr>
          <w:p w14:paraId="23DBA62D"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3C82E0CB"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03F6B16E" w14:textId="77777777" w:rsidR="00601D9B" w:rsidRDefault="000E53A0">
            <w:pPr>
              <w:rPr>
                <w:rFonts w:ascii="Avenir Next Regular" w:hAnsi="Avenir Next Regular" w:cs="Calibri"/>
                <w:iCs/>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iCs/>
                <w:color w:val="000000" w:themeColor="text1"/>
                <w:sz w:val="16"/>
                <w:szCs w:val="16"/>
              </w:rPr>
              <w:t>Pesticides</w:t>
            </w:r>
          </w:p>
        </w:tc>
        <w:tc>
          <w:tcPr>
            <w:tcW w:w="1080" w:type="pct"/>
            <w:tcBorders>
              <w:top w:val="nil"/>
              <w:left w:val="nil"/>
              <w:bottom w:val="single" w:sz="4" w:space="0" w:color="auto"/>
              <w:right w:val="single" w:sz="4" w:space="0" w:color="auto"/>
            </w:tcBorders>
            <w:hideMark/>
          </w:tcPr>
          <w:p w14:paraId="2A0168BB" w14:textId="77777777" w:rsidR="009F3374" w:rsidRDefault="009F3374">
            <w:pPr>
              <w:rPr>
                <w:rFonts w:ascii="Avenir Next Regular" w:hAnsi="Avenir Next Regular" w:cs="Calibri"/>
                <w:color w:val="000000" w:themeColor="text1"/>
                <w:sz w:val="16"/>
                <w:szCs w:val="16"/>
              </w:rPr>
            </w:pPr>
            <w:r>
              <w:rPr>
                <w:rFonts w:ascii="Avenir Next Regular" w:hAnsi="Avenir Next Regular" w:cs="Calibri"/>
                <w:color w:val="000000" w:themeColor="text1"/>
                <w:sz w:val="16"/>
                <w:szCs w:val="16"/>
              </w:rPr>
              <w:t> </w:t>
            </w:r>
          </w:p>
        </w:tc>
      </w:tr>
      <w:tr w:rsidR="009F3374" w14:paraId="6EF1C6A2" w14:textId="77777777" w:rsidTr="009F3374">
        <w:trPr>
          <w:trHeight w:val="58"/>
        </w:trPr>
        <w:tc>
          <w:tcPr>
            <w:tcW w:w="1966" w:type="pct"/>
            <w:tcBorders>
              <w:top w:val="nil"/>
              <w:left w:val="single" w:sz="4" w:space="0" w:color="auto"/>
              <w:bottom w:val="single" w:sz="4" w:space="0" w:color="auto"/>
              <w:right w:val="single" w:sz="4" w:space="0" w:color="auto"/>
            </w:tcBorders>
            <w:noWrap/>
            <w:vAlign w:val="bottom"/>
            <w:hideMark/>
          </w:tcPr>
          <w:p w14:paraId="27172792"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3E55C476"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7B5EB416" w14:textId="77777777" w:rsidR="00601D9B" w:rsidRDefault="000E53A0">
            <w:pPr>
              <w:rPr>
                <w:rFonts w:ascii="Avenir Next Regular" w:hAnsi="Avenir Next Regular" w:cs="Calibri"/>
                <w:iCs/>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iCs/>
                <w:color w:val="000000" w:themeColor="text1"/>
                <w:sz w:val="16"/>
                <w:szCs w:val="16"/>
              </w:rPr>
              <w:t>DDT - Gestion des vecteurs</w:t>
            </w:r>
          </w:p>
        </w:tc>
        <w:tc>
          <w:tcPr>
            <w:tcW w:w="1080" w:type="pct"/>
            <w:tcBorders>
              <w:top w:val="nil"/>
              <w:left w:val="nil"/>
              <w:bottom w:val="single" w:sz="4" w:space="0" w:color="auto"/>
              <w:right w:val="single" w:sz="4" w:space="0" w:color="auto"/>
            </w:tcBorders>
            <w:hideMark/>
          </w:tcPr>
          <w:p w14:paraId="7B2FAC4C" w14:textId="77777777" w:rsidR="009F3374" w:rsidRDefault="009F3374">
            <w:pPr>
              <w:rPr>
                <w:rFonts w:ascii="Avenir Next Regular" w:hAnsi="Avenir Next Regular" w:cs="Calibri"/>
                <w:color w:val="000000" w:themeColor="text1"/>
                <w:sz w:val="16"/>
                <w:szCs w:val="16"/>
              </w:rPr>
            </w:pPr>
            <w:r>
              <w:rPr>
                <w:rFonts w:ascii="Avenir Next Regular" w:hAnsi="Avenir Next Regular" w:cs="Calibri"/>
                <w:color w:val="000000" w:themeColor="text1"/>
                <w:sz w:val="16"/>
                <w:szCs w:val="16"/>
              </w:rPr>
              <w:t> </w:t>
            </w:r>
          </w:p>
        </w:tc>
      </w:tr>
      <w:tr w:rsidR="009F3374" w14:paraId="26BA3F94" w14:textId="77777777" w:rsidTr="009F3374">
        <w:trPr>
          <w:trHeight w:val="58"/>
        </w:trPr>
        <w:tc>
          <w:tcPr>
            <w:tcW w:w="1966" w:type="pct"/>
            <w:tcBorders>
              <w:top w:val="nil"/>
              <w:left w:val="single" w:sz="4" w:space="0" w:color="auto"/>
              <w:bottom w:val="single" w:sz="4" w:space="0" w:color="auto"/>
              <w:right w:val="single" w:sz="4" w:space="0" w:color="auto"/>
            </w:tcBorders>
            <w:noWrap/>
            <w:vAlign w:val="bottom"/>
            <w:hideMark/>
          </w:tcPr>
          <w:p w14:paraId="4C5E2BC3"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53C1BBDE"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4A51204B" w14:textId="77777777" w:rsidR="00601D9B" w:rsidRDefault="000E53A0">
            <w:pPr>
              <w:rPr>
                <w:rFonts w:ascii="Avenir Next Regular" w:hAnsi="Avenir Next Regular" w:cs="Calibri"/>
                <w:iCs/>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iCs/>
                <w:color w:val="000000" w:themeColor="text1"/>
                <w:sz w:val="16"/>
                <w:szCs w:val="16"/>
              </w:rPr>
              <w:t>DDT - Autres</w:t>
            </w:r>
          </w:p>
        </w:tc>
        <w:tc>
          <w:tcPr>
            <w:tcW w:w="1080" w:type="pct"/>
            <w:tcBorders>
              <w:top w:val="nil"/>
              <w:left w:val="nil"/>
              <w:bottom w:val="single" w:sz="4" w:space="0" w:color="auto"/>
              <w:right w:val="single" w:sz="4" w:space="0" w:color="auto"/>
            </w:tcBorders>
            <w:hideMark/>
          </w:tcPr>
          <w:p w14:paraId="2550C5A0" w14:textId="77777777" w:rsidR="009F3374" w:rsidRDefault="009F3374">
            <w:pPr>
              <w:rPr>
                <w:rFonts w:ascii="Avenir Next Regular" w:hAnsi="Avenir Next Regular" w:cs="Calibri"/>
                <w:color w:val="000000" w:themeColor="text1"/>
                <w:sz w:val="16"/>
                <w:szCs w:val="16"/>
              </w:rPr>
            </w:pPr>
            <w:r>
              <w:rPr>
                <w:rFonts w:ascii="Avenir Next Regular" w:hAnsi="Avenir Next Regular" w:cs="Calibri"/>
                <w:color w:val="000000" w:themeColor="text1"/>
                <w:sz w:val="16"/>
                <w:szCs w:val="16"/>
              </w:rPr>
              <w:t> </w:t>
            </w:r>
          </w:p>
        </w:tc>
      </w:tr>
      <w:tr w:rsidR="009F3374" w14:paraId="519E675C" w14:textId="77777777" w:rsidTr="009F3374">
        <w:trPr>
          <w:trHeight w:val="58"/>
        </w:trPr>
        <w:tc>
          <w:tcPr>
            <w:tcW w:w="1966" w:type="pct"/>
            <w:tcBorders>
              <w:top w:val="nil"/>
              <w:left w:val="single" w:sz="4" w:space="0" w:color="auto"/>
              <w:bottom w:val="single" w:sz="4" w:space="0" w:color="auto"/>
              <w:right w:val="single" w:sz="4" w:space="0" w:color="auto"/>
            </w:tcBorders>
            <w:noWrap/>
            <w:vAlign w:val="bottom"/>
            <w:hideMark/>
          </w:tcPr>
          <w:p w14:paraId="5225C9EF"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0EC0C65F"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1486D73F" w14:textId="77777777" w:rsidR="00601D9B" w:rsidRDefault="000E53A0">
            <w:pPr>
              <w:rPr>
                <w:rFonts w:ascii="Avenir Next Regular" w:hAnsi="Avenir Next Regular" w:cs="Calibri"/>
                <w:iCs/>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iCs/>
                <w:color w:val="000000" w:themeColor="text1"/>
                <w:sz w:val="16"/>
                <w:szCs w:val="16"/>
              </w:rPr>
              <w:t>Émissions industrielles</w:t>
            </w:r>
          </w:p>
        </w:tc>
        <w:tc>
          <w:tcPr>
            <w:tcW w:w="1080" w:type="pct"/>
            <w:tcBorders>
              <w:top w:val="nil"/>
              <w:left w:val="nil"/>
              <w:bottom w:val="single" w:sz="4" w:space="0" w:color="auto"/>
              <w:right w:val="single" w:sz="4" w:space="0" w:color="auto"/>
            </w:tcBorders>
            <w:hideMark/>
          </w:tcPr>
          <w:p w14:paraId="13FC5039" w14:textId="77777777" w:rsidR="009F3374" w:rsidRDefault="009F3374">
            <w:pPr>
              <w:rPr>
                <w:rFonts w:ascii="Avenir Next Regular" w:hAnsi="Avenir Next Regular" w:cs="Calibri"/>
                <w:color w:val="000000" w:themeColor="text1"/>
                <w:sz w:val="16"/>
                <w:szCs w:val="16"/>
              </w:rPr>
            </w:pPr>
            <w:r>
              <w:rPr>
                <w:rFonts w:ascii="Avenir Next Regular" w:hAnsi="Avenir Next Regular" w:cs="Calibri"/>
                <w:color w:val="000000" w:themeColor="text1"/>
                <w:sz w:val="16"/>
                <w:szCs w:val="16"/>
              </w:rPr>
              <w:t> </w:t>
            </w:r>
          </w:p>
        </w:tc>
      </w:tr>
      <w:tr w:rsidR="009F3374" w14:paraId="477EAB15" w14:textId="77777777" w:rsidTr="009F3374">
        <w:trPr>
          <w:trHeight w:val="58"/>
        </w:trPr>
        <w:tc>
          <w:tcPr>
            <w:tcW w:w="1966" w:type="pct"/>
            <w:tcBorders>
              <w:top w:val="nil"/>
              <w:left w:val="single" w:sz="4" w:space="0" w:color="auto"/>
              <w:bottom w:val="single" w:sz="4" w:space="0" w:color="auto"/>
              <w:right w:val="single" w:sz="4" w:space="0" w:color="auto"/>
            </w:tcBorders>
            <w:noWrap/>
            <w:vAlign w:val="bottom"/>
            <w:hideMark/>
          </w:tcPr>
          <w:p w14:paraId="44F0074B"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47549E0A"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143FBEA7" w14:textId="77777777" w:rsidR="00601D9B" w:rsidRDefault="000E53A0">
            <w:pPr>
              <w:rPr>
                <w:rFonts w:ascii="Avenir Next Regular" w:hAnsi="Avenir Next Regular" w:cs="Calibri"/>
                <w:iCs/>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iCs/>
                <w:color w:val="000000" w:themeColor="text1"/>
                <w:sz w:val="16"/>
                <w:szCs w:val="16"/>
              </w:rPr>
              <w:t>Brûlage ouvert</w:t>
            </w:r>
          </w:p>
        </w:tc>
        <w:tc>
          <w:tcPr>
            <w:tcW w:w="1080" w:type="pct"/>
            <w:tcBorders>
              <w:top w:val="nil"/>
              <w:left w:val="nil"/>
              <w:bottom w:val="single" w:sz="4" w:space="0" w:color="auto"/>
              <w:right w:val="single" w:sz="4" w:space="0" w:color="auto"/>
            </w:tcBorders>
            <w:hideMark/>
          </w:tcPr>
          <w:p w14:paraId="6C81B80D" w14:textId="77777777" w:rsidR="009F3374" w:rsidRDefault="009F3374">
            <w:pPr>
              <w:rPr>
                <w:rFonts w:ascii="Avenir Next Regular" w:hAnsi="Avenir Next Regular" w:cs="Calibri"/>
                <w:color w:val="000000" w:themeColor="text1"/>
                <w:sz w:val="16"/>
                <w:szCs w:val="16"/>
              </w:rPr>
            </w:pPr>
            <w:r>
              <w:rPr>
                <w:rFonts w:ascii="Avenir Next Regular" w:hAnsi="Avenir Next Regular" w:cs="Calibri"/>
                <w:color w:val="000000" w:themeColor="text1"/>
                <w:sz w:val="16"/>
                <w:szCs w:val="16"/>
              </w:rPr>
              <w:t> </w:t>
            </w:r>
          </w:p>
        </w:tc>
      </w:tr>
      <w:tr w:rsidR="009F3374" w:rsidRPr="000E53A0" w14:paraId="205679EB" w14:textId="77777777" w:rsidTr="009F3374">
        <w:trPr>
          <w:trHeight w:val="152"/>
        </w:trPr>
        <w:tc>
          <w:tcPr>
            <w:tcW w:w="1966" w:type="pct"/>
            <w:tcBorders>
              <w:top w:val="nil"/>
              <w:left w:val="single" w:sz="4" w:space="0" w:color="auto"/>
              <w:bottom w:val="single" w:sz="4" w:space="0" w:color="auto"/>
              <w:right w:val="single" w:sz="4" w:space="0" w:color="auto"/>
            </w:tcBorders>
            <w:noWrap/>
            <w:vAlign w:val="bottom"/>
            <w:hideMark/>
          </w:tcPr>
          <w:p w14:paraId="61760EE2"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hideMark/>
          </w:tcPr>
          <w:p w14:paraId="0925CE2B"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0A6307D7" w14:textId="77777777" w:rsidR="00601D9B" w:rsidRPr="000E53A0" w:rsidRDefault="000E53A0">
            <w:pPr>
              <w:ind w:left="150" w:hanging="150"/>
              <w:rPr>
                <w:rFonts w:ascii="Avenir Next Regular" w:hAnsi="Avenir Next Regular" w:cs="Calibri"/>
                <w:iCs/>
                <w:color w:val="000000" w:themeColor="text1"/>
                <w:sz w:val="16"/>
                <w:szCs w:val="16"/>
                <w:lang w:val="fr-FR"/>
              </w:rPr>
            </w:pPr>
            <w:r>
              <w:rPr>
                <w:color w:val="000000" w:themeColor="text1"/>
                <w:sz w:val="16"/>
                <w:szCs w:val="16"/>
              </w:rPr>
              <w:fldChar w:fldCharType="begin">
                <w:ffData>
                  <w:name w:val="IAP_cities"/>
                  <w:enabled/>
                  <w:calcOnExit w:val="0"/>
                  <w:checkBox>
                    <w:sizeAuto/>
                    <w:default w:val="0"/>
                  </w:checkBox>
                </w:ffData>
              </w:fldChar>
            </w:r>
            <w:r w:rsidRPr="000E53A0">
              <w:rPr>
                <w:color w:val="000000" w:themeColor="text1"/>
                <w:sz w:val="16"/>
                <w:szCs w:val="16"/>
                <w:lang w:val="fr-FR"/>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sidRPr="000E53A0">
              <w:rPr>
                <w:rFonts w:ascii="Avenir Next Regular" w:hAnsi="Avenir Next Regular" w:cs="Calibri"/>
                <w:iCs/>
                <w:color w:val="000000" w:themeColor="text1"/>
                <w:sz w:val="16"/>
                <w:szCs w:val="16"/>
                <w:lang w:val="fr-FR"/>
              </w:rPr>
              <w:t>Meilleure technologie disponible / Meilleures pratiques environnementales</w:t>
            </w:r>
          </w:p>
        </w:tc>
        <w:tc>
          <w:tcPr>
            <w:tcW w:w="1080" w:type="pct"/>
            <w:tcBorders>
              <w:top w:val="nil"/>
              <w:left w:val="nil"/>
              <w:bottom w:val="single" w:sz="4" w:space="0" w:color="auto"/>
              <w:right w:val="single" w:sz="4" w:space="0" w:color="auto"/>
            </w:tcBorders>
            <w:hideMark/>
          </w:tcPr>
          <w:p w14:paraId="143069C5" w14:textId="77777777" w:rsidR="009F3374" w:rsidRPr="000E53A0" w:rsidRDefault="009F3374">
            <w:pPr>
              <w:rPr>
                <w:rFonts w:ascii="Avenir Next Regular" w:hAnsi="Avenir Next Regular" w:cs="Calibri"/>
                <w:color w:val="000000" w:themeColor="text1"/>
                <w:sz w:val="16"/>
                <w:szCs w:val="16"/>
                <w:lang w:val="fr-FR"/>
              </w:rPr>
            </w:pPr>
            <w:r w:rsidRPr="000E53A0">
              <w:rPr>
                <w:rFonts w:ascii="Avenir Next Regular" w:hAnsi="Avenir Next Regular" w:cs="Calibri"/>
                <w:color w:val="000000" w:themeColor="text1"/>
                <w:sz w:val="16"/>
                <w:szCs w:val="16"/>
                <w:lang w:val="fr-FR"/>
              </w:rPr>
              <w:t> </w:t>
            </w:r>
          </w:p>
        </w:tc>
      </w:tr>
      <w:tr w:rsidR="009F3374" w14:paraId="25745263" w14:textId="77777777" w:rsidTr="009F3374">
        <w:trPr>
          <w:trHeight w:val="58"/>
        </w:trPr>
        <w:tc>
          <w:tcPr>
            <w:tcW w:w="1966" w:type="pct"/>
            <w:tcBorders>
              <w:top w:val="nil"/>
              <w:left w:val="single" w:sz="4" w:space="0" w:color="auto"/>
              <w:bottom w:val="single" w:sz="4" w:space="0" w:color="auto"/>
              <w:right w:val="single" w:sz="4" w:space="0" w:color="auto"/>
            </w:tcBorders>
            <w:noWrap/>
            <w:vAlign w:val="bottom"/>
            <w:hideMark/>
          </w:tcPr>
          <w:p w14:paraId="308FED8F" w14:textId="77777777" w:rsidR="009F3374" w:rsidRPr="000E53A0" w:rsidRDefault="009F3374">
            <w:pPr>
              <w:rPr>
                <w:rFonts w:ascii="Avenir Next Regular" w:hAnsi="Avenir Next Regular" w:cs="Calibri"/>
                <w:b/>
                <w:bCs/>
                <w:color w:val="000000" w:themeColor="text1"/>
                <w:sz w:val="16"/>
                <w:szCs w:val="16"/>
                <w:lang w:val="fr-FR"/>
              </w:rPr>
            </w:pPr>
            <w:r w:rsidRPr="000E53A0">
              <w:rPr>
                <w:rFonts w:ascii="Avenir Next Regular" w:hAnsi="Avenir Next Regular" w:cs="Calibri"/>
                <w:b/>
                <w:bCs/>
                <w:color w:val="000000" w:themeColor="text1"/>
                <w:sz w:val="16"/>
                <w:szCs w:val="16"/>
                <w:lang w:val="fr-FR"/>
              </w:rPr>
              <w:t> </w:t>
            </w:r>
          </w:p>
        </w:tc>
        <w:tc>
          <w:tcPr>
            <w:tcW w:w="825" w:type="pct"/>
            <w:tcBorders>
              <w:top w:val="nil"/>
              <w:left w:val="nil"/>
              <w:bottom w:val="single" w:sz="4" w:space="0" w:color="auto"/>
              <w:right w:val="single" w:sz="4" w:space="0" w:color="auto"/>
            </w:tcBorders>
            <w:hideMark/>
          </w:tcPr>
          <w:p w14:paraId="1C9961D7" w14:textId="77777777" w:rsidR="009F3374" w:rsidRPr="000E53A0" w:rsidRDefault="009F3374">
            <w:pPr>
              <w:rPr>
                <w:rFonts w:ascii="Avenir Next Regular" w:hAnsi="Avenir Next Regular" w:cs="Calibri"/>
                <w:b/>
                <w:bCs/>
                <w:color w:val="000000" w:themeColor="text1"/>
                <w:sz w:val="16"/>
                <w:szCs w:val="16"/>
                <w:lang w:val="fr-FR"/>
              </w:rPr>
            </w:pPr>
            <w:r w:rsidRPr="000E53A0">
              <w:rPr>
                <w:rFonts w:ascii="Avenir Next Regular" w:hAnsi="Avenir Next Regular" w:cs="Calibri"/>
                <w:b/>
                <w:bCs/>
                <w:color w:val="000000" w:themeColor="text1"/>
                <w:sz w:val="16"/>
                <w:szCs w:val="16"/>
                <w:lang w:val="fr-FR"/>
              </w:rPr>
              <w:t> </w:t>
            </w:r>
          </w:p>
        </w:tc>
        <w:tc>
          <w:tcPr>
            <w:tcW w:w="1129" w:type="pct"/>
            <w:tcBorders>
              <w:top w:val="nil"/>
              <w:left w:val="nil"/>
              <w:bottom w:val="single" w:sz="4" w:space="0" w:color="auto"/>
              <w:right w:val="single" w:sz="4" w:space="0" w:color="auto"/>
            </w:tcBorders>
            <w:hideMark/>
          </w:tcPr>
          <w:p w14:paraId="434B353F" w14:textId="77777777" w:rsidR="00601D9B" w:rsidRDefault="000E53A0">
            <w:pPr>
              <w:rPr>
                <w:rFonts w:ascii="Avenir Next Regular" w:hAnsi="Avenir Next Regular" w:cs="Calibri"/>
                <w:iCs/>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iCs/>
                <w:color w:val="000000" w:themeColor="text1"/>
                <w:sz w:val="16"/>
                <w:szCs w:val="16"/>
              </w:rPr>
              <w:t>Chimie verte</w:t>
            </w:r>
          </w:p>
        </w:tc>
        <w:tc>
          <w:tcPr>
            <w:tcW w:w="1080" w:type="pct"/>
            <w:tcBorders>
              <w:top w:val="nil"/>
              <w:left w:val="nil"/>
              <w:bottom w:val="single" w:sz="4" w:space="0" w:color="auto"/>
              <w:right w:val="single" w:sz="4" w:space="0" w:color="auto"/>
            </w:tcBorders>
            <w:hideMark/>
          </w:tcPr>
          <w:p w14:paraId="374677F2" w14:textId="77777777" w:rsidR="009F3374" w:rsidRDefault="009F3374">
            <w:pPr>
              <w:rPr>
                <w:rFonts w:ascii="Avenir Next Regular" w:hAnsi="Avenir Next Regular" w:cs="Calibri"/>
                <w:color w:val="000000" w:themeColor="text1"/>
                <w:sz w:val="16"/>
                <w:szCs w:val="16"/>
              </w:rPr>
            </w:pPr>
            <w:r>
              <w:rPr>
                <w:rFonts w:ascii="Avenir Next Regular" w:hAnsi="Avenir Next Regular" w:cs="Calibri"/>
                <w:color w:val="000000" w:themeColor="text1"/>
                <w:sz w:val="16"/>
                <w:szCs w:val="16"/>
              </w:rPr>
              <w:t> </w:t>
            </w:r>
          </w:p>
        </w:tc>
      </w:tr>
      <w:tr w:rsidR="009F3374" w14:paraId="4579BBA3" w14:textId="77777777" w:rsidTr="009F3374">
        <w:trPr>
          <w:trHeight w:val="58"/>
        </w:trPr>
        <w:tc>
          <w:tcPr>
            <w:tcW w:w="1966" w:type="pct"/>
            <w:tcBorders>
              <w:top w:val="nil"/>
              <w:left w:val="single" w:sz="4" w:space="0" w:color="auto"/>
              <w:bottom w:val="single" w:sz="4" w:space="0" w:color="auto"/>
              <w:right w:val="single" w:sz="4" w:space="0" w:color="auto"/>
            </w:tcBorders>
            <w:noWrap/>
            <w:vAlign w:val="bottom"/>
            <w:hideMark/>
          </w:tcPr>
          <w:p w14:paraId="7A8960C6"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noWrap/>
            <w:vAlign w:val="bottom"/>
            <w:hideMark/>
          </w:tcPr>
          <w:p w14:paraId="035290B5" w14:textId="77777777" w:rsidR="00601D9B" w:rsidRDefault="000E53A0">
            <w:pPr>
              <w:rPr>
                <w:rFonts w:ascii="Avenir Next Regular" w:hAnsi="Avenir Next Regular" w:cs="Calibri"/>
                <w:b/>
                <w:bCs/>
                <w:color w:val="000000" w:themeColor="text1"/>
                <w:sz w:val="16"/>
                <w:szCs w:val="16"/>
              </w:rPr>
            </w:pPr>
            <w:r>
              <w:rPr>
                <w:color w:val="000000" w:themeColor="text1"/>
              </w:rPr>
              <w:sym w:font="Symbol" w:char="F0C4"/>
            </w:r>
            <w:r>
              <w:rPr>
                <w:rFonts w:ascii="Avenir Next Regular" w:hAnsi="Avenir Next Regular" w:cs="Calibri"/>
                <w:b/>
                <w:bCs/>
                <w:color w:val="000000" w:themeColor="text1"/>
                <w:sz w:val="16"/>
                <w:szCs w:val="16"/>
              </w:rPr>
              <w:t>Changement climatique</w:t>
            </w:r>
          </w:p>
        </w:tc>
        <w:tc>
          <w:tcPr>
            <w:tcW w:w="1129" w:type="pct"/>
            <w:tcBorders>
              <w:top w:val="nil"/>
              <w:left w:val="nil"/>
              <w:bottom w:val="single" w:sz="4" w:space="0" w:color="auto"/>
              <w:right w:val="single" w:sz="4" w:space="0" w:color="auto"/>
            </w:tcBorders>
          </w:tcPr>
          <w:p w14:paraId="11861E23" w14:textId="77777777" w:rsidR="009F3374" w:rsidRDefault="009F3374">
            <w:pPr>
              <w:rPr>
                <w:rFonts w:ascii="Avenir Next Regular" w:hAnsi="Avenir Next Regular" w:cs="Calibri"/>
                <w:b/>
                <w:bCs/>
                <w:color w:val="000000" w:themeColor="text1"/>
                <w:sz w:val="16"/>
                <w:szCs w:val="16"/>
              </w:rPr>
            </w:pPr>
          </w:p>
        </w:tc>
        <w:tc>
          <w:tcPr>
            <w:tcW w:w="1080" w:type="pct"/>
            <w:tcBorders>
              <w:top w:val="nil"/>
              <w:left w:val="nil"/>
              <w:bottom w:val="single" w:sz="4" w:space="0" w:color="auto"/>
              <w:right w:val="single" w:sz="4" w:space="0" w:color="auto"/>
            </w:tcBorders>
          </w:tcPr>
          <w:p w14:paraId="613EE8E6" w14:textId="77777777" w:rsidR="009F3374" w:rsidRDefault="009F3374">
            <w:pPr>
              <w:rPr>
                <w:rFonts w:ascii="Avenir Next Regular" w:hAnsi="Avenir Next Regular" w:cs="Calibri"/>
                <w:iCs/>
                <w:color w:val="000000" w:themeColor="text1"/>
                <w:sz w:val="16"/>
                <w:szCs w:val="16"/>
              </w:rPr>
            </w:pPr>
          </w:p>
        </w:tc>
      </w:tr>
      <w:tr w:rsidR="009F3374" w14:paraId="21CB73A0" w14:textId="77777777" w:rsidTr="009F3374">
        <w:trPr>
          <w:trHeight w:val="58"/>
        </w:trPr>
        <w:tc>
          <w:tcPr>
            <w:tcW w:w="1966" w:type="pct"/>
            <w:tcBorders>
              <w:top w:val="nil"/>
              <w:left w:val="single" w:sz="4" w:space="0" w:color="auto"/>
              <w:bottom w:val="single" w:sz="4" w:space="0" w:color="auto"/>
              <w:right w:val="single" w:sz="4" w:space="0" w:color="auto"/>
            </w:tcBorders>
            <w:noWrap/>
            <w:vAlign w:val="bottom"/>
          </w:tcPr>
          <w:p w14:paraId="6A202E42" w14:textId="77777777" w:rsidR="009F3374" w:rsidRDefault="009F3374">
            <w:pPr>
              <w:rPr>
                <w:rFonts w:ascii="Avenir Next Regular" w:hAnsi="Avenir Next Regular" w:cs="Calibri"/>
                <w:b/>
                <w:bCs/>
                <w:color w:val="000000" w:themeColor="text1"/>
                <w:sz w:val="16"/>
                <w:szCs w:val="16"/>
              </w:rPr>
            </w:pPr>
          </w:p>
        </w:tc>
        <w:tc>
          <w:tcPr>
            <w:tcW w:w="825" w:type="pct"/>
            <w:tcBorders>
              <w:top w:val="nil"/>
              <w:left w:val="nil"/>
              <w:bottom w:val="single" w:sz="4" w:space="0" w:color="auto"/>
              <w:right w:val="single" w:sz="4" w:space="0" w:color="auto"/>
            </w:tcBorders>
            <w:noWrap/>
            <w:vAlign w:val="bottom"/>
          </w:tcPr>
          <w:p w14:paraId="6F9B9635" w14:textId="77777777" w:rsidR="009F3374" w:rsidRDefault="009F3374">
            <w:pPr>
              <w:rPr>
                <w:color w:val="000000" w:themeColor="text1"/>
                <w:sz w:val="16"/>
                <w:szCs w:val="16"/>
              </w:rPr>
            </w:pPr>
          </w:p>
        </w:tc>
        <w:tc>
          <w:tcPr>
            <w:tcW w:w="1129" w:type="pct"/>
            <w:tcBorders>
              <w:top w:val="nil"/>
              <w:left w:val="nil"/>
              <w:bottom w:val="single" w:sz="4" w:space="0" w:color="auto"/>
              <w:right w:val="single" w:sz="4" w:space="0" w:color="auto"/>
            </w:tcBorders>
            <w:hideMark/>
          </w:tcPr>
          <w:p w14:paraId="3EDE4F3D" w14:textId="77777777" w:rsidR="00601D9B" w:rsidRDefault="000E53A0">
            <w:pPr>
              <w:rPr>
                <w:b/>
                <w:color w:val="000000" w:themeColor="text1"/>
                <w:sz w:val="16"/>
                <w:szCs w:val="16"/>
              </w:rPr>
            </w:pPr>
            <w:r>
              <w:rPr>
                <w:color w:val="000000" w:themeColor="text1"/>
              </w:rPr>
              <w:sym w:font="Symbol" w:char="F0C4"/>
            </w:r>
            <w:r>
              <w:rPr>
                <w:rFonts w:ascii="Avenir Next Regular" w:hAnsi="Avenir Next Regular" w:cs="Calibri"/>
                <w:b/>
                <w:bCs/>
                <w:color w:val="000000" w:themeColor="text1"/>
                <w:sz w:val="16"/>
                <w:szCs w:val="16"/>
              </w:rPr>
              <w:t>Adaptation au changement climatique</w:t>
            </w:r>
          </w:p>
        </w:tc>
        <w:tc>
          <w:tcPr>
            <w:tcW w:w="1080" w:type="pct"/>
            <w:tcBorders>
              <w:top w:val="nil"/>
              <w:left w:val="nil"/>
              <w:bottom w:val="single" w:sz="4" w:space="0" w:color="auto"/>
              <w:right w:val="single" w:sz="4" w:space="0" w:color="auto"/>
            </w:tcBorders>
          </w:tcPr>
          <w:p w14:paraId="7192A4DC" w14:textId="77777777" w:rsidR="009F3374" w:rsidRDefault="009F3374">
            <w:pPr>
              <w:rPr>
                <w:color w:val="000000" w:themeColor="text1"/>
                <w:sz w:val="16"/>
                <w:szCs w:val="16"/>
              </w:rPr>
            </w:pPr>
          </w:p>
        </w:tc>
      </w:tr>
      <w:tr w:rsidR="009F3374" w14:paraId="04D79819" w14:textId="77777777" w:rsidTr="009F3374">
        <w:trPr>
          <w:trHeight w:val="58"/>
        </w:trPr>
        <w:tc>
          <w:tcPr>
            <w:tcW w:w="1966" w:type="pct"/>
            <w:tcBorders>
              <w:top w:val="nil"/>
              <w:left w:val="single" w:sz="4" w:space="0" w:color="auto"/>
              <w:bottom w:val="single" w:sz="4" w:space="0" w:color="auto"/>
              <w:right w:val="single" w:sz="4" w:space="0" w:color="auto"/>
            </w:tcBorders>
            <w:noWrap/>
            <w:vAlign w:val="bottom"/>
          </w:tcPr>
          <w:p w14:paraId="151F8397" w14:textId="77777777" w:rsidR="009F3374" w:rsidRDefault="009F3374">
            <w:pPr>
              <w:rPr>
                <w:rFonts w:ascii="Avenir Next Regular" w:hAnsi="Avenir Next Regular" w:cs="Calibri"/>
                <w:b/>
                <w:bCs/>
                <w:color w:val="000000" w:themeColor="text1"/>
                <w:sz w:val="16"/>
                <w:szCs w:val="16"/>
              </w:rPr>
            </w:pPr>
          </w:p>
        </w:tc>
        <w:tc>
          <w:tcPr>
            <w:tcW w:w="825" w:type="pct"/>
            <w:tcBorders>
              <w:top w:val="nil"/>
              <w:left w:val="nil"/>
              <w:bottom w:val="single" w:sz="4" w:space="0" w:color="auto"/>
              <w:right w:val="single" w:sz="4" w:space="0" w:color="auto"/>
            </w:tcBorders>
            <w:noWrap/>
            <w:vAlign w:val="bottom"/>
          </w:tcPr>
          <w:p w14:paraId="7507EFC0" w14:textId="77777777" w:rsidR="009F3374" w:rsidRDefault="009F3374">
            <w:pPr>
              <w:rPr>
                <w:color w:val="000000" w:themeColor="text1"/>
                <w:sz w:val="16"/>
                <w:szCs w:val="16"/>
              </w:rPr>
            </w:pPr>
          </w:p>
        </w:tc>
        <w:tc>
          <w:tcPr>
            <w:tcW w:w="1129" w:type="pct"/>
            <w:tcBorders>
              <w:top w:val="nil"/>
              <w:left w:val="nil"/>
              <w:bottom w:val="single" w:sz="4" w:space="0" w:color="auto"/>
              <w:right w:val="single" w:sz="4" w:space="0" w:color="auto"/>
            </w:tcBorders>
          </w:tcPr>
          <w:p w14:paraId="4C8585EC" w14:textId="77777777" w:rsidR="009F3374" w:rsidRDefault="009F3374">
            <w:pPr>
              <w:rPr>
                <w:color w:val="000000" w:themeColor="text1"/>
                <w:sz w:val="16"/>
                <w:szCs w:val="16"/>
              </w:rPr>
            </w:pPr>
          </w:p>
        </w:tc>
        <w:tc>
          <w:tcPr>
            <w:tcW w:w="1080" w:type="pct"/>
            <w:tcBorders>
              <w:top w:val="nil"/>
              <w:left w:val="nil"/>
              <w:bottom w:val="single" w:sz="4" w:space="0" w:color="auto"/>
              <w:right w:val="single" w:sz="4" w:space="0" w:color="auto"/>
            </w:tcBorders>
            <w:hideMark/>
          </w:tcPr>
          <w:p w14:paraId="396F7B3D" w14:textId="77777777" w:rsidR="00601D9B" w:rsidRDefault="000E53A0">
            <w:pPr>
              <w:rPr>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color w:val="000000" w:themeColor="text1"/>
                <w:sz w:val="16"/>
                <w:szCs w:val="16"/>
              </w:rPr>
              <w:t>Financement du climat</w:t>
            </w:r>
          </w:p>
        </w:tc>
      </w:tr>
      <w:tr w:rsidR="009F3374" w14:paraId="6AA0331B" w14:textId="77777777" w:rsidTr="009F3374">
        <w:trPr>
          <w:trHeight w:val="58"/>
        </w:trPr>
        <w:tc>
          <w:tcPr>
            <w:tcW w:w="1966" w:type="pct"/>
            <w:tcBorders>
              <w:top w:val="nil"/>
              <w:left w:val="single" w:sz="4" w:space="0" w:color="auto"/>
              <w:bottom w:val="single" w:sz="4" w:space="0" w:color="auto"/>
              <w:right w:val="single" w:sz="4" w:space="0" w:color="auto"/>
            </w:tcBorders>
            <w:noWrap/>
            <w:vAlign w:val="bottom"/>
            <w:hideMark/>
          </w:tcPr>
          <w:p w14:paraId="5DF2AEC1"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noWrap/>
            <w:vAlign w:val="bottom"/>
            <w:hideMark/>
          </w:tcPr>
          <w:p w14:paraId="4226FA61"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6C603407"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080" w:type="pct"/>
            <w:tcBorders>
              <w:top w:val="nil"/>
              <w:left w:val="nil"/>
              <w:bottom w:val="single" w:sz="4" w:space="0" w:color="auto"/>
              <w:right w:val="single" w:sz="4" w:space="0" w:color="auto"/>
            </w:tcBorders>
            <w:hideMark/>
          </w:tcPr>
          <w:p w14:paraId="41B8D3C0" w14:textId="77777777" w:rsidR="00601D9B" w:rsidRDefault="000E53A0">
            <w:pPr>
              <w:rPr>
                <w:rFonts w:ascii="Avenir Next Regular" w:hAnsi="Avenir Next Regular" w:cs="Calibri"/>
                <w:color w:val="000000" w:themeColor="text1"/>
                <w:sz w:val="16"/>
                <w:szCs w:val="16"/>
              </w:rPr>
            </w:pPr>
            <w:r>
              <w:rPr>
                <w:color w:val="000000" w:themeColor="text1"/>
              </w:rPr>
              <w:sym w:font="Symbol" w:char="F0C4"/>
            </w:r>
            <w:r>
              <w:rPr>
                <w:rFonts w:ascii="Avenir Next Regular" w:hAnsi="Avenir Next Regular" w:cs="Calibri"/>
                <w:color w:val="000000" w:themeColor="text1"/>
                <w:sz w:val="16"/>
                <w:szCs w:val="16"/>
              </w:rPr>
              <w:t>Pays les moins avancés</w:t>
            </w:r>
          </w:p>
        </w:tc>
      </w:tr>
      <w:tr w:rsidR="009F3374" w:rsidRPr="000E53A0" w14:paraId="115A3F20" w14:textId="77777777" w:rsidTr="009F3374">
        <w:trPr>
          <w:trHeight w:val="58"/>
        </w:trPr>
        <w:tc>
          <w:tcPr>
            <w:tcW w:w="1966" w:type="pct"/>
            <w:tcBorders>
              <w:top w:val="nil"/>
              <w:left w:val="single" w:sz="4" w:space="0" w:color="auto"/>
              <w:bottom w:val="single" w:sz="4" w:space="0" w:color="auto"/>
              <w:right w:val="single" w:sz="4" w:space="0" w:color="auto"/>
            </w:tcBorders>
            <w:noWrap/>
            <w:vAlign w:val="bottom"/>
            <w:hideMark/>
          </w:tcPr>
          <w:p w14:paraId="1ED58228"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noWrap/>
            <w:vAlign w:val="bottom"/>
            <w:hideMark/>
          </w:tcPr>
          <w:p w14:paraId="7FEEE8DB"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0B681FD5"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080" w:type="pct"/>
            <w:tcBorders>
              <w:top w:val="nil"/>
              <w:left w:val="nil"/>
              <w:bottom w:val="single" w:sz="4" w:space="0" w:color="auto"/>
              <w:right w:val="single" w:sz="4" w:space="0" w:color="auto"/>
            </w:tcBorders>
            <w:hideMark/>
          </w:tcPr>
          <w:p w14:paraId="3499F50A" w14:textId="77777777" w:rsidR="00601D9B" w:rsidRPr="000E53A0" w:rsidRDefault="000E53A0">
            <w:pPr>
              <w:rPr>
                <w:rFonts w:ascii="Avenir Next Regular" w:hAnsi="Avenir Next Regular" w:cs="Calibri"/>
                <w:color w:val="000000" w:themeColor="text1"/>
                <w:sz w:val="16"/>
                <w:szCs w:val="16"/>
                <w:lang w:val="fr-FR"/>
              </w:rPr>
            </w:pPr>
            <w:r>
              <w:rPr>
                <w:color w:val="000000" w:themeColor="text1"/>
                <w:sz w:val="16"/>
                <w:szCs w:val="16"/>
              </w:rPr>
              <w:fldChar w:fldCharType="begin">
                <w:ffData>
                  <w:name w:val="IAP_cities"/>
                  <w:enabled/>
                  <w:calcOnExit w:val="0"/>
                  <w:checkBox>
                    <w:sizeAuto/>
                    <w:default w:val="0"/>
                  </w:checkBox>
                </w:ffData>
              </w:fldChar>
            </w:r>
            <w:r w:rsidRPr="000E53A0">
              <w:rPr>
                <w:color w:val="000000" w:themeColor="text1"/>
                <w:sz w:val="16"/>
                <w:szCs w:val="16"/>
                <w:lang w:val="fr-FR"/>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sidRPr="000E53A0">
              <w:rPr>
                <w:rFonts w:ascii="Avenir Next Regular" w:hAnsi="Avenir Next Regular" w:cs="Calibri"/>
                <w:color w:val="000000" w:themeColor="text1"/>
                <w:sz w:val="16"/>
                <w:szCs w:val="16"/>
                <w:lang w:val="fr-FR"/>
              </w:rPr>
              <w:t>Petits États insulaires en développement</w:t>
            </w:r>
          </w:p>
        </w:tc>
      </w:tr>
      <w:tr w:rsidR="009F3374" w:rsidRPr="000E53A0" w14:paraId="45E32E2C" w14:textId="77777777" w:rsidTr="009F3374">
        <w:trPr>
          <w:trHeight w:val="89"/>
        </w:trPr>
        <w:tc>
          <w:tcPr>
            <w:tcW w:w="1966" w:type="pct"/>
            <w:tcBorders>
              <w:top w:val="nil"/>
              <w:left w:val="single" w:sz="4" w:space="0" w:color="auto"/>
              <w:bottom w:val="single" w:sz="4" w:space="0" w:color="auto"/>
              <w:right w:val="single" w:sz="4" w:space="0" w:color="auto"/>
            </w:tcBorders>
            <w:noWrap/>
            <w:vAlign w:val="bottom"/>
            <w:hideMark/>
          </w:tcPr>
          <w:p w14:paraId="4E3474D5" w14:textId="77777777" w:rsidR="009F3374" w:rsidRPr="000E53A0" w:rsidRDefault="009F3374">
            <w:pPr>
              <w:rPr>
                <w:rFonts w:ascii="Avenir Next Regular" w:hAnsi="Avenir Next Regular" w:cs="Calibri"/>
                <w:b/>
                <w:bCs/>
                <w:color w:val="000000" w:themeColor="text1"/>
                <w:sz w:val="16"/>
                <w:szCs w:val="16"/>
                <w:lang w:val="fr-FR"/>
              </w:rPr>
            </w:pPr>
            <w:r w:rsidRPr="000E53A0">
              <w:rPr>
                <w:rFonts w:ascii="Avenir Next Regular" w:hAnsi="Avenir Next Regular" w:cs="Calibri"/>
                <w:b/>
                <w:bCs/>
                <w:color w:val="000000" w:themeColor="text1"/>
                <w:sz w:val="16"/>
                <w:szCs w:val="16"/>
                <w:lang w:val="fr-FR"/>
              </w:rPr>
              <w:t> </w:t>
            </w:r>
          </w:p>
        </w:tc>
        <w:tc>
          <w:tcPr>
            <w:tcW w:w="825" w:type="pct"/>
            <w:tcBorders>
              <w:top w:val="nil"/>
              <w:left w:val="nil"/>
              <w:bottom w:val="single" w:sz="4" w:space="0" w:color="auto"/>
              <w:right w:val="single" w:sz="4" w:space="0" w:color="auto"/>
            </w:tcBorders>
            <w:noWrap/>
            <w:vAlign w:val="bottom"/>
            <w:hideMark/>
          </w:tcPr>
          <w:p w14:paraId="4D72F0C9" w14:textId="77777777" w:rsidR="009F3374" w:rsidRPr="000E53A0" w:rsidRDefault="009F3374">
            <w:pPr>
              <w:rPr>
                <w:rFonts w:ascii="Avenir Next Regular" w:hAnsi="Avenir Next Regular" w:cs="Calibri"/>
                <w:b/>
                <w:bCs/>
                <w:color w:val="000000" w:themeColor="text1"/>
                <w:sz w:val="16"/>
                <w:szCs w:val="16"/>
                <w:lang w:val="fr-FR"/>
              </w:rPr>
            </w:pPr>
            <w:r w:rsidRPr="000E53A0">
              <w:rPr>
                <w:rFonts w:ascii="Avenir Next Regular" w:hAnsi="Avenir Next Regular" w:cs="Calibri"/>
                <w:b/>
                <w:bCs/>
                <w:color w:val="000000" w:themeColor="text1"/>
                <w:sz w:val="16"/>
                <w:szCs w:val="16"/>
                <w:lang w:val="fr-FR"/>
              </w:rPr>
              <w:t> </w:t>
            </w:r>
          </w:p>
        </w:tc>
        <w:tc>
          <w:tcPr>
            <w:tcW w:w="1129" w:type="pct"/>
            <w:tcBorders>
              <w:top w:val="nil"/>
              <w:left w:val="nil"/>
              <w:bottom w:val="single" w:sz="4" w:space="0" w:color="auto"/>
              <w:right w:val="single" w:sz="4" w:space="0" w:color="auto"/>
            </w:tcBorders>
            <w:hideMark/>
          </w:tcPr>
          <w:p w14:paraId="4D8C2DF4" w14:textId="77777777" w:rsidR="009F3374" w:rsidRPr="000E53A0" w:rsidRDefault="009F3374">
            <w:pPr>
              <w:rPr>
                <w:rFonts w:ascii="Avenir Next Regular" w:hAnsi="Avenir Next Regular" w:cs="Calibri"/>
                <w:b/>
                <w:bCs/>
                <w:color w:val="000000" w:themeColor="text1"/>
                <w:sz w:val="16"/>
                <w:szCs w:val="16"/>
                <w:lang w:val="fr-FR"/>
              </w:rPr>
            </w:pPr>
            <w:r w:rsidRPr="000E53A0">
              <w:rPr>
                <w:rFonts w:ascii="Avenir Next Regular" w:hAnsi="Avenir Next Regular" w:cs="Calibri"/>
                <w:b/>
                <w:bCs/>
                <w:color w:val="000000" w:themeColor="text1"/>
                <w:sz w:val="16"/>
                <w:szCs w:val="16"/>
                <w:lang w:val="fr-FR"/>
              </w:rPr>
              <w:t> </w:t>
            </w:r>
          </w:p>
        </w:tc>
        <w:tc>
          <w:tcPr>
            <w:tcW w:w="1080" w:type="pct"/>
            <w:tcBorders>
              <w:top w:val="nil"/>
              <w:left w:val="nil"/>
              <w:bottom w:val="single" w:sz="4" w:space="0" w:color="auto"/>
              <w:right w:val="single" w:sz="4" w:space="0" w:color="auto"/>
            </w:tcBorders>
            <w:hideMark/>
          </w:tcPr>
          <w:p w14:paraId="15CBC8CD" w14:textId="77777777" w:rsidR="00601D9B" w:rsidRPr="000E53A0" w:rsidRDefault="000E53A0">
            <w:pPr>
              <w:rPr>
                <w:rFonts w:ascii="Avenir Next Regular" w:hAnsi="Avenir Next Regular" w:cs="Calibri"/>
                <w:color w:val="000000" w:themeColor="text1"/>
                <w:sz w:val="16"/>
                <w:szCs w:val="16"/>
                <w:lang w:val="fr-FR"/>
              </w:rPr>
            </w:pPr>
            <w:r>
              <w:rPr>
                <w:color w:val="000000" w:themeColor="text1"/>
              </w:rPr>
              <w:sym w:font="Symbol" w:char="F0C4"/>
            </w:r>
            <w:r w:rsidRPr="000E53A0">
              <w:rPr>
                <w:color w:val="000000" w:themeColor="text1"/>
                <w:sz w:val="16"/>
                <w:szCs w:val="16"/>
                <w:lang w:val="fr-FR"/>
              </w:rPr>
              <w:t>Gestion des risques de catastrophes</w:t>
            </w:r>
          </w:p>
        </w:tc>
      </w:tr>
      <w:tr w:rsidR="009F3374" w:rsidRPr="000E53A0" w14:paraId="11355A4D" w14:textId="77777777" w:rsidTr="009F3374">
        <w:trPr>
          <w:trHeight w:val="58"/>
        </w:trPr>
        <w:tc>
          <w:tcPr>
            <w:tcW w:w="1966" w:type="pct"/>
            <w:tcBorders>
              <w:top w:val="nil"/>
              <w:left w:val="single" w:sz="4" w:space="0" w:color="auto"/>
              <w:bottom w:val="single" w:sz="4" w:space="0" w:color="auto"/>
              <w:right w:val="single" w:sz="4" w:space="0" w:color="auto"/>
            </w:tcBorders>
            <w:noWrap/>
            <w:vAlign w:val="bottom"/>
            <w:hideMark/>
          </w:tcPr>
          <w:p w14:paraId="376F35B0" w14:textId="77777777" w:rsidR="009F3374" w:rsidRPr="000E53A0" w:rsidRDefault="009F3374">
            <w:pPr>
              <w:rPr>
                <w:rFonts w:ascii="Avenir Next Regular" w:hAnsi="Avenir Next Regular" w:cs="Calibri"/>
                <w:b/>
                <w:bCs/>
                <w:color w:val="000000" w:themeColor="text1"/>
                <w:sz w:val="16"/>
                <w:szCs w:val="16"/>
                <w:lang w:val="fr-FR"/>
              </w:rPr>
            </w:pPr>
            <w:r w:rsidRPr="000E53A0">
              <w:rPr>
                <w:rFonts w:ascii="Avenir Next Regular" w:hAnsi="Avenir Next Regular" w:cs="Calibri"/>
                <w:b/>
                <w:bCs/>
                <w:color w:val="000000" w:themeColor="text1"/>
                <w:sz w:val="16"/>
                <w:szCs w:val="16"/>
                <w:lang w:val="fr-FR"/>
              </w:rPr>
              <w:t> </w:t>
            </w:r>
          </w:p>
        </w:tc>
        <w:tc>
          <w:tcPr>
            <w:tcW w:w="825" w:type="pct"/>
            <w:tcBorders>
              <w:top w:val="nil"/>
              <w:left w:val="nil"/>
              <w:bottom w:val="single" w:sz="4" w:space="0" w:color="auto"/>
              <w:right w:val="single" w:sz="4" w:space="0" w:color="auto"/>
            </w:tcBorders>
            <w:noWrap/>
            <w:vAlign w:val="bottom"/>
            <w:hideMark/>
          </w:tcPr>
          <w:p w14:paraId="406B6366" w14:textId="77777777" w:rsidR="009F3374" w:rsidRPr="000E53A0" w:rsidRDefault="009F3374">
            <w:pPr>
              <w:rPr>
                <w:rFonts w:ascii="Avenir Next Regular" w:hAnsi="Avenir Next Regular" w:cs="Calibri"/>
                <w:b/>
                <w:bCs/>
                <w:color w:val="000000" w:themeColor="text1"/>
                <w:sz w:val="16"/>
                <w:szCs w:val="16"/>
                <w:lang w:val="fr-FR"/>
              </w:rPr>
            </w:pPr>
            <w:r w:rsidRPr="000E53A0">
              <w:rPr>
                <w:rFonts w:ascii="Avenir Next Regular" w:hAnsi="Avenir Next Regular" w:cs="Calibri"/>
                <w:b/>
                <w:bCs/>
                <w:color w:val="000000" w:themeColor="text1"/>
                <w:sz w:val="16"/>
                <w:szCs w:val="16"/>
                <w:lang w:val="fr-FR"/>
              </w:rPr>
              <w:t> </w:t>
            </w:r>
          </w:p>
        </w:tc>
        <w:tc>
          <w:tcPr>
            <w:tcW w:w="1129" w:type="pct"/>
            <w:tcBorders>
              <w:top w:val="nil"/>
              <w:left w:val="nil"/>
              <w:bottom w:val="single" w:sz="4" w:space="0" w:color="auto"/>
              <w:right w:val="single" w:sz="4" w:space="0" w:color="auto"/>
            </w:tcBorders>
            <w:hideMark/>
          </w:tcPr>
          <w:p w14:paraId="72D11E50" w14:textId="77777777" w:rsidR="009F3374" w:rsidRPr="000E53A0" w:rsidRDefault="009F3374">
            <w:pPr>
              <w:rPr>
                <w:rFonts w:ascii="Avenir Next Regular" w:hAnsi="Avenir Next Regular" w:cs="Calibri"/>
                <w:b/>
                <w:bCs/>
                <w:color w:val="000000" w:themeColor="text1"/>
                <w:sz w:val="16"/>
                <w:szCs w:val="16"/>
                <w:lang w:val="fr-FR"/>
              </w:rPr>
            </w:pPr>
            <w:r w:rsidRPr="000E53A0">
              <w:rPr>
                <w:rFonts w:ascii="Avenir Next Regular" w:hAnsi="Avenir Next Regular" w:cs="Calibri"/>
                <w:b/>
                <w:bCs/>
                <w:color w:val="000000" w:themeColor="text1"/>
                <w:sz w:val="16"/>
                <w:szCs w:val="16"/>
                <w:lang w:val="fr-FR"/>
              </w:rPr>
              <w:t> </w:t>
            </w:r>
          </w:p>
        </w:tc>
        <w:tc>
          <w:tcPr>
            <w:tcW w:w="1080" w:type="pct"/>
            <w:tcBorders>
              <w:top w:val="nil"/>
              <w:left w:val="nil"/>
              <w:bottom w:val="single" w:sz="4" w:space="0" w:color="auto"/>
              <w:right w:val="single" w:sz="4" w:space="0" w:color="auto"/>
            </w:tcBorders>
            <w:hideMark/>
          </w:tcPr>
          <w:p w14:paraId="5B84D03B" w14:textId="77777777" w:rsidR="00601D9B" w:rsidRPr="000E53A0" w:rsidRDefault="000E53A0">
            <w:pPr>
              <w:rPr>
                <w:rFonts w:ascii="Avenir Next Regular" w:hAnsi="Avenir Next Regular" w:cs="Calibri"/>
                <w:iCs/>
                <w:color w:val="000000" w:themeColor="text1"/>
                <w:sz w:val="16"/>
                <w:szCs w:val="16"/>
                <w:lang w:val="fr-FR"/>
              </w:rPr>
            </w:pPr>
            <w:r>
              <w:rPr>
                <w:color w:val="000000" w:themeColor="text1"/>
                <w:sz w:val="16"/>
                <w:szCs w:val="16"/>
              </w:rPr>
              <w:fldChar w:fldCharType="begin">
                <w:ffData>
                  <w:name w:val="IAP_cities"/>
                  <w:enabled/>
                  <w:calcOnExit w:val="0"/>
                  <w:checkBox>
                    <w:sizeAuto/>
                    <w:default w:val="0"/>
                  </w:checkBox>
                </w:ffData>
              </w:fldChar>
            </w:r>
            <w:r w:rsidRPr="000E53A0">
              <w:rPr>
                <w:color w:val="000000" w:themeColor="text1"/>
                <w:sz w:val="16"/>
                <w:szCs w:val="16"/>
                <w:lang w:val="fr-FR"/>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sidRPr="000E53A0">
              <w:rPr>
                <w:rFonts w:ascii="Avenir Next Regular" w:hAnsi="Avenir Next Regular" w:cs="Calibri"/>
                <w:iCs/>
                <w:color w:val="000000" w:themeColor="text1"/>
                <w:sz w:val="16"/>
                <w:szCs w:val="16"/>
                <w:lang w:val="fr-FR"/>
              </w:rPr>
              <w:t>L'élévation du niveau de la mer</w:t>
            </w:r>
          </w:p>
        </w:tc>
      </w:tr>
      <w:tr w:rsidR="009F3374" w14:paraId="00981591" w14:textId="77777777" w:rsidTr="009F3374">
        <w:trPr>
          <w:trHeight w:val="58"/>
        </w:trPr>
        <w:tc>
          <w:tcPr>
            <w:tcW w:w="1966" w:type="pct"/>
            <w:tcBorders>
              <w:top w:val="nil"/>
              <w:left w:val="single" w:sz="4" w:space="0" w:color="auto"/>
              <w:bottom w:val="single" w:sz="4" w:space="0" w:color="auto"/>
              <w:right w:val="single" w:sz="4" w:space="0" w:color="auto"/>
            </w:tcBorders>
            <w:noWrap/>
            <w:vAlign w:val="bottom"/>
          </w:tcPr>
          <w:p w14:paraId="46D600E8" w14:textId="77777777" w:rsidR="009F3374" w:rsidRPr="000E53A0" w:rsidRDefault="009F3374">
            <w:pPr>
              <w:rPr>
                <w:rFonts w:ascii="Avenir Next Regular" w:hAnsi="Avenir Next Regular" w:cs="Calibri"/>
                <w:b/>
                <w:bCs/>
                <w:color w:val="000000" w:themeColor="text1"/>
                <w:sz w:val="16"/>
                <w:szCs w:val="16"/>
                <w:lang w:val="fr-FR"/>
              </w:rPr>
            </w:pPr>
          </w:p>
        </w:tc>
        <w:tc>
          <w:tcPr>
            <w:tcW w:w="825" w:type="pct"/>
            <w:tcBorders>
              <w:top w:val="nil"/>
              <w:left w:val="nil"/>
              <w:bottom w:val="single" w:sz="4" w:space="0" w:color="auto"/>
              <w:right w:val="single" w:sz="4" w:space="0" w:color="auto"/>
            </w:tcBorders>
            <w:noWrap/>
            <w:vAlign w:val="bottom"/>
          </w:tcPr>
          <w:p w14:paraId="1AEDA252" w14:textId="77777777" w:rsidR="009F3374" w:rsidRPr="000E53A0" w:rsidRDefault="009F3374">
            <w:pPr>
              <w:rPr>
                <w:rFonts w:ascii="Avenir Next Regular" w:hAnsi="Avenir Next Regular" w:cs="Calibri"/>
                <w:b/>
                <w:bCs/>
                <w:color w:val="000000" w:themeColor="text1"/>
                <w:sz w:val="16"/>
                <w:szCs w:val="16"/>
                <w:lang w:val="fr-FR"/>
              </w:rPr>
            </w:pPr>
          </w:p>
        </w:tc>
        <w:tc>
          <w:tcPr>
            <w:tcW w:w="1129" w:type="pct"/>
            <w:tcBorders>
              <w:top w:val="nil"/>
              <w:left w:val="nil"/>
              <w:bottom w:val="single" w:sz="4" w:space="0" w:color="auto"/>
              <w:right w:val="single" w:sz="4" w:space="0" w:color="auto"/>
            </w:tcBorders>
          </w:tcPr>
          <w:p w14:paraId="2978D5B1" w14:textId="77777777" w:rsidR="009F3374" w:rsidRPr="000E53A0" w:rsidRDefault="009F3374">
            <w:pPr>
              <w:rPr>
                <w:rFonts w:ascii="Avenir Next Regular" w:hAnsi="Avenir Next Regular" w:cs="Calibri"/>
                <w:b/>
                <w:bCs/>
                <w:color w:val="000000" w:themeColor="text1"/>
                <w:sz w:val="16"/>
                <w:szCs w:val="16"/>
                <w:lang w:val="fr-FR"/>
              </w:rPr>
            </w:pPr>
          </w:p>
        </w:tc>
        <w:tc>
          <w:tcPr>
            <w:tcW w:w="1080" w:type="pct"/>
            <w:tcBorders>
              <w:top w:val="nil"/>
              <w:left w:val="nil"/>
              <w:bottom w:val="single" w:sz="4" w:space="0" w:color="auto"/>
              <w:right w:val="single" w:sz="4" w:space="0" w:color="auto"/>
            </w:tcBorders>
            <w:hideMark/>
          </w:tcPr>
          <w:p w14:paraId="1BAAC018" w14:textId="77777777" w:rsidR="00601D9B" w:rsidRDefault="000E53A0">
            <w:pPr>
              <w:rPr>
                <w:color w:val="000000" w:themeColor="text1"/>
                <w:sz w:val="16"/>
                <w:szCs w:val="16"/>
              </w:rPr>
            </w:pPr>
            <w:r>
              <w:rPr>
                <w:color w:val="000000" w:themeColor="text1"/>
              </w:rPr>
              <w:sym w:font="Symbol" w:char="F0C4"/>
            </w:r>
            <w:r>
              <w:rPr>
                <w:color w:val="000000" w:themeColor="text1"/>
                <w:sz w:val="16"/>
                <w:szCs w:val="16"/>
              </w:rPr>
              <w:t>Résilience climatique</w:t>
            </w:r>
          </w:p>
        </w:tc>
      </w:tr>
      <w:tr w:rsidR="009F3374" w14:paraId="5119AB9C" w14:textId="77777777" w:rsidTr="009F3374">
        <w:trPr>
          <w:trHeight w:val="58"/>
        </w:trPr>
        <w:tc>
          <w:tcPr>
            <w:tcW w:w="1966" w:type="pct"/>
            <w:tcBorders>
              <w:top w:val="nil"/>
              <w:left w:val="single" w:sz="4" w:space="0" w:color="auto"/>
              <w:bottom w:val="single" w:sz="4" w:space="0" w:color="auto"/>
              <w:right w:val="single" w:sz="4" w:space="0" w:color="auto"/>
            </w:tcBorders>
            <w:noWrap/>
            <w:vAlign w:val="bottom"/>
            <w:hideMark/>
          </w:tcPr>
          <w:p w14:paraId="657FFBAB"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noWrap/>
            <w:vAlign w:val="bottom"/>
            <w:hideMark/>
          </w:tcPr>
          <w:p w14:paraId="79E6BE76"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2425BD63"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080" w:type="pct"/>
            <w:tcBorders>
              <w:top w:val="nil"/>
              <w:left w:val="nil"/>
              <w:bottom w:val="single" w:sz="4" w:space="0" w:color="auto"/>
              <w:right w:val="single" w:sz="4" w:space="0" w:color="auto"/>
            </w:tcBorders>
            <w:hideMark/>
          </w:tcPr>
          <w:p w14:paraId="56DF5701" w14:textId="77777777" w:rsidR="00601D9B" w:rsidRDefault="000E53A0">
            <w:pPr>
              <w:rPr>
                <w:rFonts w:ascii="Avenir Next Regular" w:hAnsi="Avenir Next Regular" w:cs="Calibri"/>
                <w:iCs/>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iCs/>
                <w:color w:val="000000" w:themeColor="text1"/>
                <w:sz w:val="16"/>
                <w:szCs w:val="16"/>
              </w:rPr>
              <w:t>Informations sur le climat</w:t>
            </w:r>
          </w:p>
        </w:tc>
      </w:tr>
      <w:tr w:rsidR="009F3374" w:rsidRPr="000E53A0" w14:paraId="60DE10A7" w14:textId="77777777" w:rsidTr="009F3374">
        <w:trPr>
          <w:trHeight w:val="58"/>
        </w:trPr>
        <w:tc>
          <w:tcPr>
            <w:tcW w:w="1966" w:type="pct"/>
            <w:tcBorders>
              <w:top w:val="nil"/>
              <w:left w:val="single" w:sz="4" w:space="0" w:color="auto"/>
              <w:bottom w:val="single" w:sz="4" w:space="0" w:color="auto"/>
              <w:right w:val="single" w:sz="4" w:space="0" w:color="auto"/>
            </w:tcBorders>
            <w:noWrap/>
            <w:vAlign w:val="bottom"/>
            <w:hideMark/>
          </w:tcPr>
          <w:p w14:paraId="60D96F3D"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noWrap/>
            <w:vAlign w:val="bottom"/>
            <w:hideMark/>
          </w:tcPr>
          <w:p w14:paraId="108D62C3"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1B128006"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080" w:type="pct"/>
            <w:tcBorders>
              <w:top w:val="nil"/>
              <w:left w:val="nil"/>
              <w:bottom w:val="single" w:sz="4" w:space="0" w:color="auto"/>
              <w:right w:val="single" w:sz="4" w:space="0" w:color="auto"/>
            </w:tcBorders>
            <w:hideMark/>
          </w:tcPr>
          <w:p w14:paraId="2FC62DF6" w14:textId="77777777" w:rsidR="00601D9B" w:rsidRPr="000E53A0" w:rsidRDefault="000E53A0">
            <w:pPr>
              <w:rPr>
                <w:rFonts w:ascii="Avenir Next Regular" w:hAnsi="Avenir Next Regular" w:cs="Calibri"/>
                <w:iCs/>
                <w:color w:val="000000" w:themeColor="text1"/>
                <w:sz w:val="16"/>
                <w:szCs w:val="16"/>
                <w:lang w:val="fr-FR"/>
              </w:rPr>
            </w:pPr>
            <w:r>
              <w:rPr>
                <w:color w:val="000000" w:themeColor="text1"/>
              </w:rPr>
              <w:sym w:font="Symbol" w:char="F0C4"/>
            </w:r>
            <w:r w:rsidRPr="000E53A0">
              <w:rPr>
                <w:rFonts w:ascii="Avenir Next Regular" w:hAnsi="Avenir Next Regular" w:cs="Calibri"/>
                <w:iCs/>
                <w:color w:val="000000" w:themeColor="text1"/>
                <w:sz w:val="16"/>
                <w:szCs w:val="16"/>
                <w:lang w:val="fr-FR"/>
              </w:rPr>
              <w:t>Adaptation basée sur le cosystème</w:t>
            </w:r>
          </w:p>
        </w:tc>
      </w:tr>
      <w:tr w:rsidR="009F3374" w14:paraId="4A437382" w14:textId="77777777" w:rsidTr="009F3374">
        <w:trPr>
          <w:trHeight w:val="58"/>
        </w:trPr>
        <w:tc>
          <w:tcPr>
            <w:tcW w:w="1966" w:type="pct"/>
            <w:tcBorders>
              <w:top w:val="nil"/>
              <w:left w:val="single" w:sz="4" w:space="0" w:color="auto"/>
              <w:bottom w:val="single" w:sz="4" w:space="0" w:color="auto"/>
              <w:right w:val="single" w:sz="4" w:space="0" w:color="auto"/>
            </w:tcBorders>
            <w:noWrap/>
            <w:vAlign w:val="bottom"/>
            <w:hideMark/>
          </w:tcPr>
          <w:p w14:paraId="4231D226" w14:textId="77777777" w:rsidR="009F3374" w:rsidRPr="000E53A0" w:rsidRDefault="009F3374">
            <w:pPr>
              <w:rPr>
                <w:rFonts w:ascii="Avenir Next Regular" w:hAnsi="Avenir Next Regular" w:cs="Calibri"/>
                <w:b/>
                <w:bCs/>
                <w:color w:val="000000" w:themeColor="text1"/>
                <w:sz w:val="16"/>
                <w:szCs w:val="16"/>
                <w:lang w:val="fr-FR"/>
              </w:rPr>
            </w:pPr>
            <w:r w:rsidRPr="000E53A0">
              <w:rPr>
                <w:rFonts w:ascii="Avenir Next Regular" w:hAnsi="Avenir Next Regular" w:cs="Calibri"/>
                <w:b/>
                <w:bCs/>
                <w:color w:val="000000" w:themeColor="text1"/>
                <w:sz w:val="16"/>
                <w:szCs w:val="16"/>
                <w:lang w:val="fr-FR"/>
              </w:rPr>
              <w:t> </w:t>
            </w:r>
          </w:p>
        </w:tc>
        <w:tc>
          <w:tcPr>
            <w:tcW w:w="825" w:type="pct"/>
            <w:tcBorders>
              <w:top w:val="nil"/>
              <w:left w:val="nil"/>
              <w:bottom w:val="single" w:sz="4" w:space="0" w:color="auto"/>
              <w:right w:val="single" w:sz="4" w:space="0" w:color="auto"/>
            </w:tcBorders>
            <w:noWrap/>
            <w:vAlign w:val="bottom"/>
            <w:hideMark/>
          </w:tcPr>
          <w:p w14:paraId="0C57E2D6" w14:textId="77777777" w:rsidR="009F3374" w:rsidRPr="000E53A0" w:rsidRDefault="009F3374">
            <w:pPr>
              <w:rPr>
                <w:rFonts w:ascii="Avenir Next Regular" w:hAnsi="Avenir Next Regular" w:cs="Calibri"/>
                <w:b/>
                <w:bCs/>
                <w:color w:val="000000" w:themeColor="text1"/>
                <w:sz w:val="16"/>
                <w:szCs w:val="16"/>
                <w:lang w:val="fr-FR"/>
              </w:rPr>
            </w:pPr>
            <w:r w:rsidRPr="000E53A0">
              <w:rPr>
                <w:rFonts w:ascii="Avenir Next Regular" w:hAnsi="Avenir Next Regular" w:cs="Calibri"/>
                <w:b/>
                <w:bCs/>
                <w:color w:val="000000" w:themeColor="text1"/>
                <w:sz w:val="16"/>
                <w:szCs w:val="16"/>
                <w:lang w:val="fr-FR"/>
              </w:rPr>
              <w:t> </w:t>
            </w:r>
          </w:p>
        </w:tc>
        <w:tc>
          <w:tcPr>
            <w:tcW w:w="1129" w:type="pct"/>
            <w:tcBorders>
              <w:top w:val="nil"/>
              <w:left w:val="nil"/>
              <w:bottom w:val="single" w:sz="4" w:space="0" w:color="auto"/>
              <w:right w:val="single" w:sz="4" w:space="0" w:color="auto"/>
            </w:tcBorders>
            <w:hideMark/>
          </w:tcPr>
          <w:p w14:paraId="22A5D5DB" w14:textId="77777777" w:rsidR="009F3374" w:rsidRPr="000E53A0" w:rsidRDefault="009F3374">
            <w:pPr>
              <w:rPr>
                <w:rFonts w:ascii="Avenir Next Regular" w:hAnsi="Avenir Next Regular" w:cs="Calibri"/>
                <w:b/>
                <w:bCs/>
                <w:color w:val="000000" w:themeColor="text1"/>
                <w:sz w:val="16"/>
                <w:szCs w:val="16"/>
                <w:lang w:val="fr-FR"/>
              </w:rPr>
            </w:pPr>
            <w:r w:rsidRPr="000E53A0">
              <w:rPr>
                <w:rFonts w:ascii="Avenir Next Regular" w:hAnsi="Avenir Next Regular" w:cs="Calibri"/>
                <w:b/>
                <w:bCs/>
                <w:color w:val="000000" w:themeColor="text1"/>
                <w:sz w:val="16"/>
                <w:szCs w:val="16"/>
                <w:lang w:val="fr-FR"/>
              </w:rPr>
              <w:t> </w:t>
            </w:r>
          </w:p>
        </w:tc>
        <w:tc>
          <w:tcPr>
            <w:tcW w:w="1080" w:type="pct"/>
            <w:tcBorders>
              <w:top w:val="nil"/>
              <w:left w:val="nil"/>
              <w:bottom w:val="single" w:sz="4" w:space="0" w:color="auto"/>
              <w:right w:val="single" w:sz="4" w:space="0" w:color="auto"/>
            </w:tcBorders>
            <w:hideMark/>
          </w:tcPr>
          <w:p w14:paraId="4F09E92E" w14:textId="77777777" w:rsidR="00601D9B" w:rsidRDefault="000E53A0">
            <w:pPr>
              <w:rPr>
                <w:rFonts w:ascii="Avenir Next Regular" w:hAnsi="Avenir Next Regular" w:cs="Calibri"/>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color w:val="000000" w:themeColor="text1"/>
                <w:sz w:val="16"/>
                <w:szCs w:val="16"/>
              </w:rPr>
              <w:t>Transfert de technologie d'adaptation</w:t>
            </w:r>
          </w:p>
        </w:tc>
      </w:tr>
      <w:tr w:rsidR="009F3374" w14:paraId="4EC6559C" w14:textId="77777777" w:rsidTr="009F3374">
        <w:trPr>
          <w:trHeight w:val="58"/>
        </w:trPr>
        <w:tc>
          <w:tcPr>
            <w:tcW w:w="1966" w:type="pct"/>
            <w:tcBorders>
              <w:top w:val="nil"/>
              <w:left w:val="single" w:sz="4" w:space="0" w:color="auto"/>
              <w:bottom w:val="single" w:sz="4" w:space="0" w:color="auto"/>
              <w:right w:val="single" w:sz="4" w:space="0" w:color="auto"/>
            </w:tcBorders>
            <w:noWrap/>
            <w:vAlign w:val="bottom"/>
            <w:hideMark/>
          </w:tcPr>
          <w:p w14:paraId="18B32E5A"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noWrap/>
            <w:vAlign w:val="bottom"/>
            <w:hideMark/>
          </w:tcPr>
          <w:p w14:paraId="2D05EA4B"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56FA108B"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080" w:type="pct"/>
            <w:tcBorders>
              <w:top w:val="nil"/>
              <w:left w:val="nil"/>
              <w:bottom w:val="single" w:sz="4" w:space="0" w:color="auto"/>
              <w:right w:val="single" w:sz="4" w:space="0" w:color="auto"/>
            </w:tcBorders>
            <w:hideMark/>
          </w:tcPr>
          <w:p w14:paraId="52598168" w14:textId="77777777" w:rsidR="00601D9B" w:rsidRDefault="000E53A0">
            <w:pPr>
              <w:ind w:left="192" w:hanging="192"/>
              <w:rPr>
                <w:rFonts w:ascii="Avenir Next Regular" w:hAnsi="Avenir Next Regular" w:cs="Calibri"/>
                <w:color w:val="000000" w:themeColor="text1"/>
                <w:sz w:val="16"/>
                <w:szCs w:val="16"/>
              </w:rPr>
            </w:pPr>
            <w:r>
              <w:rPr>
                <w:color w:val="000000" w:themeColor="text1"/>
              </w:rPr>
              <w:sym w:font="Symbol" w:char="F0C4"/>
            </w:r>
            <w:r>
              <w:rPr>
                <w:rFonts w:ascii="Avenir Next Regular" w:hAnsi="Avenir Next Regular" w:cs="Calibri"/>
                <w:color w:val="000000" w:themeColor="text1"/>
                <w:sz w:val="16"/>
                <w:szCs w:val="16"/>
              </w:rPr>
              <w:t>Programme d'action national d'adaptation</w:t>
            </w:r>
          </w:p>
        </w:tc>
      </w:tr>
      <w:tr w:rsidR="009F3374" w14:paraId="4E37050D" w14:textId="77777777" w:rsidTr="009F3374">
        <w:trPr>
          <w:trHeight w:val="58"/>
        </w:trPr>
        <w:tc>
          <w:tcPr>
            <w:tcW w:w="1966" w:type="pct"/>
            <w:tcBorders>
              <w:top w:val="nil"/>
              <w:left w:val="single" w:sz="4" w:space="0" w:color="auto"/>
              <w:bottom w:val="single" w:sz="4" w:space="0" w:color="auto"/>
              <w:right w:val="single" w:sz="4" w:space="0" w:color="auto"/>
            </w:tcBorders>
            <w:noWrap/>
            <w:vAlign w:val="bottom"/>
            <w:hideMark/>
          </w:tcPr>
          <w:p w14:paraId="29CF31EB"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noWrap/>
            <w:vAlign w:val="bottom"/>
            <w:hideMark/>
          </w:tcPr>
          <w:p w14:paraId="0CBABB99"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72BB8B09"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080" w:type="pct"/>
            <w:tcBorders>
              <w:top w:val="nil"/>
              <w:left w:val="nil"/>
              <w:bottom w:val="single" w:sz="4" w:space="0" w:color="auto"/>
              <w:right w:val="single" w:sz="4" w:space="0" w:color="auto"/>
            </w:tcBorders>
            <w:hideMark/>
          </w:tcPr>
          <w:p w14:paraId="1FD1C9CA" w14:textId="77777777" w:rsidR="00601D9B" w:rsidRDefault="000E53A0">
            <w:pPr>
              <w:rPr>
                <w:rFonts w:ascii="Avenir Next Regular" w:hAnsi="Avenir Next Regular" w:cs="Calibri"/>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color w:val="000000" w:themeColor="text1"/>
                <w:sz w:val="16"/>
                <w:szCs w:val="16"/>
              </w:rPr>
              <w:t>Plan national d'adaptation</w:t>
            </w:r>
          </w:p>
        </w:tc>
      </w:tr>
      <w:tr w:rsidR="009F3374" w14:paraId="3693A0B2" w14:textId="77777777" w:rsidTr="009F3374">
        <w:trPr>
          <w:trHeight w:val="58"/>
        </w:trPr>
        <w:tc>
          <w:tcPr>
            <w:tcW w:w="1966" w:type="pct"/>
            <w:tcBorders>
              <w:top w:val="nil"/>
              <w:left w:val="single" w:sz="4" w:space="0" w:color="auto"/>
              <w:bottom w:val="single" w:sz="4" w:space="0" w:color="auto"/>
              <w:right w:val="single" w:sz="4" w:space="0" w:color="auto"/>
            </w:tcBorders>
            <w:noWrap/>
            <w:vAlign w:val="bottom"/>
            <w:hideMark/>
          </w:tcPr>
          <w:p w14:paraId="2FC9A62E"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noWrap/>
            <w:vAlign w:val="bottom"/>
            <w:hideMark/>
          </w:tcPr>
          <w:p w14:paraId="65F9001C"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1C86245D"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080" w:type="pct"/>
            <w:tcBorders>
              <w:top w:val="nil"/>
              <w:left w:val="nil"/>
              <w:bottom w:val="single" w:sz="4" w:space="0" w:color="auto"/>
              <w:right w:val="single" w:sz="4" w:space="0" w:color="auto"/>
            </w:tcBorders>
            <w:hideMark/>
          </w:tcPr>
          <w:p w14:paraId="612DD6BB" w14:textId="77777777" w:rsidR="00601D9B" w:rsidRDefault="000E53A0">
            <w:pPr>
              <w:rPr>
                <w:rFonts w:ascii="Avenir Next Regular" w:hAnsi="Avenir Next Regular" w:cs="Calibri"/>
                <w:color w:val="000000" w:themeColor="text1"/>
                <w:sz w:val="16"/>
                <w:szCs w:val="16"/>
              </w:rPr>
            </w:pPr>
            <w:r>
              <w:rPr>
                <w:color w:val="000000" w:themeColor="text1"/>
              </w:rPr>
              <w:sym w:font="Symbol" w:char="F0C4"/>
            </w:r>
            <w:r>
              <w:rPr>
                <w:rFonts w:ascii="Avenir Next Regular" w:hAnsi="Avenir Next Regular" w:cs="Calibri"/>
                <w:color w:val="000000" w:themeColor="text1"/>
                <w:sz w:val="16"/>
                <w:szCs w:val="16"/>
              </w:rPr>
              <w:t>Intégration de l'adaptation</w:t>
            </w:r>
          </w:p>
        </w:tc>
      </w:tr>
      <w:tr w:rsidR="009F3374" w14:paraId="560A9EA9" w14:textId="77777777" w:rsidTr="009F3374">
        <w:trPr>
          <w:trHeight w:val="58"/>
        </w:trPr>
        <w:tc>
          <w:tcPr>
            <w:tcW w:w="1966" w:type="pct"/>
            <w:tcBorders>
              <w:top w:val="nil"/>
              <w:left w:val="single" w:sz="4" w:space="0" w:color="auto"/>
              <w:bottom w:val="single" w:sz="4" w:space="0" w:color="auto"/>
              <w:right w:val="single" w:sz="4" w:space="0" w:color="auto"/>
            </w:tcBorders>
            <w:noWrap/>
            <w:vAlign w:val="bottom"/>
            <w:hideMark/>
          </w:tcPr>
          <w:p w14:paraId="5888A18F"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noWrap/>
            <w:vAlign w:val="bottom"/>
            <w:hideMark/>
          </w:tcPr>
          <w:p w14:paraId="0CAABD13"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0D243861"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080" w:type="pct"/>
            <w:tcBorders>
              <w:top w:val="nil"/>
              <w:left w:val="nil"/>
              <w:bottom w:val="single" w:sz="4" w:space="0" w:color="auto"/>
              <w:right w:val="single" w:sz="4" w:space="0" w:color="auto"/>
            </w:tcBorders>
            <w:hideMark/>
          </w:tcPr>
          <w:p w14:paraId="419396BD" w14:textId="77777777" w:rsidR="00601D9B" w:rsidRDefault="000E53A0">
            <w:pPr>
              <w:rPr>
                <w:rFonts w:ascii="Avenir Next Regular" w:hAnsi="Avenir Next Regular" w:cs="Calibri"/>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color w:val="000000" w:themeColor="text1"/>
                <w:sz w:val="16"/>
                <w:szCs w:val="16"/>
              </w:rPr>
              <w:t>Secteur privé</w:t>
            </w:r>
          </w:p>
        </w:tc>
      </w:tr>
      <w:tr w:rsidR="009F3374" w14:paraId="7C9AEC2D" w14:textId="77777777" w:rsidTr="009F3374">
        <w:trPr>
          <w:trHeight w:val="58"/>
        </w:trPr>
        <w:tc>
          <w:tcPr>
            <w:tcW w:w="1966" w:type="pct"/>
            <w:tcBorders>
              <w:top w:val="nil"/>
              <w:left w:val="single" w:sz="4" w:space="0" w:color="auto"/>
              <w:bottom w:val="single" w:sz="4" w:space="0" w:color="auto"/>
              <w:right w:val="single" w:sz="4" w:space="0" w:color="auto"/>
            </w:tcBorders>
            <w:noWrap/>
            <w:vAlign w:val="bottom"/>
            <w:hideMark/>
          </w:tcPr>
          <w:p w14:paraId="7075969A"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noWrap/>
            <w:vAlign w:val="bottom"/>
            <w:hideMark/>
          </w:tcPr>
          <w:p w14:paraId="6A1F90A6"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57FD1023"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080" w:type="pct"/>
            <w:tcBorders>
              <w:top w:val="nil"/>
              <w:left w:val="nil"/>
              <w:bottom w:val="single" w:sz="4" w:space="0" w:color="auto"/>
              <w:right w:val="single" w:sz="4" w:space="0" w:color="auto"/>
            </w:tcBorders>
            <w:hideMark/>
          </w:tcPr>
          <w:p w14:paraId="2260F4C5" w14:textId="77777777" w:rsidR="00601D9B" w:rsidRDefault="000E53A0">
            <w:pPr>
              <w:rPr>
                <w:rFonts w:ascii="Avenir Next Regular" w:hAnsi="Avenir Next Regular" w:cs="Calibri"/>
                <w:color w:val="000000" w:themeColor="text1"/>
                <w:sz w:val="16"/>
                <w:szCs w:val="16"/>
              </w:rPr>
            </w:pPr>
            <w:r>
              <w:rPr>
                <w:color w:val="000000" w:themeColor="text1"/>
              </w:rPr>
              <w:sym w:font="Symbol" w:char="F0C4"/>
            </w:r>
            <w:r>
              <w:rPr>
                <w:rFonts w:ascii="Avenir Next Regular" w:hAnsi="Avenir Next Regular" w:cs="Calibri"/>
                <w:color w:val="000000" w:themeColor="text1"/>
                <w:sz w:val="16"/>
                <w:szCs w:val="16"/>
              </w:rPr>
              <w:t>Innovation</w:t>
            </w:r>
          </w:p>
        </w:tc>
      </w:tr>
      <w:tr w:rsidR="009F3374" w14:paraId="1C39774B" w14:textId="77777777" w:rsidTr="009F3374">
        <w:trPr>
          <w:trHeight w:val="58"/>
        </w:trPr>
        <w:tc>
          <w:tcPr>
            <w:tcW w:w="1966" w:type="pct"/>
            <w:tcBorders>
              <w:top w:val="nil"/>
              <w:left w:val="single" w:sz="4" w:space="0" w:color="auto"/>
              <w:bottom w:val="single" w:sz="4" w:space="0" w:color="auto"/>
              <w:right w:val="single" w:sz="4" w:space="0" w:color="auto"/>
            </w:tcBorders>
            <w:noWrap/>
            <w:vAlign w:val="bottom"/>
            <w:hideMark/>
          </w:tcPr>
          <w:p w14:paraId="5E63668B"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noWrap/>
            <w:vAlign w:val="bottom"/>
            <w:hideMark/>
          </w:tcPr>
          <w:p w14:paraId="2661C76D"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102C6DC7"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080" w:type="pct"/>
            <w:tcBorders>
              <w:top w:val="nil"/>
              <w:left w:val="nil"/>
              <w:bottom w:val="single" w:sz="4" w:space="0" w:color="auto"/>
              <w:right w:val="single" w:sz="4" w:space="0" w:color="auto"/>
            </w:tcBorders>
            <w:hideMark/>
          </w:tcPr>
          <w:p w14:paraId="137C2238" w14:textId="77777777" w:rsidR="00601D9B" w:rsidRDefault="000E53A0">
            <w:pPr>
              <w:rPr>
                <w:rFonts w:ascii="Avenir Next Regular" w:hAnsi="Avenir Next Regular" w:cs="Calibri"/>
                <w:iCs/>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iCs/>
                <w:color w:val="000000" w:themeColor="text1"/>
                <w:sz w:val="16"/>
                <w:szCs w:val="16"/>
              </w:rPr>
              <w:t>Complémentarité</w:t>
            </w:r>
          </w:p>
        </w:tc>
      </w:tr>
      <w:tr w:rsidR="009F3374" w14:paraId="0205A098" w14:textId="77777777" w:rsidTr="009F3374">
        <w:trPr>
          <w:trHeight w:val="58"/>
        </w:trPr>
        <w:tc>
          <w:tcPr>
            <w:tcW w:w="1966" w:type="pct"/>
            <w:tcBorders>
              <w:top w:val="nil"/>
              <w:left w:val="single" w:sz="4" w:space="0" w:color="auto"/>
              <w:bottom w:val="single" w:sz="4" w:space="0" w:color="auto"/>
              <w:right w:val="single" w:sz="4" w:space="0" w:color="auto"/>
            </w:tcBorders>
            <w:noWrap/>
            <w:vAlign w:val="bottom"/>
            <w:hideMark/>
          </w:tcPr>
          <w:p w14:paraId="63A22D85"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lastRenderedPageBreak/>
              <w:t> </w:t>
            </w:r>
          </w:p>
        </w:tc>
        <w:tc>
          <w:tcPr>
            <w:tcW w:w="825" w:type="pct"/>
            <w:tcBorders>
              <w:top w:val="nil"/>
              <w:left w:val="nil"/>
              <w:bottom w:val="single" w:sz="4" w:space="0" w:color="auto"/>
              <w:right w:val="single" w:sz="4" w:space="0" w:color="auto"/>
            </w:tcBorders>
            <w:noWrap/>
            <w:vAlign w:val="bottom"/>
            <w:hideMark/>
          </w:tcPr>
          <w:p w14:paraId="5FB926C6"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5D116381"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080" w:type="pct"/>
            <w:tcBorders>
              <w:top w:val="nil"/>
              <w:left w:val="nil"/>
              <w:bottom w:val="single" w:sz="4" w:space="0" w:color="auto"/>
              <w:right w:val="single" w:sz="4" w:space="0" w:color="auto"/>
            </w:tcBorders>
            <w:hideMark/>
          </w:tcPr>
          <w:p w14:paraId="7F232314" w14:textId="77777777" w:rsidR="00601D9B" w:rsidRDefault="000E53A0">
            <w:pPr>
              <w:rPr>
                <w:rFonts w:ascii="Avenir Next Regular" w:hAnsi="Avenir Next Regular" w:cs="Calibri"/>
                <w:iCs/>
                <w:color w:val="000000" w:themeColor="text1"/>
                <w:sz w:val="16"/>
                <w:szCs w:val="16"/>
              </w:rPr>
            </w:pPr>
            <w:r>
              <w:rPr>
                <w:color w:val="000000" w:themeColor="text1"/>
              </w:rPr>
              <w:sym w:font="Symbol" w:char="F0C4"/>
            </w:r>
            <w:r>
              <w:rPr>
                <w:rFonts w:ascii="Avenir Next Regular" w:hAnsi="Avenir Next Regular" w:cs="Calibri"/>
                <w:iCs/>
                <w:color w:val="000000" w:themeColor="text1"/>
                <w:sz w:val="16"/>
                <w:szCs w:val="16"/>
              </w:rPr>
              <w:t>Adaptation à base communautaire</w:t>
            </w:r>
          </w:p>
        </w:tc>
      </w:tr>
      <w:tr w:rsidR="009F3374" w14:paraId="1CA38539" w14:textId="77777777" w:rsidTr="009F3374">
        <w:trPr>
          <w:trHeight w:val="58"/>
        </w:trPr>
        <w:tc>
          <w:tcPr>
            <w:tcW w:w="1966" w:type="pct"/>
            <w:tcBorders>
              <w:top w:val="nil"/>
              <w:left w:val="single" w:sz="4" w:space="0" w:color="auto"/>
              <w:bottom w:val="single" w:sz="4" w:space="0" w:color="auto"/>
              <w:right w:val="single" w:sz="4" w:space="0" w:color="auto"/>
            </w:tcBorders>
            <w:noWrap/>
            <w:vAlign w:val="bottom"/>
            <w:hideMark/>
          </w:tcPr>
          <w:p w14:paraId="2CEE911B"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noWrap/>
            <w:vAlign w:val="bottom"/>
            <w:hideMark/>
          </w:tcPr>
          <w:p w14:paraId="574180E4"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06FA91A2"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080" w:type="pct"/>
            <w:tcBorders>
              <w:top w:val="nil"/>
              <w:left w:val="nil"/>
              <w:bottom w:val="single" w:sz="4" w:space="0" w:color="auto"/>
              <w:right w:val="single" w:sz="4" w:space="0" w:color="auto"/>
            </w:tcBorders>
            <w:hideMark/>
          </w:tcPr>
          <w:p w14:paraId="55B1AF6B" w14:textId="77777777" w:rsidR="00601D9B" w:rsidRDefault="000E53A0">
            <w:pPr>
              <w:rPr>
                <w:rFonts w:ascii="Avenir Next Regular" w:hAnsi="Avenir Next Regular" w:cs="Calibri"/>
                <w:iCs/>
                <w:color w:val="000000" w:themeColor="text1"/>
                <w:sz w:val="16"/>
                <w:szCs w:val="16"/>
              </w:rPr>
            </w:pPr>
            <w:r>
              <w:rPr>
                <w:color w:val="000000" w:themeColor="text1"/>
              </w:rPr>
              <w:sym w:font="Symbol" w:char="F0C4"/>
            </w:r>
            <w:r>
              <w:rPr>
                <w:rFonts w:ascii="Avenir Next Regular" w:hAnsi="Avenir Next Regular" w:cs="Calibri"/>
                <w:iCs/>
                <w:color w:val="000000" w:themeColor="text1"/>
                <w:sz w:val="16"/>
                <w:szCs w:val="16"/>
              </w:rPr>
              <w:t>Moyens de subsistance</w:t>
            </w:r>
          </w:p>
        </w:tc>
      </w:tr>
      <w:tr w:rsidR="009F3374" w14:paraId="2D85B022" w14:textId="77777777" w:rsidTr="009F3374">
        <w:trPr>
          <w:trHeight w:val="134"/>
        </w:trPr>
        <w:tc>
          <w:tcPr>
            <w:tcW w:w="1966" w:type="pct"/>
            <w:tcBorders>
              <w:top w:val="nil"/>
              <w:left w:val="single" w:sz="4" w:space="0" w:color="auto"/>
              <w:bottom w:val="single" w:sz="4" w:space="0" w:color="auto"/>
              <w:right w:val="single" w:sz="4" w:space="0" w:color="auto"/>
            </w:tcBorders>
            <w:noWrap/>
            <w:vAlign w:val="bottom"/>
            <w:hideMark/>
          </w:tcPr>
          <w:p w14:paraId="483A9E05"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noWrap/>
            <w:vAlign w:val="bottom"/>
            <w:hideMark/>
          </w:tcPr>
          <w:p w14:paraId="0BCCF625"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510B9220" w14:textId="77777777" w:rsidR="00601D9B" w:rsidRDefault="000E53A0">
            <w:pPr>
              <w:rPr>
                <w:rFonts w:ascii="Avenir Next Regular" w:hAnsi="Avenir Next Regular" w:cs="Calibri"/>
                <w:b/>
                <w:bCs/>
                <w:color w:val="000000" w:themeColor="text1"/>
                <w:sz w:val="16"/>
                <w:szCs w:val="16"/>
              </w:rPr>
            </w:pPr>
            <w:r>
              <w:rPr>
                <w:color w:val="000000" w:themeColor="text1"/>
              </w:rPr>
              <w:sym w:font="Symbol" w:char="F0C4"/>
            </w:r>
            <w:r>
              <w:rPr>
                <w:rFonts w:ascii="Avenir Next Regular" w:hAnsi="Avenir Next Regular" w:cs="Calibri"/>
                <w:b/>
                <w:bCs/>
                <w:color w:val="000000" w:themeColor="text1"/>
                <w:sz w:val="16"/>
                <w:szCs w:val="16"/>
              </w:rPr>
              <w:t>Atténuation du changement climatique</w:t>
            </w:r>
          </w:p>
        </w:tc>
        <w:tc>
          <w:tcPr>
            <w:tcW w:w="1080" w:type="pct"/>
            <w:tcBorders>
              <w:top w:val="nil"/>
              <w:left w:val="nil"/>
              <w:bottom w:val="single" w:sz="4" w:space="0" w:color="auto"/>
              <w:right w:val="single" w:sz="4" w:space="0" w:color="auto"/>
            </w:tcBorders>
          </w:tcPr>
          <w:p w14:paraId="43F1C7AA" w14:textId="77777777" w:rsidR="009F3374" w:rsidRDefault="009F3374">
            <w:pPr>
              <w:rPr>
                <w:rFonts w:ascii="Avenir Next Regular" w:hAnsi="Avenir Next Regular" w:cs="Calibri"/>
                <w:iCs/>
                <w:color w:val="000000" w:themeColor="text1"/>
                <w:sz w:val="16"/>
                <w:szCs w:val="16"/>
              </w:rPr>
            </w:pPr>
          </w:p>
        </w:tc>
      </w:tr>
      <w:tr w:rsidR="009F3374" w:rsidRPr="000E53A0" w14:paraId="6345B6A5" w14:textId="77777777" w:rsidTr="009F3374">
        <w:trPr>
          <w:trHeight w:val="134"/>
        </w:trPr>
        <w:tc>
          <w:tcPr>
            <w:tcW w:w="1966" w:type="pct"/>
            <w:tcBorders>
              <w:top w:val="nil"/>
              <w:left w:val="single" w:sz="4" w:space="0" w:color="auto"/>
              <w:bottom w:val="single" w:sz="4" w:space="0" w:color="auto"/>
              <w:right w:val="single" w:sz="4" w:space="0" w:color="auto"/>
            </w:tcBorders>
            <w:noWrap/>
            <w:vAlign w:val="bottom"/>
          </w:tcPr>
          <w:p w14:paraId="7CC2C6FD" w14:textId="77777777" w:rsidR="009F3374" w:rsidRDefault="009F3374">
            <w:pPr>
              <w:rPr>
                <w:rFonts w:ascii="Avenir Next Regular" w:hAnsi="Avenir Next Regular" w:cs="Calibri"/>
                <w:b/>
                <w:bCs/>
                <w:color w:val="000000" w:themeColor="text1"/>
                <w:sz w:val="16"/>
                <w:szCs w:val="16"/>
              </w:rPr>
            </w:pPr>
          </w:p>
        </w:tc>
        <w:tc>
          <w:tcPr>
            <w:tcW w:w="825" w:type="pct"/>
            <w:tcBorders>
              <w:top w:val="nil"/>
              <w:left w:val="nil"/>
              <w:bottom w:val="single" w:sz="4" w:space="0" w:color="auto"/>
              <w:right w:val="single" w:sz="4" w:space="0" w:color="auto"/>
            </w:tcBorders>
            <w:noWrap/>
            <w:vAlign w:val="bottom"/>
          </w:tcPr>
          <w:p w14:paraId="5758D26B" w14:textId="77777777" w:rsidR="009F3374" w:rsidRDefault="009F3374">
            <w:pPr>
              <w:rPr>
                <w:rFonts w:ascii="Avenir Next Regular" w:hAnsi="Avenir Next Regular" w:cs="Calibri"/>
                <w:b/>
                <w:bCs/>
                <w:color w:val="000000" w:themeColor="text1"/>
                <w:sz w:val="16"/>
                <w:szCs w:val="16"/>
              </w:rPr>
            </w:pPr>
          </w:p>
        </w:tc>
        <w:tc>
          <w:tcPr>
            <w:tcW w:w="1129" w:type="pct"/>
            <w:tcBorders>
              <w:top w:val="nil"/>
              <w:left w:val="nil"/>
              <w:bottom w:val="single" w:sz="4" w:space="0" w:color="auto"/>
              <w:right w:val="single" w:sz="4" w:space="0" w:color="auto"/>
            </w:tcBorders>
          </w:tcPr>
          <w:p w14:paraId="058D2C1D" w14:textId="77777777" w:rsidR="009F3374" w:rsidRDefault="009F3374">
            <w:pPr>
              <w:rPr>
                <w:color w:val="000000" w:themeColor="text1"/>
                <w:sz w:val="16"/>
                <w:szCs w:val="16"/>
              </w:rPr>
            </w:pPr>
          </w:p>
        </w:tc>
        <w:tc>
          <w:tcPr>
            <w:tcW w:w="1080" w:type="pct"/>
            <w:tcBorders>
              <w:top w:val="nil"/>
              <w:left w:val="nil"/>
              <w:bottom w:val="single" w:sz="4" w:space="0" w:color="auto"/>
              <w:right w:val="single" w:sz="4" w:space="0" w:color="auto"/>
            </w:tcBorders>
            <w:hideMark/>
          </w:tcPr>
          <w:p w14:paraId="13E214D4" w14:textId="77777777" w:rsidR="00601D9B" w:rsidRPr="000E53A0" w:rsidRDefault="000E53A0">
            <w:pPr>
              <w:rPr>
                <w:color w:val="000000" w:themeColor="text1"/>
                <w:sz w:val="16"/>
                <w:szCs w:val="16"/>
                <w:lang w:val="fr-FR"/>
              </w:rPr>
            </w:pPr>
            <w:r>
              <w:rPr>
                <w:color w:val="000000" w:themeColor="text1"/>
              </w:rPr>
              <w:sym w:font="Symbol" w:char="F0C4"/>
            </w:r>
            <w:r w:rsidRPr="000E53A0">
              <w:rPr>
                <w:rFonts w:ascii="Avenir Next Regular" w:hAnsi="Avenir Next Regular" w:cs="Calibri"/>
                <w:iCs/>
                <w:color w:val="000000" w:themeColor="text1"/>
                <w:sz w:val="16"/>
                <w:szCs w:val="16"/>
                <w:lang w:val="fr-FR"/>
              </w:rPr>
              <w:t>Agriculture, sylviculture et autres utilisations des sols</w:t>
            </w:r>
          </w:p>
        </w:tc>
      </w:tr>
      <w:tr w:rsidR="009F3374" w14:paraId="07D39AF4" w14:textId="77777777" w:rsidTr="009F3374">
        <w:trPr>
          <w:trHeight w:val="58"/>
        </w:trPr>
        <w:tc>
          <w:tcPr>
            <w:tcW w:w="1966" w:type="pct"/>
            <w:tcBorders>
              <w:top w:val="nil"/>
              <w:left w:val="single" w:sz="4" w:space="0" w:color="auto"/>
              <w:bottom w:val="single" w:sz="4" w:space="0" w:color="auto"/>
              <w:right w:val="single" w:sz="4" w:space="0" w:color="auto"/>
            </w:tcBorders>
            <w:noWrap/>
            <w:vAlign w:val="bottom"/>
            <w:hideMark/>
          </w:tcPr>
          <w:p w14:paraId="047CC989" w14:textId="77777777" w:rsidR="009F3374" w:rsidRPr="000E53A0" w:rsidRDefault="009F3374">
            <w:pPr>
              <w:rPr>
                <w:rFonts w:ascii="Avenir Next Regular" w:hAnsi="Avenir Next Regular" w:cs="Calibri"/>
                <w:b/>
                <w:bCs/>
                <w:color w:val="000000" w:themeColor="text1"/>
                <w:sz w:val="16"/>
                <w:szCs w:val="16"/>
                <w:lang w:val="fr-FR"/>
              </w:rPr>
            </w:pPr>
            <w:r w:rsidRPr="000E53A0">
              <w:rPr>
                <w:rFonts w:ascii="Avenir Next Regular" w:hAnsi="Avenir Next Regular" w:cs="Calibri"/>
                <w:b/>
                <w:bCs/>
                <w:color w:val="000000" w:themeColor="text1"/>
                <w:sz w:val="16"/>
                <w:szCs w:val="16"/>
                <w:lang w:val="fr-FR"/>
              </w:rPr>
              <w:t> </w:t>
            </w:r>
          </w:p>
        </w:tc>
        <w:tc>
          <w:tcPr>
            <w:tcW w:w="825" w:type="pct"/>
            <w:tcBorders>
              <w:top w:val="nil"/>
              <w:left w:val="nil"/>
              <w:bottom w:val="single" w:sz="4" w:space="0" w:color="auto"/>
              <w:right w:val="single" w:sz="4" w:space="0" w:color="auto"/>
            </w:tcBorders>
            <w:noWrap/>
            <w:vAlign w:val="bottom"/>
            <w:hideMark/>
          </w:tcPr>
          <w:p w14:paraId="424C4E55" w14:textId="77777777" w:rsidR="009F3374" w:rsidRPr="000E53A0" w:rsidRDefault="009F3374">
            <w:pPr>
              <w:rPr>
                <w:rFonts w:ascii="Avenir Next Regular" w:hAnsi="Avenir Next Regular" w:cs="Calibri"/>
                <w:b/>
                <w:bCs/>
                <w:color w:val="000000" w:themeColor="text1"/>
                <w:sz w:val="16"/>
                <w:szCs w:val="16"/>
                <w:lang w:val="fr-FR"/>
              </w:rPr>
            </w:pPr>
            <w:r w:rsidRPr="000E53A0">
              <w:rPr>
                <w:rFonts w:ascii="Avenir Next Regular" w:hAnsi="Avenir Next Regular" w:cs="Calibri"/>
                <w:b/>
                <w:bCs/>
                <w:color w:val="000000" w:themeColor="text1"/>
                <w:sz w:val="16"/>
                <w:szCs w:val="16"/>
                <w:lang w:val="fr-FR"/>
              </w:rPr>
              <w:t> </w:t>
            </w:r>
          </w:p>
        </w:tc>
        <w:tc>
          <w:tcPr>
            <w:tcW w:w="1129" w:type="pct"/>
            <w:tcBorders>
              <w:top w:val="nil"/>
              <w:left w:val="nil"/>
              <w:bottom w:val="single" w:sz="4" w:space="0" w:color="auto"/>
              <w:right w:val="single" w:sz="4" w:space="0" w:color="auto"/>
            </w:tcBorders>
            <w:hideMark/>
          </w:tcPr>
          <w:p w14:paraId="0465EA40" w14:textId="77777777" w:rsidR="009F3374" w:rsidRPr="000E53A0" w:rsidRDefault="009F3374">
            <w:pPr>
              <w:rPr>
                <w:rFonts w:ascii="Avenir Next Regular" w:hAnsi="Avenir Next Regular" w:cs="Calibri"/>
                <w:b/>
                <w:bCs/>
                <w:color w:val="000000" w:themeColor="text1"/>
                <w:sz w:val="16"/>
                <w:szCs w:val="16"/>
                <w:lang w:val="fr-FR"/>
              </w:rPr>
            </w:pPr>
            <w:r w:rsidRPr="000E53A0">
              <w:rPr>
                <w:rFonts w:ascii="Avenir Next Regular" w:hAnsi="Avenir Next Regular" w:cs="Calibri"/>
                <w:b/>
                <w:bCs/>
                <w:color w:val="000000" w:themeColor="text1"/>
                <w:sz w:val="16"/>
                <w:szCs w:val="16"/>
                <w:lang w:val="fr-FR"/>
              </w:rPr>
              <w:t> </w:t>
            </w:r>
          </w:p>
        </w:tc>
        <w:tc>
          <w:tcPr>
            <w:tcW w:w="1080" w:type="pct"/>
            <w:tcBorders>
              <w:top w:val="nil"/>
              <w:left w:val="nil"/>
              <w:bottom w:val="single" w:sz="4" w:space="0" w:color="auto"/>
              <w:right w:val="single" w:sz="4" w:space="0" w:color="auto"/>
            </w:tcBorders>
            <w:hideMark/>
          </w:tcPr>
          <w:p w14:paraId="54D844C8" w14:textId="77777777" w:rsidR="00601D9B" w:rsidRDefault="000E53A0">
            <w:pPr>
              <w:rPr>
                <w:rFonts w:ascii="Avenir Next Regular" w:hAnsi="Avenir Next Regular" w:cs="Calibri"/>
                <w:iCs/>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iCs/>
                <w:color w:val="000000" w:themeColor="text1"/>
                <w:sz w:val="16"/>
                <w:szCs w:val="16"/>
              </w:rPr>
              <w:t>Efficacité énergétique</w:t>
            </w:r>
          </w:p>
        </w:tc>
      </w:tr>
      <w:tr w:rsidR="009F3374" w:rsidRPr="000E53A0" w14:paraId="51541609" w14:textId="77777777" w:rsidTr="009F3374">
        <w:trPr>
          <w:trHeight w:val="215"/>
        </w:trPr>
        <w:tc>
          <w:tcPr>
            <w:tcW w:w="1966" w:type="pct"/>
            <w:tcBorders>
              <w:top w:val="nil"/>
              <w:left w:val="single" w:sz="4" w:space="0" w:color="auto"/>
              <w:bottom w:val="single" w:sz="4" w:space="0" w:color="auto"/>
              <w:right w:val="single" w:sz="4" w:space="0" w:color="auto"/>
            </w:tcBorders>
            <w:noWrap/>
            <w:vAlign w:val="bottom"/>
            <w:hideMark/>
          </w:tcPr>
          <w:p w14:paraId="5BEC4480"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noWrap/>
            <w:vAlign w:val="bottom"/>
            <w:hideMark/>
          </w:tcPr>
          <w:p w14:paraId="120CD5BE"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11709B70"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080" w:type="pct"/>
            <w:tcBorders>
              <w:top w:val="nil"/>
              <w:left w:val="nil"/>
              <w:bottom w:val="single" w:sz="4" w:space="0" w:color="auto"/>
              <w:right w:val="single" w:sz="4" w:space="0" w:color="auto"/>
            </w:tcBorders>
            <w:hideMark/>
          </w:tcPr>
          <w:p w14:paraId="2807E11E" w14:textId="77777777" w:rsidR="00601D9B" w:rsidRPr="000E53A0" w:rsidRDefault="000E53A0">
            <w:pPr>
              <w:ind w:left="192" w:hanging="192"/>
              <w:rPr>
                <w:rFonts w:ascii="Avenir Next Regular" w:hAnsi="Avenir Next Regular" w:cs="Calibri"/>
                <w:iCs/>
                <w:color w:val="000000" w:themeColor="text1"/>
                <w:sz w:val="16"/>
                <w:szCs w:val="16"/>
                <w:lang w:val="fr-FR"/>
              </w:rPr>
            </w:pPr>
            <w:r>
              <w:rPr>
                <w:color w:val="000000" w:themeColor="text1"/>
                <w:sz w:val="16"/>
                <w:szCs w:val="16"/>
              </w:rPr>
              <w:fldChar w:fldCharType="begin">
                <w:ffData>
                  <w:name w:val="IAP_cities"/>
                  <w:enabled/>
                  <w:calcOnExit w:val="0"/>
                  <w:checkBox>
                    <w:sizeAuto/>
                    <w:default w:val="0"/>
                  </w:checkBox>
                </w:ffData>
              </w:fldChar>
            </w:r>
            <w:r w:rsidRPr="000E53A0">
              <w:rPr>
                <w:color w:val="000000" w:themeColor="text1"/>
                <w:sz w:val="16"/>
                <w:szCs w:val="16"/>
                <w:lang w:val="fr-FR"/>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sidRPr="000E53A0">
              <w:rPr>
                <w:rFonts w:ascii="Avenir Next Regular" w:hAnsi="Avenir Next Regular" w:cs="Calibri"/>
                <w:iCs/>
                <w:color w:val="000000" w:themeColor="text1"/>
                <w:sz w:val="16"/>
                <w:szCs w:val="16"/>
                <w:lang w:val="fr-FR"/>
              </w:rPr>
              <w:t>Systèmes urbains et transports durables</w:t>
            </w:r>
          </w:p>
        </w:tc>
      </w:tr>
      <w:tr w:rsidR="009F3374" w14:paraId="4D39ECAD" w14:textId="77777777" w:rsidTr="009F3374">
        <w:trPr>
          <w:trHeight w:val="58"/>
        </w:trPr>
        <w:tc>
          <w:tcPr>
            <w:tcW w:w="1966" w:type="pct"/>
            <w:tcBorders>
              <w:top w:val="nil"/>
              <w:left w:val="single" w:sz="4" w:space="0" w:color="auto"/>
              <w:bottom w:val="single" w:sz="4" w:space="0" w:color="auto"/>
              <w:right w:val="single" w:sz="4" w:space="0" w:color="auto"/>
            </w:tcBorders>
            <w:noWrap/>
            <w:vAlign w:val="bottom"/>
            <w:hideMark/>
          </w:tcPr>
          <w:p w14:paraId="21DE44D1" w14:textId="77777777" w:rsidR="009F3374" w:rsidRPr="000E53A0" w:rsidRDefault="009F3374">
            <w:pPr>
              <w:rPr>
                <w:rFonts w:ascii="Avenir Next Regular" w:hAnsi="Avenir Next Regular" w:cs="Calibri"/>
                <w:b/>
                <w:bCs/>
                <w:color w:val="000000" w:themeColor="text1"/>
                <w:sz w:val="16"/>
                <w:szCs w:val="16"/>
                <w:lang w:val="fr-FR"/>
              </w:rPr>
            </w:pPr>
            <w:r w:rsidRPr="000E53A0">
              <w:rPr>
                <w:rFonts w:ascii="Avenir Next Regular" w:hAnsi="Avenir Next Regular" w:cs="Calibri"/>
                <w:b/>
                <w:bCs/>
                <w:color w:val="000000" w:themeColor="text1"/>
                <w:sz w:val="16"/>
                <w:szCs w:val="16"/>
                <w:lang w:val="fr-FR"/>
              </w:rPr>
              <w:t> </w:t>
            </w:r>
          </w:p>
        </w:tc>
        <w:tc>
          <w:tcPr>
            <w:tcW w:w="825" w:type="pct"/>
            <w:tcBorders>
              <w:top w:val="nil"/>
              <w:left w:val="nil"/>
              <w:bottom w:val="single" w:sz="4" w:space="0" w:color="auto"/>
              <w:right w:val="single" w:sz="4" w:space="0" w:color="auto"/>
            </w:tcBorders>
            <w:noWrap/>
            <w:vAlign w:val="bottom"/>
            <w:hideMark/>
          </w:tcPr>
          <w:p w14:paraId="6702CED4" w14:textId="77777777" w:rsidR="009F3374" w:rsidRPr="000E53A0" w:rsidRDefault="009F3374">
            <w:pPr>
              <w:rPr>
                <w:rFonts w:ascii="Avenir Next Regular" w:hAnsi="Avenir Next Regular" w:cs="Calibri"/>
                <w:b/>
                <w:bCs/>
                <w:color w:val="000000" w:themeColor="text1"/>
                <w:sz w:val="16"/>
                <w:szCs w:val="16"/>
                <w:lang w:val="fr-FR"/>
              </w:rPr>
            </w:pPr>
            <w:r w:rsidRPr="000E53A0">
              <w:rPr>
                <w:rFonts w:ascii="Avenir Next Regular" w:hAnsi="Avenir Next Regular" w:cs="Calibri"/>
                <w:b/>
                <w:bCs/>
                <w:color w:val="000000" w:themeColor="text1"/>
                <w:sz w:val="16"/>
                <w:szCs w:val="16"/>
                <w:lang w:val="fr-FR"/>
              </w:rPr>
              <w:t> </w:t>
            </w:r>
          </w:p>
        </w:tc>
        <w:tc>
          <w:tcPr>
            <w:tcW w:w="1129" w:type="pct"/>
            <w:tcBorders>
              <w:top w:val="nil"/>
              <w:left w:val="nil"/>
              <w:bottom w:val="single" w:sz="4" w:space="0" w:color="auto"/>
              <w:right w:val="single" w:sz="4" w:space="0" w:color="auto"/>
            </w:tcBorders>
            <w:hideMark/>
          </w:tcPr>
          <w:p w14:paraId="71C5911A" w14:textId="77777777" w:rsidR="009F3374" w:rsidRPr="000E53A0" w:rsidRDefault="009F3374">
            <w:pPr>
              <w:rPr>
                <w:rFonts w:ascii="Avenir Next Regular" w:hAnsi="Avenir Next Regular" w:cs="Calibri"/>
                <w:b/>
                <w:bCs/>
                <w:color w:val="000000" w:themeColor="text1"/>
                <w:sz w:val="16"/>
                <w:szCs w:val="16"/>
                <w:lang w:val="fr-FR"/>
              </w:rPr>
            </w:pPr>
            <w:r w:rsidRPr="000E53A0">
              <w:rPr>
                <w:rFonts w:ascii="Avenir Next Regular" w:hAnsi="Avenir Next Regular" w:cs="Calibri"/>
                <w:b/>
                <w:bCs/>
                <w:color w:val="000000" w:themeColor="text1"/>
                <w:sz w:val="16"/>
                <w:szCs w:val="16"/>
                <w:lang w:val="fr-FR"/>
              </w:rPr>
              <w:t> </w:t>
            </w:r>
          </w:p>
        </w:tc>
        <w:tc>
          <w:tcPr>
            <w:tcW w:w="1080" w:type="pct"/>
            <w:tcBorders>
              <w:top w:val="nil"/>
              <w:left w:val="nil"/>
              <w:bottom w:val="single" w:sz="4" w:space="0" w:color="auto"/>
              <w:right w:val="single" w:sz="4" w:space="0" w:color="auto"/>
            </w:tcBorders>
            <w:hideMark/>
          </w:tcPr>
          <w:p w14:paraId="435C767A" w14:textId="77777777" w:rsidR="00601D9B" w:rsidRDefault="000E53A0">
            <w:pPr>
              <w:rPr>
                <w:rFonts w:ascii="Avenir Next Regular" w:hAnsi="Avenir Next Regular" w:cs="Calibri"/>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color w:val="000000" w:themeColor="text1"/>
                <w:sz w:val="16"/>
                <w:szCs w:val="16"/>
              </w:rPr>
              <w:t>Transfert de technologie</w:t>
            </w:r>
          </w:p>
        </w:tc>
      </w:tr>
      <w:tr w:rsidR="009F3374" w14:paraId="712E4349" w14:textId="77777777" w:rsidTr="009F3374">
        <w:trPr>
          <w:trHeight w:val="58"/>
        </w:trPr>
        <w:tc>
          <w:tcPr>
            <w:tcW w:w="1966" w:type="pct"/>
            <w:tcBorders>
              <w:top w:val="nil"/>
              <w:left w:val="single" w:sz="4" w:space="0" w:color="auto"/>
              <w:bottom w:val="single" w:sz="4" w:space="0" w:color="auto"/>
              <w:right w:val="single" w:sz="4" w:space="0" w:color="auto"/>
            </w:tcBorders>
            <w:noWrap/>
            <w:vAlign w:val="bottom"/>
            <w:hideMark/>
          </w:tcPr>
          <w:p w14:paraId="42399831"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noWrap/>
            <w:vAlign w:val="bottom"/>
            <w:hideMark/>
          </w:tcPr>
          <w:p w14:paraId="3690667E"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5CB8CFAE"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080" w:type="pct"/>
            <w:tcBorders>
              <w:top w:val="nil"/>
              <w:left w:val="nil"/>
              <w:bottom w:val="single" w:sz="4" w:space="0" w:color="auto"/>
              <w:right w:val="single" w:sz="4" w:space="0" w:color="auto"/>
            </w:tcBorders>
            <w:hideMark/>
          </w:tcPr>
          <w:p w14:paraId="3904333B" w14:textId="77777777" w:rsidR="00601D9B" w:rsidRDefault="000E53A0">
            <w:pPr>
              <w:rPr>
                <w:rFonts w:ascii="Avenir Next Regular" w:hAnsi="Avenir Next Regular" w:cs="Calibri"/>
                <w:iCs/>
                <w:color w:val="000000" w:themeColor="text1"/>
                <w:sz w:val="16"/>
                <w:szCs w:val="16"/>
              </w:rPr>
            </w:pPr>
            <w:r>
              <w:rPr>
                <w:color w:val="000000" w:themeColor="text1"/>
              </w:rPr>
              <w:sym w:font="Symbol" w:char="F0C4"/>
            </w:r>
            <w:r>
              <w:rPr>
                <w:rFonts w:ascii="Avenir Next Regular" w:hAnsi="Avenir Next Regular" w:cs="Calibri"/>
                <w:iCs/>
                <w:color w:val="000000" w:themeColor="text1"/>
                <w:sz w:val="16"/>
                <w:szCs w:val="16"/>
              </w:rPr>
              <w:t>Énergie renouvelable</w:t>
            </w:r>
          </w:p>
        </w:tc>
      </w:tr>
      <w:tr w:rsidR="009F3374" w14:paraId="32123143" w14:textId="77777777" w:rsidTr="009F3374">
        <w:trPr>
          <w:trHeight w:val="58"/>
        </w:trPr>
        <w:tc>
          <w:tcPr>
            <w:tcW w:w="1966" w:type="pct"/>
            <w:tcBorders>
              <w:top w:val="nil"/>
              <w:left w:val="single" w:sz="4" w:space="0" w:color="auto"/>
              <w:bottom w:val="single" w:sz="4" w:space="0" w:color="auto"/>
              <w:right w:val="single" w:sz="4" w:space="0" w:color="auto"/>
            </w:tcBorders>
            <w:noWrap/>
            <w:vAlign w:val="bottom"/>
            <w:hideMark/>
          </w:tcPr>
          <w:p w14:paraId="16D83418"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noWrap/>
            <w:vAlign w:val="bottom"/>
            <w:hideMark/>
          </w:tcPr>
          <w:p w14:paraId="7F5337D5"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3691F2A5"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080" w:type="pct"/>
            <w:tcBorders>
              <w:top w:val="nil"/>
              <w:left w:val="nil"/>
              <w:bottom w:val="single" w:sz="4" w:space="0" w:color="auto"/>
              <w:right w:val="single" w:sz="4" w:space="0" w:color="auto"/>
            </w:tcBorders>
            <w:hideMark/>
          </w:tcPr>
          <w:p w14:paraId="18167EFB" w14:textId="77777777" w:rsidR="00601D9B" w:rsidRDefault="000E53A0">
            <w:pPr>
              <w:rPr>
                <w:rFonts w:ascii="Avenir Next Regular" w:hAnsi="Avenir Next Regular" w:cs="Calibri"/>
                <w:iCs/>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iCs/>
                <w:color w:val="000000" w:themeColor="text1"/>
                <w:sz w:val="16"/>
                <w:szCs w:val="16"/>
              </w:rPr>
              <w:t>Financement</w:t>
            </w:r>
          </w:p>
        </w:tc>
      </w:tr>
      <w:tr w:rsidR="009F3374" w14:paraId="366BD340" w14:textId="77777777" w:rsidTr="009F3374">
        <w:trPr>
          <w:trHeight w:val="58"/>
        </w:trPr>
        <w:tc>
          <w:tcPr>
            <w:tcW w:w="1966" w:type="pct"/>
            <w:tcBorders>
              <w:top w:val="nil"/>
              <w:left w:val="single" w:sz="4" w:space="0" w:color="auto"/>
              <w:bottom w:val="single" w:sz="4" w:space="0" w:color="auto"/>
              <w:right w:val="single" w:sz="4" w:space="0" w:color="auto"/>
            </w:tcBorders>
            <w:noWrap/>
            <w:vAlign w:val="bottom"/>
            <w:hideMark/>
          </w:tcPr>
          <w:p w14:paraId="7EF89527"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noWrap/>
            <w:vAlign w:val="bottom"/>
            <w:hideMark/>
          </w:tcPr>
          <w:p w14:paraId="217EF3C1"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1E59ECE3"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080" w:type="pct"/>
            <w:tcBorders>
              <w:top w:val="nil"/>
              <w:left w:val="nil"/>
              <w:bottom w:val="single" w:sz="4" w:space="0" w:color="auto"/>
              <w:right w:val="single" w:sz="4" w:space="0" w:color="auto"/>
            </w:tcBorders>
            <w:hideMark/>
          </w:tcPr>
          <w:p w14:paraId="7AE175A9" w14:textId="77777777" w:rsidR="00601D9B" w:rsidRDefault="000E53A0">
            <w:pPr>
              <w:rPr>
                <w:rFonts w:ascii="Avenir Next Regular" w:hAnsi="Avenir Next Regular" w:cs="Calibri"/>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color w:val="000000" w:themeColor="text1"/>
                <w:sz w:val="16"/>
                <w:szCs w:val="16"/>
              </w:rPr>
              <w:t>Activités habilitantes</w:t>
            </w:r>
          </w:p>
        </w:tc>
      </w:tr>
      <w:tr w:rsidR="009F3374" w14:paraId="37BE45B4" w14:textId="77777777" w:rsidTr="009F3374">
        <w:trPr>
          <w:trHeight w:val="58"/>
        </w:trPr>
        <w:tc>
          <w:tcPr>
            <w:tcW w:w="1966" w:type="pct"/>
            <w:tcBorders>
              <w:top w:val="nil"/>
              <w:left w:val="single" w:sz="4" w:space="0" w:color="auto"/>
              <w:bottom w:val="single" w:sz="4" w:space="0" w:color="auto"/>
              <w:right w:val="single" w:sz="4" w:space="0" w:color="auto"/>
            </w:tcBorders>
            <w:noWrap/>
            <w:vAlign w:val="bottom"/>
            <w:hideMark/>
          </w:tcPr>
          <w:p w14:paraId="619405A8"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noWrap/>
            <w:vAlign w:val="bottom"/>
            <w:hideMark/>
          </w:tcPr>
          <w:p w14:paraId="06A9DBD8"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3D63B0D4" w14:textId="77777777" w:rsidR="00601D9B" w:rsidRDefault="000E53A0">
            <w:pPr>
              <w:rPr>
                <w:rFonts w:ascii="Avenir Next Regular" w:hAnsi="Avenir Next Regular" w:cs="Calibri"/>
                <w:b/>
                <w:bCs/>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b/>
                <w:bCs/>
                <w:color w:val="000000" w:themeColor="text1"/>
                <w:sz w:val="16"/>
                <w:szCs w:val="16"/>
              </w:rPr>
              <w:t>Transfert de technologie</w:t>
            </w:r>
          </w:p>
        </w:tc>
        <w:tc>
          <w:tcPr>
            <w:tcW w:w="1080" w:type="pct"/>
            <w:tcBorders>
              <w:top w:val="nil"/>
              <w:left w:val="nil"/>
              <w:bottom w:val="single" w:sz="4" w:space="0" w:color="auto"/>
              <w:right w:val="single" w:sz="4" w:space="0" w:color="auto"/>
            </w:tcBorders>
            <w:hideMark/>
          </w:tcPr>
          <w:p w14:paraId="34839A2B" w14:textId="77777777" w:rsidR="009F3374" w:rsidRDefault="009F3374">
            <w:pPr>
              <w:rPr>
                <w:rFonts w:ascii="Avenir Next Regular" w:hAnsi="Avenir Next Regular" w:cs="Calibri"/>
                <w:color w:val="000000" w:themeColor="text1"/>
                <w:sz w:val="16"/>
                <w:szCs w:val="16"/>
              </w:rPr>
            </w:pPr>
            <w:r>
              <w:rPr>
                <w:rFonts w:ascii="Avenir Next Regular" w:hAnsi="Avenir Next Regular" w:cs="Calibri"/>
                <w:color w:val="000000" w:themeColor="text1"/>
                <w:sz w:val="16"/>
                <w:szCs w:val="16"/>
              </w:rPr>
              <w:t> </w:t>
            </w:r>
          </w:p>
        </w:tc>
      </w:tr>
      <w:tr w:rsidR="009F3374" w:rsidRPr="000E53A0" w14:paraId="05C242F6" w14:textId="77777777" w:rsidTr="009F3374">
        <w:trPr>
          <w:trHeight w:val="420"/>
        </w:trPr>
        <w:tc>
          <w:tcPr>
            <w:tcW w:w="1966" w:type="pct"/>
            <w:tcBorders>
              <w:top w:val="nil"/>
              <w:left w:val="single" w:sz="4" w:space="0" w:color="auto"/>
              <w:bottom w:val="single" w:sz="4" w:space="0" w:color="auto"/>
              <w:right w:val="single" w:sz="4" w:space="0" w:color="auto"/>
            </w:tcBorders>
            <w:noWrap/>
            <w:vAlign w:val="bottom"/>
            <w:hideMark/>
          </w:tcPr>
          <w:p w14:paraId="1984DB51"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noWrap/>
            <w:vAlign w:val="bottom"/>
            <w:hideMark/>
          </w:tcPr>
          <w:p w14:paraId="18DE6C7F"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27F51536" w14:textId="77777777" w:rsidR="009F3374" w:rsidRDefault="009F3374">
            <w:pPr>
              <w:rPr>
                <w:rFonts w:ascii="Avenir Next Regular" w:hAnsi="Avenir Next Regular" w:cs="Calibri"/>
                <w:iCs/>
                <w:color w:val="000000" w:themeColor="text1"/>
                <w:sz w:val="16"/>
                <w:szCs w:val="16"/>
              </w:rPr>
            </w:pPr>
            <w:r>
              <w:rPr>
                <w:rFonts w:ascii="Avenir Next Regular" w:hAnsi="Avenir Next Regular" w:cs="Calibri"/>
                <w:iCs/>
                <w:color w:val="000000" w:themeColor="text1"/>
                <w:sz w:val="16"/>
                <w:szCs w:val="16"/>
              </w:rPr>
              <w:t> </w:t>
            </w:r>
          </w:p>
        </w:tc>
        <w:tc>
          <w:tcPr>
            <w:tcW w:w="1080" w:type="pct"/>
            <w:tcBorders>
              <w:top w:val="nil"/>
              <w:left w:val="nil"/>
              <w:bottom w:val="single" w:sz="4" w:space="0" w:color="auto"/>
              <w:right w:val="single" w:sz="4" w:space="0" w:color="auto"/>
            </w:tcBorders>
            <w:hideMark/>
          </w:tcPr>
          <w:p w14:paraId="003B80A1" w14:textId="77777777" w:rsidR="00601D9B" w:rsidRPr="000E53A0" w:rsidRDefault="000E53A0">
            <w:pPr>
              <w:rPr>
                <w:rFonts w:ascii="Avenir Next Regular" w:hAnsi="Avenir Next Regular" w:cs="Calibri"/>
                <w:color w:val="000000" w:themeColor="text1"/>
                <w:sz w:val="16"/>
                <w:szCs w:val="16"/>
                <w:lang w:val="fr-FR"/>
              </w:rPr>
            </w:pPr>
            <w:r>
              <w:rPr>
                <w:color w:val="000000" w:themeColor="text1"/>
                <w:sz w:val="16"/>
                <w:szCs w:val="16"/>
              </w:rPr>
              <w:fldChar w:fldCharType="begin">
                <w:ffData>
                  <w:name w:val="IAP_cities"/>
                  <w:enabled/>
                  <w:calcOnExit w:val="0"/>
                  <w:checkBox>
                    <w:sizeAuto/>
                    <w:default w:val="0"/>
                  </w:checkBox>
                </w:ffData>
              </w:fldChar>
            </w:r>
            <w:r w:rsidRPr="000E53A0">
              <w:rPr>
                <w:color w:val="000000" w:themeColor="text1"/>
                <w:sz w:val="16"/>
                <w:szCs w:val="16"/>
                <w:lang w:val="fr-FR"/>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sidRPr="000E53A0">
              <w:rPr>
                <w:rFonts w:ascii="Avenir Next Regular" w:hAnsi="Avenir Next Regular" w:cs="Calibri"/>
                <w:color w:val="000000" w:themeColor="text1"/>
                <w:sz w:val="16"/>
                <w:szCs w:val="16"/>
                <w:lang w:val="fr-FR"/>
              </w:rPr>
              <w:t>Programme stratégique de Poznan sur le transfert de technologies</w:t>
            </w:r>
          </w:p>
        </w:tc>
      </w:tr>
      <w:tr w:rsidR="009F3374" w:rsidRPr="000E53A0" w14:paraId="37DB4930" w14:textId="77777777" w:rsidTr="009F3374">
        <w:trPr>
          <w:trHeight w:val="420"/>
        </w:trPr>
        <w:tc>
          <w:tcPr>
            <w:tcW w:w="1966" w:type="pct"/>
            <w:tcBorders>
              <w:top w:val="nil"/>
              <w:left w:val="single" w:sz="4" w:space="0" w:color="auto"/>
              <w:bottom w:val="single" w:sz="4" w:space="0" w:color="auto"/>
              <w:right w:val="single" w:sz="4" w:space="0" w:color="auto"/>
            </w:tcBorders>
            <w:noWrap/>
            <w:vAlign w:val="bottom"/>
            <w:hideMark/>
          </w:tcPr>
          <w:p w14:paraId="088F79C4" w14:textId="77777777" w:rsidR="009F3374" w:rsidRPr="000E53A0" w:rsidRDefault="009F3374">
            <w:pPr>
              <w:rPr>
                <w:rFonts w:ascii="Avenir Next Regular" w:hAnsi="Avenir Next Regular" w:cs="Calibri"/>
                <w:b/>
                <w:bCs/>
                <w:color w:val="000000" w:themeColor="text1"/>
                <w:sz w:val="16"/>
                <w:szCs w:val="16"/>
                <w:lang w:val="fr-FR"/>
              </w:rPr>
            </w:pPr>
            <w:r w:rsidRPr="000E53A0">
              <w:rPr>
                <w:rFonts w:ascii="Avenir Next Regular" w:hAnsi="Avenir Next Regular" w:cs="Calibri"/>
                <w:b/>
                <w:bCs/>
                <w:color w:val="000000" w:themeColor="text1"/>
                <w:sz w:val="16"/>
                <w:szCs w:val="16"/>
                <w:lang w:val="fr-FR"/>
              </w:rPr>
              <w:t> </w:t>
            </w:r>
          </w:p>
        </w:tc>
        <w:tc>
          <w:tcPr>
            <w:tcW w:w="825" w:type="pct"/>
            <w:tcBorders>
              <w:top w:val="nil"/>
              <w:left w:val="nil"/>
              <w:bottom w:val="single" w:sz="4" w:space="0" w:color="auto"/>
              <w:right w:val="single" w:sz="4" w:space="0" w:color="auto"/>
            </w:tcBorders>
            <w:noWrap/>
            <w:vAlign w:val="bottom"/>
            <w:hideMark/>
          </w:tcPr>
          <w:p w14:paraId="033EFE01" w14:textId="77777777" w:rsidR="009F3374" w:rsidRPr="000E53A0" w:rsidRDefault="009F3374">
            <w:pPr>
              <w:rPr>
                <w:rFonts w:ascii="Avenir Next Regular" w:hAnsi="Avenir Next Regular" w:cs="Calibri"/>
                <w:b/>
                <w:bCs/>
                <w:color w:val="000000" w:themeColor="text1"/>
                <w:sz w:val="16"/>
                <w:szCs w:val="16"/>
                <w:lang w:val="fr-FR"/>
              </w:rPr>
            </w:pPr>
            <w:r w:rsidRPr="000E53A0">
              <w:rPr>
                <w:rFonts w:ascii="Avenir Next Regular" w:hAnsi="Avenir Next Regular" w:cs="Calibri"/>
                <w:b/>
                <w:bCs/>
                <w:color w:val="000000" w:themeColor="text1"/>
                <w:sz w:val="16"/>
                <w:szCs w:val="16"/>
                <w:lang w:val="fr-FR"/>
              </w:rPr>
              <w:t> </w:t>
            </w:r>
          </w:p>
        </w:tc>
        <w:tc>
          <w:tcPr>
            <w:tcW w:w="1129" w:type="pct"/>
            <w:tcBorders>
              <w:top w:val="nil"/>
              <w:left w:val="nil"/>
              <w:bottom w:val="single" w:sz="4" w:space="0" w:color="auto"/>
              <w:right w:val="single" w:sz="4" w:space="0" w:color="auto"/>
            </w:tcBorders>
            <w:hideMark/>
          </w:tcPr>
          <w:p w14:paraId="22A31696" w14:textId="77777777" w:rsidR="009F3374" w:rsidRPr="000E53A0" w:rsidRDefault="009F3374">
            <w:pPr>
              <w:rPr>
                <w:rFonts w:ascii="Avenir Next Regular" w:hAnsi="Avenir Next Regular" w:cs="Calibri"/>
                <w:iCs/>
                <w:color w:val="000000" w:themeColor="text1"/>
                <w:sz w:val="16"/>
                <w:szCs w:val="16"/>
                <w:lang w:val="fr-FR"/>
              </w:rPr>
            </w:pPr>
            <w:r w:rsidRPr="000E53A0">
              <w:rPr>
                <w:rFonts w:ascii="Avenir Next Regular" w:hAnsi="Avenir Next Regular" w:cs="Calibri"/>
                <w:iCs/>
                <w:color w:val="000000" w:themeColor="text1"/>
                <w:sz w:val="16"/>
                <w:szCs w:val="16"/>
                <w:lang w:val="fr-FR"/>
              </w:rPr>
              <w:t> </w:t>
            </w:r>
          </w:p>
        </w:tc>
        <w:tc>
          <w:tcPr>
            <w:tcW w:w="1080" w:type="pct"/>
            <w:tcBorders>
              <w:top w:val="nil"/>
              <w:left w:val="nil"/>
              <w:bottom w:val="single" w:sz="4" w:space="0" w:color="auto"/>
              <w:right w:val="single" w:sz="4" w:space="0" w:color="auto"/>
            </w:tcBorders>
            <w:hideMark/>
          </w:tcPr>
          <w:p w14:paraId="65A64CC0" w14:textId="77777777" w:rsidR="00601D9B" w:rsidRPr="000E53A0" w:rsidRDefault="000E53A0">
            <w:pPr>
              <w:rPr>
                <w:rFonts w:ascii="Avenir Next Regular" w:hAnsi="Avenir Next Regular" w:cs="Calibri"/>
                <w:color w:val="000000" w:themeColor="text1"/>
                <w:sz w:val="16"/>
                <w:szCs w:val="16"/>
                <w:lang w:val="fr-FR"/>
              </w:rPr>
            </w:pPr>
            <w:r>
              <w:rPr>
                <w:color w:val="000000" w:themeColor="text1"/>
                <w:sz w:val="16"/>
                <w:szCs w:val="16"/>
              </w:rPr>
              <w:fldChar w:fldCharType="begin">
                <w:ffData>
                  <w:name w:val="IAP_cities"/>
                  <w:enabled/>
                  <w:calcOnExit w:val="0"/>
                  <w:checkBox>
                    <w:sizeAuto/>
                    <w:default w:val="0"/>
                  </w:checkBox>
                </w:ffData>
              </w:fldChar>
            </w:r>
            <w:r w:rsidRPr="000E53A0">
              <w:rPr>
                <w:color w:val="000000" w:themeColor="text1"/>
                <w:sz w:val="16"/>
                <w:szCs w:val="16"/>
                <w:lang w:val="fr-FR"/>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sidRPr="000E53A0">
              <w:rPr>
                <w:rFonts w:ascii="Avenir Next Regular" w:hAnsi="Avenir Next Regular" w:cs="Calibri"/>
                <w:color w:val="000000" w:themeColor="text1"/>
                <w:sz w:val="16"/>
                <w:szCs w:val="16"/>
                <w:lang w:val="fr-FR"/>
              </w:rPr>
              <w:t>Centre et réseau des technologies climatiques (CTCN)</w:t>
            </w:r>
          </w:p>
        </w:tc>
      </w:tr>
      <w:tr w:rsidR="009F3374" w14:paraId="30CE48E5" w14:textId="77777777" w:rsidTr="009F3374">
        <w:trPr>
          <w:trHeight w:val="58"/>
        </w:trPr>
        <w:tc>
          <w:tcPr>
            <w:tcW w:w="1966" w:type="pct"/>
            <w:tcBorders>
              <w:top w:val="nil"/>
              <w:left w:val="single" w:sz="4" w:space="0" w:color="auto"/>
              <w:bottom w:val="single" w:sz="4" w:space="0" w:color="auto"/>
              <w:right w:val="single" w:sz="4" w:space="0" w:color="auto"/>
            </w:tcBorders>
            <w:noWrap/>
            <w:vAlign w:val="bottom"/>
            <w:hideMark/>
          </w:tcPr>
          <w:p w14:paraId="72939A17" w14:textId="77777777" w:rsidR="009F3374" w:rsidRPr="000E53A0" w:rsidRDefault="009F3374">
            <w:pPr>
              <w:rPr>
                <w:rFonts w:ascii="Avenir Next Regular" w:hAnsi="Avenir Next Regular" w:cs="Calibri"/>
                <w:b/>
                <w:bCs/>
                <w:color w:val="000000" w:themeColor="text1"/>
                <w:sz w:val="16"/>
                <w:szCs w:val="16"/>
                <w:lang w:val="fr-FR"/>
              </w:rPr>
            </w:pPr>
            <w:r w:rsidRPr="000E53A0">
              <w:rPr>
                <w:rFonts w:ascii="Avenir Next Regular" w:hAnsi="Avenir Next Regular" w:cs="Calibri"/>
                <w:b/>
                <w:bCs/>
                <w:color w:val="000000" w:themeColor="text1"/>
                <w:sz w:val="16"/>
                <w:szCs w:val="16"/>
                <w:lang w:val="fr-FR"/>
              </w:rPr>
              <w:t> </w:t>
            </w:r>
          </w:p>
        </w:tc>
        <w:tc>
          <w:tcPr>
            <w:tcW w:w="825" w:type="pct"/>
            <w:tcBorders>
              <w:top w:val="nil"/>
              <w:left w:val="nil"/>
              <w:bottom w:val="single" w:sz="4" w:space="0" w:color="auto"/>
              <w:right w:val="single" w:sz="4" w:space="0" w:color="auto"/>
            </w:tcBorders>
            <w:noWrap/>
            <w:vAlign w:val="bottom"/>
            <w:hideMark/>
          </w:tcPr>
          <w:p w14:paraId="238B5486" w14:textId="77777777" w:rsidR="009F3374" w:rsidRPr="000E53A0" w:rsidRDefault="009F3374">
            <w:pPr>
              <w:rPr>
                <w:rFonts w:ascii="Avenir Next Regular" w:hAnsi="Avenir Next Regular" w:cs="Calibri"/>
                <w:b/>
                <w:bCs/>
                <w:color w:val="000000" w:themeColor="text1"/>
                <w:sz w:val="16"/>
                <w:szCs w:val="16"/>
                <w:lang w:val="fr-FR"/>
              </w:rPr>
            </w:pPr>
            <w:r w:rsidRPr="000E53A0">
              <w:rPr>
                <w:rFonts w:ascii="Avenir Next Regular" w:hAnsi="Avenir Next Regular" w:cs="Calibri"/>
                <w:b/>
                <w:bCs/>
                <w:color w:val="000000" w:themeColor="text1"/>
                <w:sz w:val="16"/>
                <w:szCs w:val="16"/>
                <w:lang w:val="fr-FR"/>
              </w:rPr>
              <w:t> </w:t>
            </w:r>
          </w:p>
        </w:tc>
        <w:tc>
          <w:tcPr>
            <w:tcW w:w="1129" w:type="pct"/>
            <w:tcBorders>
              <w:top w:val="nil"/>
              <w:left w:val="nil"/>
              <w:bottom w:val="single" w:sz="4" w:space="0" w:color="auto"/>
              <w:right w:val="single" w:sz="4" w:space="0" w:color="auto"/>
            </w:tcBorders>
            <w:hideMark/>
          </w:tcPr>
          <w:p w14:paraId="33366F5F" w14:textId="77777777" w:rsidR="009F3374" w:rsidRPr="000E53A0" w:rsidRDefault="009F3374">
            <w:pPr>
              <w:rPr>
                <w:rFonts w:ascii="Avenir Next Regular" w:hAnsi="Avenir Next Regular" w:cs="Calibri"/>
                <w:iCs/>
                <w:color w:val="000000" w:themeColor="text1"/>
                <w:sz w:val="16"/>
                <w:szCs w:val="16"/>
                <w:lang w:val="fr-FR"/>
              </w:rPr>
            </w:pPr>
            <w:r w:rsidRPr="000E53A0">
              <w:rPr>
                <w:rFonts w:ascii="Avenir Next Regular" w:hAnsi="Avenir Next Regular" w:cs="Calibri"/>
                <w:iCs/>
                <w:color w:val="000000" w:themeColor="text1"/>
                <w:sz w:val="16"/>
                <w:szCs w:val="16"/>
                <w:lang w:val="fr-FR"/>
              </w:rPr>
              <w:t> </w:t>
            </w:r>
          </w:p>
        </w:tc>
        <w:tc>
          <w:tcPr>
            <w:tcW w:w="1080" w:type="pct"/>
            <w:tcBorders>
              <w:top w:val="nil"/>
              <w:left w:val="nil"/>
              <w:bottom w:val="single" w:sz="4" w:space="0" w:color="auto"/>
              <w:right w:val="single" w:sz="4" w:space="0" w:color="auto"/>
            </w:tcBorders>
            <w:hideMark/>
          </w:tcPr>
          <w:p w14:paraId="4A5B6F6B" w14:textId="77777777" w:rsidR="00601D9B" w:rsidRDefault="000E53A0">
            <w:pPr>
              <w:rPr>
                <w:rFonts w:ascii="Avenir Next Regular" w:hAnsi="Avenir Next Regular" w:cs="Calibri"/>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color w:val="000000" w:themeColor="text1"/>
                <w:sz w:val="16"/>
                <w:szCs w:val="16"/>
              </w:rPr>
              <w:t>Technologie endogène</w:t>
            </w:r>
          </w:p>
        </w:tc>
      </w:tr>
      <w:tr w:rsidR="009F3374" w:rsidRPr="000E53A0" w14:paraId="07F2A871" w14:textId="77777777" w:rsidTr="009F3374">
        <w:trPr>
          <w:trHeight w:val="58"/>
        </w:trPr>
        <w:tc>
          <w:tcPr>
            <w:tcW w:w="1966" w:type="pct"/>
            <w:tcBorders>
              <w:top w:val="nil"/>
              <w:left w:val="single" w:sz="4" w:space="0" w:color="auto"/>
              <w:bottom w:val="single" w:sz="4" w:space="0" w:color="auto"/>
              <w:right w:val="single" w:sz="4" w:space="0" w:color="auto"/>
            </w:tcBorders>
            <w:noWrap/>
            <w:vAlign w:val="bottom"/>
            <w:hideMark/>
          </w:tcPr>
          <w:p w14:paraId="74CF37AE"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noWrap/>
            <w:vAlign w:val="bottom"/>
            <w:hideMark/>
          </w:tcPr>
          <w:p w14:paraId="4C97FAC8"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7D7CAC22" w14:textId="77777777" w:rsidR="009F3374" w:rsidRDefault="009F3374">
            <w:pPr>
              <w:rPr>
                <w:rFonts w:ascii="Avenir Next Regular" w:hAnsi="Avenir Next Regular" w:cs="Calibri"/>
                <w:iCs/>
                <w:color w:val="000000" w:themeColor="text1"/>
                <w:sz w:val="16"/>
                <w:szCs w:val="16"/>
              </w:rPr>
            </w:pPr>
            <w:r>
              <w:rPr>
                <w:rFonts w:ascii="Avenir Next Regular" w:hAnsi="Avenir Next Regular" w:cs="Calibri"/>
                <w:iCs/>
                <w:color w:val="000000" w:themeColor="text1"/>
                <w:sz w:val="16"/>
                <w:szCs w:val="16"/>
              </w:rPr>
              <w:t> </w:t>
            </w:r>
          </w:p>
        </w:tc>
        <w:tc>
          <w:tcPr>
            <w:tcW w:w="1080" w:type="pct"/>
            <w:tcBorders>
              <w:top w:val="nil"/>
              <w:left w:val="nil"/>
              <w:bottom w:val="single" w:sz="4" w:space="0" w:color="auto"/>
              <w:right w:val="single" w:sz="4" w:space="0" w:color="auto"/>
            </w:tcBorders>
            <w:hideMark/>
          </w:tcPr>
          <w:p w14:paraId="32E4A09E" w14:textId="77777777" w:rsidR="00601D9B" w:rsidRPr="000E53A0" w:rsidRDefault="000E53A0">
            <w:pPr>
              <w:rPr>
                <w:rFonts w:ascii="Avenir Next Regular" w:hAnsi="Avenir Next Regular" w:cs="Calibri"/>
                <w:color w:val="000000" w:themeColor="text1"/>
                <w:sz w:val="16"/>
                <w:szCs w:val="16"/>
                <w:lang w:val="fr-FR"/>
              </w:rPr>
            </w:pPr>
            <w:r>
              <w:rPr>
                <w:color w:val="000000" w:themeColor="text1"/>
                <w:sz w:val="16"/>
                <w:szCs w:val="16"/>
              </w:rPr>
              <w:fldChar w:fldCharType="begin">
                <w:ffData>
                  <w:name w:val="IAP_cities"/>
                  <w:enabled/>
                  <w:calcOnExit w:val="0"/>
                  <w:checkBox>
                    <w:sizeAuto/>
                    <w:default w:val="0"/>
                  </w:checkBox>
                </w:ffData>
              </w:fldChar>
            </w:r>
            <w:r w:rsidRPr="000E53A0">
              <w:rPr>
                <w:color w:val="000000" w:themeColor="text1"/>
                <w:sz w:val="16"/>
                <w:szCs w:val="16"/>
                <w:lang w:val="fr-FR"/>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sidRPr="000E53A0">
              <w:rPr>
                <w:rFonts w:ascii="Avenir Next Regular" w:hAnsi="Avenir Next Regular" w:cs="Calibri"/>
                <w:color w:val="000000" w:themeColor="text1"/>
                <w:sz w:val="16"/>
                <w:szCs w:val="16"/>
                <w:lang w:val="fr-FR"/>
              </w:rPr>
              <w:t>Évaluation des besoins en technologie</w:t>
            </w:r>
          </w:p>
        </w:tc>
      </w:tr>
      <w:tr w:rsidR="009F3374" w14:paraId="1E1E3B6E" w14:textId="77777777" w:rsidTr="009F3374">
        <w:trPr>
          <w:trHeight w:val="58"/>
        </w:trPr>
        <w:tc>
          <w:tcPr>
            <w:tcW w:w="1966" w:type="pct"/>
            <w:tcBorders>
              <w:top w:val="nil"/>
              <w:left w:val="single" w:sz="4" w:space="0" w:color="auto"/>
              <w:bottom w:val="single" w:sz="4" w:space="0" w:color="auto"/>
              <w:right w:val="single" w:sz="4" w:space="0" w:color="auto"/>
            </w:tcBorders>
            <w:noWrap/>
            <w:vAlign w:val="bottom"/>
            <w:hideMark/>
          </w:tcPr>
          <w:p w14:paraId="03349EC4" w14:textId="77777777" w:rsidR="009F3374" w:rsidRPr="000E53A0" w:rsidRDefault="009F3374">
            <w:pPr>
              <w:rPr>
                <w:rFonts w:ascii="Avenir Next Regular" w:hAnsi="Avenir Next Regular" w:cs="Calibri"/>
                <w:b/>
                <w:bCs/>
                <w:color w:val="000000" w:themeColor="text1"/>
                <w:sz w:val="16"/>
                <w:szCs w:val="16"/>
                <w:lang w:val="fr-FR"/>
              </w:rPr>
            </w:pPr>
            <w:r w:rsidRPr="000E53A0">
              <w:rPr>
                <w:rFonts w:ascii="Avenir Next Regular" w:hAnsi="Avenir Next Regular" w:cs="Calibri"/>
                <w:b/>
                <w:bCs/>
                <w:color w:val="000000" w:themeColor="text1"/>
                <w:sz w:val="16"/>
                <w:szCs w:val="16"/>
                <w:lang w:val="fr-FR"/>
              </w:rPr>
              <w:t> </w:t>
            </w:r>
          </w:p>
        </w:tc>
        <w:tc>
          <w:tcPr>
            <w:tcW w:w="825" w:type="pct"/>
            <w:tcBorders>
              <w:top w:val="nil"/>
              <w:left w:val="nil"/>
              <w:bottom w:val="single" w:sz="4" w:space="0" w:color="auto"/>
              <w:right w:val="single" w:sz="4" w:space="0" w:color="auto"/>
            </w:tcBorders>
            <w:noWrap/>
            <w:vAlign w:val="bottom"/>
            <w:hideMark/>
          </w:tcPr>
          <w:p w14:paraId="14BB8306" w14:textId="77777777" w:rsidR="009F3374" w:rsidRPr="000E53A0" w:rsidRDefault="009F3374">
            <w:pPr>
              <w:rPr>
                <w:rFonts w:ascii="Avenir Next Regular" w:hAnsi="Avenir Next Regular" w:cs="Calibri"/>
                <w:b/>
                <w:bCs/>
                <w:color w:val="000000" w:themeColor="text1"/>
                <w:sz w:val="16"/>
                <w:szCs w:val="16"/>
                <w:lang w:val="fr-FR"/>
              </w:rPr>
            </w:pPr>
            <w:r w:rsidRPr="000E53A0">
              <w:rPr>
                <w:rFonts w:ascii="Avenir Next Regular" w:hAnsi="Avenir Next Regular" w:cs="Calibri"/>
                <w:b/>
                <w:bCs/>
                <w:color w:val="000000" w:themeColor="text1"/>
                <w:sz w:val="16"/>
                <w:szCs w:val="16"/>
                <w:lang w:val="fr-FR"/>
              </w:rPr>
              <w:t> </w:t>
            </w:r>
          </w:p>
        </w:tc>
        <w:tc>
          <w:tcPr>
            <w:tcW w:w="1129" w:type="pct"/>
            <w:tcBorders>
              <w:top w:val="nil"/>
              <w:left w:val="nil"/>
              <w:bottom w:val="single" w:sz="4" w:space="0" w:color="auto"/>
              <w:right w:val="single" w:sz="4" w:space="0" w:color="auto"/>
            </w:tcBorders>
            <w:noWrap/>
            <w:vAlign w:val="bottom"/>
            <w:hideMark/>
          </w:tcPr>
          <w:p w14:paraId="789E2B09" w14:textId="77777777" w:rsidR="009F3374" w:rsidRPr="000E53A0" w:rsidRDefault="009F3374">
            <w:pPr>
              <w:rPr>
                <w:rFonts w:ascii="Avenir Next Regular" w:hAnsi="Avenir Next Regular" w:cs="Calibri"/>
                <w:b/>
                <w:bCs/>
                <w:color w:val="000000" w:themeColor="text1"/>
                <w:sz w:val="16"/>
                <w:szCs w:val="16"/>
                <w:lang w:val="fr-FR"/>
              </w:rPr>
            </w:pPr>
            <w:r w:rsidRPr="000E53A0">
              <w:rPr>
                <w:rFonts w:ascii="Avenir Next Regular" w:hAnsi="Avenir Next Regular" w:cs="Calibri"/>
                <w:b/>
                <w:bCs/>
                <w:color w:val="000000" w:themeColor="text1"/>
                <w:sz w:val="16"/>
                <w:szCs w:val="16"/>
                <w:lang w:val="fr-FR"/>
              </w:rPr>
              <w:t> </w:t>
            </w:r>
          </w:p>
        </w:tc>
        <w:tc>
          <w:tcPr>
            <w:tcW w:w="1080" w:type="pct"/>
            <w:tcBorders>
              <w:top w:val="nil"/>
              <w:left w:val="nil"/>
              <w:bottom w:val="single" w:sz="4" w:space="0" w:color="auto"/>
              <w:right w:val="single" w:sz="4" w:space="0" w:color="auto"/>
            </w:tcBorders>
            <w:noWrap/>
            <w:vAlign w:val="bottom"/>
            <w:hideMark/>
          </w:tcPr>
          <w:p w14:paraId="66E5EF67" w14:textId="77777777" w:rsidR="00601D9B" w:rsidRDefault="000E53A0">
            <w:pPr>
              <w:rPr>
                <w:rFonts w:ascii="Avenir Next Regular" w:hAnsi="Avenir Next Regular" w:cs="Calibri"/>
                <w:color w:val="000000" w:themeColor="text1"/>
                <w:sz w:val="16"/>
                <w:szCs w:val="16"/>
              </w:rPr>
            </w:pPr>
            <w:r>
              <w:rPr>
                <w:color w:val="000000" w:themeColor="text1"/>
                <w:sz w:val="16"/>
                <w:szCs w:val="16"/>
              </w:rPr>
              <w:fldChar w:fldCharType="begin">
                <w:ffData>
                  <w:name w:val="IAP_cities"/>
                  <w:enabled/>
                  <w:calcOnExit w:val="0"/>
                  <w:checkBox>
                    <w:sizeAuto/>
                    <w:default w:val="0"/>
                  </w:checkBox>
                </w:ffData>
              </w:fldChar>
            </w:r>
            <w:r>
              <w:rPr>
                <w:color w:val="000000" w:themeColor="text1"/>
                <w:sz w:val="16"/>
                <w:szCs w:val="16"/>
              </w:rPr>
              <w:instrText xml:space="preserve"> FORMCHECKBOX </w:instrText>
            </w:r>
            <w:r w:rsidR="00B330C0">
              <w:rPr>
                <w:color w:val="000000" w:themeColor="text1"/>
                <w:sz w:val="16"/>
                <w:szCs w:val="16"/>
              </w:rPr>
            </w:r>
            <w:r w:rsidR="00B330C0">
              <w:rPr>
                <w:color w:val="000000" w:themeColor="text1"/>
                <w:sz w:val="16"/>
                <w:szCs w:val="16"/>
              </w:rPr>
              <w:fldChar w:fldCharType="separate"/>
            </w:r>
            <w:r>
              <w:rPr>
                <w:color w:val="000000" w:themeColor="text1"/>
                <w:sz w:val="16"/>
                <w:szCs w:val="16"/>
              </w:rPr>
              <w:fldChar w:fldCharType="end"/>
            </w:r>
            <w:r>
              <w:rPr>
                <w:rFonts w:ascii="Avenir Next Regular" w:hAnsi="Avenir Next Regular" w:cs="Calibri"/>
                <w:color w:val="000000" w:themeColor="text1"/>
                <w:sz w:val="16"/>
                <w:szCs w:val="16"/>
              </w:rPr>
              <w:t>Transfert de technologie d'adaptation</w:t>
            </w:r>
          </w:p>
        </w:tc>
      </w:tr>
      <w:tr w:rsidR="009F3374" w:rsidRPr="000E53A0" w14:paraId="79054F2F" w14:textId="77777777" w:rsidTr="009F3374">
        <w:trPr>
          <w:trHeight w:val="89"/>
        </w:trPr>
        <w:tc>
          <w:tcPr>
            <w:tcW w:w="1966" w:type="pct"/>
            <w:tcBorders>
              <w:top w:val="nil"/>
              <w:left w:val="single" w:sz="4" w:space="0" w:color="auto"/>
              <w:bottom w:val="single" w:sz="4" w:space="0" w:color="auto"/>
              <w:right w:val="single" w:sz="4" w:space="0" w:color="auto"/>
            </w:tcBorders>
            <w:noWrap/>
            <w:vAlign w:val="bottom"/>
            <w:hideMark/>
          </w:tcPr>
          <w:p w14:paraId="08DAABDA"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825" w:type="pct"/>
            <w:tcBorders>
              <w:top w:val="nil"/>
              <w:left w:val="nil"/>
              <w:bottom w:val="single" w:sz="4" w:space="0" w:color="auto"/>
              <w:right w:val="single" w:sz="4" w:space="0" w:color="auto"/>
            </w:tcBorders>
            <w:noWrap/>
            <w:vAlign w:val="bottom"/>
            <w:hideMark/>
          </w:tcPr>
          <w:p w14:paraId="47FF8936" w14:textId="77777777" w:rsidR="009F3374" w:rsidRDefault="009F3374">
            <w:pPr>
              <w:rPr>
                <w:rFonts w:ascii="Avenir Next Regular" w:hAnsi="Avenir Next Regular" w:cs="Calibri"/>
                <w:b/>
                <w:bCs/>
                <w:color w:val="000000" w:themeColor="text1"/>
                <w:sz w:val="16"/>
                <w:szCs w:val="16"/>
              </w:rPr>
            </w:pPr>
            <w:r>
              <w:rPr>
                <w:rFonts w:ascii="Avenir Next Regular" w:hAnsi="Avenir Next Regular" w:cs="Calibri"/>
                <w:b/>
                <w:bCs/>
                <w:color w:val="000000" w:themeColor="text1"/>
                <w:sz w:val="16"/>
                <w:szCs w:val="16"/>
              </w:rPr>
              <w:t> </w:t>
            </w:r>
          </w:p>
        </w:tc>
        <w:tc>
          <w:tcPr>
            <w:tcW w:w="1129" w:type="pct"/>
            <w:tcBorders>
              <w:top w:val="nil"/>
              <w:left w:val="nil"/>
              <w:bottom w:val="single" w:sz="4" w:space="0" w:color="auto"/>
              <w:right w:val="single" w:sz="4" w:space="0" w:color="auto"/>
            </w:tcBorders>
            <w:hideMark/>
          </w:tcPr>
          <w:p w14:paraId="313FAD3E" w14:textId="77777777" w:rsidR="00601D9B" w:rsidRPr="000E53A0" w:rsidRDefault="000E53A0">
            <w:pPr>
              <w:ind w:left="150" w:hanging="150"/>
              <w:rPr>
                <w:rFonts w:ascii="Avenir Next Regular" w:hAnsi="Avenir Next Regular" w:cs="Calibri"/>
                <w:b/>
                <w:bCs/>
                <w:color w:val="000000" w:themeColor="text1"/>
                <w:sz w:val="16"/>
                <w:szCs w:val="16"/>
                <w:lang w:val="fr-FR"/>
              </w:rPr>
            </w:pPr>
            <w:r>
              <w:rPr>
                <w:color w:val="000000" w:themeColor="text1"/>
              </w:rPr>
              <w:sym w:font="Symbol" w:char="F0C4"/>
            </w:r>
            <w:r w:rsidRPr="000E53A0">
              <w:rPr>
                <w:rFonts w:ascii="Avenir Next Regular" w:hAnsi="Avenir Next Regular" w:cs="Calibri"/>
                <w:b/>
                <w:bCs/>
                <w:color w:val="000000" w:themeColor="text1"/>
                <w:sz w:val="16"/>
                <w:szCs w:val="16"/>
                <w:lang w:val="fr-FR"/>
              </w:rPr>
              <w:t>Cadre des Nations Unies sur le changement climatique</w:t>
            </w:r>
          </w:p>
        </w:tc>
        <w:tc>
          <w:tcPr>
            <w:tcW w:w="1080" w:type="pct"/>
            <w:tcBorders>
              <w:top w:val="nil"/>
              <w:left w:val="nil"/>
              <w:bottom w:val="single" w:sz="4" w:space="0" w:color="auto"/>
              <w:right w:val="single" w:sz="4" w:space="0" w:color="auto"/>
            </w:tcBorders>
            <w:noWrap/>
            <w:vAlign w:val="bottom"/>
            <w:hideMark/>
          </w:tcPr>
          <w:p w14:paraId="72E5E814" w14:textId="77777777" w:rsidR="009F3374" w:rsidRPr="000E53A0" w:rsidRDefault="009F3374">
            <w:pPr>
              <w:rPr>
                <w:rFonts w:ascii="Avenir Next Regular" w:hAnsi="Avenir Next Regular" w:cs="Calibri"/>
                <w:color w:val="000000" w:themeColor="text1"/>
                <w:sz w:val="16"/>
                <w:szCs w:val="16"/>
                <w:lang w:val="fr-FR"/>
              </w:rPr>
            </w:pPr>
            <w:r w:rsidRPr="000E53A0">
              <w:rPr>
                <w:rFonts w:ascii="Avenir Next Regular" w:hAnsi="Avenir Next Regular" w:cs="Calibri"/>
                <w:color w:val="000000" w:themeColor="text1"/>
                <w:sz w:val="16"/>
                <w:szCs w:val="16"/>
                <w:lang w:val="fr-FR"/>
              </w:rPr>
              <w:t> </w:t>
            </w:r>
          </w:p>
        </w:tc>
      </w:tr>
      <w:tr w:rsidR="009F3374" w:rsidRPr="000E53A0" w14:paraId="04FE2968" w14:textId="77777777" w:rsidTr="009F3374">
        <w:trPr>
          <w:trHeight w:val="58"/>
        </w:trPr>
        <w:tc>
          <w:tcPr>
            <w:tcW w:w="1966" w:type="pct"/>
            <w:tcBorders>
              <w:top w:val="nil"/>
              <w:left w:val="single" w:sz="4" w:space="0" w:color="auto"/>
              <w:bottom w:val="single" w:sz="4" w:space="0" w:color="auto"/>
              <w:right w:val="single" w:sz="4" w:space="0" w:color="auto"/>
            </w:tcBorders>
            <w:noWrap/>
            <w:vAlign w:val="bottom"/>
            <w:hideMark/>
          </w:tcPr>
          <w:p w14:paraId="5BBBAB18" w14:textId="77777777" w:rsidR="009F3374" w:rsidRPr="000E53A0" w:rsidRDefault="009F3374">
            <w:pPr>
              <w:rPr>
                <w:rFonts w:ascii="Avenir Next Regular" w:hAnsi="Avenir Next Regular" w:cs="Calibri"/>
                <w:b/>
                <w:bCs/>
                <w:color w:val="000000" w:themeColor="text1"/>
                <w:sz w:val="16"/>
                <w:szCs w:val="16"/>
                <w:lang w:val="fr-FR"/>
              </w:rPr>
            </w:pPr>
            <w:r w:rsidRPr="000E53A0">
              <w:rPr>
                <w:rFonts w:ascii="Avenir Next Regular" w:hAnsi="Avenir Next Regular" w:cs="Calibri"/>
                <w:b/>
                <w:bCs/>
                <w:color w:val="000000" w:themeColor="text1"/>
                <w:sz w:val="16"/>
                <w:szCs w:val="16"/>
                <w:lang w:val="fr-FR"/>
              </w:rPr>
              <w:t> </w:t>
            </w:r>
          </w:p>
        </w:tc>
        <w:tc>
          <w:tcPr>
            <w:tcW w:w="825" w:type="pct"/>
            <w:tcBorders>
              <w:top w:val="nil"/>
              <w:left w:val="nil"/>
              <w:bottom w:val="single" w:sz="4" w:space="0" w:color="auto"/>
              <w:right w:val="single" w:sz="4" w:space="0" w:color="auto"/>
            </w:tcBorders>
            <w:noWrap/>
            <w:vAlign w:val="bottom"/>
            <w:hideMark/>
          </w:tcPr>
          <w:p w14:paraId="499F9CA6" w14:textId="77777777" w:rsidR="009F3374" w:rsidRPr="000E53A0" w:rsidRDefault="009F3374">
            <w:pPr>
              <w:rPr>
                <w:rFonts w:ascii="Avenir Next Regular" w:hAnsi="Avenir Next Regular" w:cs="Calibri"/>
                <w:b/>
                <w:bCs/>
                <w:color w:val="000000" w:themeColor="text1"/>
                <w:sz w:val="16"/>
                <w:szCs w:val="16"/>
                <w:lang w:val="fr-FR"/>
              </w:rPr>
            </w:pPr>
            <w:r w:rsidRPr="000E53A0">
              <w:rPr>
                <w:rFonts w:ascii="Avenir Next Regular" w:hAnsi="Avenir Next Regular" w:cs="Calibri"/>
                <w:b/>
                <w:bCs/>
                <w:color w:val="000000" w:themeColor="text1"/>
                <w:sz w:val="16"/>
                <w:szCs w:val="16"/>
                <w:lang w:val="fr-FR"/>
              </w:rPr>
              <w:t> </w:t>
            </w:r>
          </w:p>
        </w:tc>
        <w:tc>
          <w:tcPr>
            <w:tcW w:w="1129" w:type="pct"/>
            <w:tcBorders>
              <w:top w:val="nil"/>
              <w:left w:val="nil"/>
              <w:bottom w:val="single" w:sz="4" w:space="0" w:color="auto"/>
              <w:right w:val="single" w:sz="4" w:space="0" w:color="auto"/>
            </w:tcBorders>
            <w:noWrap/>
            <w:vAlign w:val="bottom"/>
            <w:hideMark/>
          </w:tcPr>
          <w:p w14:paraId="0B49597C" w14:textId="77777777" w:rsidR="009F3374" w:rsidRPr="000E53A0" w:rsidRDefault="009F3374">
            <w:pPr>
              <w:rPr>
                <w:rFonts w:ascii="Avenir Next Regular" w:hAnsi="Avenir Next Regular" w:cs="Calibri"/>
                <w:color w:val="000000" w:themeColor="text1"/>
                <w:sz w:val="16"/>
                <w:szCs w:val="16"/>
                <w:lang w:val="fr-FR"/>
              </w:rPr>
            </w:pPr>
            <w:r w:rsidRPr="000E53A0">
              <w:rPr>
                <w:rFonts w:ascii="Avenir Next Regular" w:hAnsi="Avenir Next Regular" w:cs="Calibri"/>
                <w:color w:val="000000" w:themeColor="text1"/>
                <w:sz w:val="16"/>
                <w:szCs w:val="16"/>
                <w:lang w:val="fr-FR"/>
              </w:rPr>
              <w:t> </w:t>
            </w:r>
          </w:p>
        </w:tc>
        <w:tc>
          <w:tcPr>
            <w:tcW w:w="1080" w:type="pct"/>
            <w:tcBorders>
              <w:top w:val="nil"/>
              <w:left w:val="nil"/>
              <w:bottom w:val="single" w:sz="4" w:space="0" w:color="auto"/>
              <w:right w:val="single" w:sz="4" w:space="0" w:color="auto"/>
            </w:tcBorders>
            <w:hideMark/>
          </w:tcPr>
          <w:p w14:paraId="17FAA0F9" w14:textId="77777777" w:rsidR="00601D9B" w:rsidRPr="000E53A0" w:rsidRDefault="000E53A0">
            <w:pPr>
              <w:ind w:left="192" w:hanging="192"/>
              <w:rPr>
                <w:rFonts w:ascii="Avenir Next Regular" w:hAnsi="Avenir Next Regular" w:cs="Calibri"/>
                <w:color w:val="000000" w:themeColor="text1"/>
                <w:sz w:val="16"/>
                <w:szCs w:val="16"/>
                <w:lang w:val="fr-FR"/>
              </w:rPr>
            </w:pPr>
            <w:r>
              <w:rPr>
                <w:color w:val="000000" w:themeColor="text1"/>
              </w:rPr>
              <w:sym w:font="Symbol" w:char="F0C4"/>
            </w:r>
            <w:r w:rsidRPr="000E53A0">
              <w:rPr>
                <w:rFonts w:ascii="Avenir Next Regular" w:hAnsi="Avenir Next Regular" w:cs="Calibri"/>
                <w:color w:val="000000" w:themeColor="text1"/>
                <w:sz w:val="16"/>
                <w:szCs w:val="16"/>
                <w:lang w:val="fr-FR"/>
              </w:rPr>
              <w:t>Contribution déterminée au niveau national</w:t>
            </w:r>
          </w:p>
        </w:tc>
      </w:tr>
    </w:tbl>
    <w:p w14:paraId="2587300F" w14:textId="77777777" w:rsidR="009F3374" w:rsidRPr="000E53A0" w:rsidRDefault="009F3374" w:rsidP="00ED625F">
      <w:pPr>
        <w:rPr>
          <w:i/>
          <w:lang w:val="fr-FR"/>
        </w:rPr>
      </w:pPr>
    </w:p>
    <w:sectPr w:rsidR="009F3374" w:rsidRPr="000E53A0" w:rsidSect="009A7C5F">
      <w:pgSz w:w="15840" w:h="12240" w:orient="landscape"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5" w:author="Sarah Lebel" w:date="2021-09-13T16:40:00Z" w:initials="SL">
    <w:p w14:paraId="01884651" w14:textId="77777777" w:rsidR="000E53A0" w:rsidRPr="000E53A0" w:rsidRDefault="000E53A0">
      <w:pPr>
        <w:pStyle w:val="Commentaire"/>
        <w:rPr>
          <w:lang w:val="fr-FR"/>
        </w:rPr>
      </w:pPr>
      <w:r>
        <w:rPr>
          <w:rStyle w:val="Marquedecommentaire"/>
        </w:rPr>
        <w:annotationRef/>
      </w:r>
      <w:r w:rsidRPr="000E53A0">
        <w:rPr>
          <w:lang w:val="fr-FR"/>
        </w:rPr>
        <w:t>La plupart de ces informations sont maintenant dans le rapport ESMF, donc mettez à jour ce rapport avec ce tableau révisé et supprimez-le d'ici.</w:t>
      </w:r>
    </w:p>
  </w:comment>
  <w:comment w:id="29" w:author="Sarah Lebel" w:date="2021-09-15T07:48:00Z" w:initials="SL">
    <w:p w14:paraId="63FE4234" w14:textId="77777777" w:rsidR="000E53A0" w:rsidRPr="00185245" w:rsidRDefault="000E53A0">
      <w:pPr>
        <w:pStyle w:val="Commentaire"/>
        <w:rPr>
          <w:lang w:val="fr-FR"/>
        </w:rPr>
      </w:pPr>
      <w:r>
        <w:rPr>
          <w:rStyle w:val="Marquedecommentaire"/>
        </w:rPr>
        <w:annotationRef/>
      </w:r>
      <w:r w:rsidRPr="00185245">
        <w:rPr>
          <w:lang w:val="fr-FR"/>
        </w:rPr>
        <w:t>TBD</w:t>
      </w:r>
    </w:p>
  </w:comment>
  <w:comment w:id="31" w:author="Sarah Lebel" w:date="2021-09-13T16:32:00Z" w:initials="SL">
    <w:p w14:paraId="2C3EA840" w14:textId="77777777" w:rsidR="000E53A0" w:rsidRPr="000E53A0" w:rsidRDefault="000E53A0">
      <w:pPr>
        <w:pStyle w:val="Commentaire"/>
        <w:rPr>
          <w:lang w:val="fr-FR"/>
        </w:rPr>
      </w:pPr>
      <w:r>
        <w:rPr>
          <w:rStyle w:val="Marquedecommentaire"/>
        </w:rPr>
        <w:annotationRef/>
      </w:r>
      <w:r w:rsidRPr="000E53A0">
        <w:rPr>
          <w:lang w:val="fr-FR"/>
        </w:rPr>
        <w:t>À déterminer unefois que le cofinancement aura été identifié.</w:t>
      </w:r>
    </w:p>
  </w:comment>
  <w:comment w:id="32" w:author="Sarah Lebel" w:date="2021-09-13T16:29:00Z" w:initials="SL">
    <w:p w14:paraId="7AC958A4" w14:textId="77777777" w:rsidR="000E53A0" w:rsidRDefault="000E53A0">
      <w:pPr>
        <w:pStyle w:val="Commentaire"/>
      </w:pPr>
      <w:r>
        <w:rPr>
          <w:rStyle w:val="Marquedecommentaire"/>
        </w:rPr>
        <w:annotationRef/>
      </w:r>
      <w:r>
        <w:t>TBD</w:t>
      </w:r>
    </w:p>
  </w:comment>
  <w:comment w:id="34" w:author="Sarah Lebel" w:date="2021-09-08T09:56:00Z" w:initials="SL">
    <w:p w14:paraId="195A9107" w14:textId="77777777" w:rsidR="000E53A0" w:rsidRPr="000E53A0" w:rsidRDefault="000E53A0">
      <w:pPr>
        <w:pStyle w:val="Commentaire"/>
        <w:rPr>
          <w:lang w:val="fr-FR"/>
        </w:rPr>
      </w:pPr>
      <w:r>
        <w:rPr>
          <w:rStyle w:val="Marquedecommentaire"/>
        </w:rPr>
        <w:annotationRef/>
      </w:r>
      <w:r w:rsidRPr="000E53A0">
        <w:rPr>
          <w:lang w:val="fr-FR"/>
        </w:rPr>
        <w:t>Je propose d'intégrer de manière plus approfondie les aspects de sécurité climatiqueune fois que nous aurons la confirmation du cofinancement.</w:t>
      </w:r>
    </w:p>
  </w:comment>
  <w:comment w:id="37" w:author="Sarah Lebel" w:date="2021-09-15T09:20:00Z" w:initials="SL">
    <w:p w14:paraId="427A805A" w14:textId="77777777" w:rsidR="000E53A0" w:rsidRPr="000E53A0" w:rsidRDefault="000E53A0">
      <w:pPr>
        <w:pStyle w:val="Commentaire"/>
        <w:rPr>
          <w:lang w:val="fr-FR"/>
        </w:rPr>
      </w:pPr>
      <w:r>
        <w:rPr>
          <w:rStyle w:val="Marquedecommentaire"/>
        </w:rPr>
        <w:annotationRef/>
      </w:r>
      <w:r w:rsidRPr="000E53A0">
        <w:rPr>
          <w:lang w:val="fr-FR"/>
        </w:rPr>
        <w:t>Cette formulation doit être alignée avec l'ESMF.</w:t>
      </w:r>
    </w:p>
  </w:comment>
  <w:comment w:id="38" w:author="Sarah Lebel" w:date="2021-09-03T13:53:00Z" w:initials="SL">
    <w:p w14:paraId="709AC91F" w14:textId="77777777" w:rsidR="000E53A0" w:rsidRPr="000E53A0" w:rsidRDefault="000E53A0">
      <w:pPr>
        <w:pStyle w:val="Commentaire"/>
        <w:rPr>
          <w:lang w:val="fr-FR"/>
        </w:rPr>
      </w:pPr>
      <w:r>
        <w:rPr>
          <w:rStyle w:val="Marquedecommentaire"/>
        </w:rPr>
        <w:annotationRef/>
      </w:r>
      <w:r w:rsidRPr="000E53A0">
        <w:rPr>
          <w:lang w:val="fr-FR"/>
        </w:rPr>
        <w:t>Isaac</w:t>
      </w:r>
    </w:p>
  </w:comment>
  <w:comment w:id="42" w:author="Sarah Lebel" w:date="2021-09-16T07:35:00Z" w:initials="SL">
    <w:p w14:paraId="7D228E96" w14:textId="77777777" w:rsidR="000E53A0" w:rsidRPr="000E53A0" w:rsidRDefault="000E53A0">
      <w:pPr>
        <w:pStyle w:val="Commentaire"/>
        <w:rPr>
          <w:lang w:val="fr-FR"/>
        </w:rPr>
      </w:pPr>
      <w:r>
        <w:rPr>
          <w:rStyle w:val="Marquedecommentaire"/>
        </w:rPr>
        <w:annotationRef/>
      </w:r>
      <w:r w:rsidRPr="000E53A0">
        <w:rPr>
          <w:lang w:val="fr-FR"/>
        </w:rPr>
        <w:t>Se référer au tableau des bénéficiaires estimés par commune</w:t>
      </w:r>
    </w:p>
  </w:comment>
  <w:comment w:id="43" w:author="Sarah Lebel" w:date="2021-09-16T08:33:00Z" w:initials="SL">
    <w:p w14:paraId="31C51916" w14:textId="77777777" w:rsidR="000E53A0" w:rsidRPr="000E53A0" w:rsidRDefault="000E53A0">
      <w:pPr>
        <w:pStyle w:val="Commentaire"/>
        <w:rPr>
          <w:lang w:val="fr-FR"/>
        </w:rPr>
      </w:pPr>
      <w:r>
        <w:rPr>
          <w:rStyle w:val="Marquedecommentaire"/>
        </w:rPr>
        <w:annotationRef/>
      </w:r>
      <w:r w:rsidRPr="000E53A0">
        <w:rPr>
          <w:lang w:val="fr-FR"/>
        </w:rPr>
        <w:t>Les informations à ce sujet sont contradictoires dans le PIF. Il est dit dans l'annexe avec les calculs que 21 000 ha de paysages sont soumis à des pratiques améliorées et que 15 000 ha de terres sont restaurées; les valeurs de CO2 diffèrentégalemententre l'annexe et le tableau F.</w:t>
      </w:r>
    </w:p>
  </w:comment>
  <w:comment w:id="44" w:author="Sarah Lebel" w:date="2021-09-16T08:17:00Z" w:initials="SL">
    <w:p w14:paraId="71603FEC" w14:textId="77777777" w:rsidR="000E53A0" w:rsidRPr="000E53A0" w:rsidRDefault="000E53A0">
      <w:pPr>
        <w:pStyle w:val="Commentaire"/>
        <w:rPr>
          <w:lang w:val="fr-FR"/>
        </w:rPr>
      </w:pPr>
      <w:r>
        <w:rPr>
          <w:rStyle w:val="Marquedecommentaire"/>
        </w:rPr>
        <w:annotationRef/>
      </w:r>
      <w:r w:rsidRPr="000E53A0">
        <w:rPr>
          <w:lang w:val="fr-FR"/>
        </w:rPr>
        <w:t>Comment les valeurs de référence et les objectifs ont-ils été établis/estimés ? Par exemple, avons-nous les calculs de l'outil EX-ACT ?</w:t>
      </w:r>
    </w:p>
  </w:comment>
  <w:comment w:id="51" w:author="Sarah Lebel" w:date="2021-09-17T08:34:00Z" w:initials="SL">
    <w:p w14:paraId="14814642" w14:textId="77777777" w:rsidR="000E53A0" w:rsidRPr="000E53A0" w:rsidRDefault="000E53A0">
      <w:pPr>
        <w:pStyle w:val="Commentaire"/>
        <w:rPr>
          <w:lang w:val="fr-FR"/>
        </w:rPr>
      </w:pPr>
      <w:r>
        <w:rPr>
          <w:rStyle w:val="Marquedecommentaire"/>
        </w:rPr>
        <w:annotationRef/>
      </w:r>
      <w:r w:rsidRPr="000E53A0">
        <w:rPr>
          <w:lang w:val="fr-FR"/>
        </w:rPr>
        <w:t>À déterminer une fois que le cofinancement aura été identifié</w:t>
      </w:r>
    </w:p>
  </w:comment>
  <w:comment w:id="61" w:author="Sarah Lebel" w:date="2021-09-17T08:38:00Z" w:initials="SL">
    <w:p w14:paraId="3E711FD4" w14:textId="77777777" w:rsidR="000E53A0" w:rsidRPr="000E53A0" w:rsidRDefault="000E53A0">
      <w:pPr>
        <w:pStyle w:val="Commentaire"/>
        <w:rPr>
          <w:lang w:val="fr-FR"/>
        </w:rPr>
      </w:pPr>
      <w:r>
        <w:rPr>
          <w:rStyle w:val="Marquedecommentaire"/>
        </w:rPr>
        <w:annotationRef/>
      </w:r>
      <w:r w:rsidRPr="000E53A0">
        <w:rPr>
          <w:lang w:val="fr-FR"/>
        </w:rPr>
        <w:t>TBD</w:t>
      </w:r>
    </w:p>
  </w:comment>
  <w:comment w:id="64" w:author="Sarah Lebel" w:date="2021-09-17T08:40:00Z" w:initials="SL">
    <w:p w14:paraId="14DED74B" w14:textId="77777777" w:rsidR="000E53A0" w:rsidRPr="000E53A0" w:rsidRDefault="000E53A0">
      <w:pPr>
        <w:pStyle w:val="Commentaire"/>
        <w:rPr>
          <w:lang w:val="fr-FR"/>
        </w:rPr>
      </w:pPr>
      <w:r>
        <w:rPr>
          <w:rStyle w:val="Marquedecommentaire"/>
        </w:rPr>
        <w:annotationRef/>
      </w:r>
      <w:r w:rsidRPr="000E53A0">
        <w:rPr>
          <w:lang w:val="fr-FR"/>
        </w:rPr>
        <w:t>TBD</w:t>
      </w:r>
    </w:p>
  </w:comment>
  <w:comment w:id="68" w:author="Sarah Lebel" w:date="2021-09-17T08:32:00Z" w:initials="SL">
    <w:p w14:paraId="43F61277" w14:textId="77777777" w:rsidR="000E53A0" w:rsidRPr="000E53A0" w:rsidRDefault="000E53A0">
      <w:pPr>
        <w:pStyle w:val="Commentaire"/>
        <w:rPr>
          <w:lang w:val="fr-FR"/>
        </w:rPr>
      </w:pPr>
      <w:r>
        <w:rPr>
          <w:rStyle w:val="Marquedecommentaire"/>
        </w:rPr>
        <w:annotationRef/>
      </w:r>
      <w:r w:rsidRPr="000E53A0">
        <w:rPr>
          <w:lang w:val="fr-FR"/>
        </w:rPr>
        <w:t>TBD</w:t>
      </w:r>
    </w:p>
  </w:comment>
  <w:comment w:id="70" w:author="Sarah Lebel" w:date="2021-09-17T08:32:00Z" w:initials="SL">
    <w:p w14:paraId="522F3E3D" w14:textId="77777777" w:rsidR="000E53A0" w:rsidRPr="000E53A0" w:rsidRDefault="000E53A0">
      <w:pPr>
        <w:pStyle w:val="Commentaire"/>
        <w:rPr>
          <w:lang w:val="fr-FR"/>
        </w:rPr>
      </w:pPr>
      <w:r>
        <w:rPr>
          <w:rStyle w:val="Marquedecommentaire"/>
        </w:rPr>
        <w:annotationRef/>
      </w:r>
      <w:r w:rsidRPr="000E53A0">
        <w:rPr>
          <w:lang w:val="fr-FR"/>
        </w:rPr>
        <w:t>TBD : Des mises à jour à ce sujet de la coordination avec IGM, après la liste finale des communes ?</w:t>
      </w:r>
    </w:p>
  </w:comment>
  <w:comment w:id="75" w:author="Sarah Lebel" w:date="2021-09-17T08:33:00Z" w:initials="SL">
    <w:p w14:paraId="79739049" w14:textId="77777777" w:rsidR="000E53A0" w:rsidRPr="000E53A0" w:rsidRDefault="000E53A0">
      <w:pPr>
        <w:pStyle w:val="Commentaire"/>
        <w:rPr>
          <w:lang w:val="fr-FR"/>
        </w:rPr>
      </w:pPr>
      <w:r>
        <w:rPr>
          <w:rStyle w:val="Marquedecommentaire"/>
        </w:rPr>
        <w:annotationRef/>
      </w:r>
      <w:r w:rsidRPr="000E53A0">
        <w:rPr>
          <w:lang w:val="fr-FR"/>
        </w:rPr>
        <w:t>TBD après la validation du cadre de résultats</w:t>
      </w:r>
    </w:p>
  </w:comment>
  <w:comment w:id="78" w:author="Sarah Lebel" w:date="2021-09-17T08:33:00Z" w:initials="SL">
    <w:p w14:paraId="61733076" w14:textId="77777777" w:rsidR="000E53A0" w:rsidRPr="000E53A0" w:rsidRDefault="000E53A0">
      <w:pPr>
        <w:pStyle w:val="Commentaire"/>
        <w:rPr>
          <w:lang w:val="fr-FR"/>
        </w:rPr>
      </w:pPr>
      <w:r>
        <w:rPr>
          <w:rStyle w:val="Marquedecommentaire"/>
        </w:rPr>
        <w:annotationRef/>
      </w:r>
      <w:r w:rsidRPr="000E53A0">
        <w:rPr>
          <w:lang w:val="fr-FR"/>
        </w:rPr>
        <w:t>Isaac</w:t>
      </w:r>
    </w:p>
  </w:comment>
  <w:comment w:id="82" w:author="Sarah Lebel" w:date="2021-09-17T08:30:00Z" w:initials="SL">
    <w:p w14:paraId="1B170718" w14:textId="77777777" w:rsidR="000E53A0" w:rsidRPr="000E53A0" w:rsidRDefault="000E53A0">
      <w:pPr>
        <w:pStyle w:val="Commentaire"/>
        <w:rPr>
          <w:lang w:val="fr-FR"/>
        </w:rPr>
      </w:pPr>
      <w:r>
        <w:rPr>
          <w:rStyle w:val="Marquedecommentaire"/>
        </w:rPr>
        <w:annotationRef/>
      </w:r>
      <w:r w:rsidRPr="000E53A0">
        <w:rPr>
          <w:lang w:val="fr-FR"/>
        </w:rPr>
        <w:t>TBD</w:t>
      </w:r>
    </w:p>
  </w:comment>
  <w:comment w:id="84" w:author="Sarah Lebel" w:date="2021-09-17T08:30:00Z" w:initials="SL">
    <w:p w14:paraId="5D77F098" w14:textId="77777777" w:rsidR="000E53A0" w:rsidRPr="000E53A0" w:rsidRDefault="000E53A0">
      <w:pPr>
        <w:pStyle w:val="Commentaire"/>
        <w:rPr>
          <w:lang w:val="fr-FR"/>
        </w:rPr>
      </w:pPr>
      <w:r>
        <w:rPr>
          <w:rStyle w:val="Marquedecommentaire"/>
        </w:rPr>
        <w:annotationRef/>
      </w:r>
      <w:r w:rsidRPr="000E53A0">
        <w:rPr>
          <w:lang w:val="fr-FR"/>
        </w:rPr>
        <w:t>Isaac</w:t>
      </w:r>
    </w:p>
  </w:comment>
  <w:comment w:id="86" w:author="Sarah Lebel" w:date="2021-09-17T08:31:00Z" w:initials="SL">
    <w:p w14:paraId="5D55DEFE" w14:textId="77777777" w:rsidR="000E53A0" w:rsidRPr="000E53A0" w:rsidRDefault="000E53A0">
      <w:pPr>
        <w:pStyle w:val="Commentaire"/>
        <w:rPr>
          <w:lang w:val="fr-FR"/>
        </w:rPr>
      </w:pPr>
      <w:r>
        <w:rPr>
          <w:rStyle w:val="Marquedecommentaire"/>
        </w:rPr>
        <w:annotationRef/>
      </w:r>
      <w:r w:rsidRPr="000E53A0">
        <w:rPr>
          <w:lang w:val="fr-FR"/>
        </w:rPr>
        <w:t>Isaac</w:t>
      </w:r>
    </w:p>
  </w:comment>
  <w:comment w:id="88" w:author="Sarah Lebel" w:date="2021-09-17T08:31:00Z" w:initials="SL">
    <w:p w14:paraId="4258A611" w14:textId="77777777" w:rsidR="000E53A0" w:rsidRPr="000E53A0" w:rsidRDefault="000E53A0">
      <w:pPr>
        <w:pStyle w:val="Commentaire"/>
        <w:rPr>
          <w:lang w:val="fr-FR"/>
        </w:rPr>
      </w:pPr>
      <w:r>
        <w:rPr>
          <w:rStyle w:val="Marquedecommentaire"/>
        </w:rPr>
        <w:annotationRef/>
      </w:r>
      <w:r w:rsidRPr="000E53A0">
        <w:rPr>
          <w:lang w:val="fr-FR"/>
        </w:rPr>
        <w:t>Garéka : en cours</w:t>
      </w:r>
    </w:p>
  </w:comment>
  <w:comment w:id="90" w:author="Sarah Lebel" w:date="2021-09-17T08:31:00Z" w:initials="SL">
    <w:p w14:paraId="5DE7B450" w14:textId="77777777" w:rsidR="000E53A0" w:rsidRDefault="000E53A0">
      <w:pPr>
        <w:pStyle w:val="Commentaire"/>
      </w:pPr>
      <w:r>
        <w:rPr>
          <w:rStyle w:val="Marquedecommentaire"/>
        </w:rPr>
        <w:annotationRef/>
      </w:r>
      <w:r>
        <w:t>TBD</w:t>
      </w:r>
    </w:p>
  </w:comment>
  <w:comment w:id="92" w:author="Sarah Lebel" w:date="2021-09-17T08:31:00Z" w:initials="SL">
    <w:p w14:paraId="1CFD4E9C" w14:textId="77777777" w:rsidR="000E53A0" w:rsidRDefault="000E53A0">
      <w:pPr>
        <w:pStyle w:val="Commentaire"/>
      </w:pPr>
      <w:r>
        <w:rPr>
          <w:rStyle w:val="Marquedecommentaire"/>
        </w:rPr>
        <w:annotationRef/>
      </w:r>
      <w:r>
        <w:t>TBD</w:t>
      </w:r>
    </w:p>
  </w:comment>
  <w:comment w:id="94" w:author="Sarah Lebel" w:date="2021-09-17T08:31:00Z" w:initials="SL">
    <w:p w14:paraId="3CBD7F94" w14:textId="77777777" w:rsidR="000E53A0" w:rsidRDefault="000E53A0">
      <w:pPr>
        <w:pStyle w:val="Commentaire"/>
      </w:pPr>
      <w:r>
        <w:rPr>
          <w:rStyle w:val="Marquedecommentaire"/>
        </w:rPr>
        <w:annotationRef/>
      </w:r>
      <w:r>
        <w:t>TBD</w:t>
      </w:r>
    </w:p>
  </w:comment>
  <w:comment w:id="96" w:author="Sarah Lebel" w:date="2021-09-17T08:31:00Z" w:initials="SL">
    <w:p w14:paraId="4CD4207D" w14:textId="77777777" w:rsidR="000E53A0" w:rsidRDefault="000E53A0">
      <w:pPr>
        <w:pStyle w:val="Commentaire"/>
      </w:pPr>
      <w:r>
        <w:rPr>
          <w:rStyle w:val="Marquedecommentaire"/>
        </w:rPr>
        <w:annotationRef/>
      </w:r>
      <w:r>
        <w:t>TBD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1884651" w15:done="0"/>
  <w15:commentEx w15:paraId="63FE4234" w15:done="0"/>
  <w15:commentEx w15:paraId="2C3EA840" w15:done="0"/>
  <w15:commentEx w15:paraId="7AC958A4" w15:done="0"/>
  <w15:commentEx w15:paraId="195A9107" w15:done="0"/>
  <w15:commentEx w15:paraId="427A805A" w15:done="0"/>
  <w15:commentEx w15:paraId="709AC91F" w15:done="0"/>
  <w15:commentEx w15:paraId="7D228E96" w15:done="0"/>
  <w15:commentEx w15:paraId="31C51916" w15:done="0"/>
  <w15:commentEx w15:paraId="71603FEC" w15:done="0"/>
  <w15:commentEx w15:paraId="14814642" w15:done="0"/>
  <w15:commentEx w15:paraId="3E711FD4" w15:done="0"/>
  <w15:commentEx w15:paraId="14DED74B" w15:done="0"/>
  <w15:commentEx w15:paraId="43F61277" w15:done="0"/>
  <w15:commentEx w15:paraId="522F3E3D" w15:done="0"/>
  <w15:commentEx w15:paraId="79739049" w15:done="0"/>
  <w15:commentEx w15:paraId="61733076" w15:done="0"/>
  <w15:commentEx w15:paraId="1B170718" w15:done="0"/>
  <w15:commentEx w15:paraId="5D77F098" w15:done="0"/>
  <w15:commentEx w15:paraId="5D55DEFE" w15:done="0"/>
  <w15:commentEx w15:paraId="4258A611" w15:done="0"/>
  <w15:commentEx w15:paraId="5DE7B450" w15:done="0"/>
  <w15:commentEx w15:paraId="1CFD4E9C" w15:done="0"/>
  <w15:commentEx w15:paraId="3CBD7F94" w15:done="0"/>
  <w15:commentEx w15:paraId="4CD4207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1884651" w16cid:durableId="24FC37D9"/>
  <w16cid:commentId w16cid:paraId="63FE4234" w16cid:durableId="24FC37DA"/>
  <w16cid:commentId w16cid:paraId="2C3EA840" w16cid:durableId="24FC37DB"/>
  <w16cid:commentId w16cid:paraId="7AC958A4" w16cid:durableId="24FC37DC"/>
  <w16cid:commentId w16cid:paraId="195A9107" w16cid:durableId="24FC37DD"/>
  <w16cid:commentId w16cid:paraId="427A805A" w16cid:durableId="24FC37DE"/>
  <w16cid:commentId w16cid:paraId="709AC91F" w16cid:durableId="24FC37DF"/>
  <w16cid:commentId w16cid:paraId="7D228E96" w16cid:durableId="24FC37E0"/>
  <w16cid:commentId w16cid:paraId="31C51916" w16cid:durableId="24FC37E1"/>
  <w16cid:commentId w16cid:paraId="71603FEC" w16cid:durableId="24FC37E2"/>
  <w16cid:commentId w16cid:paraId="14814642" w16cid:durableId="24FC37E3"/>
  <w16cid:commentId w16cid:paraId="3E711FD4" w16cid:durableId="24FC37E4"/>
  <w16cid:commentId w16cid:paraId="14DED74B" w16cid:durableId="24FC37E5"/>
  <w16cid:commentId w16cid:paraId="43F61277" w16cid:durableId="24FC37E6"/>
  <w16cid:commentId w16cid:paraId="522F3E3D" w16cid:durableId="24FC37E7"/>
  <w16cid:commentId w16cid:paraId="79739049" w16cid:durableId="24FC37E8"/>
  <w16cid:commentId w16cid:paraId="61733076" w16cid:durableId="24FC37E9"/>
  <w16cid:commentId w16cid:paraId="1B170718" w16cid:durableId="24FC37EA"/>
  <w16cid:commentId w16cid:paraId="5D77F098" w16cid:durableId="24FC37EB"/>
  <w16cid:commentId w16cid:paraId="5D55DEFE" w16cid:durableId="24FC37EC"/>
  <w16cid:commentId w16cid:paraId="4258A611" w16cid:durableId="24FC37ED"/>
  <w16cid:commentId w16cid:paraId="5DE7B450" w16cid:durableId="24FC37EE"/>
  <w16cid:commentId w16cid:paraId="1CFD4E9C" w16cid:durableId="24FC37EF"/>
  <w16cid:commentId w16cid:paraId="3CBD7F94" w16cid:durableId="24FC37F0"/>
  <w16cid:commentId w16cid:paraId="4CD4207D" w16cid:durableId="24FC37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2BD5F1" w14:textId="77777777" w:rsidR="00B330C0" w:rsidRDefault="00B330C0">
      <w:r>
        <w:separator/>
      </w:r>
    </w:p>
  </w:endnote>
  <w:endnote w:type="continuationSeparator" w:id="0">
    <w:p w14:paraId="1DD57C7D" w14:textId="77777777" w:rsidR="00B330C0" w:rsidRDefault="00B330C0">
      <w:r>
        <w:continuationSeparator/>
      </w:r>
    </w:p>
  </w:endnote>
  <w:endnote w:type="continuationNotice" w:id="1">
    <w:p w14:paraId="3000A6A5" w14:textId="77777777" w:rsidR="00B330C0" w:rsidRDefault="00B330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dobe Garamond Pro">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Times">
    <w:altName w:val="﷽﷽﷽﷽﷽﷽"/>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ヒラギノ角ゴ Pro W3">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Next Regular">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CE049" w14:textId="77777777" w:rsidR="000E53A0" w:rsidRDefault="000E53A0">
    <w:pPr>
      <w:pStyle w:val="Pieddepage"/>
      <w:pBdr>
        <w:top w:val="single" w:sz="4" w:space="1" w:color="D9D9D9"/>
      </w:pBdr>
      <w:jc w:val="right"/>
      <w:rPr>
        <w:sz w:val="18"/>
        <w:szCs w:val="18"/>
      </w:rPr>
    </w:pPr>
    <w:r w:rsidRPr="0086069F">
      <w:rPr>
        <w:sz w:val="18"/>
        <w:szCs w:val="18"/>
      </w:rPr>
      <w:fldChar w:fldCharType="begin"/>
    </w:r>
    <w:r w:rsidRPr="0086069F">
      <w:rPr>
        <w:sz w:val="18"/>
        <w:szCs w:val="18"/>
      </w:rPr>
      <w:instrText xml:space="preserve"> PAGE   \* MERGEFORMAT </w:instrText>
    </w:r>
    <w:r w:rsidRPr="0086069F">
      <w:rPr>
        <w:sz w:val="18"/>
        <w:szCs w:val="18"/>
      </w:rPr>
      <w:fldChar w:fldCharType="separate"/>
    </w:r>
    <w:r w:rsidR="00F1092D">
      <w:rPr>
        <w:noProof/>
        <w:sz w:val="18"/>
        <w:szCs w:val="18"/>
      </w:rPr>
      <w:t>51</w:t>
    </w:r>
    <w:r w:rsidRPr="0086069F">
      <w:rPr>
        <w:noProof/>
        <w:sz w:val="18"/>
        <w:szCs w:val="18"/>
      </w:rPr>
      <w:fldChar w:fldCharType="end"/>
    </w:r>
    <w:r w:rsidRPr="0086069F">
      <w:rPr>
        <w:sz w:val="18"/>
        <w:szCs w:val="18"/>
      </w:rPr>
      <w:t xml:space="preserve">| </w:t>
    </w:r>
    <w:r w:rsidRPr="0086069F">
      <w:rPr>
        <w:color w:val="7F7F7F"/>
        <w:spacing w:val="60"/>
        <w:sz w:val="18"/>
        <w:szCs w:val="18"/>
      </w:rPr>
      <w:t>Page</w:t>
    </w:r>
  </w:p>
  <w:p w14:paraId="56D50A97" w14:textId="77777777" w:rsidR="000E53A0" w:rsidRDefault="000E53A0">
    <w:pPr>
      <w:pStyle w:val="Pieddepage"/>
    </w:pPr>
  </w:p>
  <w:p w14:paraId="460413EE" w14:textId="77777777" w:rsidR="000E53A0" w:rsidRDefault="000E53A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E196C" w14:textId="77777777" w:rsidR="000E53A0" w:rsidRDefault="000E53A0">
    <w:pPr>
      <w:pStyle w:val="Pieddepage"/>
      <w:pBdr>
        <w:top w:val="single" w:sz="4" w:space="1" w:color="D9D9D9"/>
      </w:pBdr>
      <w:tabs>
        <w:tab w:val="left" w:pos="345"/>
        <w:tab w:val="right" w:pos="9360"/>
      </w:tabs>
      <w:jc w:val="right"/>
      <w:rPr>
        <w:sz w:val="18"/>
        <w:szCs w:val="18"/>
      </w:rPr>
    </w:pPr>
    <w:r w:rsidRPr="00CE62FD">
      <w:rPr>
        <w:sz w:val="18"/>
        <w:szCs w:val="18"/>
      </w:rPr>
      <w:tab/>
    </w:r>
    <w:r w:rsidRPr="00CE62FD">
      <w:rPr>
        <w:sz w:val="18"/>
        <w:szCs w:val="18"/>
      </w:rPr>
      <w:tab/>
    </w:r>
    <w:r w:rsidRPr="00CE62FD">
      <w:rPr>
        <w:sz w:val="18"/>
        <w:szCs w:val="18"/>
      </w:rPr>
      <w:tab/>
    </w:r>
    <w:r w:rsidRPr="00CE62FD">
      <w:rPr>
        <w:sz w:val="18"/>
        <w:szCs w:val="18"/>
      </w:rPr>
      <w:tab/>
    </w:r>
    <w:r w:rsidRPr="00CE62FD">
      <w:rPr>
        <w:sz w:val="18"/>
        <w:szCs w:val="18"/>
      </w:rPr>
      <w:fldChar w:fldCharType="begin"/>
    </w:r>
    <w:r w:rsidRPr="00CE62FD">
      <w:rPr>
        <w:sz w:val="18"/>
        <w:szCs w:val="18"/>
      </w:rPr>
      <w:instrText xml:space="preserve"> PAGE   \* MERGEFORMAT </w:instrText>
    </w:r>
    <w:r w:rsidRPr="00CE62FD">
      <w:rPr>
        <w:sz w:val="18"/>
        <w:szCs w:val="18"/>
      </w:rPr>
      <w:fldChar w:fldCharType="separate"/>
    </w:r>
    <w:r w:rsidR="00F1092D">
      <w:rPr>
        <w:noProof/>
        <w:sz w:val="18"/>
        <w:szCs w:val="18"/>
      </w:rPr>
      <w:t>64</w:t>
    </w:r>
    <w:r w:rsidRPr="00CE62FD">
      <w:rPr>
        <w:noProof/>
        <w:sz w:val="18"/>
        <w:szCs w:val="18"/>
      </w:rPr>
      <w:fldChar w:fldCharType="end"/>
    </w:r>
    <w:r w:rsidRPr="00CE62FD">
      <w:rPr>
        <w:sz w:val="18"/>
        <w:szCs w:val="18"/>
      </w:rPr>
      <w:t xml:space="preserve">| </w:t>
    </w:r>
    <w:r w:rsidRPr="00CE62FD">
      <w:rPr>
        <w:color w:val="7F7F7F"/>
        <w:spacing w:val="60"/>
        <w:sz w:val="18"/>
        <w:szCs w:val="18"/>
      </w:rPr>
      <w:t>Page</w:t>
    </w:r>
  </w:p>
  <w:p w14:paraId="6782335A" w14:textId="77777777" w:rsidR="000E53A0" w:rsidRDefault="000E53A0">
    <w:pPr>
      <w:pStyle w:val="Pieddepage"/>
    </w:pPr>
  </w:p>
  <w:p w14:paraId="08F8EBD9" w14:textId="77777777" w:rsidR="000E53A0" w:rsidRDefault="000E53A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3FA06" w14:textId="77777777" w:rsidR="000E53A0" w:rsidRDefault="000E53A0" w:rsidP="00FD3A8F">
    <w:pPr>
      <w:pStyle w:val="En-tte"/>
    </w:pPr>
  </w:p>
  <w:p w14:paraId="4EDB93F7" w14:textId="77777777" w:rsidR="000E53A0" w:rsidRDefault="000E53A0">
    <w:pPr>
      <w:pStyle w:val="Pieddepage"/>
      <w:pBdr>
        <w:top w:val="single" w:sz="4" w:space="1" w:color="D9D9D9"/>
      </w:pBdr>
      <w:jc w:val="right"/>
    </w:pPr>
    <w:r>
      <w:fldChar w:fldCharType="begin"/>
    </w:r>
    <w:r>
      <w:instrText xml:space="preserve"> PAGE   \* MERGEFORMAT </w:instrText>
    </w:r>
    <w:r>
      <w:fldChar w:fldCharType="separate"/>
    </w:r>
    <w:r w:rsidR="00F1092D">
      <w:rPr>
        <w:noProof/>
      </w:rPr>
      <w:t>124</w:t>
    </w:r>
    <w:r>
      <w:rPr>
        <w:noProof/>
      </w:rPr>
      <w:fldChar w:fldCharType="end"/>
    </w:r>
    <w:r>
      <w:t xml:space="preserve">| </w:t>
    </w:r>
    <w:r w:rsidRPr="0003763F">
      <w:rPr>
        <w:color w:val="7F7F7F"/>
        <w:spacing w:val="60"/>
      </w:rPr>
      <w:t>Page</w:t>
    </w:r>
  </w:p>
  <w:p w14:paraId="58C85820" w14:textId="77777777" w:rsidR="000E53A0" w:rsidRDefault="000E53A0" w:rsidP="00FD3A8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4744D1" w14:textId="77777777" w:rsidR="00B330C0" w:rsidRDefault="00B330C0">
      <w:r>
        <w:separator/>
      </w:r>
    </w:p>
  </w:footnote>
  <w:footnote w:type="continuationSeparator" w:id="0">
    <w:p w14:paraId="43C5C81B" w14:textId="77777777" w:rsidR="00B330C0" w:rsidRDefault="00B330C0">
      <w:r>
        <w:continuationSeparator/>
      </w:r>
    </w:p>
  </w:footnote>
  <w:footnote w:type="continuationNotice" w:id="1">
    <w:p w14:paraId="66723CE1" w14:textId="77777777" w:rsidR="00B330C0" w:rsidRDefault="00B330C0"/>
  </w:footnote>
  <w:footnote w:id="2">
    <w:p w14:paraId="40CC6760" w14:textId="77777777" w:rsidR="000E53A0" w:rsidRDefault="000E53A0">
      <w:pPr>
        <w:pStyle w:val="Notedebasdepage"/>
        <w:ind w:left="-680"/>
        <w:rPr>
          <w:sz w:val="16"/>
          <w:szCs w:val="16"/>
          <w:lang w:val="fr-FR"/>
        </w:rPr>
      </w:pPr>
      <w:r w:rsidRPr="003212F7">
        <w:rPr>
          <w:rStyle w:val="Appelnotedebasdep"/>
        </w:rPr>
        <w:footnoteRef/>
      </w:r>
      <w:r w:rsidRPr="008B2F00">
        <w:rPr>
          <w:iCs/>
          <w:color w:val="000000"/>
          <w:sz w:val="16"/>
          <w:szCs w:val="16"/>
          <w:shd w:val="clear" w:color="auto" w:fill="FFFFFF"/>
          <w:lang w:val="fr-FR"/>
        </w:rPr>
        <w:t xml:space="preserve"> </w:t>
      </w:r>
      <w:r w:rsidRPr="008B2F00">
        <w:rPr>
          <w:iCs/>
          <w:color w:val="000000"/>
          <w:sz w:val="16"/>
          <w:szCs w:val="16"/>
          <w:lang w:val="fr-FR"/>
        </w:rPr>
        <w:t>L'</w:t>
      </w:r>
      <w:r w:rsidRPr="008B2F00">
        <w:rPr>
          <w:rStyle w:val="Accentuation"/>
          <w:color w:val="000000"/>
          <w:sz w:val="16"/>
          <w:szCs w:val="16"/>
          <w:lang w:val="fr-FR"/>
        </w:rPr>
        <w:t xml:space="preserve">Agence </w:t>
      </w:r>
      <w:r w:rsidRPr="008B2F00">
        <w:rPr>
          <w:iCs/>
          <w:color w:val="000000"/>
          <w:sz w:val="16"/>
          <w:szCs w:val="16"/>
          <w:shd w:val="clear" w:color="auto" w:fill="FFFFFF"/>
          <w:lang w:val="fr-FR"/>
        </w:rPr>
        <w:t>de l'Environnement et du Développement Durable (AEDD) ou l'</w:t>
      </w:r>
      <w:r w:rsidRPr="008B2F00">
        <w:rPr>
          <w:iCs/>
          <w:color w:val="000000"/>
          <w:sz w:val="16"/>
          <w:szCs w:val="16"/>
          <w:lang w:val="fr-FR"/>
        </w:rPr>
        <w:t xml:space="preserve">Agence pour l'Environnement et le </w:t>
      </w:r>
      <w:r w:rsidRPr="008B2F00">
        <w:rPr>
          <w:color w:val="000000"/>
          <w:sz w:val="16"/>
          <w:szCs w:val="16"/>
          <w:lang w:val="fr-FR"/>
        </w:rPr>
        <w:t xml:space="preserve">Développement </w:t>
      </w:r>
      <w:r w:rsidRPr="008B2F00">
        <w:rPr>
          <w:iCs/>
          <w:color w:val="000000"/>
          <w:sz w:val="16"/>
          <w:szCs w:val="16"/>
          <w:lang w:val="fr-FR"/>
        </w:rPr>
        <w:t xml:space="preserve">Durable </w:t>
      </w:r>
      <w:r w:rsidRPr="008B2F00">
        <w:rPr>
          <w:color w:val="000000"/>
          <w:sz w:val="16"/>
          <w:szCs w:val="16"/>
          <w:lang w:val="fr-FR"/>
        </w:rPr>
        <w:t>(AESD)</w:t>
      </w:r>
    </w:p>
  </w:footnote>
  <w:footnote w:id="3">
    <w:p w14:paraId="7CA69B33" w14:textId="77777777" w:rsidR="000E53A0" w:rsidRPr="000E53A0" w:rsidRDefault="000E53A0">
      <w:pPr>
        <w:pStyle w:val="Notedebasdepage"/>
        <w:spacing w:after="20"/>
        <w:ind w:left="-680"/>
        <w:rPr>
          <w:sz w:val="16"/>
          <w:szCs w:val="16"/>
          <w:lang w:val="fr-FR"/>
        </w:rPr>
      </w:pPr>
      <w:r w:rsidRPr="00581A8A">
        <w:rPr>
          <w:rStyle w:val="Appelnotedebasdep"/>
        </w:rPr>
        <w:footnoteRef/>
      </w:r>
      <w:r w:rsidRPr="000E53A0">
        <w:rPr>
          <w:sz w:val="16"/>
          <w:szCs w:val="16"/>
          <w:lang w:val="fr-FR"/>
        </w:rPr>
        <w:t xml:space="preserve"> Voir la présélection de la procédure sociale et environnementale pour une analyse plus détaillée du conflit, y compris le rôle des forces gouvernementales soutenues par l'étranger depuis 2012 et les développements récents depuis le coup d'État d'août 2020. </w:t>
      </w:r>
    </w:p>
  </w:footnote>
  <w:footnote w:id="4">
    <w:p w14:paraId="1E9CDEC1" w14:textId="77777777" w:rsidR="000E53A0" w:rsidRPr="000E53A0" w:rsidRDefault="000E53A0">
      <w:pPr>
        <w:pStyle w:val="Notedebasdepage"/>
        <w:rPr>
          <w:lang w:val="fr-FR"/>
        </w:rPr>
      </w:pPr>
      <w:r w:rsidRPr="005D330B">
        <w:rPr>
          <w:rStyle w:val="Appelnotedebasdep"/>
        </w:rPr>
        <w:footnoteRef/>
      </w:r>
      <w:r w:rsidRPr="000E53A0">
        <w:rPr>
          <w:lang w:val="fr-FR"/>
        </w:rPr>
        <w:t xml:space="preserve"> Il ne s'agit pas d'une exigence obligatoire.</w:t>
      </w:r>
    </w:p>
  </w:footnote>
  <w:footnote w:id="5">
    <w:p w14:paraId="031A42E5" w14:textId="77777777" w:rsidR="000E53A0" w:rsidRPr="000E53A0" w:rsidRDefault="000E53A0">
      <w:pPr>
        <w:pStyle w:val="Notedebasdepage"/>
        <w:rPr>
          <w:i/>
          <w:lang w:val="fr-FR"/>
        </w:rPr>
      </w:pPr>
      <w:r w:rsidRPr="00901804">
        <w:rPr>
          <w:rStyle w:val="Appelnotedebasdep"/>
          <w:rFonts w:asciiTheme="minorHAnsi" w:hAnsiTheme="minorHAnsi"/>
          <w:highlight w:val="yellow"/>
          <w:vertAlign w:val="baseline"/>
        </w:rPr>
        <w:footnoteRef/>
      </w:r>
      <w:r w:rsidRPr="000E53A0">
        <w:rPr>
          <w:i/>
          <w:highlight w:val="yellow"/>
          <w:lang w:val="fr-FR"/>
        </w:rPr>
        <w:t xml:space="preserve"> D'autres preuves de l'accord du gouvernement peuvent être acceptées à la place d'une signature, à moins que le gouvernement du pays du programme n'exige une signature.</w:t>
      </w:r>
    </w:p>
  </w:footnote>
  <w:footnote w:id="6">
    <w:p w14:paraId="2185082F" w14:textId="77777777" w:rsidR="000E53A0" w:rsidRPr="000E53A0" w:rsidRDefault="000E53A0">
      <w:pPr>
        <w:pStyle w:val="Notedebasdepage"/>
        <w:rPr>
          <w:i/>
          <w:lang w:val="fr-FR"/>
        </w:rPr>
      </w:pPr>
      <w:r w:rsidRPr="00AF0DAA">
        <w:rPr>
          <w:rStyle w:val="Appelnotedebasdep"/>
          <w:rFonts w:asciiTheme="minorHAnsi" w:hAnsiTheme="minorHAnsi"/>
          <w:i/>
          <w:highlight w:val="yellow"/>
          <w:vertAlign w:val="baseline"/>
        </w:rPr>
        <w:footnoteRef/>
      </w:r>
      <w:r w:rsidRPr="000E53A0">
        <w:rPr>
          <w:i/>
          <w:highlight w:val="yellow"/>
          <w:lang w:val="fr-FR"/>
        </w:rPr>
        <w:t xml:space="preserve">  Non requis lorsque le PNUD est le partenaire de mise en œuvre (c'est-à-dire la modalité de mise en œuvre DIM). Si une agence des Nations Unies est le partenaire de mise en œuvre et a signé un SBEAA avec le PNUD, alors l'autorité de coordination du développement du gouvernement, le PNUD et l'agence des Nations Unies signent le document de projet. Si une OIG est le partenaire de mise en œuvre et a signé un SBEAA avec le PNUD, l'autorité gouvernementale de coordination du développement, le PNUD et l'OIG signent le document de projet. Si une OSC/ONG est le partenaire de mise en œuvre, l'autorité de coordination du développement du gouvernement et le PNUD signent le document de projet et le joignent à l'accord de coopération de projet qui doit être signé par l'OSC/ONG et le PNUD. </w:t>
      </w:r>
    </w:p>
  </w:footnote>
  <w:footnote w:id="7">
    <w:p w14:paraId="0797C760" w14:textId="77777777" w:rsidR="000E53A0" w:rsidRPr="000E53A0" w:rsidRDefault="000E53A0">
      <w:pPr>
        <w:pStyle w:val="Notedebasdepage"/>
        <w:rPr>
          <w:i/>
          <w:lang w:val="fr-FR"/>
        </w:rPr>
      </w:pPr>
      <w:r w:rsidRPr="00AF0DAA">
        <w:rPr>
          <w:rStyle w:val="Appelnotedebasdep"/>
          <w:i/>
          <w:highlight w:val="yellow"/>
        </w:rPr>
        <w:footnoteRef/>
      </w:r>
      <w:r w:rsidRPr="000E53A0">
        <w:rPr>
          <w:i/>
          <w:highlight w:val="yellow"/>
          <w:lang w:val="fr-FR"/>
        </w:rPr>
        <w:t xml:space="preserve"> Pour les projets NIM, il s'agit du représentant résident. Pour les projets DIM dans un seul pays, il s'agit du représentant résident. Pour les projets DIM mondiaux et régionaux, il s'agit du BPPS.</w:t>
      </w:r>
    </w:p>
  </w:footnote>
  <w:footnote w:id="8">
    <w:p w14:paraId="64C85F40" w14:textId="77777777" w:rsidR="000E53A0" w:rsidRPr="000E53A0" w:rsidRDefault="000E53A0">
      <w:pPr>
        <w:pStyle w:val="Notedebasdepage"/>
        <w:rPr>
          <w:rFonts w:cstheme="minorHAnsi"/>
          <w:szCs w:val="18"/>
          <w:lang w:val="fr-FR"/>
        </w:rPr>
      </w:pPr>
      <w:r>
        <w:rPr>
          <w:rStyle w:val="Appelnotedebasdep"/>
        </w:rPr>
        <w:footnoteRef/>
      </w:r>
      <w:r w:rsidRPr="000E53A0">
        <w:rPr>
          <w:rFonts w:cstheme="minorHAnsi"/>
          <w:szCs w:val="18"/>
          <w:lang w:val="fr-FR"/>
        </w:rPr>
        <w:t xml:space="preserve"> PNUD. 2020. Rapport sur le développement humain 2020 - La prochaine frontière : le développement humain et l'anthropocène ; Note d'information pour les pays sur le Rapport sur le développement humain 2020 : Mali.</w:t>
      </w:r>
    </w:p>
  </w:footnote>
  <w:footnote w:id="9">
    <w:p w14:paraId="75FB0EFC" w14:textId="77777777" w:rsidR="000E53A0" w:rsidRDefault="000E53A0">
      <w:pPr>
        <w:pStyle w:val="Notedebasdepage"/>
        <w:rPr>
          <w:rFonts w:cstheme="minorHAnsi"/>
          <w:szCs w:val="18"/>
          <w:lang w:val="fr-FR"/>
        </w:rPr>
      </w:pPr>
      <w:r w:rsidRPr="004F7944">
        <w:rPr>
          <w:rStyle w:val="Appelnotedebasdep"/>
          <w:rFonts w:asciiTheme="minorHAnsi" w:hAnsiTheme="minorHAnsi" w:cstheme="minorHAnsi"/>
          <w:szCs w:val="18"/>
        </w:rPr>
        <w:footnoteRef/>
      </w:r>
      <w:r w:rsidRPr="004F7944">
        <w:rPr>
          <w:rFonts w:cstheme="minorHAnsi"/>
          <w:szCs w:val="18"/>
          <w:lang w:val="fr-FR"/>
        </w:rPr>
        <w:t xml:space="preserve"> Ministère de l'environnement, de l'assainissement et du développement durable, République du Mali, Février 2020.  </w:t>
      </w:r>
    </w:p>
  </w:footnote>
  <w:footnote w:id="10">
    <w:p w14:paraId="3B7AD99A" w14:textId="77777777" w:rsidR="000E53A0" w:rsidRPr="000E53A0" w:rsidRDefault="000E53A0">
      <w:pPr>
        <w:pStyle w:val="Notedebasdepage"/>
        <w:rPr>
          <w:rFonts w:cstheme="minorHAnsi"/>
          <w:szCs w:val="18"/>
          <w:lang w:val="fr-FR"/>
        </w:rPr>
      </w:pPr>
      <w:r w:rsidRPr="004F7944">
        <w:rPr>
          <w:rStyle w:val="Appelnotedebasdep"/>
          <w:rFonts w:asciiTheme="minorHAnsi" w:hAnsiTheme="minorHAnsi" w:cstheme="minorHAnsi"/>
          <w:szCs w:val="18"/>
        </w:rPr>
        <w:footnoteRef/>
      </w:r>
      <w:r w:rsidRPr="000E53A0">
        <w:rPr>
          <w:rFonts w:cstheme="minorHAnsi"/>
          <w:szCs w:val="18"/>
          <w:lang w:val="fr-FR"/>
        </w:rPr>
        <w:t xml:space="preserve"> Nations Unies, Analyse des impacts socio-économiques de COVID-19, mai 2020.</w:t>
      </w:r>
    </w:p>
  </w:footnote>
  <w:footnote w:id="11">
    <w:p w14:paraId="72FAACC1" w14:textId="77777777" w:rsidR="000E53A0" w:rsidRDefault="000E53A0">
      <w:pPr>
        <w:pStyle w:val="Notedebasdepage"/>
        <w:rPr>
          <w:rFonts w:cstheme="minorHAnsi"/>
          <w:szCs w:val="18"/>
          <w:lang w:val="fr-FR"/>
        </w:rPr>
      </w:pPr>
      <w:r w:rsidRPr="004F7944">
        <w:rPr>
          <w:rStyle w:val="Appelnotedebasdep"/>
          <w:rFonts w:asciiTheme="minorHAnsi" w:hAnsiTheme="minorHAnsi" w:cstheme="minorHAnsi"/>
          <w:szCs w:val="18"/>
        </w:rPr>
        <w:footnoteRef/>
      </w:r>
      <w:r w:rsidRPr="004F7944">
        <w:rPr>
          <w:rFonts w:cstheme="minorHAnsi"/>
          <w:szCs w:val="18"/>
          <w:lang w:val="fr-FR"/>
        </w:rPr>
        <w:t xml:space="preserve"> Potsdam Institute for Climate Impact Research (PIK), 2020, Profil de risque climatique : Mali.</w:t>
      </w:r>
    </w:p>
  </w:footnote>
  <w:footnote w:id="12">
    <w:p w14:paraId="15C250B7" w14:textId="77777777" w:rsidR="000E53A0" w:rsidRDefault="000E53A0">
      <w:pPr>
        <w:pStyle w:val="Notedebasdepage"/>
        <w:rPr>
          <w:rFonts w:cstheme="minorHAnsi"/>
          <w:szCs w:val="18"/>
          <w:lang w:val="fr-FR"/>
        </w:rPr>
      </w:pPr>
      <w:r w:rsidRPr="004F7944">
        <w:rPr>
          <w:rStyle w:val="Appelnotedebasdep"/>
          <w:rFonts w:asciiTheme="minorHAnsi" w:hAnsiTheme="minorHAnsi" w:cstheme="minorHAnsi"/>
          <w:szCs w:val="18"/>
        </w:rPr>
        <w:footnoteRef/>
      </w:r>
      <w:r w:rsidRPr="004F7944">
        <w:rPr>
          <w:rFonts w:cstheme="minorHAnsi"/>
          <w:szCs w:val="18"/>
          <w:lang w:val="fr-FR"/>
        </w:rPr>
        <w:t xml:space="preserve"> Ministère de la santé et des affaires sociales de la République du Mali, Septembre 2020, Cadre de gestion environnementale et sociale (CGES). </w:t>
      </w:r>
    </w:p>
  </w:footnote>
  <w:footnote w:id="13">
    <w:p w14:paraId="5A9F45D5" w14:textId="77777777" w:rsidR="000E53A0" w:rsidRPr="000E53A0" w:rsidRDefault="000E53A0">
      <w:pPr>
        <w:pStyle w:val="Notedebasdepage"/>
        <w:rPr>
          <w:rFonts w:cstheme="minorHAnsi"/>
          <w:szCs w:val="18"/>
          <w:lang w:val="fr-FR"/>
        </w:rPr>
      </w:pPr>
      <w:r w:rsidRPr="004F7944">
        <w:rPr>
          <w:rStyle w:val="Appelnotedebasdep"/>
          <w:rFonts w:asciiTheme="minorHAnsi" w:hAnsiTheme="minorHAnsi" w:cstheme="minorHAnsi"/>
          <w:szCs w:val="18"/>
        </w:rPr>
        <w:footnoteRef/>
      </w:r>
      <w:r w:rsidRPr="000E53A0">
        <w:rPr>
          <w:rFonts w:cstheme="minorHAnsi"/>
          <w:szCs w:val="18"/>
          <w:lang w:val="fr-FR"/>
        </w:rPr>
        <w:t xml:space="preserve"> US Aid, décembre 2018, Profil de risque climatique : Mali.</w:t>
      </w:r>
    </w:p>
  </w:footnote>
  <w:footnote w:id="14">
    <w:p w14:paraId="2B46F5EA" w14:textId="77777777" w:rsidR="000E53A0" w:rsidRDefault="000E53A0">
      <w:pPr>
        <w:ind w:firstLine="284"/>
        <w:rPr>
          <w:rFonts w:asciiTheme="minorHAnsi" w:hAnsiTheme="minorHAnsi" w:cstheme="minorHAnsi"/>
          <w:sz w:val="18"/>
          <w:szCs w:val="18"/>
          <w:lang w:val="fr-FR" w:eastAsia="x-none"/>
        </w:rPr>
      </w:pPr>
      <w:r w:rsidRPr="004F7944">
        <w:rPr>
          <w:rStyle w:val="Appelnotedebasdep"/>
          <w:rFonts w:asciiTheme="minorHAnsi" w:hAnsiTheme="minorHAnsi" w:cstheme="minorHAnsi"/>
          <w:szCs w:val="18"/>
        </w:rPr>
        <w:footnoteRef/>
      </w:r>
      <w:r w:rsidRPr="004F7944">
        <w:rPr>
          <w:rFonts w:asciiTheme="minorHAnsi" w:hAnsiTheme="minorHAnsi" w:cstheme="minorHAnsi"/>
          <w:sz w:val="18"/>
          <w:szCs w:val="18"/>
          <w:lang w:val="fr-FR" w:eastAsia="x-none"/>
        </w:rPr>
        <w:t xml:space="preserve"> FAO, mai 2021, Moyens d'existence agricoles et sécurité alimentaire dans le cadre de la covid-19.  </w:t>
      </w:r>
    </w:p>
  </w:footnote>
  <w:footnote w:id="15">
    <w:p w14:paraId="5C54DD4F" w14:textId="77777777" w:rsidR="000E53A0" w:rsidRPr="000E53A0" w:rsidRDefault="000E53A0">
      <w:pPr>
        <w:pStyle w:val="Notedebasdepage"/>
        <w:rPr>
          <w:rFonts w:cstheme="minorHAnsi"/>
          <w:szCs w:val="18"/>
          <w:lang w:val="fr-FR"/>
        </w:rPr>
      </w:pPr>
      <w:r w:rsidRPr="004F7944">
        <w:rPr>
          <w:rStyle w:val="Appelnotedebasdep"/>
          <w:rFonts w:asciiTheme="minorHAnsi" w:hAnsiTheme="minorHAnsi" w:cstheme="minorHAnsi"/>
          <w:szCs w:val="18"/>
        </w:rPr>
        <w:footnoteRef/>
      </w:r>
      <w:r w:rsidRPr="000E53A0">
        <w:rPr>
          <w:rFonts w:cstheme="minorHAnsi"/>
          <w:szCs w:val="18"/>
          <w:lang w:val="fr-FR"/>
        </w:rPr>
        <w:t xml:space="preserve"> Indicateurs clés 2020, liens avec le climat https://www.climatelinks.org/countries/mali </w:t>
      </w:r>
    </w:p>
  </w:footnote>
  <w:footnote w:id="16">
    <w:p w14:paraId="3EBB0E98" w14:textId="77777777" w:rsidR="000E53A0" w:rsidRPr="000E53A0" w:rsidRDefault="000E53A0">
      <w:pPr>
        <w:pStyle w:val="Notedebasdepage"/>
        <w:rPr>
          <w:lang w:val="fr-FR"/>
        </w:rPr>
      </w:pPr>
      <w:r w:rsidRPr="004F7944">
        <w:rPr>
          <w:rStyle w:val="Appelnotedebasdep"/>
          <w:rFonts w:asciiTheme="minorHAnsi" w:hAnsiTheme="minorHAnsi" w:cstheme="minorHAnsi"/>
          <w:szCs w:val="18"/>
        </w:rPr>
        <w:footnoteRef/>
      </w:r>
      <w:r w:rsidRPr="000E53A0">
        <w:rPr>
          <w:lang w:val="fr-FR"/>
        </w:rPr>
        <w:t xml:space="preserve"> Au début du mois d'octobre 2020, la </w:t>
      </w:r>
      <w:hyperlink r:id="rId1" w:history="1">
        <w:r w:rsidRPr="000E53A0">
          <w:rPr>
            <w:lang w:val="fr-FR"/>
          </w:rPr>
          <w:t xml:space="preserve">Communauté économique des États de l'Afrique de l'Ouest (CEDEAO) </w:t>
        </w:r>
      </w:hyperlink>
      <w:r w:rsidRPr="000E53A0">
        <w:rPr>
          <w:lang w:val="fr-FR"/>
        </w:rPr>
        <w:t>et l'</w:t>
      </w:r>
      <w:hyperlink r:id="rId2" w:history="1">
        <w:r w:rsidRPr="000E53A0">
          <w:rPr>
            <w:lang w:val="fr-FR"/>
          </w:rPr>
          <w:t xml:space="preserve">Union africaine ont annoncé qu'elles allaient lever les sanctions - y compris les </w:t>
        </w:r>
      </w:hyperlink>
      <w:r w:rsidRPr="000E53A0">
        <w:rPr>
          <w:lang w:val="fr-FR"/>
        </w:rPr>
        <w:t>blocus commerciaux et de voyage - impos</w:t>
      </w:r>
      <w:hyperlink r:id="rId3" w:history="1">
        <w:r w:rsidRPr="000E53A0">
          <w:rPr>
            <w:lang w:val="fr-FR"/>
          </w:rPr>
          <w:t xml:space="preserve">ées </w:t>
        </w:r>
      </w:hyperlink>
      <w:r w:rsidRPr="000E53A0">
        <w:rPr>
          <w:lang w:val="fr-FR"/>
        </w:rPr>
        <w:t xml:space="preserve">au Mali, alors que le pays annonçait son projet de gouvernement de transition dirigé par des civils. Le président intérimaire Bah Ndaw, ancien colonel de l'armée et ministre des affaires étrangères, a </w:t>
      </w:r>
      <w:hyperlink r:id="rId4" w:history="1">
        <w:r w:rsidRPr="000E53A0">
          <w:rPr>
            <w:lang w:val="fr-FR"/>
          </w:rPr>
          <w:t xml:space="preserve">présenté le cabinet de 25 personnes du pays d'Afrique de l'Ouest, dont </w:t>
        </w:r>
      </w:hyperlink>
      <w:r w:rsidRPr="000E53A0">
        <w:rPr>
          <w:lang w:val="fr-FR"/>
        </w:rPr>
        <w:t>quatre postes majeurs - défense, sécurité, administration territoriale et réconciliation nationale - seront occupés par des militaires. L'</w:t>
      </w:r>
      <w:hyperlink r:id="rId5" w:history="1">
        <w:r w:rsidRPr="000E53A0">
          <w:rPr>
            <w:lang w:val="fr-FR"/>
          </w:rPr>
          <w:t xml:space="preserve">ancien ministre des affaires étrangères et ambassadeur auprès des Nations uniesMoctarOuane, </w:t>
        </w:r>
      </w:hyperlink>
      <w:r w:rsidRPr="000E53A0">
        <w:rPr>
          <w:lang w:val="fr-FR"/>
        </w:rPr>
        <w:t>rejoindra le gouvernement en tant que premier ministre de transition, satisfaisant ainsi à une condition essentielle posée par la CEDEAO, à savoir que le gouvernement de transition soit dirigé par un civil. Peu après ces annonces, l'</w:t>
      </w:r>
      <w:hyperlink r:id="rId6" w:history="1">
        <w:r w:rsidRPr="000E53A0">
          <w:rPr>
            <w:lang w:val="fr-FR"/>
          </w:rPr>
          <w:t xml:space="preserve">ancien Premier ministre Boubou Cissé et d'autres fonctionnaires et militaires </w:t>
        </w:r>
      </w:hyperlink>
      <w:r w:rsidRPr="000E53A0">
        <w:rPr>
          <w:lang w:val="fr-FR"/>
        </w:rPr>
        <w:t xml:space="preserve">détenus pendant le coup d'État d'août ont été libérés. Le gouvernement de transition devrait </w:t>
      </w:r>
      <w:hyperlink r:id="rId7" w:history="1">
        <w:r w:rsidRPr="000E53A0">
          <w:rPr>
            <w:lang w:val="fr-FR"/>
          </w:rPr>
          <w:t>organiser des élections dans les 18 mois</w:t>
        </w:r>
      </w:hyperlink>
      <w:r w:rsidRPr="000E53A0">
        <w:rPr>
          <w:lang w:val="fr-FR"/>
        </w:rPr>
        <w:t>.</w:t>
      </w:r>
    </w:p>
  </w:footnote>
  <w:footnote w:id="17">
    <w:p w14:paraId="292BB077" w14:textId="77777777" w:rsidR="000E53A0" w:rsidRPr="000E53A0" w:rsidRDefault="000E53A0">
      <w:pPr>
        <w:pStyle w:val="Notedebasdepage"/>
        <w:rPr>
          <w:rFonts w:cstheme="minorHAnsi"/>
          <w:szCs w:val="18"/>
          <w:lang w:val="fr-FR"/>
        </w:rPr>
      </w:pPr>
      <w:r w:rsidRPr="004F7944">
        <w:rPr>
          <w:rStyle w:val="Appelnotedebasdep"/>
          <w:rFonts w:asciiTheme="minorHAnsi" w:eastAsiaTheme="majorEastAsia" w:hAnsiTheme="minorHAnsi" w:cstheme="minorHAnsi"/>
          <w:szCs w:val="18"/>
        </w:rPr>
        <w:footnoteRef/>
      </w:r>
      <w:r w:rsidRPr="000E53A0">
        <w:rPr>
          <w:rFonts w:cstheme="minorHAnsi"/>
          <w:szCs w:val="18"/>
          <w:lang w:val="fr-FR"/>
        </w:rPr>
        <w:t xml:space="preserve"> Initiative pour la sécurité des planètes, Les terrains fertiles du Mali pour les conflits : Changement climatique et stress sur les ressources, décembre 2017.</w:t>
      </w:r>
    </w:p>
  </w:footnote>
  <w:footnote w:id="18">
    <w:p w14:paraId="0C1D9781" w14:textId="77777777" w:rsidR="000E53A0" w:rsidRDefault="000E53A0">
      <w:pPr>
        <w:pStyle w:val="Notedebasdepage"/>
        <w:rPr>
          <w:rStyle w:val="Appelnotedebasdep"/>
        </w:rPr>
      </w:pPr>
      <w:r w:rsidRPr="00340465">
        <w:rPr>
          <w:rStyle w:val="Appelnotedebasdep"/>
        </w:rPr>
        <w:footnoteRef/>
      </w:r>
      <w:hyperlink r:id="rId8" w:history="1">
        <w:r w:rsidRPr="00340465">
          <w:rPr>
            <w:rStyle w:val="Appelnotedebasdep"/>
          </w:rPr>
          <w:t xml:space="preserve"> </w:t>
        </w:r>
      </w:hyperlink>
      <w:r w:rsidRPr="00340465">
        <w:rPr>
          <w:rStyle w:val="Appelnotedebasdep"/>
        </w:rPr>
        <w:t xml:space="preserve"> WFP, April 2020, </w:t>
      </w:r>
      <w:hyperlink r:id="rId9" w:history="1">
        <w:r w:rsidRPr="00340465">
          <w:rPr>
            <w:rStyle w:val="Appelnotedebasdep"/>
          </w:rPr>
          <w:t>https://docs.wfp.org/api/documents/WFP-0000115729/download/?_ga=2.40742690.1066946240.1589756894-757245637.1578047770</w:t>
        </w:r>
      </w:hyperlink>
    </w:p>
  </w:footnote>
  <w:footnote w:id="19">
    <w:p w14:paraId="6649F445" w14:textId="77777777" w:rsidR="000E53A0" w:rsidRDefault="000E53A0">
      <w:pPr>
        <w:pStyle w:val="Notedebasdepage"/>
        <w:rPr>
          <w:rStyle w:val="Appelnotedebasdep"/>
        </w:rPr>
      </w:pPr>
      <w:r>
        <w:rPr>
          <w:rStyle w:val="Appelnotedebasdep"/>
        </w:rPr>
        <w:footnoteRef/>
      </w:r>
      <w:r>
        <w:t xml:space="preserve">UKAid. 2019. </w:t>
      </w:r>
      <w:r w:rsidRPr="00340465">
        <w:rPr>
          <w:rStyle w:val="Appelnotedebasdep"/>
        </w:rPr>
        <w:t xml:space="preserve"> Rapport du G5 Sahel</w:t>
      </w:r>
    </w:p>
  </w:footnote>
  <w:footnote w:id="20">
    <w:p w14:paraId="3E2CF50D" w14:textId="77777777" w:rsidR="000E53A0" w:rsidRPr="000E53A0" w:rsidRDefault="000E53A0">
      <w:pPr>
        <w:ind w:firstLine="284"/>
        <w:rPr>
          <w:lang w:val="fr-FR"/>
        </w:rPr>
      </w:pPr>
      <w:r w:rsidRPr="00FE36AF">
        <w:rPr>
          <w:rStyle w:val="Appelnotedebasdep"/>
          <w:rFonts w:ascii="Times New Roman" w:hAnsi="Times New Roman"/>
          <w:sz w:val="16"/>
          <w:szCs w:val="16"/>
        </w:rPr>
        <w:footnoteRef/>
      </w:r>
      <w:r w:rsidRPr="000E53A0">
        <w:rPr>
          <w:sz w:val="16"/>
          <w:szCs w:val="16"/>
          <w:lang w:val="fr-FR"/>
        </w:rPr>
        <w:t xml:space="preserve"> US Aid, 2019, Analyse de l'économie politique du Mali.</w:t>
      </w:r>
    </w:p>
  </w:footnote>
  <w:footnote w:id="21">
    <w:p w14:paraId="5DC1C279" w14:textId="77777777" w:rsidR="000E53A0" w:rsidRPr="000E53A0" w:rsidRDefault="000E53A0">
      <w:pPr>
        <w:pStyle w:val="Notedebasdepage"/>
        <w:rPr>
          <w:lang w:val="fr-FR"/>
        </w:rPr>
      </w:pPr>
      <w:r>
        <w:rPr>
          <w:rStyle w:val="Appelnotedebasdep"/>
        </w:rPr>
        <w:footnoteRef/>
      </w:r>
      <w:r w:rsidRPr="000E53A0">
        <w:rPr>
          <w:lang w:val="fr-FR"/>
        </w:rPr>
        <w:t xml:space="preserve"> Suite à une étude démographique et de santé au Mali en 2018, la moitié de la population féminine (49%) de 15-49 ans a subi des actes de violence physique, psychologique ou sexuelle. De plus, 53% des femmes de 25-49 ans sont en union avant 18 ans. </w:t>
      </w:r>
    </w:p>
  </w:footnote>
  <w:footnote w:id="22">
    <w:p w14:paraId="6D4E721F" w14:textId="77777777" w:rsidR="000E53A0" w:rsidRPr="000E53A0" w:rsidRDefault="000E53A0">
      <w:pPr>
        <w:pStyle w:val="Notedebasdepage"/>
        <w:rPr>
          <w:lang w:val="fr-FR"/>
        </w:rPr>
      </w:pPr>
      <w:r>
        <w:rPr>
          <w:rStyle w:val="Appelnotedebasdep"/>
        </w:rPr>
        <w:footnoteRef/>
      </w:r>
      <w:r w:rsidRPr="000E53A0">
        <w:rPr>
          <w:lang w:val="fr-FR"/>
        </w:rPr>
        <w:t xml:space="preserve">  Nations Unies, Analyse des impacts socio-économiques du COVID-19 au Mali, mai 2020.</w:t>
      </w:r>
    </w:p>
  </w:footnote>
  <w:footnote w:id="23">
    <w:p w14:paraId="757D0B1E" w14:textId="77777777" w:rsidR="000E53A0" w:rsidRDefault="000E53A0">
      <w:pPr>
        <w:ind w:firstLine="284"/>
        <w:rPr>
          <w:rFonts w:cstheme="minorHAnsi"/>
          <w:lang w:val="fr-FR"/>
        </w:rPr>
      </w:pPr>
      <w:r w:rsidRPr="00D65A7B">
        <w:rPr>
          <w:rStyle w:val="Appelnotedebasdep"/>
          <w:rFonts w:ascii="Times New Roman" w:hAnsi="Times New Roman"/>
          <w:sz w:val="16"/>
          <w:szCs w:val="16"/>
        </w:rPr>
        <w:footnoteRef/>
      </w:r>
      <w:r w:rsidRPr="00D65A7B">
        <w:rPr>
          <w:sz w:val="16"/>
          <w:szCs w:val="16"/>
          <w:lang w:val="fr-FR"/>
        </w:rPr>
        <w:t xml:space="preserve"> FAO, mai 2021, Moyens d'existence agricoles et sécurité </w:t>
      </w:r>
      <w:r w:rsidRPr="0092649C">
        <w:rPr>
          <w:sz w:val="16"/>
          <w:szCs w:val="16"/>
          <w:lang w:val="fr-FR"/>
        </w:rPr>
        <w:t xml:space="preserve">alimentaire dans le cadre de la COVID-19. </w:t>
      </w:r>
      <w:r w:rsidRPr="005C2258">
        <w:rPr>
          <w:rFonts w:cstheme="minorHAnsi"/>
          <w:lang w:val="fr-FR"/>
        </w:rPr>
        <w:t xml:space="preserve"> </w:t>
      </w:r>
    </w:p>
  </w:footnote>
  <w:footnote w:id="24">
    <w:p w14:paraId="5920617A" w14:textId="77777777" w:rsidR="000E53A0" w:rsidRPr="000E53A0" w:rsidRDefault="000E53A0">
      <w:pPr>
        <w:pStyle w:val="Notedebasdepage"/>
        <w:rPr>
          <w:lang w:val="fr-FR"/>
        </w:rPr>
      </w:pPr>
      <w:r>
        <w:rPr>
          <w:rStyle w:val="Appelnotedebasdep"/>
        </w:rPr>
        <w:footnoteRef/>
      </w:r>
      <w:r w:rsidRPr="000E53A0">
        <w:rPr>
          <w:lang w:val="fr-FR"/>
        </w:rPr>
        <w:t xml:space="preserve">  Nations Unies, Analyse des impacts socio-économiques du COVID-19 au Mali, mai 2020.</w:t>
      </w:r>
    </w:p>
  </w:footnote>
  <w:footnote w:id="25">
    <w:p w14:paraId="4A486E98" w14:textId="77777777" w:rsidR="000E53A0" w:rsidRDefault="000E53A0">
      <w:pPr>
        <w:pStyle w:val="Notedebasdepage"/>
        <w:rPr>
          <w:szCs w:val="16"/>
          <w:lang w:val="fr-FR"/>
        </w:rPr>
      </w:pPr>
      <w:r w:rsidRPr="007C7AD6">
        <w:rPr>
          <w:rStyle w:val="Appelnotedebasdep"/>
          <w:szCs w:val="16"/>
        </w:rPr>
        <w:footnoteRef/>
      </w:r>
      <w:r w:rsidRPr="00EF4C86">
        <w:rPr>
          <w:szCs w:val="16"/>
          <w:lang w:val="fr-FR"/>
        </w:rPr>
        <w:t xml:space="preserve"> Base de données de la  Banque mondiale, Mali, 2021. </w:t>
      </w:r>
    </w:p>
  </w:footnote>
  <w:footnote w:id="26">
    <w:p w14:paraId="57C79EED" w14:textId="77777777" w:rsidR="000E53A0" w:rsidRDefault="000E53A0">
      <w:pPr>
        <w:pStyle w:val="Notedebasdepage"/>
        <w:rPr>
          <w:lang w:val="fr-FR"/>
        </w:rPr>
      </w:pPr>
      <w:r>
        <w:rPr>
          <w:rStyle w:val="Appelnotedebasdep"/>
        </w:rPr>
        <w:footnoteRef/>
      </w:r>
      <w:r w:rsidRPr="00A67BD4">
        <w:rPr>
          <w:szCs w:val="16"/>
          <w:lang w:val="fr-FR"/>
        </w:rPr>
        <w:t xml:space="preserve">  REPUBLIQUE DU MALI. 2020. Programme de définition des cibles nationales de la Neutralité de dégradation des Terres (PDC/NDT)</w:t>
      </w:r>
      <w:r>
        <w:rPr>
          <w:szCs w:val="16"/>
          <w:lang w:val="fr-FR"/>
        </w:rPr>
        <w:t>.</w:t>
      </w:r>
    </w:p>
  </w:footnote>
  <w:footnote w:id="27">
    <w:p w14:paraId="2028BE8B" w14:textId="77777777" w:rsidR="000E53A0" w:rsidRPr="000E53A0" w:rsidRDefault="000E53A0">
      <w:pPr>
        <w:pStyle w:val="Notedebasdepage"/>
        <w:rPr>
          <w:lang w:val="fr-FR"/>
        </w:rPr>
      </w:pPr>
      <w:r>
        <w:rPr>
          <w:rStyle w:val="Appelnotedebasdep"/>
        </w:rPr>
        <w:footnoteRef/>
      </w:r>
      <w:r w:rsidRPr="000E53A0">
        <w:rPr>
          <w:lang w:val="fr-FR"/>
        </w:rPr>
        <w:t xml:space="preserve"> Reliefweb, Communiqué de presse, octobre 2019</w:t>
      </w:r>
    </w:p>
  </w:footnote>
  <w:footnote w:id="28">
    <w:p w14:paraId="5622A92B" w14:textId="77777777" w:rsidR="000E53A0" w:rsidRPr="000E53A0" w:rsidRDefault="000E53A0">
      <w:pPr>
        <w:pStyle w:val="Notedebasdepage"/>
        <w:rPr>
          <w:lang w:val="fr-FR"/>
        </w:rPr>
      </w:pPr>
      <w:r>
        <w:rPr>
          <w:rStyle w:val="Appelnotedebasdep"/>
        </w:rPr>
        <w:footnoteRef/>
      </w:r>
      <w:r w:rsidRPr="000E53A0">
        <w:rPr>
          <w:szCs w:val="16"/>
          <w:lang w:val="fr-FR"/>
        </w:rPr>
        <w:t xml:space="preserve"> Liu, Y. et Xue, Y., 2020. Expansion du désert du Sahara et rétrécissement des terres gelées de l'Arctique. Rapports scientifiques, 10(1), pp.1-9.</w:t>
      </w:r>
    </w:p>
  </w:footnote>
  <w:footnote w:id="29">
    <w:p w14:paraId="0AC0CC30" w14:textId="77777777" w:rsidR="000E53A0" w:rsidRPr="000E53A0" w:rsidRDefault="000E53A0">
      <w:pPr>
        <w:pStyle w:val="Notedebasdepage"/>
        <w:rPr>
          <w:lang w:val="fr-FR"/>
        </w:rPr>
      </w:pPr>
      <w:r>
        <w:rPr>
          <w:rStyle w:val="Appelnotedebasdep"/>
        </w:rPr>
        <w:footnoteRef/>
      </w:r>
      <w:r w:rsidRPr="000E53A0">
        <w:rPr>
          <w:lang w:val="fr-FR"/>
        </w:rPr>
        <w:t xml:space="preserve"> Communiqué de presse de Reliefweb, octobre 2019 https://reliefweb.int/report/mali/mali-heading-closer-civil-war</w:t>
      </w:r>
    </w:p>
  </w:footnote>
  <w:footnote w:id="30">
    <w:p w14:paraId="216600B1" w14:textId="77777777" w:rsidR="000E53A0" w:rsidRPr="000E53A0" w:rsidRDefault="000E53A0">
      <w:pPr>
        <w:pStyle w:val="Notedebasdepage"/>
        <w:rPr>
          <w:lang w:val="fr-FR"/>
        </w:rPr>
      </w:pPr>
      <w:r>
        <w:rPr>
          <w:rStyle w:val="Appelnotedebasdep"/>
        </w:rPr>
        <w:footnoteRef/>
      </w:r>
      <w:r w:rsidRPr="000E53A0">
        <w:rPr>
          <w:rFonts w:cstheme="minorHAnsi"/>
          <w:lang w:val="fr-FR"/>
        </w:rPr>
        <w:t xml:space="preserve"> MEADD, 2018.</w:t>
      </w:r>
    </w:p>
  </w:footnote>
  <w:footnote w:id="31">
    <w:p w14:paraId="61354311" w14:textId="77777777" w:rsidR="000E53A0" w:rsidRPr="000E53A0" w:rsidRDefault="000E53A0">
      <w:pPr>
        <w:pStyle w:val="Notedebasdepage"/>
        <w:contextualSpacing/>
        <w:rPr>
          <w:lang w:val="fr-FR"/>
        </w:rPr>
      </w:pPr>
      <w:r>
        <w:rPr>
          <w:rStyle w:val="Appelnotedebasdep"/>
        </w:rPr>
        <w:footnoteRef/>
      </w:r>
      <w:r w:rsidRPr="000E53A0">
        <w:rPr>
          <w:lang w:val="fr-FR"/>
        </w:rPr>
        <w:t>UK Aid 2019, Rapport du G5 Sahel.</w:t>
      </w:r>
    </w:p>
  </w:footnote>
  <w:footnote w:id="32">
    <w:p w14:paraId="535AC8ED" w14:textId="77777777" w:rsidR="000E53A0" w:rsidRDefault="000E53A0">
      <w:pPr>
        <w:pStyle w:val="Notedebasdepage"/>
        <w:rPr>
          <w:lang w:val="fr-FR"/>
        </w:rPr>
      </w:pPr>
      <w:r>
        <w:rPr>
          <w:rStyle w:val="Appelnotedebasdep"/>
        </w:rPr>
        <w:footnoteRef/>
      </w:r>
      <w:r>
        <w:rPr>
          <w:lang w:val="fr-FR"/>
        </w:rPr>
        <w:t xml:space="preserve"> Programme de définition des cibles nationales de la Neutralité de dégradation des Terre (PDC/NDT), Février 2020</w:t>
      </w:r>
    </w:p>
  </w:footnote>
  <w:footnote w:id="33">
    <w:p w14:paraId="5CDB1F90" w14:textId="77777777" w:rsidR="000E53A0" w:rsidRDefault="000E53A0">
      <w:pPr>
        <w:pStyle w:val="Notedebasdepage"/>
        <w:rPr>
          <w:lang w:val="fr-FR"/>
        </w:rPr>
      </w:pPr>
      <w:r>
        <w:rPr>
          <w:rStyle w:val="Appelnotedebasdep"/>
        </w:rPr>
        <w:footnoteRef/>
      </w:r>
      <w:r w:rsidRPr="004B7EEA">
        <w:rPr>
          <w:lang w:val="fr-FR"/>
        </w:rPr>
        <w:t xml:space="preserve"> Rapport des études et examens techniques préparatoires - changement climatique, 2021</w:t>
      </w:r>
    </w:p>
  </w:footnote>
  <w:footnote w:id="34">
    <w:p w14:paraId="5D56ADA1" w14:textId="77777777" w:rsidR="000E53A0" w:rsidRPr="000E53A0" w:rsidRDefault="000E53A0">
      <w:pPr>
        <w:pStyle w:val="Notedebasdepage"/>
        <w:rPr>
          <w:lang w:val="fr-FR"/>
        </w:rPr>
      </w:pPr>
      <w:r>
        <w:rPr>
          <w:rStyle w:val="Appelnotedebasdep"/>
        </w:rPr>
        <w:footnoteRef/>
      </w:r>
      <w:r w:rsidRPr="000E53A0">
        <w:rPr>
          <w:lang w:val="fr-FR"/>
        </w:rPr>
        <w:t xml:space="preserve"> USAID, Profil des risques climatiques - Mali, 2018.</w:t>
      </w:r>
    </w:p>
  </w:footnote>
  <w:footnote w:id="35">
    <w:p w14:paraId="614FDCEB" w14:textId="77777777" w:rsidR="000E53A0" w:rsidRDefault="000E53A0">
      <w:pPr>
        <w:pStyle w:val="Notedebasdepage"/>
        <w:rPr>
          <w:lang w:val="fr-FR"/>
        </w:rPr>
      </w:pPr>
      <w:r>
        <w:rPr>
          <w:rStyle w:val="Appelnotedebasdep"/>
        </w:rPr>
        <w:footnoteRef/>
      </w:r>
      <w:r w:rsidRPr="004B7EEA">
        <w:rPr>
          <w:lang w:val="fr-FR"/>
        </w:rPr>
        <w:t xml:space="preserve"> Rapport des études et examens techniques préparatoires - changement climatique, 2021</w:t>
      </w:r>
    </w:p>
  </w:footnote>
  <w:footnote w:id="36">
    <w:p w14:paraId="4FDAFEA2" w14:textId="77777777" w:rsidR="000E53A0" w:rsidRPr="000E53A0" w:rsidRDefault="000E53A0">
      <w:pPr>
        <w:pStyle w:val="Notedebasdepage"/>
        <w:rPr>
          <w:lang w:val="fr-FR"/>
        </w:rPr>
      </w:pPr>
      <w:r>
        <w:rPr>
          <w:rStyle w:val="Appelnotedebasdep"/>
        </w:rPr>
        <w:footnoteRef/>
      </w:r>
      <w:r w:rsidRPr="000E53A0">
        <w:rPr>
          <w:lang w:val="fr-FR"/>
        </w:rPr>
        <w:t xml:space="preserve"> UNFPA. 2021, Base de données </w:t>
      </w:r>
      <w:hyperlink r:id="rId10" w:history="1">
        <w:r w:rsidRPr="000E53A0">
          <w:rPr>
            <w:rStyle w:val="Lienhypertexte"/>
            <w:lang w:val="fr-FR"/>
          </w:rPr>
          <w:t>https://www.unfpa.org/data/ML</w:t>
        </w:r>
      </w:hyperlink>
    </w:p>
  </w:footnote>
  <w:footnote w:id="37">
    <w:p w14:paraId="1F676FD6" w14:textId="77777777" w:rsidR="000E53A0" w:rsidRPr="000E53A0" w:rsidRDefault="000E53A0">
      <w:pPr>
        <w:pStyle w:val="Notedebasdepage"/>
        <w:rPr>
          <w:lang w:val="fr-FR"/>
        </w:rPr>
      </w:pPr>
      <w:r>
        <w:rPr>
          <w:rStyle w:val="Appelnotedebasdep"/>
        </w:rPr>
        <w:footnoteRef/>
      </w:r>
      <w:r w:rsidRPr="000E53A0">
        <w:rPr>
          <w:lang w:val="fr-FR"/>
        </w:rPr>
        <w:t xml:space="preserve"> Questionnaire pour les ménages, 2021. </w:t>
      </w:r>
    </w:p>
  </w:footnote>
  <w:footnote w:id="38">
    <w:p w14:paraId="5E3A1631" w14:textId="77777777" w:rsidR="000E53A0" w:rsidRPr="000E53A0" w:rsidRDefault="000E53A0">
      <w:pPr>
        <w:pStyle w:val="Notedebasdepage"/>
        <w:rPr>
          <w:lang w:val="fr-FR"/>
        </w:rPr>
      </w:pPr>
      <w:r>
        <w:rPr>
          <w:rStyle w:val="Appelnotedebasdep"/>
        </w:rPr>
        <w:footnoteRef/>
      </w:r>
      <w:r w:rsidRPr="000E53A0">
        <w:rPr>
          <w:lang w:val="fr-FR"/>
        </w:rPr>
        <w:t xml:space="preserve"> Enquête auprès des ménages pendant la phase du PPG, 2021. </w:t>
      </w:r>
    </w:p>
  </w:footnote>
  <w:footnote w:id="39">
    <w:p w14:paraId="75725181" w14:textId="77777777" w:rsidR="000E53A0" w:rsidRDefault="000E53A0">
      <w:pPr>
        <w:pStyle w:val="Notedebasdepage"/>
        <w:rPr>
          <w:lang w:val="fr-FR"/>
        </w:rPr>
      </w:pPr>
      <w:r>
        <w:rPr>
          <w:rStyle w:val="Appelnotedebasdep"/>
        </w:rPr>
        <w:footnoteRef/>
      </w:r>
      <w:r w:rsidRPr="006674E1">
        <w:rPr>
          <w:lang w:val="fr-FR"/>
        </w:rPr>
        <w:t xml:space="preserve"> MEA, 2015. </w:t>
      </w:r>
    </w:p>
  </w:footnote>
  <w:footnote w:id="40">
    <w:p w14:paraId="3DADBDCC" w14:textId="77777777" w:rsidR="000E53A0" w:rsidRDefault="000E53A0">
      <w:pPr>
        <w:pStyle w:val="Notedebasdepage"/>
        <w:rPr>
          <w:lang w:val="fr-FR"/>
        </w:rPr>
      </w:pPr>
      <w:r>
        <w:rPr>
          <w:rStyle w:val="Appelnotedebasdep"/>
        </w:rPr>
        <w:footnoteRef/>
      </w:r>
      <w:r w:rsidRPr="004B7EEA">
        <w:rPr>
          <w:lang w:val="fr-FR"/>
        </w:rPr>
        <w:t xml:space="preserve"> Rapport des études et examens techniques préparatoires - changement climatique, 2021</w:t>
      </w:r>
    </w:p>
  </w:footnote>
  <w:footnote w:id="41">
    <w:p w14:paraId="4D56FF5E" w14:textId="77777777" w:rsidR="000E53A0" w:rsidRDefault="000E53A0">
      <w:pPr>
        <w:pStyle w:val="Notedebasdepage"/>
        <w:rPr>
          <w:lang w:val="fr-FR"/>
        </w:rPr>
      </w:pPr>
      <w:r>
        <w:rPr>
          <w:rStyle w:val="Appelnotedebasdep"/>
        </w:rPr>
        <w:footnoteRef/>
      </w:r>
      <w:r w:rsidRPr="000E53A0">
        <w:rPr>
          <w:lang w:val="fr-FR"/>
        </w:rPr>
        <w:t xml:space="preserve"> Rapport du PPG sur la dégradation des terres. </w:t>
      </w:r>
      <w:r w:rsidRPr="00C0293F">
        <w:rPr>
          <w:lang w:val="fr-FR"/>
        </w:rPr>
        <w:t xml:space="preserve">Consultant national. </w:t>
      </w:r>
    </w:p>
  </w:footnote>
  <w:footnote w:id="42">
    <w:p w14:paraId="1D8FA533" w14:textId="77777777" w:rsidR="000E53A0" w:rsidRDefault="000E53A0">
      <w:pPr>
        <w:pStyle w:val="Notedebasdepage"/>
        <w:rPr>
          <w:rFonts w:cstheme="minorHAnsi"/>
          <w:lang w:val="fr-FR"/>
        </w:rPr>
      </w:pPr>
      <w:r>
        <w:rPr>
          <w:rStyle w:val="Appelnotedebasdep"/>
        </w:rPr>
        <w:footnoteRef/>
      </w:r>
      <w:r w:rsidRPr="00A537FD">
        <w:rPr>
          <w:rStyle w:val="Appelnotedebasdep"/>
          <w:rFonts w:asciiTheme="minorHAnsi" w:hAnsiTheme="minorHAnsi" w:cstheme="minorHAnsi"/>
          <w:vertAlign w:val="baseline"/>
        </w:rPr>
        <w:t xml:space="preserve"> PLAN/ PROGRAMME DE DEVELOPPEMENT ECONOMIQUE, SOCIAL ET CULTUREL (PDESC : 2017-2021), Conseil Régional de Mopti</w:t>
      </w:r>
    </w:p>
  </w:footnote>
  <w:footnote w:id="43">
    <w:p w14:paraId="2AC14628" w14:textId="77777777" w:rsidR="000E53A0" w:rsidRPr="000E53A0" w:rsidRDefault="000E53A0">
      <w:pPr>
        <w:pStyle w:val="Notedebasdepage"/>
        <w:rPr>
          <w:lang w:val="fr-FR"/>
        </w:rPr>
      </w:pPr>
      <w:r>
        <w:rPr>
          <w:rStyle w:val="Appelnotedebasdep"/>
        </w:rPr>
        <w:footnoteRef/>
      </w:r>
      <w:r w:rsidRPr="000E53A0">
        <w:rPr>
          <w:lang w:val="fr-FR"/>
        </w:rPr>
        <w:t xml:space="preserve"> Benjamin Neimark, Camilla Toulmin et Simon Batterbury (2018) Peri-urban land grabbing ? Les dilemmes de la formalisation de la tenure et des acquisitions foncières autour des villes de Bamako et Ségou, Mali, Journal of Land Use Science, 13:3, 319-324, DOI : 10.1080/1747423X.2018.1499831.</w:t>
      </w:r>
    </w:p>
  </w:footnote>
  <w:footnote w:id="44">
    <w:p w14:paraId="53AD41F3" w14:textId="77777777" w:rsidR="000E53A0" w:rsidRPr="000E53A0" w:rsidRDefault="000E53A0">
      <w:pPr>
        <w:pStyle w:val="Notedebasdepage"/>
        <w:rPr>
          <w:lang w:val="fr-FR"/>
        </w:rPr>
      </w:pPr>
      <w:r>
        <w:rPr>
          <w:rStyle w:val="Appelnotedebasdep"/>
        </w:rPr>
        <w:footnoteRef/>
      </w:r>
      <w:r w:rsidRPr="000E53A0">
        <w:rPr>
          <w:lang w:val="fr-FR"/>
        </w:rPr>
        <w:t xml:space="preserve">  Les consultations du PPG ont montré qu'il existe un large éventail de systèmes fonciers et de niches socio-fermières. Les terres ont généralement été obtenues par : héritage 70,2% ; don 10,5% ; achat 10,5 ; autre (échange de terres/bartering, etc.) 8,9% ; avec 85,5% de terres possédées ; 11,3% louées et 3,2% utilisées sans tenure claire.</w:t>
      </w:r>
    </w:p>
  </w:footnote>
  <w:footnote w:id="45">
    <w:p w14:paraId="38C7E3D1" w14:textId="77777777" w:rsidR="000E53A0" w:rsidRPr="000E53A0" w:rsidRDefault="000E53A0">
      <w:pPr>
        <w:pStyle w:val="Notedebasdepage"/>
        <w:rPr>
          <w:lang w:val="fr-FR"/>
        </w:rPr>
      </w:pPr>
      <w:r w:rsidRPr="00872362">
        <w:rPr>
          <w:rStyle w:val="Appelnotedebasdep"/>
        </w:rPr>
        <w:footnoteRef/>
      </w:r>
      <w:r w:rsidRPr="000E53A0">
        <w:rPr>
          <w:sz w:val="16"/>
          <w:szCs w:val="16"/>
          <w:lang w:val="fr-FR"/>
        </w:rPr>
        <w:t xml:space="preserve"> Une commune est une municipalité rurale ; un cercle est un district rural.</w:t>
      </w:r>
    </w:p>
  </w:footnote>
  <w:footnote w:id="46">
    <w:p w14:paraId="677B88EA" w14:textId="77777777" w:rsidR="000E53A0" w:rsidRDefault="000E53A0">
      <w:pPr>
        <w:pStyle w:val="Notedebasdepage"/>
        <w:rPr>
          <w:lang w:val="fr-FR"/>
        </w:rPr>
      </w:pPr>
      <w:r>
        <w:rPr>
          <w:rStyle w:val="Appelnotedebasdep"/>
        </w:rPr>
        <w:footnoteRef/>
      </w:r>
      <w:r w:rsidRPr="00E44ED9">
        <w:rPr>
          <w:szCs w:val="16"/>
          <w:lang w:val="fr-FR"/>
        </w:rPr>
        <w:t xml:space="preserve"> Analyse de l'économie politique du Mali : 2019. </w:t>
      </w:r>
    </w:p>
  </w:footnote>
  <w:footnote w:id="47">
    <w:p w14:paraId="0940577F" w14:textId="77777777" w:rsidR="000E53A0" w:rsidRDefault="000E53A0">
      <w:pPr>
        <w:pStyle w:val="Notedebasdepage"/>
        <w:rPr>
          <w:szCs w:val="16"/>
          <w:lang w:val="fr-FR"/>
        </w:rPr>
      </w:pPr>
      <w:r w:rsidRPr="0017538F">
        <w:rPr>
          <w:rStyle w:val="Appelnotedebasdep"/>
          <w:szCs w:val="16"/>
          <w:lang w:val="en-GB"/>
        </w:rPr>
        <w:footnoteRef/>
      </w:r>
      <w:r w:rsidRPr="0041377D">
        <w:rPr>
          <w:szCs w:val="16"/>
          <w:lang w:val="fr-FR"/>
        </w:rPr>
        <w:t xml:space="preserve"> REPUBLIQUE DU MALI. 2020. </w:t>
      </w:r>
      <w:r w:rsidRPr="00A67BD4">
        <w:rPr>
          <w:szCs w:val="16"/>
          <w:lang w:val="fr-FR"/>
        </w:rPr>
        <w:t>Programme de définition des cibles nationales de la Neutralité de dégradation des Terres (PDC/NDT)</w:t>
      </w:r>
      <w:r>
        <w:rPr>
          <w:szCs w:val="16"/>
          <w:lang w:val="fr-FR"/>
        </w:rPr>
        <w:t>.</w:t>
      </w:r>
    </w:p>
  </w:footnote>
  <w:footnote w:id="48">
    <w:p w14:paraId="0469587D" w14:textId="77777777" w:rsidR="000E53A0" w:rsidRPr="000E53A0" w:rsidRDefault="000E53A0">
      <w:pPr>
        <w:pStyle w:val="Notedebasdepage"/>
        <w:rPr>
          <w:lang w:val="fr-FR"/>
        </w:rPr>
      </w:pPr>
      <w:r>
        <w:rPr>
          <w:rStyle w:val="Appelnotedebasdep"/>
        </w:rPr>
        <w:footnoteRef/>
      </w:r>
      <w:r w:rsidRPr="000E53A0">
        <w:rPr>
          <w:lang w:val="fr-FR"/>
        </w:rPr>
        <w:t xml:space="preserve"> US Aid 2019, Analyse de l'économie politique du Mali. </w:t>
      </w:r>
    </w:p>
  </w:footnote>
  <w:footnote w:id="49">
    <w:p w14:paraId="58747379" w14:textId="77777777" w:rsidR="000E53A0" w:rsidRPr="000E53A0" w:rsidRDefault="000E53A0">
      <w:pPr>
        <w:spacing w:after="20"/>
        <w:ind w:left="-680"/>
        <w:rPr>
          <w:color w:val="000000" w:themeColor="text1"/>
          <w:sz w:val="16"/>
          <w:szCs w:val="16"/>
          <w:lang w:val="fr-FR"/>
        </w:rPr>
      </w:pPr>
      <w:r w:rsidRPr="00581A8A">
        <w:rPr>
          <w:rStyle w:val="Appelnotedebasdep"/>
          <w:rFonts w:eastAsiaTheme="majorEastAsia"/>
          <w:color w:val="000000" w:themeColor="text1"/>
          <w:sz w:val="16"/>
          <w:szCs w:val="16"/>
        </w:rPr>
        <w:footnoteRef/>
      </w:r>
      <w:hyperlink r:id="rId11" w:tgtFrame="_blank" w:history="1">
        <w:r w:rsidRPr="000E53A0">
          <w:rPr>
            <w:sz w:val="16"/>
            <w:szCs w:val="16"/>
            <w:lang w:val="fr-FR"/>
          </w:rPr>
          <w:t xml:space="preserve"> </w:t>
        </w:r>
      </w:hyperlink>
      <w:r w:rsidRPr="000E53A0">
        <w:rPr>
          <w:sz w:val="16"/>
          <w:szCs w:val="16"/>
          <w:lang w:val="fr-FR"/>
        </w:rPr>
        <w:t xml:space="preserve">Yanda, P. et Bronkhorst, S. 2011). </w:t>
      </w:r>
      <w:hyperlink r:id="rId12" w:tgtFrame="_blank" w:history="1">
        <w:r w:rsidRPr="000E53A0">
          <w:rPr>
            <w:sz w:val="16"/>
            <w:szCs w:val="16"/>
            <w:lang w:val="fr-FR"/>
          </w:rPr>
          <w:t xml:space="preserve">Changement climatique et conflit : Adaptation au changement climatique sensible aux conflits en Afrique. Policy &amp; Practice Brief Issue No.014. </w:t>
        </w:r>
      </w:hyperlink>
      <w:r w:rsidRPr="000E53A0">
        <w:rPr>
          <w:sz w:val="16"/>
          <w:szCs w:val="16"/>
          <w:lang w:val="fr-FR"/>
        </w:rPr>
        <w:t>Durban : Le Centre Africain pour la Résolution Constructive des Conflits (ACCORD).</w:t>
      </w:r>
    </w:p>
  </w:footnote>
  <w:footnote w:id="50">
    <w:p w14:paraId="067ECE6A" w14:textId="77777777" w:rsidR="000E53A0" w:rsidRPr="000E53A0" w:rsidRDefault="000E53A0">
      <w:pPr>
        <w:pStyle w:val="Notedebasdepage"/>
        <w:rPr>
          <w:sz w:val="20"/>
          <w:lang w:val="fr-FR"/>
        </w:rPr>
      </w:pPr>
      <w:r>
        <w:rPr>
          <w:rStyle w:val="Appelnotedebasdep"/>
        </w:rPr>
        <w:footnoteRef/>
      </w:r>
      <w:r w:rsidRPr="000E53A0">
        <w:rPr>
          <w:lang w:val="fr-FR"/>
        </w:rPr>
        <w:t xml:space="preserve">Détails du projet </w:t>
      </w:r>
      <w:hyperlink r:id="rId13" w:history="1">
        <w:r w:rsidRPr="000E53A0">
          <w:rPr>
            <w:rStyle w:val="Lienhypertexte"/>
            <w:lang w:val="fr-FR"/>
          </w:rPr>
          <w:t xml:space="preserve">: https://www.usaid.gov/sites/default/files/documents/1866/USAID_PDG_Creative_PSR_Fachsteet_Oct_18_Final.pdf </w:t>
        </w:r>
      </w:hyperlink>
    </w:p>
  </w:footnote>
  <w:footnote w:id="51">
    <w:p w14:paraId="49C169BC" w14:textId="77777777" w:rsidR="000E53A0" w:rsidRPr="000E53A0" w:rsidRDefault="000E53A0">
      <w:pPr>
        <w:pStyle w:val="Notedebasdepage"/>
        <w:rPr>
          <w:lang w:val="fr-FR"/>
        </w:rPr>
      </w:pPr>
      <w:r>
        <w:rPr>
          <w:rStyle w:val="Appelnotedebasdep"/>
        </w:rPr>
        <w:footnoteRef/>
      </w:r>
      <w:hyperlink r:id="rId14" w:history="1">
        <w:r w:rsidRPr="000E53A0">
          <w:rPr>
            <w:rStyle w:val="Lienhypertexte"/>
            <w:lang w:val="fr-FR"/>
          </w:rPr>
          <w:t xml:space="preserve"> file:///C:/Users/noemi/AppData/Local/Temp/activity-appraisal-document-4000003551.pdf </w:t>
        </w:r>
      </w:hyperlink>
    </w:p>
  </w:footnote>
  <w:footnote w:id="52">
    <w:p w14:paraId="1C02381A" w14:textId="77777777" w:rsidR="000E53A0" w:rsidRDefault="000E53A0">
      <w:pPr>
        <w:pStyle w:val="Notedebasdepage"/>
      </w:pPr>
      <w:r>
        <w:rPr>
          <w:rStyle w:val="Appelnotedebasdep"/>
        </w:rPr>
        <w:footnoteRef/>
      </w:r>
      <w:r w:rsidRPr="000E53A0">
        <w:rPr>
          <w:lang w:val="fr-FR"/>
        </w:rPr>
        <w:t xml:space="preserve">  GCF, proposition de financement, 28 novembre 2018. </w:t>
      </w:r>
      <w:hyperlink r:id="rId15" w:history="1">
        <w:r>
          <w:rPr>
            <w:rStyle w:val="Lienhypertexte"/>
          </w:rPr>
          <w:t>https://www.</w:t>
        </w:r>
      </w:hyperlink>
      <w:r>
        <w:t xml:space="preserve">greenclimate.fund/sites/default/files/document/funding-proposal-fp092-afdb-multiple-countries.pdf  </w:t>
      </w:r>
    </w:p>
  </w:footnote>
  <w:footnote w:id="53">
    <w:p w14:paraId="1C2EF904" w14:textId="77777777" w:rsidR="000E53A0" w:rsidRDefault="000E53A0">
      <w:pPr>
        <w:pStyle w:val="Notedebasdepage"/>
      </w:pPr>
      <w:r>
        <w:rPr>
          <w:rStyle w:val="Appelnotedebasdep"/>
        </w:rPr>
        <w:footnoteRef/>
      </w:r>
    </w:p>
  </w:footnote>
  <w:footnote w:id="54">
    <w:p w14:paraId="5113D170" w14:textId="77777777" w:rsidR="000E53A0" w:rsidRPr="000E53A0" w:rsidRDefault="000E53A0">
      <w:pPr>
        <w:pStyle w:val="Notedebasdepage"/>
        <w:rPr>
          <w:lang w:val="fr-FR"/>
        </w:rPr>
      </w:pPr>
      <w:r>
        <w:rPr>
          <w:rStyle w:val="Appelnotedebasdep"/>
        </w:rPr>
        <w:footnoteRef/>
      </w:r>
      <w:r w:rsidRPr="000E53A0">
        <w:rPr>
          <w:lang w:val="fr-FR"/>
        </w:rPr>
        <w:t xml:space="preserve">  Profil du projet https://w05.international.gc.ca/projectbrowser-banqueprojets/project-projet/details/A034767001 </w:t>
      </w:r>
    </w:p>
  </w:footnote>
  <w:footnote w:id="55">
    <w:p w14:paraId="00569E5E" w14:textId="77777777" w:rsidR="000E53A0" w:rsidRDefault="000E53A0">
      <w:pPr>
        <w:pStyle w:val="Notedebasdepage"/>
      </w:pPr>
      <w:r>
        <w:rPr>
          <w:rStyle w:val="Appelnotedebasdep"/>
        </w:rPr>
        <w:footnoteRef/>
      </w:r>
    </w:p>
  </w:footnote>
  <w:footnote w:id="56">
    <w:p w14:paraId="1606261C" w14:textId="77777777" w:rsidR="000E53A0" w:rsidRDefault="000E53A0">
      <w:pPr>
        <w:pStyle w:val="Notedebasdepage"/>
      </w:pPr>
      <w:r>
        <w:rPr>
          <w:rStyle w:val="Appelnotedebasdep"/>
        </w:rPr>
        <w:footnoteRef/>
      </w:r>
    </w:p>
  </w:footnote>
  <w:footnote w:id="57">
    <w:p w14:paraId="04F0CF3A" w14:textId="77777777" w:rsidR="000E53A0" w:rsidRDefault="000E53A0">
      <w:pPr>
        <w:pStyle w:val="Notedebasdepage"/>
      </w:pPr>
      <w:r>
        <w:rPr>
          <w:rStyle w:val="Appelnotedebasdep"/>
        </w:rPr>
        <w:footnoteRef/>
      </w:r>
    </w:p>
  </w:footnote>
  <w:footnote w:id="58">
    <w:p w14:paraId="254A97C1" w14:textId="77777777" w:rsidR="000E53A0" w:rsidRDefault="000E53A0">
      <w:pPr>
        <w:pStyle w:val="Notedebasdepage"/>
        <w:rPr>
          <w:lang w:val="fr-FR"/>
        </w:rPr>
      </w:pPr>
      <w:r>
        <w:rPr>
          <w:rStyle w:val="Appelnotedebasdep"/>
        </w:rPr>
        <w:footnoteRef/>
      </w:r>
      <w:r w:rsidRPr="001A0488">
        <w:rPr>
          <w:lang w:val="fr-FR"/>
        </w:rPr>
        <w:t xml:space="preserve">  Document de projet https://www.pdddin.org/documents/PDD-DIN-II.pdf </w:t>
      </w:r>
    </w:p>
  </w:footnote>
  <w:footnote w:id="59">
    <w:p w14:paraId="39AC8F2D" w14:textId="77777777" w:rsidR="000E53A0" w:rsidRPr="000E53A0" w:rsidRDefault="000E53A0">
      <w:pPr>
        <w:pStyle w:val="Notedebasdepage"/>
        <w:rPr>
          <w:lang w:val="fr-FR"/>
        </w:rPr>
      </w:pPr>
      <w:r>
        <w:rPr>
          <w:rStyle w:val="Appelnotedebasdep"/>
        </w:rPr>
        <w:footnoteRef/>
      </w:r>
      <w:r w:rsidRPr="000E53A0">
        <w:rPr>
          <w:lang w:val="fr-FR"/>
        </w:rPr>
        <w:t xml:space="preserve"> Aperçu des projets à impact rapide </w:t>
      </w:r>
      <w:hyperlink r:id="rId16" w:history="1">
        <w:r w:rsidRPr="000E53A0">
          <w:rPr>
            <w:rStyle w:val="Lienhypertexte"/>
            <w:lang w:val="fr-FR"/>
          </w:rPr>
          <w:t xml:space="preserve">: https://minusma.unmissions.org/sites/default/files/2013-2020_qips_overview_en_0.pdf </w:t>
        </w:r>
      </w:hyperlink>
    </w:p>
  </w:footnote>
  <w:footnote w:id="60">
    <w:p w14:paraId="2BFD8904" w14:textId="77777777" w:rsidR="000E53A0" w:rsidRDefault="000E53A0">
      <w:pPr>
        <w:pStyle w:val="Notedebasdepage"/>
      </w:pPr>
      <w:r>
        <w:rPr>
          <w:rStyle w:val="Appelnotedebasdep"/>
        </w:rPr>
        <w:footnoteRef/>
      </w:r>
    </w:p>
  </w:footnote>
  <w:footnote w:id="61">
    <w:p w14:paraId="387E25DC" w14:textId="77777777" w:rsidR="000E53A0" w:rsidRDefault="000E53A0">
      <w:pPr>
        <w:pStyle w:val="Notedebasdepage"/>
        <w:rPr>
          <w:lang w:val="fr-FR"/>
        </w:rPr>
      </w:pPr>
      <w:r>
        <w:rPr>
          <w:rStyle w:val="Appelnotedebasdep"/>
        </w:rPr>
        <w:footnoteRef/>
      </w:r>
      <w:r w:rsidRPr="001A0488">
        <w:rPr>
          <w:lang w:val="fr-FR"/>
        </w:rPr>
        <w:t xml:space="preserve">  Document de projet https://www.alliance-sahel.org/wp-content/uploads/2020/04/Factsheet_REG_AFD_Trois-Frontieres_EN.pdf </w:t>
      </w:r>
    </w:p>
  </w:footnote>
  <w:footnote w:id="62">
    <w:p w14:paraId="5A7F46BB" w14:textId="77777777" w:rsidR="000E53A0" w:rsidRPr="000E53A0" w:rsidRDefault="000E53A0">
      <w:pPr>
        <w:pStyle w:val="Notedebasdepage"/>
        <w:rPr>
          <w:lang w:val="fr-FR"/>
        </w:rPr>
      </w:pPr>
      <w:r>
        <w:rPr>
          <w:rStyle w:val="Appelnotedebasdep"/>
        </w:rPr>
        <w:footnoteRef/>
      </w:r>
      <w:r w:rsidRPr="000E53A0">
        <w:rPr>
          <w:lang w:val="fr-FR"/>
        </w:rPr>
        <w:t xml:space="preserve"> Fiche d'information sur le projet </w:t>
      </w:r>
      <w:hyperlink r:id="rId17" w:history="1">
        <w:r w:rsidRPr="000E53A0">
          <w:rPr>
            <w:rStyle w:val="Lienhypertexte"/>
            <w:lang w:val="fr-FR"/>
          </w:rPr>
          <w:t xml:space="preserve">: https://www.alliance-sahel.org/wp-content/uploads/2020/04/Factsheet-PDU_REG_UE_M%C3%A9diation-agro-pastorale-June-2021-EN.pdf </w:t>
        </w:r>
      </w:hyperlink>
    </w:p>
  </w:footnote>
  <w:footnote w:id="63">
    <w:p w14:paraId="5FC95DA8" w14:textId="77777777" w:rsidR="000E53A0" w:rsidRPr="000E53A0" w:rsidRDefault="000E53A0">
      <w:pPr>
        <w:pStyle w:val="Notedebasdepage"/>
        <w:rPr>
          <w:lang w:val="fr-FR"/>
        </w:rPr>
      </w:pPr>
      <w:r>
        <w:rPr>
          <w:rStyle w:val="Appelnotedebasdep"/>
        </w:rPr>
        <w:footnoteRef/>
      </w:r>
      <w:r w:rsidRPr="000E53A0">
        <w:rPr>
          <w:lang w:val="fr-FR"/>
        </w:rPr>
        <w:t xml:space="preserve"> Aperçu du projet </w:t>
      </w:r>
      <w:hyperlink r:id="rId18" w:history="1">
        <w:r w:rsidRPr="000E53A0">
          <w:rPr>
            <w:rStyle w:val="Lienhypertexte"/>
            <w:lang w:val="fr-FR"/>
          </w:rPr>
          <w:t xml:space="preserve">: https://www.alliance-sahel.org/en/projects/regional-sahel-pastoralism-support-project-praps/ </w:t>
        </w:r>
      </w:hyperlink>
    </w:p>
  </w:footnote>
  <w:footnote w:id="64">
    <w:p w14:paraId="4B1ADB2F" w14:textId="77777777" w:rsidR="000E53A0" w:rsidRPr="000E53A0" w:rsidRDefault="000E53A0">
      <w:pPr>
        <w:pStyle w:val="Notedebasdepage"/>
        <w:rPr>
          <w:lang w:val="fr-FR"/>
        </w:rPr>
      </w:pPr>
      <w:r>
        <w:rPr>
          <w:rStyle w:val="Appelnotedebasdep"/>
        </w:rPr>
        <w:footnoteRef/>
      </w:r>
      <w:r w:rsidRPr="000E53A0">
        <w:rPr>
          <w:lang w:val="fr-FR"/>
        </w:rPr>
        <w:t xml:space="preserve"> Document d'évaluation du projet : </w:t>
      </w:r>
      <w:hyperlink r:id="rId19" w:history="1">
        <w:r w:rsidRPr="000E53A0">
          <w:rPr>
            <w:rStyle w:val="Lienhypertexte"/>
            <w:lang w:val="fr-FR"/>
          </w:rPr>
          <w:t>Burkina-Faso-Niger-Mali-et-les-États-de-Liptako-Gourma-Projet-de-développement-intégré-autorité-communautaire-de-recouvrement-et-de-stabilisation.pdf</w:t>
        </w:r>
      </w:hyperlink>
    </w:p>
  </w:footnote>
  <w:footnote w:id="65">
    <w:p w14:paraId="60577C27" w14:textId="77777777" w:rsidR="000E53A0" w:rsidRPr="000E53A0" w:rsidRDefault="000E53A0">
      <w:pPr>
        <w:pStyle w:val="Notedebasdepage"/>
        <w:rPr>
          <w:lang w:val="fr-FR"/>
        </w:rPr>
      </w:pPr>
      <w:r>
        <w:rPr>
          <w:rStyle w:val="Appelnotedebasdep"/>
        </w:rPr>
        <w:footnoteRef/>
      </w:r>
      <w:r w:rsidRPr="000E53A0">
        <w:rPr>
          <w:lang w:val="fr-FR"/>
        </w:rPr>
        <w:t xml:space="preserve"> Document d'évaluation du projet, p.25-26. </w:t>
      </w:r>
    </w:p>
  </w:footnote>
  <w:footnote w:id="66">
    <w:p w14:paraId="1742DB75" w14:textId="77777777" w:rsidR="000E53A0" w:rsidRPr="000E53A0" w:rsidRDefault="000E53A0">
      <w:pPr>
        <w:pStyle w:val="Notedebasdepage"/>
        <w:rPr>
          <w:rFonts w:cstheme="minorHAnsi"/>
          <w:szCs w:val="18"/>
          <w:lang w:val="fr-FR"/>
        </w:rPr>
      </w:pPr>
      <w:r w:rsidRPr="00612832">
        <w:rPr>
          <w:rStyle w:val="Appelnotedebasdep"/>
          <w:rFonts w:asciiTheme="minorHAnsi" w:hAnsiTheme="minorHAnsi" w:cstheme="minorHAnsi"/>
          <w:szCs w:val="18"/>
        </w:rPr>
        <w:footnoteRef/>
      </w:r>
      <w:r w:rsidRPr="000E53A0">
        <w:rPr>
          <w:rFonts w:cstheme="minorHAnsi"/>
          <w:szCs w:val="18"/>
          <w:lang w:val="fr-FR"/>
        </w:rPr>
        <w:t xml:space="preserve"> Document d'évaluation du projet, p.82.</w:t>
      </w:r>
    </w:p>
  </w:footnote>
  <w:footnote w:id="67">
    <w:p w14:paraId="7AE9D192" w14:textId="77777777" w:rsidR="000E53A0" w:rsidRDefault="000E53A0">
      <w:pPr>
        <w:pStyle w:val="Notedebasdepage"/>
        <w:rPr>
          <w:rStyle w:val="Appelnotedebasdep"/>
          <w:rFonts w:asciiTheme="minorHAnsi" w:hAnsiTheme="minorHAnsi" w:cstheme="minorHAnsi"/>
          <w:szCs w:val="18"/>
          <w:vertAlign w:val="baseline"/>
        </w:rPr>
      </w:pPr>
      <w:r w:rsidRPr="00612832">
        <w:rPr>
          <w:rStyle w:val="Appelnotedebasdep"/>
          <w:rFonts w:asciiTheme="minorHAnsi" w:hAnsiTheme="minorHAnsi" w:cstheme="minorHAnsi"/>
          <w:szCs w:val="18"/>
        </w:rPr>
        <w:footnoteRef/>
      </w:r>
      <w:r w:rsidRPr="00612832">
        <w:rPr>
          <w:rStyle w:val="Appelnotedebasdep"/>
          <w:rFonts w:asciiTheme="minorHAnsi" w:hAnsiTheme="minorHAnsi" w:cstheme="minorHAnsi"/>
          <w:szCs w:val="18"/>
          <w:vertAlign w:val="baseline"/>
        </w:rPr>
        <w:t xml:space="preserve"> *Taux de </w:t>
      </w:r>
      <w:r w:rsidRPr="00612832">
        <w:rPr>
          <w:rStyle w:val="Appelnotedebasdep"/>
          <w:rFonts w:asciiTheme="minorHAnsi" w:hAnsiTheme="minorHAnsi" w:cstheme="minorHAnsi"/>
          <w:szCs w:val="18"/>
        </w:rPr>
        <w:t xml:space="preserve"> change </w:t>
      </w:r>
      <w:r w:rsidRPr="00612832">
        <w:rPr>
          <w:rStyle w:val="Appelnotedebasdep"/>
          <w:rFonts w:asciiTheme="minorHAnsi" w:hAnsiTheme="minorHAnsi" w:cstheme="minorHAnsi"/>
          <w:szCs w:val="18"/>
          <w:vertAlign w:val="baseline"/>
        </w:rPr>
        <w:t xml:space="preserve">1 USD = 553 FCFA </w:t>
      </w:r>
    </w:p>
    <w:p w14:paraId="7719C579" w14:textId="77777777" w:rsidR="000E53A0" w:rsidRPr="00A23529" w:rsidRDefault="000E53A0" w:rsidP="00BE082B">
      <w:pPr>
        <w:pStyle w:val="Notedebasdepage"/>
      </w:pPr>
    </w:p>
  </w:footnote>
  <w:footnote w:id="68">
    <w:p w14:paraId="32B9A17A" w14:textId="77777777" w:rsidR="000E53A0" w:rsidRPr="000E53A0" w:rsidRDefault="000E53A0">
      <w:pPr>
        <w:ind w:left="-680"/>
        <w:rPr>
          <w:lang w:val="fr-FR"/>
        </w:rPr>
      </w:pPr>
      <w:r w:rsidRPr="003A17B0">
        <w:rPr>
          <w:rStyle w:val="Appelnotedebasdep"/>
        </w:rPr>
        <w:footnoteRef/>
      </w:r>
      <w:r w:rsidRPr="000E53A0">
        <w:rPr>
          <w:sz w:val="16"/>
          <w:szCs w:val="16"/>
          <w:lang w:val="fr-FR"/>
        </w:rPr>
        <w:t xml:space="preserve"> Cowie, A. 2020. Lignes directrices pour la neutralité de la dégradation des terres : Un rapport préparé pour le Groupe consultatif scientifique et technique du Fonds pour l'environnement mondial, Washington D.C. </w:t>
      </w:r>
    </w:p>
    <w:p w14:paraId="16749C2A" w14:textId="77777777" w:rsidR="000E53A0" w:rsidRPr="000E53A0" w:rsidRDefault="000E53A0" w:rsidP="009F25C4">
      <w:pPr>
        <w:pStyle w:val="Notedebasdepage"/>
        <w:rPr>
          <w:lang w:val="fr-FR"/>
        </w:rPr>
      </w:pPr>
    </w:p>
  </w:footnote>
  <w:footnote w:id="69">
    <w:p w14:paraId="1297BEBE" w14:textId="77777777" w:rsidR="000E53A0" w:rsidRDefault="000E53A0">
      <w:pPr>
        <w:spacing w:before="20" w:after="20"/>
        <w:ind w:left="-737"/>
        <w:rPr>
          <w:i/>
          <w:iCs/>
          <w:sz w:val="16"/>
          <w:szCs w:val="16"/>
        </w:rPr>
      </w:pPr>
      <w:r w:rsidRPr="002976A8">
        <w:rPr>
          <w:rStyle w:val="Appelnotedebasdep"/>
          <w:rFonts w:eastAsiaTheme="majorEastAsia"/>
          <w:color w:val="000000" w:themeColor="text1"/>
          <w:sz w:val="16"/>
          <w:szCs w:val="16"/>
        </w:rPr>
        <w:footnoteRef/>
      </w:r>
      <w:r w:rsidRPr="002976A8">
        <w:rPr>
          <w:i/>
          <w:iCs/>
          <w:color w:val="000000" w:themeColor="text1"/>
          <w:sz w:val="16"/>
          <w:szCs w:val="16"/>
        </w:rPr>
        <w:t xml:space="preserve"> </w:t>
      </w:r>
      <w:r w:rsidRPr="002976A8">
        <w:rPr>
          <w:color w:val="000000" w:themeColor="text1"/>
          <w:sz w:val="16"/>
          <w:szCs w:val="16"/>
        </w:rPr>
        <w:t xml:space="preserve"> UNCCD (2016) </w:t>
      </w:r>
      <w:r w:rsidRPr="002976A8">
        <w:rPr>
          <w:i/>
          <w:iCs/>
          <w:color w:val="000000" w:themeColor="text1"/>
          <w:sz w:val="16"/>
          <w:szCs w:val="16"/>
        </w:rPr>
        <w:t>Scaling up Land Degradation Neutrality Target Setting - from Lessons to Actions : L'expérience de 14 pays pilotes</w:t>
      </w:r>
    </w:p>
  </w:footnote>
  <w:footnote w:id="70">
    <w:p w14:paraId="627D3D70" w14:textId="77777777" w:rsidR="000E53A0" w:rsidRPr="000E53A0" w:rsidRDefault="000E53A0">
      <w:pPr>
        <w:spacing w:after="20"/>
        <w:ind w:left="-680"/>
        <w:rPr>
          <w:sz w:val="16"/>
          <w:szCs w:val="16"/>
          <w:lang w:val="fr-FR"/>
        </w:rPr>
      </w:pPr>
      <w:r w:rsidRPr="002976A8">
        <w:rPr>
          <w:rStyle w:val="Appelnotedebasdep"/>
          <w:rFonts w:eastAsiaTheme="majorEastAsia"/>
          <w:sz w:val="16"/>
          <w:szCs w:val="16"/>
        </w:rPr>
        <w:footnoteRef/>
      </w:r>
      <w:r w:rsidRPr="000E53A0">
        <w:rPr>
          <w:sz w:val="16"/>
          <w:szCs w:val="16"/>
          <w:lang w:val="fr-FR"/>
        </w:rPr>
        <w:t xml:space="preserve"> L'Institut d'Economie Rurale (IER) est la principale institution de recherche au Mali pour la mise en œuvre de la politique nationale de recherche agricole, couvrant toutes les zones agro-écologiques du Mali, et abordant la vulnérabilité au changement climatique et les stratégies d'adaptation.</w:t>
      </w:r>
    </w:p>
  </w:footnote>
  <w:footnote w:id="71">
    <w:p w14:paraId="79AAD749" w14:textId="77777777" w:rsidR="000E53A0" w:rsidRPr="000E53A0" w:rsidRDefault="000E53A0">
      <w:pPr>
        <w:spacing w:after="20"/>
        <w:ind w:left="-680"/>
        <w:rPr>
          <w:sz w:val="16"/>
          <w:szCs w:val="16"/>
          <w:highlight w:val="green"/>
          <w:lang w:val="fr-FR"/>
        </w:rPr>
      </w:pPr>
      <w:r w:rsidRPr="002976A8">
        <w:rPr>
          <w:rStyle w:val="Appelnotedebasdep"/>
          <w:rFonts w:eastAsiaTheme="majorEastAsia"/>
          <w:sz w:val="16"/>
          <w:szCs w:val="16"/>
        </w:rPr>
        <w:footnoteRef/>
      </w:r>
      <w:r w:rsidRPr="000E53A0">
        <w:rPr>
          <w:sz w:val="16"/>
          <w:szCs w:val="16"/>
          <w:lang w:val="fr-FR"/>
        </w:rPr>
        <w:t xml:space="preserve">  L'Institut géographique du Mali (IGM) est chargé de la production, de la maintenance et de la diffusion d'informations géographiques de référence au Mali, notamment sur l'occupation et l'utilisation des sols et la dégradation des terres.</w:t>
      </w:r>
    </w:p>
  </w:footnote>
  <w:footnote w:id="72">
    <w:p w14:paraId="2A12176A" w14:textId="77777777" w:rsidR="000E53A0" w:rsidRPr="000E53A0" w:rsidRDefault="000E53A0">
      <w:pPr>
        <w:pStyle w:val="Notedebasdepage"/>
        <w:rPr>
          <w:lang w:val="fr-FR"/>
        </w:rPr>
      </w:pPr>
      <w:r>
        <w:rPr>
          <w:rStyle w:val="Appelnotedebasdep"/>
          <w:rFonts w:eastAsiaTheme="majorEastAsia"/>
        </w:rPr>
        <w:footnoteRef/>
      </w:r>
      <w:r w:rsidRPr="00613E9F">
        <w:rPr>
          <w:lang w:val="fr-FR"/>
        </w:rPr>
        <w:t xml:space="preserve"> </w:t>
      </w:r>
      <w:r w:rsidRPr="000E53A0">
        <w:rPr>
          <w:lang w:val="fr-FR"/>
        </w:rPr>
        <w:t xml:space="preserve">Boureima, M., Abasse, A.T., Sotelo Montes, C., Weber, J.C., Katkoré, B., Mounkoro, B., Dakouo, J-M., Samaké, O., Sigué, H., Bationo, B.A., Diallo, B.O. 2012. </w:t>
      </w:r>
      <w:r w:rsidRPr="00613E9F">
        <w:rPr>
          <w:lang w:val="fr-FR"/>
        </w:rPr>
        <w:t xml:space="preserve">Analyse participative de la vulnérabilité et de l'adaptation aux changements climatiques : un guide méthodologique. </w:t>
      </w:r>
      <w:r w:rsidRPr="000E53A0">
        <w:rPr>
          <w:lang w:val="fr-FR"/>
        </w:rPr>
        <w:t>Occasional Paper 19. Nairobi : Centre mondial de l'agroforesterie</w:t>
      </w:r>
    </w:p>
  </w:footnote>
  <w:footnote w:id="73">
    <w:p w14:paraId="1318F5C8" w14:textId="77777777" w:rsidR="000E53A0" w:rsidRPr="000E53A0" w:rsidRDefault="000E53A0">
      <w:pPr>
        <w:pStyle w:val="Notedebasdepage"/>
        <w:rPr>
          <w:lang w:val="fr-FR"/>
        </w:rPr>
      </w:pPr>
      <w:r>
        <w:rPr>
          <w:rStyle w:val="Appelnotedebasdep"/>
          <w:rFonts w:eastAsiaTheme="majorEastAsia"/>
        </w:rPr>
        <w:footnoteRef/>
      </w:r>
      <w:r w:rsidRPr="000E53A0">
        <w:rPr>
          <w:lang w:val="fr-FR"/>
        </w:rPr>
        <w:t xml:space="preserve"> Entretien individuel avec Telly Balougo, coordinateur national du projet PACV-MT</w:t>
      </w:r>
    </w:p>
  </w:footnote>
  <w:footnote w:id="74">
    <w:p w14:paraId="3F99BCF1" w14:textId="77777777" w:rsidR="000E53A0" w:rsidRPr="000E53A0" w:rsidRDefault="000E53A0">
      <w:pPr>
        <w:pStyle w:val="Notedebasdepage"/>
        <w:spacing w:before="20" w:after="20"/>
        <w:ind w:left="-680"/>
        <w:rPr>
          <w:lang w:val="fr-FR"/>
        </w:rPr>
      </w:pPr>
      <w:r w:rsidRPr="00FB4340">
        <w:rPr>
          <w:rStyle w:val="Appelnotedebasdep"/>
          <w:rFonts w:eastAsiaTheme="majorEastAsia"/>
          <w:szCs w:val="16"/>
        </w:rPr>
        <w:footnoteRef/>
      </w:r>
      <w:r w:rsidRPr="000E53A0">
        <w:rPr>
          <w:szCs w:val="16"/>
          <w:lang w:val="fr-FR"/>
        </w:rPr>
        <w:t xml:space="preserve"> Potentiellement par le biais d'un partenariat avec le Forum de consolidation de la paix des Nations unies. </w:t>
      </w:r>
    </w:p>
  </w:footnote>
  <w:footnote w:id="75">
    <w:p w14:paraId="07F247BD" w14:textId="77777777" w:rsidR="000E53A0" w:rsidRPr="000E53A0" w:rsidRDefault="000E53A0">
      <w:pPr>
        <w:pStyle w:val="Notedebasdepage"/>
        <w:ind w:left="-680"/>
        <w:rPr>
          <w:szCs w:val="16"/>
          <w:lang w:val="fr-FR"/>
        </w:rPr>
      </w:pPr>
      <w:r w:rsidRPr="00FB4340">
        <w:rPr>
          <w:rStyle w:val="Appelnotedebasdep"/>
          <w:rFonts w:eastAsiaTheme="majorEastAsia"/>
          <w:szCs w:val="16"/>
        </w:rPr>
        <w:footnoteRef/>
      </w:r>
      <w:r w:rsidRPr="000E53A0">
        <w:rPr>
          <w:szCs w:val="16"/>
          <w:lang w:val="fr-FR"/>
        </w:rPr>
        <w:t xml:space="preserve"> En particulier, par le biais de projets FEM existants dans ces pays avec des objectifs connexes, qui peuvent disposer de ressources pour permettre cette participation. </w:t>
      </w:r>
    </w:p>
  </w:footnote>
  <w:footnote w:id="76">
    <w:p w14:paraId="74B6DD7F" w14:textId="77777777" w:rsidR="000E53A0" w:rsidRDefault="000E53A0">
      <w:pPr>
        <w:pStyle w:val="Notedebasdepage"/>
      </w:pPr>
      <w:r>
        <w:rPr>
          <w:rStyle w:val="Appelnotedebasdep"/>
          <w:rFonts w:eastAsiaTheme="majorEastAsia"/>
        </w:rPr>
        <w:footnoteRef/>
      </w:r>
      <w:r>
        <w:t xml:space="preserve">  Orr, B.J., A.L. Cowie, V.M. Castillo Sanchez, P. Chasek, N.D. Crossman, A. Erlewein, G. Louwagie, M. Maron, </w:t>
      </w:r>
    </w:p>
    <w:p w14:paraId="265C480D" w14:textId="77777777" w:rsidR="000E53A0" w:rsidRPr="000E53A0" w:rsidRDefault="000E53A0">
      <w:pPr>
        <w:pStyle w:val="Notedebasdepage"/>
        <w:rPr>
          <w:lang w:val="fr-FR"/>
        </w:rPr>
      </w:pPr>
      <w:r w:rsidRPr="0041377D">
        <w:rPr>
          <w:lang w:val="de-DE"/>
        </w:rPr>
        <w:t xml:space="preserve">G.I. Metternicht, S. Minelli, A.E. Tengberg, S. Walter et S. Welton. </w:t>
      </w:r>
      <w:r w:rsidRPr="000E53A0">
        <w:rPr>
          <w:lang w:val="fr-FR"/>
        </w:rPr>
        <w:t xml:space="preserve">2017. Cadre conceptuel scientifique </w:t>
      </w:r>
    </w:p>
    <w:p w14:paraId="3D44D864" w14:textId="77777777" w:rsidR="000E53A0" w:rsidRPr="000E53A0" w:rsidRDefault="000E53A0">
      <w:pPr>
        <w:pStyle w:val="Notedebasdepage"/>
        <w:rPr>
          <w:lang w:val="fr-FR"/>
        </w:rPr>
      </w:pPr>
      <w:r w:rsidRPr="000E53A0">
        <w:rPr>
          <w:lang w:val="fr-FR"/>
        </w:rPr>
        <w:t xml:space="preserve">pour la neutralité de la dégradation des terres. Un rapport de l'interface science-politique. Convention des Nations Unies pour </w:t>
      </w:r>
    </w:p>
    <w:p w14:paraId="152E3A9D" w14:textId="77777777" w:rsidR="000E53A0" w:rsidRPr="000E53A0" w:rsidRDefault="000E53A0">
      <w:pPr>
        <w:pStyle w:val="Notedebasdepage"/>
        <w:rPr>
          <w:lang w:val="fr-FR"/>
        </w:rPr>
      </w:pPr>
      <w:r w:rsidRPr="000E53A0">
        <w:rPr>
          <w:lang w:val="fr-FR"/>
        </w:rPr>
        <w:t>Combattre la désertification (UNCCD), Bonn, Allemagne.</w:t>
      </w:r>
    </w:p>
  </w:footnote>
  <w:footnote w:id="77">
    <w:p w14:paraId="298B5B0C" w14:textId="77777777" w:rsidR="000E53A0" w:rsidRDefault="000E53A0">
      <w:pPr>
        <w:pStyle w:val="Notedebasdepage"/>
      </w:pPr>
      <w:r>
        <w:rPr>
          <w:rStyle w:val="Appelnotedebasdep"/>
          <w:rFonts w:eastAsiaTheme="majorEastAsia"/>
        </w:rPr>
        <w:footnoteRef/>
      </w:r>
      <w:hyperlink r:id="rId20" w:history="1">
        <w:r>
          <w:rPr>
            <w:rStyle w:val="Lienhypertexte"/>
            <w:rFonts w:eastAsiaTheme="majorEastAsia"/>
          </w:rPr>
          <w:t xml:space="preserve"> Trends.Earth-Documentation deTrends.Earth1.0.7</w:t>
        </w:r>
      </w:hyperlink>
    </w:p>
  </w:footnote>
  <w:footnote w:id="78">
    <w:p w14:paraId="6230B62C" w14:textId="77777777" w:rsidR="000E53A0" w:rsidRDefault="000E53A0">
      <w:pPr>
        <w:pStyle w:val="Notedebasdepage"/>
      </w:pPr>
      <w:r>
        <w:rPr>
          <w:rStyle w:val="Appelnotedebasdep"/>
        </w:rPr>
        <w:footnoteRef/>
      </w:r>
    </w:p>
  </w:footnote>
  <w:footnote w:id="79">
    <w:p w14:paraId="01C99586" w14:textId="77777777" w:rsidR="000E53A0" w:rsidRDefault="000E53A0">
      <w:pPr>
        <w:pStyle w:val="Notedebasdepage"/>
      </w:pPr>
      <w:r>
        <w:rPr>
          <w:rStyle w:val="Appelnotedebasdep"/>
        </w:rPr>
        <w:footnoteRef/>
      </w:r>
    </w:p>
  </w:footnote>
  <w:footnote w:id="80">
    <w:p w14:paraId="2D79D97F" w14:textId="77777777" w:rsidR="000E53A0" w:rsidRDefault="000E53A0">
      <w:pPr>
        <w:pStyle w:val="Notedebasdepage"/>
        <w:rPr>
          <w:rFonts w:ascii="Calibri" w:hAnsi="Calibri" w:cs="Calibri"/>
          <w:color w:val="000000"/>
          <w:lang w:val="en-GB"/>
        </w:rPr>
      </w:pPr>
      <w:r w:rsidRPr="000F0968">
        <w:rPr>
          <w:rStyle w:val="Appelnotedebasdep"/>
          <w:rFonts w:ascii="Calibri" w:hAnsi="Calibri" w:cs="Calibri"/>
          <w:color w:val="000000"/>
        </w:rPr>
        <w:footnoteRef/>
      </w:r>
    </w:p>
  </w:footnote>
  <w:footnote w:id="81">
    <w:p w14:paraId="3699B03C" w14:textId="77777777" w:rsidR="000E53A0" w:rsidRPr="000E53A0" w:rsidRDefault="000E53A0">
      <w:pPr>
        <w:pStyle w:val="Notedebasdepage"/>
        <w:rPr>
          <w:rFonts w:ascii="Calibri" w:hAnsi="Calibri" w:cs="Segoe UI"/>
          <w:color w:val="000000"/>
          <w:szCs w:val="18"/>
          <w:lang w:val="fr-FR"/>
        </w:rPr>
      </w:pPr>
      <w:r w:rsidRPr="0003763F">
        <w:rPr>
          <w:rStyle w:val="Appelnotedebasdep"/>
          <w:rFonts w:ascii="Calibri" w:hAnsi="Calibri"/>
          <w:szCs w:val="18"/>
        </w:rPr>
        <w:footnoteRef/>
      </w:r>
      <w:hyperlink r:id="rId21" w:history="1">
        <w:r w:rsidRPr="000E53A0">
          <w:rPr>
            <w:rStyle w:val="Lienhypertexte"/>
            <w:rFonts w:ascii="Calibri" w:hAnsi="Calibri" w:cs="Segoe UI"/>
            <w:szCs w:val="18"/>
            <w:lang w:val="fr-FR"/>
          </w:rPr>
          <w:t xml:space="preserve"> Voir https://www.thegef.org/gef/policies_guidelines</w:t>
        </w:r>
      </w:hyperlink>
    </w:p>
  </w:footnote>
  <w:footnote w:id="82">
    <w:p w14:paraId="410AC922" w14:textId="77777777" w:rsidR="000E53A0" w:rsidRPr="000E53A0" w:rsidRDefault="000E53A0">
      <w:pPr>
        <w:pStyle w:val="Notedebasdepage"/>
        <w:rPr>
          <w:rFonts w:ascii="Calibri" w:hAnsi="Calibri"/>
          <w:szCs w:val="18"/>
          <w:lang w:val="fr-FR"/>
        </w:rPr>
      </w:pPr>
      <w:r w:rsidRPr="00AD6A9D">
        <w:rPr>
          <w:rStyle w:val="Appelnotedebasdep"/>
          <w:rFonts w:ascii="Calibri" w:hAnsi="Calibri"/>
          <w:szCs w:val="18"/>
        </w:rPr>
        <w:footnoteRef/>
      </w:r>
      <w:r w:rsidRPr="000E53A0">
        <w:rPr>
          <w:rFonts w:ascii="Calibri" w:hAnsi="Calibri" w:cs="Segoe UI"/>
          <w:color w:val="000000"/>
          <w:szCs w:val="18"/>
          <w:lang w:val="fr-FR"/>
        </w:rPr>
        <w:t xml:space="preserve"> Voir http://www.undp.org/content/undp/en/home/operations/transparency/information_disclosurepolicy/</w:t>
      </w:r>
    </w:p>
  </w:footnote>
  <w:footnote w:id="83">
    <w:p w14:paraId="55D3074D" w14:textId="77777777" w:rsidR="000E53A0" w:rsidRPr="000E53A0" w:rsidRDefault="000E53A0">
      <w:pPr>
        <w:pStyle w:val="Notedebasdepage"/>
        <w:rPr>
          <w:rFonts w:ascii="Calibri" w:hAnsi="Calibri"/>
          <w:szCs w:val="18"/>
          <w:lang w:val="fr-FR"/>
        </w:rPr>
      </w:pPr>
      <w:r w:rsidRPr="00AD6A9D">
        <w:rPr>
          <w:rStyle w:val="Appelnotedebasdep"/>
          <w:rFonts w:ascii="Calibri" w:hAnsi="Calibri"/>
          <w:szCs w:val="18"/>
        </w:rPr>
        <w:footnoteRef/>
      </w:r>
      <w:r w:rsidRPr="000E53A0">
        <w:rPr>
          <w:rFonts w:ascii="Calibri" w:hAnsi="Calibri" w:cs="Segoe UI"/>
          <w:color w:val="000000"/>
          <w:szCs w:val="18"/>
          <w:lang w:val="fr-FR"/>
        </w:rPr>
        <w:t xml:space="preserve"> Voir https://www.thegef.org/gef/policies_guidelines</w:t>
      </w:r>
    </w:p>
  </w:footnote>
  <w:footnote w:id="84">
    <w:p w14:paraId="1BCBE8AC" w14:textId="77777777" w:rsidR="000E53A0" w:rsidRPr="000E53A0" w:rsidRDefault="000E53A0">
      <w:pPr>
        <w:pStyle w:val="Notedebasdepage"/>
        <w:rPr>
          <w:lang w:val="fr-FR"/>
        </w:rPr>
      </w:pPr>
      <w:r w:rsidRPr="003174B4">
        <w:rPr>
          <w:rStyle w:val="Appelnotedebasdep"/>
          <w:rFonts w:asciiTheme="minorHAnsi" w:hAnsiTheme="minorHAnsi"/>
          <w:vertAlign w:val="baseline"/>
        </w:rPr>
        <w:footnoteRef/>
      </w:r>
      <w:hyperlink r:id="rId22" w:history="1">
        <w:r w:rsidRPr="000E53A0">
          <w:rPr>
            <w:rStyle w:val="Lienhypertexte"/>
            <w:color w:val="auto"/>
            <w:u w:val="none"/>
            <w:lang w:val="fr-FR"/>
          </w:rPr>
          <w:t xml:space="preserve"> Voir https://popp.undp.org/_layouts/15/WopiFrame.aspx?sourcedoc=/UNDP_POPP_DOCUMENT_LIBRARY/Public/PPM_Project%20Management_Closing.docx&amp;action=default. </w:t>
        </w:r>
      </w:hyperlink>
    </w:p>
  </w:footnote>
  <w:footnote w:id="85">
    <w:p w14:paraId="78A9BDD6" w14:textId="77777777" w:rsidR="000E53A0" w:rsidRPr="000E53A0" w:rsidRDefault="000E53A0">
      <w:pPr>
        <w:pStyle w:val="Notedebasdepage"/>
        <w:rPr>
          <w:lang w:val="fr-FR"/>
        </w:rPr>
      </w:pPr>
      <w:r w:rsidRPr="003174B4">
        <w:rPr>
          <w:rStyle w:val="Appelnotedebasdep"/>
          <w:rFonts w:asciiTheme="minorHAnsi" w:hAnsiTheme="minorHAnsi"/>
          <w:vertAlign w:val="baseline"/>
        </w:rPr>
        <w:footnoteRef/>
      </w:r>
      <w:r w:rsidRPr="000E53A0">
        <w:rPr>
          <w:lang w:val="fr-FR"/>
        </w:rPr>
        <w:t xml:space="preserve"> A utiliser lorsque le PNUD est le partenaire d'exécution</w:t>
      </w:r>
    </w:p>
  </w:footnote>
  <w:footnote w:id="86">
    <w:p w14:paraId="22E4B327" w14:textId="77777777" w:rsidR="000E53A0" w:rsidRPr="000E53A0" w:rsidRDefault="000E53A0">
      <w:pPr>
        <w:pStyle w:val="Notedebasdepage"/>
        <w:rPr>
          <w:lang w:val="fr-FR"/>
        </w:rPr>
      </w:pPr>
      <w:r w:rsidRPr="003174B4">
        <w:rPr>
          <w:rStyle w:val="Appelnotedebasdep"/>
          <w:rFonts w:asciiTheme="minorHAnsi" w:hAnsiTheme="minorHAnsi"/>
          <w:vertAlign w:val="baseline"/>
        </w:rPr>
        <w:footnoteRef/>
      </w:r>
      <w:r w:rsidRPr="000E53A0">
        <w:rPr>
          <w:lang w:val="fr-FR"/>
        </w:rPr>
        <w:t xml:space="preserve"> À utiliser lorsque l'ONU, un fonds/programme de l'ONU ou une agence spécialisée est le partenaire de mise en œuvre.</w:t>
      </w:r>
    </w:p>
  </w:footnote>
  <w:footnote w:id="87">
    <w:p w14:paraId="3AB9B51D" w14:textId="77777777" w:rsidR="000E53A0" w:rsidRPr="000E53A0" w:rsidRDefault="000E53A0">
      <w:pPr>
        <w:pStyle w:val="Notedebasdepage"/>
        <w:rPr>
          <w:lang w:val="fr-FR"/>
        </w:rPr>
      </w:pPr>
      <w:r w:rsidRPr="003174B4">
        <w:rPr>
          <w:rStyle w:val="Appelnotedebasdep"/>
          <w:rFonts w:asciiTheme="minorHAnsi" w:hAnsiTheme="minorHAnsi"/>
          <w:vertAlign w:val="baseline"/>
        </w:rPr>
        <w:footnoteRef/>
      </w:r>
      <w:r w:rsidRPr="000E53A0">
        <w:rPr>
          <w:lang w:val="fr-FR"/>
        </w:rPr>
        <w:t xml:space="preserve"> Utiliser le texte entre parenthèses uniquement lorsque le PI est une ONG/IGO</w:t>
      </w:r>
    </w:p>
  </w:footnote>
  <w:footnote w:id="88">
    <w:p w14:paraId="0165DA21" w14:textId="77777777" w:rsidR="000E53A0" w:rsidRPr="000E53A0" w:rsidRDefault="000E53A0">
      <w:pPr>
        <w:pStyle w:val="Notedebasdepage"/>
        <w:rPr>
          <w:lang w:val="fr-FR"/>
        </w:rPr>
      </w:pPr>
      <w:r w:rsidRPr="003174B4">
        <w:rPr>
          <w:rStyle w:val="Appelnotedebasdep"/>
          <w:rFonts w:asciiTheme="minorHAnsi" w:hAnsiTheme="minorHAnsi"/>
          <w:vertAlign w:val="baseline"/>
        </w:rPr>
        <w:footnoteRef/>
      </w:r>
      <w:r w:rsidRPr="000E53A0">
        <w:rPr>
          <w:lang w:val="fr-FR"/>
        </w:rPr>
        <w:t xml:space="preserve"> A utiliser lorsque le PNUD est le partenaire d'exécution</w:t>
      </w:r>
    </w:p>
  </w:footnote>
  <w:footnote w:id="89">
    <w:p w14:paraId="3B6DC721" w14:textId="77777777" w:rsidR="000E53A0" w:rsidRPr="000E53A0" w:rsidRDefault="000E53A0">
      <w:pPr>
        <w:pStyle w:val="Notedebasdepage"/>
        <w:rPr>
          <w:lang w:val="fr-FR"/>
        </w:rPr>
      </w:pPr>
      <w:r w:rsidRPr="003174B4">
        <w:rPr>
          <w:rStyle w:val="Appelnotedebasdep"/>
          <w:rFonts w:asciiTheme="minorHAnsi" w:hAnsiTheme="minorHAnsi"/>
          <w:vertAlign w:val="baseline"/>
        </w:rPr>
        <w:footnoteRef/>
      </w:r>
      <w:r w:rsidRPr="000E53A0">
        <w:rPr>
          <w:lang w:val="fr-FR"/>
        </w:rPr>
        <w:t xml:space="preserve"> À utiliser lorsque l'ONU, un fonds/programme de l'ONU ou une agence spécialisée est le partenaire de mise en œuvre.</w:t>
      </w:r>
    </w:p>
  </w:footnote>
  <w:footnote w:id="90">
    <w:p w14:paraId="7D7D1E18" w14:textId="77777777" w:rsidR="000E53A0" w:rsidRPr="000E53A0" w:rsidRDefault="000E53A0">
      <w:pPr>
        <w:pStyle w:val="Notedebasdepage"/>
        <w:rPr>
          <w:lang w:val="fr-FR"/>
        </w:rPr>
      </w:pPr>
      <w:r>
        <w:rPr>
          <w:rStyle w:val="Appelnotedebasdep"/>
        </w:rPr>
        <w:footnoteRef/>
      </w:r>
      <w:r w:rsidRPr="000E53A0">
        <w:rPr>
          <w:lang w:val="fr-FR"/>
        </w:rPr>
        <w:t xml:space="preserve">  Incluez un bref résumé des services d'exécution qui seront fournis par l'Agence du FEM.  Veuillez vous reporter à l'annexe 8 (tableau B) des Directives relatives au cycle des projets et programmes du FEM pour connaître les fonctions d'exécution admissibles.</w:t>
      </w:r>
    </w:p>
  </w:footnote>
  <w:footnote w:id="91">
    <w:p w14:paraId="43F8739B" w14:textId="77777777" w:rsidR="000E53A0" w:rsidRPr="000E53A0" w:rsidRDefault="000E53A0">
      <w:pPr>
        <w:pStyle w:val="Notedebasdepage"/>
        <w:rPr>
          <w:lang w:val="fr-FR"/>
        </w:rPr>
      </w:pPr>
      <w:r>
        <w:rPr>
          <w:rStyle w:val="Appelnotedebasdep"/>
        </w:rPr>
        <w:footnoteRef/>
      </w:r>
      <w:r w:rsidRPr="000E53A0">
        <w:rPr>
          <w:lang w:val="fr-FR"/>
        </w:rPr>
        <w:t xml:space="preserve"> Ce paragraphe doit être inclus le cas échéant.  Supprimer si tous les services d'exécution doivent être fournis par l'Agence du FEM.</w:t>
      </w:r>
    </w:p>
  </w:footnote>
  <w:footnote w:id="92">
    <w:p w14:paraId="2D77E8F0" w14:textId="77777777" w:rsidR="000E53A0" w:rsidRPr="000E53A0" w:rsidRDefault="000E53A0">
      <w:pPr>
        <w:pStyle w:val="Notedebasdepage"/>
        <w:rPr>
          <w:rFonts w:ascii="Calibri" w:hAnsi="Calibri"/>
          <w:sz w:val="16"/>
          <w:szCs w:val="16"/>
          <w:lang w:val="fr-FR"/>
        </w:rPr>
      </w:pPr>
      <w:r w:rsidRPr="009D08C5">
        <w:rPr>
          <w:rStyle w:val="Appelnotedebasdep"/>
          <w:rFonts w:ascii="Calibri" w:hAnsi="Calibri"/>
          <w:sz w:val="16"/>
          <w:szCs w:val="16"/>
        </w:rPr>
        <w:footnoteRef/>
      </w:r>
      <w:r w:rsidRPr="000E53A0">
        <w:rPr>
          <w:rFonts w:ascii="Calibri" w:hAnsi="Calibri"/>
          <w:sz w:val="16"/>
          <w:szCs w:val="16"/>
          <w:lang w:val="fr-FR"/>
        </w:rPr>
        <w:t xml:space="preserve"> Les méthodes de collecte des données doivent décrire les outils spécifiques utilisés pour collecter les données et les informations supplémentaires nécessaires pour soutenir la surveillance. Le PIR ne peut pas être utilisé comme une source de vérification.</w:t>
      </w:r>
    </w:p>
  </w:footnote>
  <w:footnote w:id="93">
    <w:p w14:paraId="6C2FFAAE" w14:textId="77777777" w:rsidR="000E53A0" w:rsidRDefault="000E53A0" w:rsidP="009F3374">
      <w:pPr>
        <w:pStyle w:val="Notedebasdepage"/>
        <w:rPr>
          <w:rFonts w:ascii="Times New Roman" w:hAnsi="Times New Roman"/>
          <w:sz w:val="20"/>
        </w:rPr>
      </w:pPr>
      <w:r>
        <w:rPr>
          <w:rStyle w:val="Appelnotedebasdep"/>
        </w:rPr>
        <w:footnoteRef/>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B9A7D" w14:textId="77777777" w:rsidR="000E53A0" w:rsidRDefault="000E53A0">
    <w:pPr>
      <w:pStyle w:val="En-tte"/>
    </w:pPr>
  </w:p>
  <w:p w14:paraId="68229363" w14:textId="77777777" w:rsidR="000E53A0" w:rsidRDefault="000E53A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88A38E" w14:textId="77777777" w:rsidR="000E53A0" w:rsidRPr="00424365" w:rsidRDefault="000E53A0" w:rsidP="00424365">
    <w:pPr>
      <w:pStyle w:val="En-tte"/>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A2E7BD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F3247268"/>
    <w:lvl w:ilvl="0">
      <w:start w:val="5"/>
      <w:numFmt w:val="bullet"/>
      <w:pStyle w:val="listbulletsSESP"/>
      <w:lvlText w:val="•"/>
      <w:lvlJc w:val="left"/>
      <w:pPr>
        <w:tabs>
          <w:tab w:val="num" w:pos="360"/>
        </w:tabs>
        <w:ind w:left="360" w:firstLine="0"/>
      </w:pPr>
      <w:rPr>
        <w:position w:val="0"/>
      </w:rPr>
    </w:lvl>
    <w:lvl w:ilvl="1">
      <w:start w:val="1"/>
      <w:numFmt w:val="bullet"/>
      <w:suff w:val="nothing"/>
      <w:lvlText w:val="•"/>
      <w:lvlJc w:val="left"/>
      <w:pPr>
        <w:ind w:left="0" w:firstLine="720"/>
      </w:pPr>
      <w:rPr>
        <w:position w:val="0"/>
      </w:rPr>
    </w:lvl>
    <w:lvl w:ilvl="2">
      <w:start w:val="1"/>
      <w:numFmt w:val="bullet"/>
      <w:lvlText w:val=""/>
      <w:lvlJc w:val="left"/>
      <w:pPr>
        <w:tabs>
          <w:tab w:val="num" w:pos="1440"/>
        </w:tabs>
        <w:ind w:left="1440" w:firstLine="0"/>
      </w:pPr>
      <w:rPr>
        <w:position w:val="0"/>
      </w:rPr>
    </w:lvl>
    <w:lvl w:ilvl="3">
      <w:start w:val="1"/>
      <w:numFmt w:val="bullet"/>
      <w:lvlText w:val=""/>
      <w:lvlJc w:val="left"/>
      <w:pPr>
        <w:tabs>
          <w:tab w:val="num" w:pos="2160"/>
        </w:tabs>
        <w:ind w:left="2160" w:firstLine="0"/>
      </w:pPr>
      <w:rPr>
        <w:position w:val="0"/>
      </w:rPr>
    </w:lvl>
    <w:lvl w:ilvl="4">
      <w:start w:val="1"/>
      <w:numFmt w:val="bullet"/>
      <w:lvlText w:val=""/>
      <w:lvlJc w:val="left"/>
      <w:pPr>
        <w:tabs>
          <w:tab w:val="num" w:pos="2880"/>
        </w:tabs>
        <w:ind w:left="2880" w:firstLine="0"/>
      </w:pPr>
      <w:rPr>
        <w:position w:val="0"/>
      </w:rPr>
    </w:lvl>
    <w:lvl w:ilvl="5">
      <w:start w:val="1"/>
      <w:numFmt w:val="bullet"/>
      <w:lvlText w:val=""/>
      <w:lvlJc w:val="left"/>
      <w:pPr>
        <w:tabs>
          <w:tab w:val="num" w:pos="3600"/>
        </w:tabs>
        <w:ind w:left="3600" w:firstLine="0"/>
      </w:pPr>
      <w:rPr>
        <w:position w:val="0"/>
      </w:rPr>
    </w:lvl>
    <w:lvl w:ilvl="6">
      <w:start w:val="1"/>
      <w:numFmt w:val="bullet"/>
      <w:lvlText w:val=""/>
      <w:lvlJc w:val="left"/>
      <w:pPr>
        <w:tabs>
          <w:tab w:val="num" w:pos="4320"/>
        </w:tabs>
        <w:ind w:left="4320" w:firstLine="0"/>
      </w:pPr>
      <w:rPr>
        <w:position w:val="0"/>
      </w:rPr>
    </w:lvl>
    <w:lvl w:ilvl="7">
      <w:start w:val="1"/>
      <w:numFmt w:val="bullet"/>
      <w:lvlText w:val=""/>
      <w:lvlJc w:val="left"/>
      <w:pPr>
        <w:tabs>
          <w:tab w:val="num" w:pos="5040"/>
        </w:tabs>
        <w:ind w:left="5040" w:firstLine="0"/>
      </w:pPr>
      <w:rPr>
        <w:position w:val="0"/>
      </w:rPr>
    </w:lvl>
    <w:lvl w:ilvl="8">
      <w:start w:val="1"/>
      <w:numFmt w:val="bullet"/>
      <w:lvlText w:val=""/>
      <w:lvlJc w:val="left"/>
      <w:pPr>
        <w:tabs>
          <w:tab w:val="num" w:pos="5760"/>
        </w:tabs>
        <w:ind w:left="5760" w:firstLine="0"/>
      </w:pPr>
      <w:rPr>
        <w:position w:val="0"/>
      </w:rPr>
    </w:lvl>
  </w:abstractNum>
  <w:abstractNum w:abstractNumId="2" w15:restartNumberingAfterBreak="0">
    <w:nsid w:val="00FB3A0E"/>
    <w:multiLevelType w:val="hybridMultilevel"/>
    <w:tmpl w:val="6CC42EE0"/>
    <w:lvl w:ilvl="0" w:tplc="09405FD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228609B"/>
    <w:multiLevelType w:val="hybridMultilevel"/>
    <w:tmpl w:val="DC3683DA"/>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4B00403"/>
    <w:multiLevelType w:val="hybridMultilevel"/>
    <w:tmpl w:val="939E7F34"/>
    <w:lvl w:ilvl="0" w:tplc="0409000F">
      <w:start w:val="1"/>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7518E4"/>
    <w:multiLevelType w:val="multilevel"/>
    <w:tmpl w:val="296A242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7200172"/>
    <w:multiLevelType w:val="hybridMultilevel"/>
    <w:tmpl w:val="DFF2F7B4"/>
    <w:lvl w:ilvl="0" w:tplc="79A04AAC">
      <w:start w:val="1"/>
      <w:numFmt w:val="decimal"/>
      <w:pStyle w:val="Paragraph"/>
      <w:lvlText w:val="%1."/>
      <w:lvlJc w:val="left"/>
      <w:pPr>
        <w:ind w:left="360" w:hanging="360"/>
      </w:pPr>
      <w:rPr>
        <w:rFonts w:ascii="Times New Roman" w:hAnsi="Times New Roman"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E1657A"/>
    <w:multiLevelType w:val="hybridMultilevel"/>
    <w:tmpl w:val="97D41722"/>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BE76153"/>
    <w:multiLevelType w:val="hybridMultilevel"/>
    <w:tmpl w:val="394C84C6"/>
    <w:lvl w:ilvl="0" w:tplc="38D8300C">
      <w:start w:val="1"/>
      <w:numFmt w:val="lowerLetter"/>
      <w:pStyle w:val="listlettered"/>
      <w:lvlText w:val="%1."/>
      <w:lvlJc w:val="left"/>
      <w:pPr>
        <w:tabs>
          <w:tab w:val="num" w:pos="1080"/>
        </w:tabs>
        <w:ind w:left="1080" w:hanging="360"/>
      </w:p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C123A62"/>
    <w:multiLevelType w:val="hybridMultilevel"/>
    <w:tmpl w:val="F1A27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F23D56"/>
    <w:multiLevelType w:val="hybridMultilevel"/>
    <w:tmpl w:val="845E7E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726707"/>
    <w:multiLevelType w:val="hybridMultilevel"/>
    <w:tmpl w:val="9030258A"/>
    <w:lvl w:ilvl="0" w:tplc="04090019">
      <w:start w:val="1"/>
      <w:numFmt w:val="lowerLetter"/>
      <w:lvlText w:val="%1."/>
      <w:lvlJc w:val="left"/>
      <w:pPr>
        <w:tabs>
          <w:tab w:val="num" w:pos="360"/>
        </w:tabs>
        <w:ind w:left="360" w:hanging="360"/>
      </w:pPr>
      <w:rPr>
        <w:rFonts w:hint="default"/>
      </w:rPr>
    </w:lvl>
    <w:lvl w:ilvl="1" w:tplc="11100C56" w:tentative="1">
      <w:start w:val="1"/>
      <w:numFmt w:val="bullet"/>
      <w:lvlText w:val=""/>
      <w:lvlJc w:val="left"/>
      <w:pPr>
        <w:tabs>
          <w:tab w:val="num" w:pos="1080"/>
        </w:tabs>
        <w:ind w:left="1080" w:hanging="360"/>
      </w:pPr>
      <w:rPr>
        <w:rFonts w:ascii="Symbol" w:hAnsi="Symbol" w:hint="default"/>
      </w:rPr>
    </w:lvl>
    <w:lvl w:ilvl="2" w:tplc="C072683E" w:tentative="1">
      <w:start w:val="1"/>
      <w:numFmt w:val="bullet"/>
      <w:lvlText w:val=""/>
      <w:lvlJc w:val="left"/>
      <w:pPr>
        <w:tabs>
          <w:tab w:val="num" w:pos="1800"/>
        </w:tabs>
        <w:ind w:left="1800" w:hanging="360"/>
      </w:pPr>
      <w:rPr>
        <w:rFonts w:ascii="Symbol" w:hAnsi="Symbol" w:hint="default"/>
      </w:rPr>
    </w:lvl>
    <w:lvl w:ilvl="3" w:tplc="AB1E1BA2" w:tentative="1">
      <w:start w:val="1"/>
      <w:numFmt w:val="bullet"/>
      <w:lvlText w:val=""/>
      <w:lvlJc w:val="left"/>
      <w:pPr>
        <w:tabs>
          <w:tab w:val="num" w:pos="2520"/>
        </w:tabs>
        <w:ind w:left="2520" w:hanging="360"/>
      </w:pPr>
      <w:rPr>
        <w:rFonts w:ascii="Symbol" w:hAnsi="Symbol" w:hint="default"/>
      </w:rPr>
    </w:lvl>
    <w:lvl w:ilvl="4" w:tplc="8F5884DA" w:tentative="1">
      <w:start w:val="1"/>
      <w:numFmt w:val="bullet"/>
      <w:lvlText w:val=""/>
      <w:lvlJc w:val="left"/>
      <w:pPr>
        <w:tabs>
          <w:tab w:val="num" w:pos="3240"/>
        </w:tabs>
        <w:ind w:left="3240" w:hanging="360"/>
      </w:pPr>
      <w:rPr>
        <w:rFonts w:ascii="Symbol" w:hAnsi="Symbol" w:hint="default"/>
      </w:rPr>
    </w:lvl>
    <w:lvl w:ilvl="5" w:tplc="43F2F8FA" w:tentative="1">
      <w:start w:val="1"/>
      <w:numFmt w:val="bullet"/>
      <w:lvlText w:val=""/>
      <w:lvlJc w:val="left"/>
      <w:pPr>
        <w:tabs>
          <w:tab w:val="num" w:pos="3960"/>
        </w:tabs>
        <w:ind w:left="3960" w:hanging="360"/>
      </w:pPr>
      <w:rPr>
        <w:rFonts w:ascii="Symbol" w:hAnsi="Symbol" w:hint="default"/>
      </w:rPr>
    </w:lvl>
    <w:lvl w:ilvl="6" w:tplc="3390671C" w:tentative="1">
      <w:start w:val="1"/>
      <w:numFmt w:val="bullet"/>
      <w:lvlText w:val=""/>
      <w:lvlJc w:val="left"/>
      <w:pPr>
        <w:tabs>
          <w:tab w:val="num" w:pos="4680"/>
        </w:tabs>
        <w:ind w:left="4680" w:hanging="360"/>
      </w:pPr>
      <w:rPr>
        <w:rFonts w:ascii="Symbol" w:hAnsi="Symbol" w:hint="default"/>
      </w:rPr>
    </w:lvl>
    <w:lvl w:ilvl="7" w:tplc="3942F3DE" w:tentative="1">
      <w:start w:val="1"/>
      <w:numFmt w:val="bullet"/>
      <w:lvlText w:val=""/>
      <w:lvlJc w:val="left"/>
      <w:pPr>
        <w:tabs>
          <w:tab w:val="num" w:pos="5400"/>
        </w:tabs>
        <w:ind w:left="5400" w:hanging="360"/>
      </w:pPr>
      <w:rPr>
        <w:rFonts w:ascii="Symbol" w:hAnsi="Symbol" w:hint="default"/>
      </w:rPr>
    </w:lvl>
    <w:lvl w:ilvl="8" w:tplc="3628E848" w:tentative="1">
      <w:start w:val="1"/>
      <w:numFmt w:val="bullet"/>
      <w:lvlText w:val=""/>
      <w:lvlJc w:val="left"/>
      <w:pPr>
        <w:tabs>
          <w:tab w:val="num" w:pos="6120"/>
        </w:tabs>
        <w:ind w:left="6120" w:hanging="360"/>
      </w:pPr>
      <w:rPr>
        <w:rFonts w:ascii="Symbol" w:hAnsi="Symbol" w:hint="default"/>
      </w:rPr>
    </w:lvl>
  </w:abstractNum>
  <w:abstractNum w:abstractNumId="12" w15:restartNumberingAfterBreak="0">
    <w:nsid w:val="0F73731E"/>
    <w:multiLevelType w:val="hybridMultilevel"/>
    <w:tmpl w:val="F30C9874"/>
    <w:lvl w:ilvl="0" w:tplc="13482F74">
      <w:start w:val="1"/>
      <w:numFmt w:val="decimal"/>
      <w:pStyle w:val="MainParanoChapter"/>
      <w:lvlText w:val="%1."/>
      <w:lvlJc w:val="left"/>
      <w:pPr>
        <w:ind w:left="630" w:hanging="360"/>
      </w:pPr>
      <w:rPr>
        <w:rFonts w:ascii="Times New Roman" w:hAnsi="Times New Roman" w:cs="Times New Roman" w:hint="default"/>
        <w:b w:val="0"/>
        <w:i w:val="0"/>
        <w:color w:val="auto"/>
        <w:sz w:val="24"/>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11C01579"/>
    <w:multiLevelType w:val="hybridMultilevel"/>
    <w:tmpl w:val="D7300A76"/>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2EF7BC1"/>
    <w:multiLevelType w:val="hybridMultilevel"/>
    <w:tmpl w:val="03843EC6"/>
    <w:lvl w:ilvl="0" w:tplc="D3308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3C79EC"/>
    <w:multiLevelType w:val="hybridMultilevel"/>
    <w:tmpl w:val="41EEB556"/>
    <w:lvl w:ilvl="0" w:tplc="87CAC2C8">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61277A5"/>
    <w:multiLevelType w:val="hybridMultilevel"/>
    <w:tmpl w:val="A976AB9A"/>
    <w:lvl w:ilvl="0" w:tplc="9DB00120">
      <w:start w:val="1"/>
      <w:numFmt w:val="upperRoman"/>
      <w:pStyle w:val="Titre1"/>
      <w:lvlText w:val="%1."/>
      <w:lvlJc w:val="left"/>
      <w:pPr>
        <w:tabs>
          <w:tab w:val="num" w:pos="720"/>
        </w:tabs>
        <w:ind w:left="720" w:hanging="720"/>
      </w:pPr>
      <w:rPr>
        <w:rFonts w:cs="Times New Roman" w:hint="default"/>
      </w:rPr>
    </w:lvl>
    <w:lvl w:ilvl="1" w:tplc="944EE276">
      <w:start w:val="1"/>
      <w:numFmt w:val="bullet"/>
      <w:lvlText w:val=""/>
      <w:lvlJc w:val="left"/>
      <w:pPr>
        <w:tabs>
          <w:tab w:val="num" w:pos="1440"/>
        </w:tabs>
        <w:ind w:left="1440" w:hanging="360"/>
      </w:pPr>
      <w:rPr>
        <w:rFonts w:ascii="Symbol" w:hAnsi="Symbol" w:hint="default"/>
        <w:sz w:val="18"/>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6265FF3"/>
    <w:multiLevelType w:val="hybridMultilevel"/>
    <w:tmpl w:val="53DC8CBE"/>
    <w:lvl w:ilvl="0" w:tplc="84AAE4B8">
      <w:start w:val="14"/>
      <w:numFmt w:val="decimal"/>
      <w:lvlText w:val="%1."/>
      <w:lvlJc w:val="left"/>
      <w:pPr>
        <w:ind w:left="360" w:hanging="360"/>
      </w:pPr>
      <w:rPr>
        <w:rFonts w:ascii="Arial" w:hAnsi="Arial" w:cs="Arial"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7110D28"/>
    <w:multiLevelType w:val="hybridMultilevel"/>
    <w:tmpl w:val="B14E6D58"/>
    <w:lvl w:ilvl="0" w:tplc="0F0CA5B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1822C05"/>
    <w:multiLevelType w:val="hybridMultilevel"/>
    <w:tmpl w:val="80C8E0E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B03ED0"/>
    <w:multiLevelType w:val="multilevel"/>
    <w:tmpl w:val="3C1203B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080"/>
      </w:pPr>
      <w:rPr>
        <w:rFonts w:hint="default"/>
      </w:rPr>
    </w:lvl>
    <w:lvl w:ilvl="7">
      <w:start w:val="1"/>
      <w:numFmt w:val="decimal"/>
      <w:isLgl/>
      <w:lvlText w:val="%1.%2.%3.%4.%5.%6.%7.%8"/>
      <w:lvlJc w:val="left"/>
      <w:pPr>
        <w:ind w:left="5400" w:hanging="1080"/>
      </w:pPr>
      <w:rPr>
        <w:rFonts w:hint="default"/>
      </w:rPr>
    </w:lvl>
    <w:lvl w:ilvl="8">
      <w:start w:val="1"/>
      <w:numFmt w:val="decimal"/>
      <w:isLgl/>
      <w:lvlText w:val="%1.%2.%3.%4.%5.%6.%7.%8.%9"/>
      <w:lvlJc w:val="left"/>
      <w:pPr>
        <w:ind w:left="6480" w:hanging="1440"/>
      </w:pPr>
      <w:rPr>
        <w:rFonts w:hint="default"/>
      </w:rPr>
    </w:lvl>
  </w:abstractNum>
  <w:abstractNum w:abstractNumId="21" w15:restartNumberingAfterBreak="0">
    <w:nsid w:val="254B6EDF"/>
    <w:multiLevelType w:val="hybridMultilevel"/>
    <w:tmpl w:val="47CCB764"/>
    <w:lvl w:ilvl="0" w:tplc="0409000F">
      <w:start w:val="1"/>
      <w:numFmt w:val="decimal"/>
      <w:lvlText w:val="%1."/>
      <w:lvlJc w:val="left"/>
      <w:pPr>
        <w:ind w:left="54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F14106"/>
    <w:multiLevelType w:val="hybridMultilevel"/>
    <w:tmpl w:val="655E2300"/>
    <w:lvl w:ilvl="0" w:tplc="FECA43A0">
      <w:start w:val="1"/>
      <w:numFmt w:val="bullet"/>
      <w:pStyle w:val="Normal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A215E95"/>
    <w:multiLevelType w:val="hybridMultilevel"/>
    <w:tmpl w:val="C720CD94"/>
    <w:lvl w:ilvl="0" w:tplc="04090001">
      <w:start w:val="1"/>
      <w:numFmt w:val="bullet"/>
      <w:lvlText w:val=""/>
      <w:lvlJc w:val="left"/>
      <w:pPr>
        <w:ind w:left="0" w:hanging="360"/>
      </w:pPr>
      <w:rPr>
        <w:rFonts w:ascii="Symbol" w:hAnsi="Symbol" w:hint="default"/>
      </w:rPr>
    </w:lvl>
    <w:lvl w:ilvl="1" w:tplc="446A01C0">
      <w:numFmt w:val="bullet"/>
      <w:lvlText w:val="-"/>
      <w:lvlJc w:val="left"/>
      <w:pPr>
        <w:ind w:left="720" w:hanging="360"/>
      </w:pPr>
      <w:rPr>
        <w:rFonts w:ascii="Calibri" w:eastAsia="Times New Roman" w:hAnsi="Calibri" w:cs="Calibri"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4" w15:restartNumberingAfterBreak="0">
    <w:nsid w:val="2A7B5C83"/>
    <w:multiLevelType w:val="multilevel"/>
    <w:tmpl w:val="04BE5F6E"/>
    <w:lvl w:ilvl="0">
      <w:start w:val="1"/>
      <w:numFmt w:val="bullet"/>
      <w:lvlRestart w:val="0"/>
      <w:lvlText w:val=""/>
      <w:lvlJc w:val="left"/>
      <w:pPr>
        <w:ind w:left="357" w:hanging="357"/>
      </w:pPr>
      <w:rPr>
        <w:rFonts w:ascii="Symbol" w:hAnsi="Symbol" w:hint="default"/>
        <w:color w:val="auto"/>
      </w:rPr>
    </w:lvl>
    <w:lvl w:ilvl="1">
      <w:start w:val="1"/>
      <w:numFmt w:val="bullet"/>
      <w:lvlText w:val="◦"/>
      <w:lvlJc w:val="left"/>
      <w:pPr>
        <w:ind w:left="720" w:hanging="363"/>
      </w:pPr>
      <w:rPr>
        <w:rFonts w:ascii="Sylfaen" w:hAnsi="Sylfaen"/>
        <w:color w:val="auto"/>
        <w:sz w:val="22"/>
      </w:rPr>
    </w:lvl>
    <w:lvl w:ilvl="2">
      <w:start w:val="1"/>
      <w:numFmt w:val="lowerRoman"/>
      <w:lvlText w:val="%3)"/>
      <w:lvlJc w:val="left"/>
      <w:pPr>
        <w:ind w:left="1077" w:hanging="357"/>
      </w:pPr>
    </w:lvl>
    <w:lvl w:ilvl="3">
      <w:start w:val="1"/>
      <w:numFmt w:val="decimal"/>
      <w:lvlText w:val="(%4)"/>
      <w:lvlJc w:val="left"/>
      <w:pPr>
        <w:ind w:left="1440" w:hanging="363"/>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5" w15:restartNumberingAfterBreak="0">
    <w:nsid w:val="2A7F77C8"/>
    <w:multiLevelType w:val="hybridMultilevel"/>
    <w:tmpl w:val="29E0F6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BBC00CF"/>
    <w:multiLevelType w:val="multilevel"/>
    <w:tmpl w:val="BBD0D336"/>
    <w:lvl w:ilvl="0">
      <w:start w:val="1"/>
      <w:numFmt w:val="decimal"/>
      <w:lvlText w:val="%1."/>
      <w:lvlJc w:val="left"/>
      <w:pPr>
        <w:tabs>
          <w:tab w:val="num" w:pos="720"/>
        </w:tabs>
        <w:ind w:left="720" w:hanging="720"/>
      </w:pPr>
      <w:rPr>
        <w:rFonts w:hint="default"/>
        <w:b w:val="0"/>
      </w:rPr>
    </w:lvl>
    <w:lvl w:ilvl="1">
      <w:numFmt w:val="bullet"/>
      <w:lvlText w:val="•"/>
      <w:lvlJc w:val="left"/>
      <w:pPr>
        <w:ind w:left="1440" w:hanging="360"/>
      </w:pPr>
      <w:rPr>
        <w:rFonts w:ascii="Calibri" w:eastAsia="SimSun" w:hAnsi="Calibri" w:cs="Calibri"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2DF55E9E"/>
    <w:multiLevelType w:val="hybridMultilevel"/>
    <w:tmpl w:val="4482BD1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2F593675"/>
    <w:multiLevelType w:val="hybridMultilevel"/>
    <w:tmpl w:val="98047730"/>
    <w:lvl w:ilvl="0" w:tplc="04090019">
      <w:start w:val="1"/>
      <w:numFmt w:val="lowerLetter"/>
      <w:lvlText w:val="%1."/>
      <w:lvlJc w:val="left"/>
      <w:pPr>
        <w:ind w:left="7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2F755610"/>
    <w:multiLevelType w:val="hybridMultilevel"/>
    <w:tmpl w:val="E01630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FCF60D0"/>
    <w:multiLevelType w:val="hybridMultilevel"/>
    <w:tmpl w:val="A316E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5971E7F"/>
    <w:multiLevelType w:val="hybridMultilevel"/>
    <w:tmpl w:val="65BE8DF6"/>
    <w:lvl w:ilvl="0" w:tplc="2E6E7BE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6052657"/>
    <w:multiLevelType w:val="hybridMultilevel"/>
    <w:tmpl w:val="D2303824"/>
    <w:lvl w:ilvl="0" w:tplc="040C0001">
      <w:start w:val="1"/>
      <w:numFmt w:val="bullet"/>
      <w:lvlText w:val=""/>
      <w:lvlJc w:val="left"/>
      <w:pPr>
        <w:ind w:left="785" w:hanging="360"/>
      </w:pPr>
      <w:rPr>
        <w:rFonts w:ascii="Symbol" w:hAnsi="Symbol"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33" w15:restartNumberingAfterBreak="0">
    <w:nsid w:val="37377E1D"/>
    <w:multiLevelType w:val="hybridMultilevel"/>
    <w:tmpl w:val="7AC67042"/>
    <w:lvl w:ilvl="0" w:tplc="A258AEE2">
      <w:start w:val="1"/>
      <w:numFmt w:val="decimal"/>
      <w:pStyle w:val="ParagraphOED"/>
      <w:lvlText w:val="%1."/>
      <w:lvlJc w:val="left"/>
      <w:pPr>
        <w:ind w:left="630" w:hanging="360"/>
      </w:pPr>
      <w:rPr>
        <w:b w:val="0"/>
        <w:i w:val="0"/>
        <w:color w:val="auto"/>
        <w:sz w:val="20"/>
        <w:szCs w:val="20"/>
      </w:rPr>
    </w:lvl>
    <w:lvl w:ilvl="1" w:tplc="04090019">
      <w:start w:val="1"/>
      <w:numFmt w:val="lowerLetter"/>
      <w:lvlText w:val="%2."/>
      <w:lvlJc w:val="left"/>
      <w:pPr>
        <w:ind w:left="873" w:hanging="360"/>
      </w:pPr>
    </w:lvl>
    <w:lvl w:ilvl="2" w:tplc="0409001B">
      <w:start w:val="1"/>
      <w:numFmt w:val="lowerRoman"/>
      <w:lvlText w:val="%3."/>
      <w:lvlJc w:val="right"/>
      <w:pPr>
        <w:ind w:left="1593" w:hanging="180"/>
      </w:pPr>
    </w:lvl>
    <w:lvl w:ilvl="3" w:tplc="3A622B80">
      <w:start w:val="1"/>
      <w:numFmt w:val="lowerRoman"/>
      <w:lvlText w:val="(%4)"/>
      <w:lvlJc w:val="left"/>
      <w:pPr>
        <w:ind w:left="2673" w:hanging="720"/>
      </w:pPr>
      <w:rPr>
        <w:rFonts w:hint="default"/>
      </w:rPr>
    </w:lvl>
    <w:lvl w:ilvl="4" w:tplc="0CC8D0E6">
      <w:start w:val="1"/>
      <w:numFmt w:val="lowerRoman"/>
      <w:lvlText w:val="%5)"/>
      <w:lvlJc w:val="left"/>
      <w:pPr>
        <w:ind w:left="3393" w:hanging="720"/>
      </w:pPr>
      <w:rPr>
        <w:rFonts w:hint="default"/>
      </w:r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34" w15:restartNumberingAfterBreak="0">
    <w:nsid w:val="3A5E7378"/>
    <w:multiLevelType w:val="hybridMultilevel"/>
    <w:tmpl w:val="35F8E622"/>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5" w15:restartNumberingAfterBreak="0">
    <w:nsid w:val="3B98707B"/>
    <w:multiLevelType w:val="hybridMultilevel"/>
    <w:tmpl w:val="B32AEF4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6" w15:restartNumberingAfterBreak="0">
    <w:nsid w:val="42DC3162"/>
    <w:multiLevelType w:val="hybridMultilevel"/>
    <w:tmpl w:val="31A850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2E87E9B"/>
    <w:multiLevelType w:val="hybridMultilevel"/>
    <w:tmpl w:val="8FB8267E"/>
    <w:lvl w:ilvl="0" w:tplc="61C0599E">
      <w:start w:val="1"/>
      <w:numFmt w:val="decimal"/>
      <w:pStyle w:val="Normal1"/>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46528F7"/>
    <w:multiLevelType w:val="hybridMultilevel"/>
    <w:tmpl w:val="4F6C728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9" w15:restartNumberingAfterBreak="0">
    <w:nsid w:val="44896F0F"/>
    <w:multiLevelType w:val="hybridMultilevel"/>
    <w:tmpl w:val="D01E8C22"/>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5DB24BE"/>
    <w:multiLevelType w:val="hybridMultilevel"/>
    <w:tmpl w:val="D5B4E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624217A"/>
    <w:multiLevelType w:val="hybridMultilevel"/>
    <w:tmpl w:val="D87E0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8B33827"/>
    <w:multiLevelType w:val="hybridMultilevel"/>
    <w:tmpl w:val="239A371A"/>
    <w:lvl w:ilvl="0" w:tplc="6B981956">
      <w:start w:val="1"/>
      <w:numFmt w:val="decimal"/>
      <w:pStyle w:val="SESPbodynumbered"/>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AE5EC702">
      <w:numFmt w:val="bullet"/>
      <w:lvlText w:val="-"/>
      <w:lvlJc w:val="left"/>
      <w:pPr>
        <w:ind w:left="2880" w:hanging="360"/>
      </w:pPr>
      <w:rPr>
        <w:rFonts w:ascii="Arial" w:eastAsiaTheme="minorEastAsia" w:hAnsi="Arial" w:cstheme="minorBidi"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48CD2C1C"/>
    <w:multiLevelType w:val="hybridMultilevel"/>
    <w:tmpl w:val="CEF89B9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4" w15:restartNumberingAfterBreak="0">
    <w:nsid w:val="49F161B1"/>
    <w:multiLevelType w:val="multilevel"/>
    <w:tmpl w:val="DB886FB4"/>
    <w:lvl w:ilvl="0">
      <w:start w:val="1"/>
      <w:numFmt w:val="decimal"/>
      <w:pStyle w:val="outlineSEQSs"/>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4BC15F69"/>
    <w:multiLevelType w:val="hybridMultilevel"/>
    <w:tmpl w:val="049E8B98"/>
    <w:lvl w:ilvl="0" w:tplc="D900852A">
      <w:start w:val="1"/>
      <w:numFmt w:val="decimal"/>
      <w:lvlText w:val="%1."/>
      <w:lvlJc w:val="left"/>
      <w:pPr>
        <w:ind w:left="720" w:hanging="360"/>
      </w:pPr>
      <w:rPr>
        <w:rFonts w:ascii="Arial" w:hAnsi="Arial" w:cs="Arial"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C1B5D8A"/>
    <w:multiLevelType w:val="hybridMultilevel"/>
    <w:tmpl w:val="656C7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C2D2C81"/>
    <w:multiLevelType w:val="hybridMultilevel"/>
    <w:tmpl w:val="0CA0D7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CB86CE7"/>
    <w:multiLevelType w:val="hybridMultilevel"/>
    <w:tmpl w:val="63D09BE0"/>
    <w:lvl w:ilvl="0" w:tplc="D400AD02">
      <w:start w:val="1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D0B6FD3"/>
    <w:multiLevelType w:val="hybridMultilevel"/>
    <w:tmpl w:val="7DBAE4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EC63A59"/>
    <w:multiLevelType w:val="hybridMultilevel"/>
    <w:tmpl w:val="720CB0B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4FBD411C"/>
    <w:multiLevelType w:val="hybridMultilevel"/>
    <w:tmpl w:val="DCC64DD6"/>
    <w:lvl w:ilvl="0" w:tplc="945E575A">
      <w:start w:val="1"/>
      <w:numFmt w:val="decimal"/>
      <w:pStyle w:val="NumberedParasPIF"/>
      <w:lvlText w:val="%1. "/>
      <w:lvlJc w:val="left"/>
      <w:pPr>
        <w:ind w:left="7560" w:hanging="360"/>
      </w:pPr>
      <w:rPr>
        <w:rFonts w:ascii="Times New Roman" w:hAnsi="Times New Roman" w:cs="Times New Roman"/>
        <w:b w:val="0"/>
        <w:bCs w:val="0"/>
        <w:i w:val="0"/>
        <w:iCs w:val="0"/>
        <w:caps w:val="0"/>
        <w:smallCaps w:val="0"/>
        <w:strike w:val="0"/>
        <w:dstrike w:val="0"/>
        <w:noProof w:val="0"/>
        <w:vanish w:val="0"/>
        <w:spacing w:val="0"/>
        <w:kern w:val="0"/>
        <w:position w:val="0"/>
        <w:u w:val="none"/>
        <w:effect w:val="none"/>
        <w:vertAlign w:val="baseline"/>
        <w:em w:val="none"/>
        <w:specVanish w:val="0"/>
      </w:rPr>
    </w:lvl>
    <w:lvl w:ilvl="1" w:tplc="08090003">
      <w:start w:val="1"/>
      <w:numFmt w:val="lowerLetter"/>
      <w:lvlText w:val="%2."/>
      <w:lvlJc w:val="left"/>
      <w:pPr>
        <w:ind w:left="8685" w:hanging="360"/>
      </w:pPr>
    </w:lvl>
    <w:lvl w:ilvl="2" w:tplc="08090005" w:tentative="1">
      <w:start w:val="1"/>
      <w:numFmt w:val="lowerRoman"/>
      <w:lvlText w:val="%3."/>
      <w:lvlJc w:val="right"/>
      <w:pPr>
        <w:ind w:left="9405" w:hanging="180"/>
      </w:pPr>
    </w:lvl>
    <w:lvl w:ilvl="3" w:tplc="08090001" w:tentative="1">
      <w:start w:val="1"/>
      <w:numFmt w:val="decimal"/>
      <w:lvlText w:val="%4."/>
      <w:lvlJc w:val="left"/>
      <w:pPr>
        <w:ind w:left="10125" w:hanging="360"/>
      </w:pPr>
    </w:lvl>
    <w:lvl w:ilvl="4" w:tplc="08090003" w:tentative="1">
      <w:start w:val="1"/>
      <w:numFmt w:val="lowerLetter"/>
      <w:lvlText w:val="%5."/>
      <w:lvlJc w:val="left"/>
      <w:pPr>
        <w:ind w:left="10845" w:hanging="360"/>
      </w:pPr>
    </w:lvl>
    <w:lvl w:ilvl="5" w:tplc="08090005" w:tentative="1">
      <w:start w:val="1"/>
      <w:numFmt w:val="lowerRoman"/>
      <w:lvlText w:val="%6."/>
      <w:lvlJc w:val="right"/>
      <w:pPr>
        <w:ind w:left="11565" w:hanging="180"/>
      </w:pPr>
    </w:lvl>
    <w:lvl w:ilvl="6" w:tplc="08090001" w:tentative="1">
      <w:start w:val="1"/>
      <w:numFmt w:val="decimal"/>
      <w:lvlText w:val="%7."/>
      <w:lvlJc w:val="left"/>
      <w:pPr>
        <w:ind w:left="12285" w:hanging="360"/>
      </w:pPr>
    </w:lvl>
    <w:lvl w:ilvl="7" w:tplc="08090003" w:tentative="1">
      <w:start w:val="1"/>
      <w:numFmt w:val="lowerLetter"/>
      <w:lvlText w:val="%8."/>
      <w:lvlJc w:val="left"/>
      <w:pPr>
        <w:ind w:left="13005" w:hanging="360"/>
      </w:pPr>
    </w:lvl>
    <w:lvl w:ilvl="8" w:tplc="08090005" w:tentative="1">
      <w:start w:val="1"/>
      <w:numFmt w:val="lowerRoman"/>
      <w:lvlText w:val="%9."/>
      <w:lvlJc w:val="right"/>
      <w:pPr>
        <w:ind w:left="13725" w:hanging="180"/>
      </w:pPr>
    </w:lvl>
  </w:abstractNum>
  <w:abstractNum w:abstractNumId="52" w15:restartNumberingAfterBreak="0">
    <w:nsid w:val="522E6528"/>
    <w:multiLevelType w:val="hybridMultilevel"/>
    <w:tmpl w:val="4DA87E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AF4A31E">
      <w:start w:val="10"/>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31A53A1"/>
    <w:multiLevelType w:val="hybridMultilevel"/>
    <w:tmpl w:val="85F8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57C43FB8"/>
    <w:multiLevelType w:val="hybridMultilevel"/>
    <w:tmpl w:val="5726B244"/>
    <w:lvl w:ilvl="0" w:tplc="67104EEE">
      <w:start w:val="1"/>
      <w:numFmt w:val="decimal"/>
      <w:lvlText w:val="%1."/>
      <w:lvlJc w:val="left"/>
      <w:pPr>
        <w:tabs>
          <w:tab w:val="num" w:pos="720"/>
        </w:tabs>
        <w:ind w:left="720" w:hanging="360"/>
      </w:pPr>
    </w:lvl>
    <w:lvl w:ilvl="1" w:tplc="8F0C60AA">
      <w:numFmt w:val="bullet"/>
      <w:lvlText w:val="•"/>
      <w:lvlJc w:val="left"/>
      <w:pPr>
        <w:tabs>
          <w:tab w:val="num" w:pos="1440"/>
        </w:tabs>
        <w:ind w:left="1440" w:hanging="360"/>
      </w:pPr>
      <w:rPr>
        <w:rFonts w:ascii="Arial" w:hAnsi="Arial" w:hint="default"/>
      </w:rPr>
    </w:lvl>
    <w:lvl w:ilvl="2" w:tplc="EC2A97C6" w:tentative="1">
      <w:start w:val="1"/>
      <w:numFmt w:val="decimal"/>
      <w:lvlText w:val="%3."/>
      <w:lvlJc w:val="left"/>
      <w:pPr>
        <w:tabs>
          <w:tab w:val="num" w:pos="2160"/>
        </w:tabs>
        <w:ind w:left="2160" w:hanging="360"/>
      </w:pPr>
    </w:lvl>
    <w:lvl w:ilvl="3" w:tplc="223CD260" w:tentative="1">
      <w:start w:val="1"/>
      <w:numFmt w:val="decimal"/>
      <w:lvlText w:val="%4."/>
      <w:lvlJc w:val="left"/>
      <w:pPr>
        <w:tabs>
          <w:tab w:val="num" w:pos="2880"/>
        </w:tabs>
        <w:ind w:left="2880" w:hanging="360"/>
      </w:pPr>
    </w:lvl>
    <w:lvl w:ilvl="4" w:tplc="58460B72" w:tentative="1">
      <w:start w:val="1"/>
      <w:numFmt w:val="decimal"/>
      <w:lvlText w:val="%5."/>
      <w:lvlJc w:val="left"/>
      <w:pPr>
        <w:tabs>
          <w:tab w:val="num" w:pos="3600"/>
        </w:tabs>
        <w:ind w:left="3600" w:hanging="360"/>
      </w:pPr>
    </w:lvl>
    <w:lvl w:ilvl="5" w:tplc="5312493E" w:tentative="1">
      <w:start w:val="1"/>
      <w:numFmt w:val="decimal"/>
      <w:lvlText w:val="%6."/>
      <w:lvlJc w:val="left"/>
      <w:pPr>
        <w:tabs>
          <w:tab w:val="num" w:pos="4320"/>
        </w:tabs>
        <w:ind w:left="4320" w:hanging="360"/>
      </w:pPr>
    </w:lvl>
    <w:lvl w:ilvl="6" w:tplc="470027BE" w:tentative="1">
      <w:start w:val="1"/>
      <w:numFmt w:val="decimal"/>
      <w:lvlText w:val="%7."/>
      <w:lvlJc w:val="left"/>
      <w:pPr>
        <w:tabs>
          <w:tab w:val="num" w:pos="5040"/>
        </w:tabs>
        <w:ind w:left="5040" w:hanging="360"/>
      </w:pPr>
    </w:lvl>
    <w:lvl w:ilvl="7" w:tplc="1C786EC4" w:tentative="1">
      <w:start w:val="1"/>
      <w:numFmt w:val="decimal"/>
      <w:lvlText w:val="%8."/>
      <w:lvlJc w:val="left"/>
      <w:pPr>
        <w:tabs>
          <w:tab w:val="num" w:pos="5760"/>
        </w:tabs>
        <w:ind w:left="5760" w:hanging="360"/>
      </w:pPr>
    </w:lvl>
    <w:lvl w:ilvl="8" w:tplc="DDE4FCCC" w:tentative="1">
      <w:start w:val="1"/>
      <w:numFmt w:val="decimal"/>
      <w:lvlText w:val="%9."/>
      <w:lvlJc w:val="left"/>
      <w:pPr>
        <w:tabs>
          <w:tab w:val="num" w:pos="6480"/>
        </w:tabs>
        <w:ind w:left="6480" w:hanging="360"/>
      </w:pPr>
    </w:lvl>
  </w:abstractNum>
  <w:abstractNum w:abstractNumId="55" w15:restartNumberingAfterBreak="0">
    <w:nsid w:val="5AE30CDF"/>
    <w:multiLevelType w:val="multilevel"/>
    <w:tmpl w:val="172898EC"/>
    <w:lvl w:ilvl="0">
      <w:start w:val="1"/>
      <w:numFmt w:val="bullet"/>
      <w:lvlText w:val=""/>
      <w:lvlJc w:val="left"/>
      <w:pPr>
        <w:tabs>
          <w:tab w:val="num" w:pos="720"/>
        </w:tabs>
        <w:ind w:left="720" w:hanging="720"/>
      </w:pPr>
      <w:rPr>
        <w:rFonts w:ascii="Symbol" w:hAnsi="Symbol" w:hint="default"/>
        <w:b w:val="0"/>
      </w:rPr>
    </w:lvl>
    <w:lvl w:ilvl="1">
      <w:numFmt w:val="bullet"/>
      <w:lvlText w:val="•"/>
      <w:lvlJc w:val="left"/>
      <w:pPr>
        <w:ind w:left="1440" w:hanging="360"/>
      </w:pPr>
      <w:rPr>
        <w:rFonts w:ascii="Calibri" w:eastAsia="SimSun" w:hAnsi="Calibri" w:cs="Calibri"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6" w15:restartNumberingAfterBreak="0">
    <w:nsid w:val="5B51701E"/>
    <w:multiLevelType w:val="hybridMultilevel"/>
    <w:tmpl w:val="0B181912"/>
    <w:lvl w:ilvl="0" w:tplc="45460E86">
      <w:start w:val="1"/>
      <w:numFmt w:val="bullet"/>
      <w:lvlText w:val=""/>
      <w:lvlJc w:val="left"/>
      <w:pPr>
        <w:ind w:left="1080" w:hanging="360"/>
      </w:pPr>
      <w:rPr>
        <w:rFonts w:ascii="Wingdings" w:hAnsi="Wingdings"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7" w15:restartNumberingAfterBreak="0">
    <w:nsid w:val="61EC5E50"/>
    <w:multiLevelType w:val="hybridMultilevel"/>
    <w:tmpl w:val="E1306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2AD4506"/>
    <w:multiLevelType w:val="hybridMultilevel"/>
    <w:tmpl w:val="18607BC6"/>
    <w:lvl w:ilvl="0" w:tplc="B62424A2">
      <w:start w:val="1"/>
      <w:numFmt w:val="bullet"/>
      <w:pStyle w:val="listbullets1"/>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59" w15:restartNumberingAfterBreak="0">
    <w:nsid w:val="62FA66E9"/>
    <w:multiLevelType w:val="hybridMultilevel"/>
    <w:tmpl w:val="89527BDE"/>
    <w:lvl w:ilvl="0" w:tplc="E738D2F8">
      <w:start w:val="81"/>
      <w:numFmt w:val="bullet"/>
      <w:lvlText w:val="-"/>
      <w:lvlJc w:val="left"/>
      <w:pPr>
        <w:ind w:left="720" w:hanging="360"/>
      </w:pPr>
      <w:rPr>
        <w:rFonts w:ascii="Corbel" w:eastAsia="Times New Roman" w:hAnsi="Corbe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63271722"/>
    <w:multiLevelType w:val="hybridMultilevel"/>
    <w:tmpl w:val="4CD4F0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52C0525"/>
    <w:multiLevelType w:val="hybridMultilevel"/>
    <w:tmpl w:val="0EDA094C"/>
    <w:lvl w:ilvl="0" w:tplc="D900852A">
      <w:start w:val="1"/>
      <w:numFmt w:val="decimal"/>
      <w:lvlText w:val="%1."/>
      <w:lvlJc w:val="left"/>
      <w:pPr>
        <w:ind w:left="720" w:hanging="360"/>
      </w:pPr>
      <w:rPr>
        <w:rFonts w:ascii="Arial" w:hAnsi="Arial" w:cs="Arial" w:hint="default"/>
        <w:b w:val="0"/>
        <w:i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58C7EA8"/>
    <w:multiLevelType w:val="hybridMultilevel"/>
    <w:tmpl w:val="B7C48B60"/>
    <w:lvl w:ilvl="0" w:tplc="25160F0E">
      <w:start w:val="1"/>
      <w:numFmt w:val="bullet"/>
      <w:pStyle w:val="Bullets"/>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660C219D"/>
    <w:multiLevelType w:val="hybridMultilevel"/>
    <w:tmpl w:val="54943DD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4" w15:restartNumberingAfterBreak="0">
    <w:nsid w:val="6B06258D"/>
    <w:multiLevelType w:val="hybridMultilevel"/>
    <w:tmpl w:val="205EF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F8B7071"/>
    <w:multiLevelType w:val="hybridMultilevel"/>
    <w:tmpl w:val="6A4C643C"/>
    <w:lvl w:ilvl="0" w:tplc="E70C76D4">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0E66C51"/>
    <w:multiLevelType w:val="hybridMultilevel"/>
    <w:tmpl w:val="4482BD14"/>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7" w15:restartNumberingAfterBreak="0">
    <w:nsid w:val="71D3731E"/>
    <w:multiLevelType w:val="hybridMultilevel"/>
    <w:tmpl w:val="0F5EEFBC"/>
    <w:lvl w:ilvl="0" w:tplc="9D7C408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8" w15:restartNumberingAfterBreak="0">
    <w:nsid w:val="72946E63"/>
    <w:multiLevelType w:val="hybridMultilevel"/>
    <w:tmpl w:val="15A48F40"/>
    <w:lvl w:ilvl="0" w:tplc="B1047106">
      <w:start w:val="1"/>
      <w:numFmt w:val="decimal"/>
      <w:lvlText w:val="%1."/>
      <w:lvlJc w:val="left"/>
      <w:pPr>
        <w:ind w:left="-320" w:hanging="360"/>
      </w:pPr>
    </w:lvl>
    <w:lvl w:ilvl="1" w:tplc="040C0019">
      <w:start w:val="1"/>
      <w:numFmt w:val="lowerLetter"/>
      <w:lvlText w:val="%2."/>
      <w:lvlJc w:val="left"/>
      <w:pPr>
        <w:ind w:left="400" w:hanging="360"/>
      </w:pPr>
    </w:lvl>
    <w:lvl w:ilvl="2" w:tplc="040C001B">
      <w:start w:val="1"/>
      <w:numFmt w:val="lowerRoman"/>
      <w:lvlText w:val="%3."/>
      <w:lvlJc w:val="right"/>
      <w:pPr>
        <w:ind w:left="1120" w:hanging="180"/>
      </w:pPr>
    </w:lvl>
    <w:lvl w:ilvl="3" w:tplc="040C000F">
      <w:start w:val="1"/>
      <w:numFmt w:val="decimal"/>
      <w:lvlText w:val="%4."/>
      <w:lvlJc w:val="left"/>
      <w:pPr>
        <w:ind w:left="1840" w:hanging="360"/>
      </w:pPr>
    </w:lvl>
    <w:lvl w:ilvl="4" w:tplc="040C0019">
      <w:start w:val="1"/>
      <w:numFmt w:val="lowerLetter"/>
      <w:lvlText w:val="%5."/>
      <w:lvlJc w:val="left"/>
      <w:pPr>
        <w:ind w:left="2560" w:hanging="360"/>
      </w:pPr>
    </w:lvl>
    <w:lvl w:ilvl="5" w:tplc="040C001B">
      <w:start w:val="1"/>
      <w:numFmt w:val="lowerRoman"/>
      <w:lvlText w:val="%6."/>
      <w:lvlJc w:val="right"/>
      <w:pPr>
        <w:ind w:left="3280" w:hanging="180"/>
      </w:pPr>
    </w:lvl>
    <w:lvl w:ilvl="6" w:tplc="040C000F">
      <w:start w:val="1"/>
      <w:numFmt w:val="decimal"/>
      <w:lvlText w:val="%7."/>
      <w:lvlJc w:val="left"/>
      <w:pPr>
        <w:ind w:left="4000" w:hanging="360"/>
      </w:pPr>
    </w:lvl>
    <w:lvl w:ilvl="7" w:tplc="040C0019">
      <w:start w:val="1"/>
      <w:numFmt w:val="lowerLetter"/>
      <w:lvlText w:val="%8."/>
      <w:lvlJc w:val="left"/>
      <w:pPr>
        <w:ind w:left="4720" w:hanging="360"/>
      </w:pPr>
    </w:lvl>
    <w:lvl w:ilvl="8" w:tplc="040C001B">
      <w:start w:val="1"/>
      <w:numFmt w:val="lowerRoman"/>
      <w:lvlText w:val="%9."/>
      <w:lvlJc w:val="right"/>
      <w:pPr>
        <w:ind w:left="5440" w:hanging="180"/>
      </w:pPr>
    </w:lvl>
  </w:abstractNum>
  <w:abstractNum w:abstractNumId="69" w15:restartNumberingAfterBreak="0">
    <w:nsid w:val="74081541"/>
    <w:multiLevelType w:val="hybridMultilevel"/>
    <w:tmpl w:val="7B82C1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70" w15:restartNumberingAfterBreak="0">
    <w:nsid w:val="76D51193"/>
    <w:multiLevelType w:val="hybridMultilevel"/>
    <w:tmpl w:val="E55480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79017A1A"/>
    <w:multiLevelType w:val="hybridMultilevel"/>
    <w:tmpl w:val="50485F32"/>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A350C07"/>
    <w:multiLevelType w:val="hybridMultilevel"/>
    <w:tmpl w:val="DFAA19E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3" w15:restartNumberingAfterBreak="0">
    <w:nsid w:val="7E305D21"/>
    <w:multiLevelType w:val="hybridMultilevel"/>
    <w:tmpl w:val="14AA0296"/>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74" w15:restartNumberingAfterBreak="0">
    <w:nsid w:val="7F0668CF"/>
    <w:multiLevelType w:val="hybridMultilevel"/>
    <w:tmpl w:val="4C6EAE10"/>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D8305D90">
      <w:start w:val="10"/>
      <w:numFmt w:val="upperLetter"/>
      <w:lvlText w:val="%4."/>
      <w:lvlJc w:val="left"/>
      <w:pPr>
        <w:ind w:left="2520" w:hanging="360"/>
      </w:pPr>
      <w:rPr>
        <w:rFonts w:ascii="Calibri" w:hAnsi="Calibri"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6"/>
  </w:num>
  <w:num w:numId="3">
    <w:abstractNumId w:val="62"/>
  </w:num>
  <w:num w:numId="4">
    <w:abstractNumId w:val="22"/>
  </w:num>
  <w:num w:numId="5">
    <w:abstractNumId w:val="29"/>
  </w:num>
  <w:num w:numId="6">
    <w:abstractNumId w:val="14"/>
  </w:num>
  <w:num w:numId="7">
    <w:abstractNumId w:val="37"/>
  </w:num>
  <w:num w:numId="8">
    <w:abstractNumId w:val="69"/>
  </w:num>
  <w:num w:numId="9">
    <w:abstractNumId w:val="39"/>
  </w:num>
  <w:num w:numId="10">
    <w:abstractNumId w:val="13"/>
  </w:num>
  <w:num w:numId="11">
    <w:abstractNumId w:val="7"/>
  </w:num>
  <w:num w:numId="12">
    <w:abstractNumId w:val="3"/>
  </w:num>
  <w:num w:numId="13">
    <w:abstractNumId w:val="27"/>
  </w:num>
  <w:num w:numId="14">
    <w:abstractNumId w:val="66"/>
  </w:num>
  <w:num w:numId="15">
    <w:abstractNumId w:val="52"/>
  </w:num>
  <w:num w:numId="16">
    <w:abstractNumId w:val="71"/>
  </w:num>
  <w:num w:numId="17">
    <w:abstractNumId w:val="40"/>
  </w:num>
  <w:num w:numId="18">
    <w:abstractNumId w:val="47"/>
  </w:num>
  <w:num w:numId="19">
    <w:abstractNumId w:val="49"/>
  </w:num>
  <w:num w:numId="20">
    <w:abstractNumId w:val="10"/>
  </w:num>
  <w:num w:numId="21">
    <w:abstractNumId w:val="26"/>
  </w:num>
  <w:num w:numId="22">
    <w:abstractNumId w:val="65"/>
  </w:num>
  <w:num w:numId="23">
    <w:abstractNumId w:val="45"/>
  </w:num>
  <w:num w:numId="24">
    <w:abstractNumId w:val="4"/>
  </w:num>
  <w:num w:numId="25">
    <w:abstractNumId w:val="61"/>
  </w:num>
  <w:num w:numId="26">
    <w:abstractNumId w:val="21"/>
  </w:num>
  <w:num w:numId="27">
    <w:abstractNumId w:val="19"/>
  </w:num>
  <w:num w:numId="28">
    <w:abstractNumId w:val="31"/>
  </w:num>
  <w:num w:numId="29">
    <w:abstractNumId w:val="25"/>
  </w:num>
  <w:num w:numId="30">
    <w:abstractNumId w:val="74"/>
  </w:num>
  <w:num w:numId="31">
    <w:abstractNumId w:val="46"/>
  </w:num>
  <w:num w:numId="32">
    <w:abstractNumId w:val="55"/>
  </w:num>
  <w:num w:numId="33">
    <w:abstractNumId w:val="48"/>
  </w:num>
  <w:num w:numId="34">
    <w:abstractNumId w:val="17"/>
  </w:num>
  <w:num w:numId="35">
    <w:abstractNumId w:val="15"/>
  </w:num>
  <w:num w:numId="36">
    <w:abstractNumId w:val="60"/>
  </w:num>
  <w:num w:numId="37">
    <w:abstractNumId w:val="18"/>
  </w:num>
  <w:num w:numId="38">
    <w:abstractNumId w:val="36"/>
  </w:num>
  <w:num w:numId="39">
    <w:abstractNumId w:val="70"/>
  </w:num>
  <w:num w:numId="40">
    <w:abstractNumId w:val="50"/>
  </w:num>
  <w:num w:numId="41">
    <w:abstractNumId w:val="2"/>
  </w:num>
  <w:num w:numId="42">
    <w:abstractNumId w:val="28"/>
  </w:num>
  <w:num w:numId="43">
    <w:abstractNumId w:val="5"/>
  </w:num>
  <w:num w:numId="44">
    <w:abstractNumId w:val="54"/>
  </w:num>
  <w:num w:numId="45">
    <w:abstractNumId w:val="12"/>
  </w:num>
  <w:num w:numId="46">
    <w:abstractNumId w:val="51"/>
  </w:num>
  <w:num w:numId="47">
    <w:abstractNumId w:val="30"/>
  </w:num>
  <w:num w:numId="48">
    <w:abstractNumId w:val="33"/>
  </w:num>
  <w:num w:numId="49">
    <w:abstractNumId w:val="32"/>
  </w:num>
  <w:num w:numId="50">
    <w:abstractNumId w:val="53"/>
  </w:num>
  <w:num w:numId="51">
    <w:abstractNumId w:val="11"/>
  </w:num>
  <w:num w:numId="52">
    <w:abstractNumId w:val="33"/>
    <w:lvlOverride w:ilvl="0">
      <w:startOverride w:val="1"/>
    </w:lvlOverride>
  </w:num>
  <w:num w:numId="53">
    <w:abstractNumId w:val="64"/>
  </w:num>
  <w:num w:numId="54">
    <w:abstractNumId w:val="41"/>
  </w:num>
  <w:num w:numId="55">
    <w:abstractNumId w:val="73"/>
  </w:num>
  <w:num w:numId="56">
    <w:abstractNumId w:val="34"/>
  </w:num>
  <w:num w:numId="57">
    <w:abstractNumId w:val="57"/>
  </w:num>
  <w:num w:numId="58">
    <w:abstractNumId w:val="35"/>
  </w:num>
  <w:num w:numId="59">
    <w:abstractNumId w:val="43"/>
  </w:num>
  <w:num w:numId="60">
    <w:abstractNumId w:val="23"/>
  </w:num>
  <w:num w:numId="61">
    <w:abstractNumId w:val="38"/>
  </w:num>
  <w:num w:numId="62">
    <w:abstractNumId w:val="63"/>
  </w:num>
  <w:num w:numId="63">
    <w:abstractNumId w:val="72"/>
  </w:num>
  <w:num w:numId="64">
    <w:abstractNumId w:val="9"/>
  </w:num>
  <w:num w:numId="65">
    <w:abstractNumId w:val="20"/>
  </w:num>
  <w:num w:numId="66">
    <w:abstractNumId w:val="67"/>
  </w:num>
  <w:num w:numId="6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9"/>
  </w:num>
  <w:num w:numId="69">
    <w:abstractNumId w:val="24"/>
  </w:num>
  <w:num w:numId="70">
    <w:abstractNumId w:val="56"/>
  </w:num>
  <w:num w:numId="71">
    <w:abstractNumId w:val="0"/>
  </w:num>
  <w:num w:numId="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
  </w:num>
  <w:num w:numId="7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
    <w:lvlOverride w:ilvl="0">
      <w:startOverride w:val="1"/>
    </w:lvlOverride>
    <w:lvlOverride w:ilvl="1"/>
    <w:lvlOverride w:ilvl="2"/>
    <w:lvlOverride w:ilvl="3"/>
    <w:lvlOverride w:ilvl="4"/>
    <w:lvlOverride w:ilvl="5"/>
    <w:lvlOverride w:ilvl="6"/>
    <w:lvlOverride w:ilvl="7"/>
    <w:lvlOverride w:ilvl="8"/>
  </w:num>
  <w:num w:numId="76">
    <w:abstractNumId w:val="4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8"/>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rah Lebel">
    <w15:presenceInfo w15:providerId="Windows Live" w15:userId="714127af1fc287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hyphenationZone w:val="425"/>
  <w:drawingGridHorizontalSpacing w:val="110"/>
  <w:displayHorizontalDrawingGridEvery w:val="2"/>
  <w:noPunctuationKerning/>
  <w:characterSpacingControl w:val="doNotCompress"/>
  <w:hdrShapeDefaults>
    <o:shapedefaults v:ext="edit" spidmax="2049" fillcolor="white">
      <v:fill color="white"/>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MxNbAwMjS0MDa0MDBR0lEKTi0uzszPAykwrAUAPKMwOCwAAAA="/>
  </w:docVars>
  <w:rsids>
    <w:rsidRoot w:val="00991FF7"/>
    <w:rsid w:val="0000081D"/>
    <w:rsid w:val="00000CA8"/>
    <w:rsid w:val="00000FCD"/>
    <w:rsid w:val="00001D86"/>
    <w:rsid w:val="0000278F"/>
    <w:rsid w:val="00002A5F"/>
    <w:rsid w:val="00002CC1"/>
    <w:rsid w:val="00002CE3"/>
    <w:rsid w:val="00002FE5"/>
    <w:rsid w:val="00003C72"/>
    <w:rsid w:val="00004157"/>
    <w:rsid w:val="00004A84"/>
    <w:rsid w:val="00005125"/>
    <w:rsid w:val="00005456"/>
    <w:rsid w:val="000055CE"/>
    <w:rsid w:val="000057AA"/>
    <w:rsid w:val="00005845"/>
    <w:rsid w:val="0000586A"/>
    <w:rsid w:val="00005D48"/>
    <w:rsid w:val="0000683B"/>
    <w:rsid w:val="000075A3"/>
    <w:rsid w:val="000077F2"/>
    <w:rsid w:val="00007B01"/>
    <w:rsid w:val="000101B0"/>
    <w:rsid w:val="000107D3"/>
    <w:rsid w:val="0001093E"/>
    <w:rsid w:val="00010E68"/>
    <w:rsid w:val="00011183"/>
    <w:rsid w:val="0001134C"/>
    <w:rsid w:val="0001168F"/>
    <w:rsid w:val="00011819"/>
    <w:rsid w:val="000122EA"/>
    <w:rsid w:val="000125B2"/>
    <w:rsid w:val="00012692"/>
    <w:rsid w:val="000131D9"/>
    <w:rsid w:val="00013523"/>
    <w:rsid w:val="00013ADE"/>
    <w:rsid w:val="00015653"/>
    <w:rsid w:val="00015860"/>
    <w:rsid w:val="00015B6A"/>
    <w:rsid w:val="00015E4B"/>
    <w:rsid w:val="00016649"/>
    <w:rsid w:val="000177F6"/>
    <w:rsid w:val="00017BFE"/>
    <w:rsid w:val="00017D90"/>
    <w:rsid w:val="000205AF"/>
    <w:rsid w:val="00020AA0"/>
    <w:rsid w:val="00021004"/>
    <w:rsid w:val="00021238"/>
    <w:rsid w:val="000217F5"/>
    <w:rsid w:val="000219AC"/>
    <w:rsid w:val="00021B90"/>
    <w:rsid w:val="00022401"/>
    <w:rsid w:val="000224C8"/>
    <w:rsid w:val="0002252F"/>
    <w:rsid w:val="000225BF"/>
    <w:rsid w:val="00022DE9"/>
    <w:rsid w:val="000230A3"/>
    <w:rsid w:val="00023435"/>
    <w:rsid w:val="000234A8"/>
    <w:rsid w:val="000234FE"/>
    <w:rsid w:val="00023900"/>
    <w:rsid w:val="00023A76"/>
    <w:rsid w:val="00023B58"/>
    <w:rsid w:val="00023C29"/>
    <w:rsid w:val="00024142"/>
    <w:rsid w:val="000242A6"/>
    <w:rsid w:val="00024495"/>
    <w:rsid w:val="0002489D"/>
    <w:rsid w:val="00024B2A"/>
    <w:rsid w:val="00025012"/>
    <w:rsid w:val="0002530B"/>
    <w:rsid w:val="00025C9A"/>
    <w:rsid w:val="00025E57"/>
    <w:rsid w:val="000260FF"/>
    <w:rsid w:val="00026455"/>
    <w:rsid w:val="0002661F"/>
    <w:rsid w:val="000266D2"/>
    <w:rsid w:val="00027316"/>
    <w:rsid w:val="00027395"/>
    <w:rsid w:val="00027A6B"/>
    <w:rsid w:val="00030007"/>
    <w:rsid w:val="0003122B"/>
    <w:rsid w:val="00031E16"/>
    <w:rsid w:val="00031E84"/>
    <w:rsid w:val="0003214C"/>
    <w:rsid w:val="00032241"/>
    <w:rsid w:val="00032E37"/>
    <w:rsid w:val="00033828"/>
    <w:rsid w:val="00033869"/>
    <w:rsid w:val="00033EB5"/>
    <w:rsid w:val="00033F65"/>
    <w:rsid w:val="000341EA"/>
    <w:rsid w:val="00034508"/>
    <w:rsid w:val="000348DE"/>
    <w:rsid w:val="00034B09"/>
    <w:rsid w:val="00034B29"/>
    <w:rsid w:val="00035361"/>
    <w:rsid w:val="0003544E"/>
    <w:rsid w:val="00035830"/>
    <w:rsid w:val="00035D96"/>
    <w:rsid w:val="0003646E"/>
    <w:rsid w:val="00036804"/>
    <w:rsid w:val="00036A5C"/>
    <w:rsid w:val="00036D36"/>
    <w:rsid w:val="00036F60"/>
    <w:rsid w:val="0003763F"/>
    <w:rsid w:val="000377AB"/>
    <w:rsid w:val="0003782E"/>
    <w:rsid w:val="00037A3E"/>
    <w:rsid w:val="00037E21"/>
    <w:rsid w:val="00040511"/>
    <w:rsid w:val="00040B34"/>
    <w:rsid w:val="00041B17"/>
    <w:rsid w:val="00041E0C"/>
    <w:rsid w:val="00041FE0"/>
    <w:rsid w:val="00042BB9"/>
    <w:rsid w:val="00043249"/>
    <w:rsid w:val="0004344E"/>
    <w:rsid w:val="000438C6"/>
    <w:rsid w:val="00043A4B"/>
    <w:rsid w:val="00043EBA"/>
    <w:rsid w:val="000440F9"/>
    <w:rsid w:val="00044177"/>
    <w:rsid w:val="00044298"/>
    <w:rsid w:val="0004450C"/>
    <w:rsid w:val="000445AD"/>
    <w:rsid w:val="00044654"/>
    <w:rsid w:val="00044655"/>
    <w:rsid w:val="00044883"/>
    <w:rsid w:val="00044B8D"/>
    <w:rsid w:val="00044BD9"/>
    <w:rsid w:val="00044FDD"/>
    <w:rsid w:val="000459A0"/>
    <w:rsid w:val="000464F1"/>
    <w:rsid w:val="00046804"/>
    <w:rsid w:val="00046CF8"/>
    <w:rsid w:val="0004759E"/>
    <w:rsid w:val="000477AF"/>
    <w:rsid w:val="000477B7"/>
    <w:rsid w:val="00047973"/>
    <w:rsid w:val="00050021"/>
    <w:rsid w:val="00050658"/>
    <w:rsid w:val="000509F3"/>
    <w:rsid w:val="00050D84"/>
    <w:rsid w:val="0005135E"/>
    <w:rsid w:val="0005159D"/>
    <w:rsid w:val="00051A25"/>
    <w:rsid w:val="00051A7A"/>
    <w:rsid w:val="0005232E"/>
    <w:rsid w:val="00052EF5"/>
    <w:rsid w:val="000533D2"/>
    <w:rsid w:val="00053494"/>
    <w:rsid w:val="0005351F"/>
    <w:rsid w:val="0005378F"/>
    <w:rsid w:val="000540EE"/>
    <w:rsid w:val="0005435C"/>
    <w:rsid w:val="00054895"/>
    <w:rsid w:val="000548D9"/>
    <w:rsid w:val="000549A0"/>
    <w:rsid w:val="00054B0C"/>
    <w:rsid w:val="00054EB2"/>
    <w:rsid w:val="0005530F"/>
    <w:rsid w:val="00055372"/>
    <w:rsid w:val="000556B9"/>
    <w:rsid w:val="000556CB"/>
    <w:rsid w:val="0005571B"/>
    <w:rsid w:val="00055972"/>
    <w:rsid w:val="00055AC7"/>
    <w:rsid w:val="00055F28"/>
    <w:rsid w:val="00056113"/>
    <w:rsid w:val="000561E4"/>
    <w:rsid w:val="00056567"/>
    <w:rsid w:val="000565AB"/>
    <w:rsid w:val="000568B7"/>
    <w:rsid w:val="00056B16"/>
    <w:rsid w:val="00057360"/>
    <w:rsid w:val="000575CF"/>
    <w:rsid w:val="00057D7D"/>
    <w:rsid w:val="00057E03"/>
    <w:rsid w:val="00057F1E"/>
    <w:rsid w:val="0006004C"/>
    <w:rsid w:val="0006010A"/>
    <w:rsid w:val="0006041E"/>
    <w:rsid w:val="000608AA"/>
    <w:rsid w:val="00060D9A"/>
    <w:rsid w:val="00060E4F"/>
    <w:rsid w:val="00061536"/>
    <w:rsid w:val="00061B53"/>
    <w:rsid w:val="00062063"/>
    <w:rsid w:val="00062792"/>
    <w:rsid w:val="00062D2E"/>
    <w:rsid w:val="00062E78"/>
    <w:rsid w:val="00063762"/>
    <w:rsid w:val="00063935"/>
    <w:rsid w:val="00063B77"/>
    <w:rsid w:val="00063D70"/>
    <w:rsid w:val="00063DD1"/>
    <w:rsid w:val="00063E7C"/>
    <w:rsid w:val="0006474F"/>
    <w:rsid w:val="000647A0"/>
    <w:rsid w:val="00064A5C"/>
    <w:rsid w:val="00064A64"/>
    <w:rsid w:val="00064BBE"/>
    <w:rsid w:val="0006562F"/>
    <w:rsid w:val="00066426"/>
    <w:rsid w:val="00066A40"/>
    <w:rsid w:val="00066A76"/>
    <w:rsid w:val="00066C4E"/>
    <w:rsid w:val="00066E5B"/>
    <w:rsid w:val="0006741E"/>
    <w:rsid w:val="0006793B"/>
    <w:rsid w:val="00067AB1"/>
    <w:rsid w:val="00067C2A"/>
    <w:rsid w:val="00067FC8"/>
    <w:rsid w:val="00070127"/>
    <w:rsid w:val="0007025D"/>
    <w:rsid w:val="0007034C"/>
    <w:rsid w:val="00070B1A"/>
    <w:rsid w:val="00070B4F"/>
    <w:rsid w:val="0007137A"/>
    <w:rsid w:val="000715AE"/>
    <w:rsid w:val="00071E65"/>
    <w:rsid w:val="00071F11"/>
    <w:rsid w:val="00072768"/>
    <w:rsid w:val="000729D2"/>
    <w:rsid w:val="00072CB3"/>
    <w:rsid w:val="00072DC0"/>
    <w:rsid w:val="000734D7"/>
    <w:rsid w:val="000734EF"/>
    <w:rsid w:val="0007404F"/>
    <w:rsid w:val="00074763"/>
    <w:rsid w:val="0007479A"/>
    <w:rsid w:val="000748FE"/>
    <w:rsid w:val="00074B7D"/>
    <w:rsid w:val="00074D27"/>
    <w:rsid w:val="00075056"/>
    <w:rsid w:val="00075100"/>
    <w:rsid w:val="00075324"/>
    <w:rsid w:val="00075CD0"/>
    <w:rsid w:val="00075FD8"/>
    <w:rsid w:val="000761BB"/>
    <w:rsid w:val="000761BF"/>
    <w:rsid w:val="00077232"/>
    <w:rsid w:val="00077367"/>
    <w:rsid w:val="00077F20"/>
    <w:rsid w:val="00080BD1"/>
    <w:rsid w:val="00080EAA"/>
    <w:rsid w:val="000816B1"/>
    <w:rsid w:val="00081B5A"/>
    <w:rsid w:val="000824D6"/>
    <w:rsid w:val="00082B33"/>
    <w:rsid w:val="00082B40"/>
    <w:rsid w:val="00082E59"/>
    <w:rsid w:val="0008309A"/>
    <w:rsid w:val="00083CA8"/>
    <w:rsid w:val="000843F3"/>
    <w:rsid w:val="0008485F"/>
    <w:rsid w:val="00084C30"/>
    <w:rsid w:val="00084E2B"/>
    <w:rsid w:val="00085230"/>
    <w:rsid w:val="000867F9"/>
    <w:rsid w:val="00086D18"/>
    <w:rsid w:val="00086FA9"/>
    <w:rsid w:val="000902FD"/>
    <w:rsid w:val="00090966"/>
    <w:rsid w:val="00090A53"/>
    <w:rsid w:val="00090AF2"/>
    <w:rsid w:val="00090BF9"/>
    <w:rsid w:val="00090CD1"/>
    <w:rsid w:val="00090D3E"/>
    <w:rsid w:val="00090EB0"/>
    <w:rsid w:val="0009100C"/>
    <w:rsid w:val="0009107D"/>
    <w:rsid w:val="000915CD"/>
    <w:rsid w:val="000917A8"/>
    <w:rsid w:val="000923DC"/>
    <w:rsid w:val="000938C2"/>
    <w:rsid w:val="0009424B"/>
    <w:rsid w:val="000944FE"/>
    <w:rsid w:val="00094E53"/>
    <w:rsid w:val="00094EE6"/>
    <w:rsid w:val="00095885"/>
    <w:rsid w:val="00095F6D"/>
    <w:rsid w:val="00096087"/>
    <w:rsid w:val="00096807"/>
    <w:rsid w:val="0009688F"/>
    <w:rsid w:val="00096B56"/>
    <w:rsid w:val="00096C29"/>
    <w:rsid w:val="00097017"/>
    <w:rsid w:val="000971A7"/>
    <w:rsid w:val="000973F9"/>
    <w:rsid w:val="00097632"/>
    <w:rsid w:val="000977CC"/>
    <w:rsid w:val="00097A1E"/>
    <w:rsid w:val="00097EEA"/>
    <w:rsid w:val="00097F0F"/>
    <w:rsid w:val="00097F96"/>
    <w:rsid w:val="000A013F"/>
    <w:rsid w:val="000A024F"/>
    <w:rsid w:val="000A0289"/>
    <w:rsid w:val="000A0830"/>
    <w:rsid w:val="000A08E0"/>
    <w:rsid w:val="000A0B46"/>
    <w:rsid w:val="000A0E18"/>
    <w:rsid w:val="000A0F4C"/>
    <w:rsid w:val="000A1533"/>
    <w:rsid w:val="000A20A2"/>
    <w:rsid w:val="000A21B8"/>
    <w:rsid w:val="000A228E"/>
    <w:rsid w:val="000A2C62"/>
    <w:rsid w:val="000A2F7D"/>
    <w:rsid w:val="000A308B"/>
    <w:rsid w:val="000A3778"/>
    <w:rsid w:val="000A3783"/>
    <w:rsid w:val="000A40F6"/>
    <w:rsid w:val="000A4287"/>
    <w:rsid w:val="000A44E4"/>
    <w:rsid w:val="000A4779"/>
    <w:rsid w:val="000A47FB"/>
    <w:rsid w:val="000A498F"/>
    <w:rsid w:val="000A5086"/>
    <w:rsid w:val="000A5408"/>
    <w:rsid w:val="000A5C6D"/>
    <w:rsid w:val="000A5FFD"/>
    <w:rsid w:val="000A60FE"/>
    <w:rsid w:val="000A6186"/>
    <w:rsid w:val="000A6583"/>
    <w:rsid w:val="000A6A7D"/>
    <w:rsid w:val="000A6CEB"/>
    <w:rsid w:val="000A6D37"/>
    <w:rsid w:val="000A6EF8"/>
    <w:rsid w:val="000A74B2"/>
    <w:rsid w:val="000A798A"/>
    <w:rsid w:val="000A7ABD"/>
    <w:rsid w:val="000A7B8A"/>
    <w:rsid w:val="000B0278"/>
    <w:rsid w:val="000B0FE0"/>
    <w:rsid w:val="000B14C7"/>
    <w:rsid w:val="000B16F0"/>
    <w:rsid w:val="000B1BA8"/>
    <w:rsid w:val="000B2393"/>
    <w:rsid w:val="000B36AF"/>
    <w:rsid w:val="000B3A46"/>
    <w:rsid w:val="000B3D40"/>
    <w:rsid w:val="000B3D4F"/>
    <w:rsid w:val="000B48A6"/>
    <w:rsid w:val="000B4C07"/>
    <w:rsid w:val="000B5072"/>
    <w:rsid w:val="000B508E"/>
    <w:rsid w:val="000B5523"/>
    <w:rsid w:val="000B5696"/>
    <w:rsid w:val="000B582A"/>
    <w:rsid w:val="000B5E17"/>
    <w:rsid w:val="000B6132"/>
    <w:rsid w:val="000B6775"/>
    <w:rsid w:val="000B69ED"/>
    <w:rsid w:val="000B6EBD"/>
    <w:rsid w:val="000C0415"/>
    <w:rsid w:val="000C06D6"/>
    <w:rsid w:val="000C06D7"/>
    <w:rsid w:val="000C1847"/>
    <w:rsid w:val="000C1CE7"/>
    <w:rsid w:val="000C1D2C"/>
    <w:rsid w:val="000C2545"/>
    <w:rsid w:val="000C2571"/>
    <w:rsid w:val="000C2632"/>
    <w:rsid w:val="000C27AC"/>
    <w:rsid w:val="000C295E"/>
    <w:rsid w:val="000C2B2D"/>
    <w:rsid w:val="000C352C"/>
    <w:rsid w:val="000C3D1A"/>
    <w:rsid w:val="000C3FF2"/>
    <w:rsid w:val="000C4354"/>
    <w:rsid w:val="000C4672"/>
    <w:rsid w:val="000C498C"/>
    <w:rsid w:val="000C4A02"/>
    <w:rsid w:val="000C4DDD"/>
    <w:rsid w:val="000C506D"/>
    <w:rsid w:val="000C533E"/>
    <w:rsid w:val="000C53C5"/>
    <w:rsid w:val="000C56C6"/>
    <w:rsid w:val="000C5C1D"/>
    <w:rsid w:val="000C5F12"/>
    <w:rsid w:val="000C66BF"/>
    <w:rsid w:val="000C6F08"/>
    <w:rsid w:val="000C71ED"/>
    <w:rsid w:val="000C7202"/>
    <w:rsid w:val="000C7760"/>
    <w:rsid w:val="000C78C6"/>
    <w:rsid w:val="000C78F5"/>
    <w:rsid w:val="000D00F9"/>
    <w:rsid w:val="000D048C"/>
    <w:rsid w:val="000D05BB"/>
    <w:rsid w:val="000D0818"/>
    <w:rsid w:val="000D0ABB"/>
    <w:rsid w:val="000D0FD6"/>
    <w:rsid w:val="000D11EC"/>
    <w:rsid w:val="000D1449"/>
    <w:rsid w:val="000D1E42"/>
    <w:rsid w:val="000D1EE9"/>
    <w:rsid w:val="000D285B"/>
    <w:rsid w:val="000D2A72"/>
    <w:rsid w:val="000D2A90"/>
    <w:rsid w:val="000D2DF2"/>
    <w:rsid w:val="000D2E10"/>
    <w:rsid w:val="000D3449"/>
    <w:rsid w:val="000D398D"/>
    <w:rsid w:val="000D3D7D"/>
    <w:rsid w:val="000D41A1"/>
    <w:rsid w:val="000D43BE"/>
    <w:rsid w:val="000D451E"/>
    <w:rsid w:val="000D45C5"/>
    <w:rsid w:val="000D45FB"/>
    <w:rsid w:val="000D4E89"/>
    <w:rsid w:val="000D5052"/>
    <w:rsid w:val="000D5385"/>
    <w:rsid w:val="000D6334"/>
    <w:rsid w:val="000D643F"/>
    <w:rsid w:val="000D64E8"/>
    <w:rsid w:val="000D65C1"/>
    <w:rsid w:val="000D7AC5"/>
    <w:rsid w:val="000E072D"/>
    <w:rsid w:val="000E089B"/>
    <w:rsid w:val="000E0CA4"/>
    <w:rsid w:val="000E0DAD"/>
    <w:rsid w:val="000E1C96"/>
    <w:rsid w:val="000E2363"/>
    <w:rsid w:val="000E2CEB"/>
    <w:rsid w:val="000E3117"/>
    <w:rsid w:val="000E3178"/>
    <w:rsid w:val="000E33DF"/>
    <w:rsid w:val="000E3C19"/>
    <w:rsid w:val="000E3CBE"/>
    <w:rsid w:val="000E506E"/>
    <w:rsid w:val="000E53A0"/>
    <w:rsid w:val="000E586B"/>
    <w:rsid w:val="000E5B28"/>
    <w:rsid w:val="000E6178"/>
    <w:rsid w:val="000E6481"/>
    <w:rsid w:val="000E6550"/>
    <w:rsid w:val="000E6707"/>
    <w:rsid w:val="000E6930"/>
    <w:rsid w:val="000E7595"/>
    <w:rsid w:val="000E7618"/>
    <w:rsid w:val="000E7AD0"/>
    <w:rsid w:val="000F0E78"/>
    <w:rsid w:val="000F1149"/>
    <w:rsid w:val="000F17C2"/>
    <w:rsid w:val="000F1A04"/>
    <w:rsid w:val="000F225E"/>
    <w:rsid w:val="000F2B73"/>
    <w:rsid w:val="000F2C3A"/>
    <w:rsid w:val="000F3057"/>
    <w:rsid w:val="000F32EE"/>
    <w:rsid w:val="000F3503"/>
    <w:rsid w:val="000F384F"/>
    <w:rsid w:val="000F3BFC"/>
    <w:rsid w:val="000F4082"/>
    <w:rsid w:val="000F41B2"/>
    <w:rsid w:val="000F4454"/>
    <w:rsid w:val="000F4475"/>
    <w:rsid w:val="000F468D"/>
    <w:rsid w:val="000F477E"/>
    <w:rsid w:val="000F51C9"/>
    <w:rsid w:val="000F55A3"/>
    <w:rsid w:val="000F5920"/>
    <w:rsid w:val="000F5CDD"/>
    <w:rsid w:val="000F5DE0"/>
    <w:rsid w:val="000F615E"/>
    <w:rsid w:val="000F6317"/>
    <w:rsid w:val="000F635E"/>
    <w:rsid w:val="000F64F0"/>
    <w:rsid w:val="000F6504"/>
    <w:rsid w:val="000F6944"/>
    <w:rsid w:val="000F6AFE"/>
    <w:rsid w:val="000F746B"/>
    <w:rsid w:val="000F797F"/>
    <w:rsid w:val="001003F0"/>
    <w:rsid w:val="0010065E"/>
    <w:rsid w:val="0010116A"/>
    <w:rsid w:val="001011C4"/>
    <w:rsid w:val="00101F60"/>
    <w:rsid w:val="00102C1E"/>
    <w:rsid w:val="00103DC8"/>
    <w:rsid w:val="00103E01"/>
    <w:rsid w:val="001047C6"/>
    <w:rsid w:val="001053A8"/>
    <w:rsid w:val="0010587A"/>
    <w:rsid w:val="00105D4D"/>
    <w:rsid w:val="00105EF0"/>
    <w:rsid w:val="001060F5"/>
    <w:rsid w:val="001068EA"/>
    <w:rsid w:val="00106D42"/>
    <w:rsid w:val="001071AE"/>
    <w:rsid w:val="00107472"/>
    <w:rsid w:val="00107491"/>
    <w:rsid w:val="001077D3"/>
    <w:rsid w:val="00107D07"/>
    <w:rsid w:val="00107F7C"/>
    <w:rsid w:val="00110171"/>
    <w:rsid w:val="001106D9"/>
    <w:rsid w:val="001107FC"/>
    <w:rsid w:val="00110869"/>
    <w:rsid w:val="00110B0F"/>
    <w:rsid w:val="00111347"/>
    <w:rsid w:val="0011158A"/>
    <w:rsid w:val="00111710"/>
    <w:rsid w:val="00111777"/>
    <w:rsid w:val="00111F0E"/>
    <w:rsid w:val="001123E5"/>
    <w:rsid w:val="0011260C"/>
    <w:rsid w:val="0011283A"/>
    <w:rsid w:val="00112F30"/>
    <w:rsid w:val="00113106"/>
    <w:rsid w:val="001134AE"/>
    <w:rsid w:val="00113B22"/>
    <w:rsid w:val="0011459A"/>
    <w:rsid w:val="001149D1"/>
    <w:rsid w:val="00115B6D"/>
    <w:rsid w:val="00115EED"/>
    <w:rsid w:val="001166C1"/>
    <w:rsid w:val="0011725F"/>
    <w:rsid w:val="00117E23"/>
    <w:rsid w:val="00117FD1"/>
    <w:rsid w:val="00120135"/>
    <w:rsid w:val="0012047E"/>
    <w:rsid w:val="0012128B"/>
    <w:rsid w:val="00121376"/>
    <w:rsid w:val="00121C4F"/>
    <w:rsid w:val="00121DBA"/>
    <w:rsid w:val="00122301"/>
    <w:rsid w:val="00123534"/>
    <w:rsid w:val="00123959"/>
    <w:rsid w:val="0012395B"/>
    <w:rsid w:val="00123B59"/>
    <w:rsid w:val="00124080"/>
    <w:rsid w:val="00124147"/>
    <w:rsid w:val="00124EF1"/>
    <w:rsid w:val="001252EE"/>
    <w:rsid w:val="0012547F"/>
    <w:rsid w:val="0012585C"/>
    <w:rsid w:val="001258EC"/>
    <w:rsid w:val="00125E42"/>
    <w:rsid w:val="00126D7F"/>
    <w:rsid w:val="001274AB"/>
    <w:rsid w:val="00127659"/>
    <w:rsid w:val="00127866"/>
    <w:rsid w:val="00127D0D"/>
    <w:rsid w:val="001304B5"/>
    <w:rsid w:val="00130603"/>
    <w:rsid w:val="0013084B"/>
    <w:rsid w:val="001309D3"/>
    <w:rsid w:val="001310FB"/>
    <w:rsid w:val="0013167C"/>
    <w:rsid w:val="00131A2B"/>
    <w:rsid w:val="001327E0"/>
    <w:rsid w:val="00133018"/>
    <w:rsid w:val="001330DE"/>
    <w:rsid w:val="001331CC"/>
    <w:rsid w:val="00133902"/>
    <w:rsid w:val="00134214"/>
    <w:rsid w:val="001348D8"/>
    <w:rsid w:val="00134F15"/>
    <w:rsid w:val="00135392"/>
    <w:rsid w:val="001354E3"/>
    <w:rsid w:val="00135706"/>
    <w:rsid w:val="00136B4B"/>
    <w:rsid w:val="00137C16"/>
    <w:rsid w:val="00137F67"/>
    <w:rsid w:val="00140A39"/>
    <w:rsid w:val="00140EE1"/>
    <w:rsid w:val="00140FA1"/>
    <w:rsid w:val="001411C6"/>
    <w:rsid w:val="00141B89"/>
    <w:rsid w:val="001420F8"/>
    <w:rsid w:val="00142791"/>
    <w:rsid w:val="00142B69"/>
    <w:rsid w:val="00142D7F"/>
    <w:rsid w:val="00142F51"/>
    <w:rsid w:val="00143544"/>
    <w:rsid w:val="00143B00"/>
    <w:rsid w:val="00143B91"/>
    <w:rsid w:val="00143D63"/>
    <w:rsid w:val="00143F97"/>
    <w:rsid w:val="001441A6"/>
    <w:rsid w:val="001443C3"/>
    <w:rsid w:val="001447EB"/>
    <w:rsid w:val="00145010"/>
    <w:rsid w:val="001455F1"/>
    <w:rsid w:val="00145816"/>
    <w:rsid w:val="00146321"/>
    <w:rsid w:val="00146350"/>
    <w:rsid w:val="0014662F"/>
    <w:rsid w:val="0014673C"/>
    <w:rsid w:val="0014674B"/>
    <w:rsid w:val="00146C58"/>
    <w:rsid w:val="00146D5A"/>
    <w:rsid w:val="00146DAE"/>
    <w:rsid w:val="00147529"/>
    <w:rsid w:val="00147A34"/>
    <w:rsid w:val="0015031A"/>
    <w:rsid w:val="0015056C"/>
    <w:rsid w:val="00150C86"/>
    <w:rsid w:val="0015241F"/>
    <w:rsid w:val="00152AC3"/>
    <w:rsid w:val="00152D55"/>
    <w:rsid w:val="0015306C"/>
    <w:rsid w:val="00153156"/>
    <w:rsid w:val="001535D0"/>
    <w:rsid w:val="00153794"/>
    <w:rsid w:val="00153DFA"/>
    <w:rsid w:val="00153E02"/>
    <w:rsid w:val="00154075"/>
    <w:rsid w:val="001540FE"/>
    <w:rsid w:val="00155458"/>
    <w:rsid w:val="00155610"/>
    <w:rsid w:val="0015568A"/>
    <w:rsid w:val="00155772"/>
    <w:rsid w:val="00155911"/>
    <w:rsid w:val="00155D98"/>
    <w:rsid w:val="0015600E"/>
    <w:rsid w:val="001566BA"/>
    <w:rsid w:val="001567E7"/>
    <w:rsid w:val="0015686F"/>
    <w:rsid w:val="00156889"/>
    <w:rsid w:val="00156C3E"/>
    <w:rsid w:val="001571F9"/>
    <w:rsid w:val="0015737E"/>
    <w:rsid w:val="00157CFD"/>
    <w:rsid w:val="00157E85"/>
    <w:rsid w:val="0016045E"/>
    <w:rsid w:val="00160F58"/>
    <w:rsid w:val="0016121C"/>
    <w:rsid w:val="001614E1"/>
    <w:rsid w:val="001617DC"/>
    <w:rsid w:val="00161809"/>
    <w:rsid w:val="0016180B"/>
    <w:rsid w:val="00161C3D"/>
    <w:rsid w:val="00161F04"/>
    <w:rsid w:val="00162560"/>
    <w:rsid w:val="001625D0"/>
    <w:rsid w:val="00162B97"/>
    <w:rsid w:val="00162C8F"/>
    <w:rsid w:val="00162DAA"/>
    <w:rsid w:val="00163050"/>
    <w:rsid w:val="00163153"/>
    <w:rsid w:val="001638EC"/>
    <w:rsid w:val="001639D9"/>
    <w:rsid w:val="001643BA"/>
    <w:rsid w:val="00164D85"/>
    <w:rsid w:val="00166EBA"/>
    <w:rsid w:val="00167101"/>
    <w:rsid w:val="00167D48"/>
    <w:rsid w:val="0017005A"/>
    <w:rsid w:val="00170DFF"/>
    <w:rsid w:val="001726EB"/>
    <w:rsid w:val="00172B6E"/>
    <w:rsid w:val="00172BBE"/>
    <w:rsid w:val="00172E20"/>
    <w:rsid w:val="0017375D"/>
    <w:rsid w:val="00173799"/>
    <w:rsid w:val="0017399E"/>
    <w:rsid w:val="00173D7D"/>
    <w:rsid w:val="00174151"/>
    <w:rsid w:val="001748C7"/>
    <w:rsid w:val="00174F5B"/>
    <w:rsid w:val="00174F8B"/>
    <w:rsid w:val="00175107"/>
    <w:rsid w:val="001754B1"/>
    <w:rsid w:val="001755F4"/>
    <w:rsid w:val="001758C1"/>
    <w:rsid w:val="00175918"/>
    <w:rsid w:val="00176215"/>
    <w:rsid w:val="0017626D"/>
    <w:rsid w:val="0017651C"/>
    <w:rsid w:val="00176704"/>
    <w:rsid w:val="0017674A"/>
    <w:rsid w:val="00176DEF"/>
    <w:rsid w:val="0017747C"/>
    <w:rsid w:val="001774AD"/>
    <w:rsid w:val="00177976"/>
    <w:rsid w:val="00177A33"/>
    <w:rsid w:val="00177F10"/>
    <w:rsid w:val="0018089C"/>
    <w:rsid w:val="00181244"/>
    <w:rsid w:val="00181BBD"/>
    <w:rsid w:val="00181C67"/>
    <w:rsid w:val="00181D07"/>
    <w:rsid w:val="00181E7A"/>
    <w:rsid w:val="0018211F"/>
    <w:rsid w:val="00182292"/>
    <w:rsid w:val="00182770"/>
    <w:rsid w:val="00182CA1"/>
    <w:rsid w:val="0018347B"/>
    <w:rsid w:val="00183CCE"/>
    <w:rsid w:val="00184AA4"/>
    <w:rsid w:val="00184B18"/>
    <w:rsid w:val="00184BCE"/>
    <w:rsid w:val="0018509D"/>
    <w:rsid w:val="00185245"/>
    <w:rsid w:val="00185527"/>
    <w:rsid w:val="00185D47"/>
    <w:rsid w:val="00185FE5"/>
    <w:rsid w:val="0018613E"/>
    <w:rsid w:val="0018637D"/>
    <w:rsid w:val="00186638"/>
    <w:rsid w:val="00186B8E"/>
    <w:rsid w:val="00186D11"/>
    <w:rsid w:val="001879E7"/>
    <w:rsid w:val="00190860"/>
    <w:rsid w:val="001909E5"/>
    <w:rsid w:val="00190F06"/>
    <w:rsid w:val="00191551"/>
    <w:rsid w:val="00191A6D"/>
    <w:rsid w:val="00191D2F"/>
    <w:rsid w:val="00191F69"/>
    <w:rsid w:val="00192102"/>
    <w:rsid w:val="001922D9"/>
    <w:rsid w:val="001923E3"/>
    <w:rsid w:val="00192531"/>
    <w:rsid w:val="00192618"/>
    <w:rsid w:val="00192812"/>
    <w:rsid w:val="001939D9"/>
    <w:rsid w:val="00193BFC"/>
    <w:rsid w:val="00194333"/>
    <w:rsid w:val="00194BA9"/>
    <w:rsid w:val="00194EE1"/>
    <w:rsid w:val="00195F54"/>
    <w:rsid w:val="00196502"/>
    <w:rsid w:val="00196AC3"/>
    <w:rsid w:val="00196E4C"/>
    <w:rsid w:val="0019742F"/>
    <w:rsid w:val="0019755B"/>
    <w:rsid w:val="0019774B"/>
    <w:rsid w:val="00197758"/>
    <w:rsid w:val="00197AC9"/>
    <w:rsid w:val="00197B08"/>
    <w:rsid w:val="00197DE3"/>
    <w:rsid w:val="001A0488"/>
    <w:rsid w:val="001A07EF"/>
    <w:rsid w:val="001A0917"/>
    <w:rsid w:val="001A0CB6"/>
    <w:rsid w:val="001A1150"/>
    <w:rsid w:val="001A1400"/>
    <w:rsid w:val="001A17A2"/>
    <w:rsid w:val="001A1BF2"/>
    <w:rsid w:val="001A1E4A"/>
    <w:rsid w:val="001A2021"/>
    <w:rsid w:val="001A2986"/>
    <w:rsid w:val="001A2B30"/>
    <w:rsid w:val="001A2D26"/>
    <w:rsid w:val="001A30B3"/>
    <w:rsid w:val="001A3B22"/>
    <w:rsid w:val="001A3E87"/>
    <w:rsid w:val="001A44AC"/>
    <w:rsid w:val="001A4769"/>
    <w:rsid w:val="001A497E"/>
    <w:rsid w:val="001A49C9"/>
    <w:rsid w:val="001A4BE6"/>
    <w:rsid w:val="001A5491"/>
    <w:rsid w:val="001A55E0"/>
    <w:rsid w:val="001A579A"/>
    <w:rsid w:val="001A584F"/>
    <w:rsid w:val="001A594E"/>
    <w:rsid w:val="001A5CD7"/>
    <w:rsid w:val="001A60F2"/>
    <w:rsid w:val="001A6DAD"/>
    <w:rsid w:val="001A7113"/>
    <w:rsid w:val="001A753E"/>
    <w:rsid w:val="001A7B9D"/>
    <w:rsid w:val="001A7D44"/>
    <w:rsid w:val="001A7F0F"/>
    <w:rsid w:val="001B030E"/>
    <w:rsid w:val="001B0508"/>
    <w:rsid w:val="001B063C"/>
    <w:rsid w:val="001B0CF4"/>
    <w:rsid w:val="001B0DA6"/>
    <w:rsid w:val="001B0DD9"/>
    <w:rsid w:val="001B0F8B"/>
    <w:rsid w:val="001B14E4"/>
    <w:rsid w:val="001B1BCE"/>
    <w:rsid w:val="001B22CF"/>
    <w:rsid w:val="001B2519"/>
    <w:rsid w:val="001B25DA"/>
    <w:rsid w:val="001B263B"/>
    <w:rsid w:val="001B2AEE"/>
    <w:rsid w:val="001B2B3F"/>
    <w:rsid w:val="001B3329"/>
    <w:rsid w:val="001B3622"/>
    <w:rsid w:val="001B3854"/>
    <w:rsid w:val="001B3A9E"/>
    <w:rsid w:val="001B43BC"/>
    <w:rsid w:val="001B56A2"/>
    <w:rsid w:val="001B570B"/>
    <w:rsid w:val="001B5A8E"/>
    <w:rsid w:val="001B6223"/>
    <w:rsid w:val="001B6B6B"/>
    <w:rsid w:val="001B7015"/>
    <w:rsid w:val="001B7151"/>
    <w:rsid w:val="001B7A8D"/>
    <w:rsid w:val="001C05C4"/>
    <w:rsid w:val="001C0884"/>
    <w:rsid w:val="001C0BBD"/>
    <w:rsid w:val="001C127F"/>
    <w:rsid w:val="001C1A16"/>
    <w:rsid w:val="001C2765"/>
    <w:rsid w:val="001C27F8"/>
    <w:rsid w:val="001C2A72"/>
    <w:rsid w:val="001C2B79"/>
    <w:rsid w:val="001C3906"/>
    <w:rsid w:val="001C3F4A"/>
    <w:rsid w:val="001C4A7A"/>
    <w:rsid w:val="001C4F5E"/>
    <w:rsid w:val="001C502A"/>
    <w:rsid w:val="001C505F"/>
    <w:rsid w:val="001C53C6"/>
    <w:rsid w:val="001C5460"/>
    <w:rsid w:val="001C576B"/>
    <w:rsid w:val="001C577A"/>
    <w:rsid w:val="001C57D4"/>
    <w:rsid w:val="001C59E3"/>
    <w:rsid w:val="001C5D45"/>
    <w:rsid w:val="001C60E3"/>
    <w:rsid w:val="001C621F"/>
    <w:rsid w:val="001C64FC"/>
    <w:rsid w:val="001C677D"/>
    <w:rsid w:val="001C6898"/>
    <w:rsid w:val="001C6E41"/>
    <w:rsid w:val="001C7024"/>
    <w:rsid w:val="001C71A7"/>
    <w:rsid w:val="001C7DE3"/>
    <w:rsid w:val="001C7E82"/>
    <w:rsid w:val="001D066F"/>
    <w:rsid w:val="001D085B"/>
    <w:rsid w:val="001D0B24"/>
    <w:rsid w:val="001D0B98"/>
    <w:rsid w:val="001D0F8F"/>
    <w:rsid w:val="001D124F"/>
    <w:rsid w:val="001D15C1"/>
    <w:rsid w:val="001D1EB5"/>
    <w:rsid w:val="001D2097"/>
    <w:rsid w:val="001D2501"/>
    <w:rsid w:val="001D2681"/>
    <w:rsid w:val="001D3679"/>
    <w:rsid w:val="001D3AB7"/>
    <w:rsid w:val="001D45FA"/>
    <w:rsid w:val="001D4798"/>
    <w:rsid w:val="001D5B18"/>
    <w:rsid w:val="001D669C"/>
    <w:rsid w:val="001D734E"/>
    <w:rsid w:val="001D7438"/>
    <w:rsid w:val="001D7858"/>
    <w:rsid w:val="001D7CB4"/>
    <w:rsid w:val="001D7E35"/>
    <w:rsid w:val="001E0176"/>
    <w:rsid w:val="001E0A62"/>
    <w:rsid w:val="001E0F01"/>
    <w:rsid w:val="001E152F"/>
    <w:rsid w:val="001E2955"/>
    <w:rsid w:val="001E3017"/>
    <w:rsid w:val="001E361F"/>
    <w:rsid w:val="001E3650"/>
    <w:rsid w:val="001E401E"/>
    <w:rsid w:val="001E4241"/>
    <w:rsid w:val="001E5527"/>
    <w:rsid w:val="001E5562"/>
    <w:rsid w:val="001E5CAF"/>
    <w:rsid w:val="001E61F7"/>
    <w:rsid w:val="001E6563"/>
    <w:rsid w:val="001E7476"/>
    <w:rsid w:val="001E77E5"/>
    <w:rsid w:val="001E78BD"/>
    <w:rsid w:val="001E78CE"/>
    <w:rsid w:val="001E7C29"/>
    <w:rsid w:val="001E7D8C"/>
    <w:rsid w:val="001E7FE6"/>
    <w:rsid w:val="001F0014"/>
    <w:rsid w:val="001F0209"/>
    <w:rsid w:val="001F0632"/>
    <w:rsid w:val="001F0D77"/>
    <w:rsid w:val="001F0DE9"/>
    <w:rsid w:val="001F0F81"/>
    <w:rsid w:val="001F12F8"/>
    <w:rsid w:val="001F131B"/>
    <w:rsid w:val="001F1397"/>
    <w:rsid w:val="001F1973"/>
    <w:rsid w:val="001F1A8A"/>
    <w:rsid w:val="001F1C72"/>
    <w:rsid w:val="001F1D15"/>
    <w:rsid w:val="001F2BD0"/>
    <w:rsid w:val="001F4133"/>
    <w:rsid w:val="001F4467"/>
    <w:rsid w:val="001F44E0"/>
    <w:rsid w:val="001F4987"/>
    <w:rsid w:val="001F49F2"/>
    <w:rsid w:val="001F4B06"/>
    <w:rsid w:val="001F4BA5"/>
    <w:rsid w:val="001F4E51"/>
    <w:rsid w:val="001F51F2"/>
    <w:rsid w:val="001F61BB"/>
    <w:rsid w:val="001F627B"/>
    <w:rsid w:val="001F6948"/>
    <w:rsid w:val="001F6E52"/>
    <w:rsid w:val="001F731B"/>
    <w:rsid w:val="001F77EF"/>
    <w:rsid w:val="001F7909"/>
    <w:rsid w:val="001F7BE8"/>
    <w:rsid w:val="00200053"/>
    <w:rsid w:val="00200AF5"/>
    <w:rsid w:val="002018E2"/>
    <w:rsid w:val="00201B77"/>
    <w:rsid w:val="00201F37"/>
    <w:rsid w:val="002022B1"/>
    <w:rsid w:val="00202506"/>
    <w:rsid w:val="002026B3"/>
    <w:rsid w:val="0020280D"/>
    <w:rsid w:val="00202E24"/>
    <w:rsid w:val="0020310F"/>
    <w:rsid w:val="00203328"/>
    <w:rsid w:val="0020342A"/>
    <w:rsid w:val="0020351D"/>
    <w:rsid w:val="00203894"/>
    <w:rsid w:val="00203A61"/>
    <w:rsid w:val="00203C11"/>
    <w:rsid w:val="0020477E"/>
    <w:rsid w:val="00204C05"/>
    <w:rsid w:val="00204E38"/>
    <w:rsid w:val="00204FE1"/>
    <w:rsid w:val="00205234"/>
    <w:rsid w:val="0020563D"/>
    <w:rsid w:val="00205829"/>
    <w:rsid w:val="00205A02"/>
    <w:rsid w:val="00205B65"/>
    <w:rsid w:val="0020620C"/>
    <w:rsid w:val="002066E3"/>
    <w:rsid w:val="002067D4"/>
    <w:rsid w:val="002068FA"/>
    <w:rsid w:val="002078C3"/>
    <w:rsid w:val="002102D3"/>
    <w:rsid w:val="00210381"/>
    <w:rsid w:val="002106F7"/>
    <w:rsid w:val="00210C35"/>
    <w:rsid w:val="00210CB9"/>
    <w:rsid w:val="00211045"/>
    <w:rsid w:val="00211050"/>
    <w:rsid w:val="0021113D"/>
    <w:rsid w:val="00211985"/>
    <w:rsid w:val="00211AE1"/>
    <w:rsid w:val="00211BEA"/>
    <w:rsid w:val="00211D8B"/>
    <w:rsid w:val="002120E7"/>
    <w:rsid w:val="0021263D"/>
    <w:rsid w:val="002128F2"/>
    <w:rsid w:val="00212B0D"/>
    <w:rsid w:val="00212E44"/>
    <w:rsid w:val="00212ED0"/>
    <w:rsid w:val="00212F0C"/>
    <w:rsid w:val="00212F82"/>
    <w:rsid w:val="0021324D"/>
    <w:rsid w:val="002136F7"/>
    <w:rsid w:val="00213AEE"/>
    <w:rsid w:val="00213B3C"/>
    <w:rsid w:val="00214157"/>
    <w:rsid w:val="002141BC"/>
    <w:rsid w:val="00214320"/>
    <w:rsid w:val="002148F9"/>
    <w:rsid w:val="00214C11"/>
    <w:rsid w:val="002157E8"/>
    <w:rsid w:val="0021581F"/>
    <w:rsid w:val="00216441"/>
    <w:rsid w:val="002165C8"/>
    <w:rsid w:val="002168D9"/>
    <w:rsid w:val="0021693A"/>
    <w:rsid w:val="00216D60"/>
    <w:rsid w:val="00217471"/>
    <w:rsid w:val="00217A5E"/>
    <w:rsid w:val="00220076"/>
    <w:rsid w:val="0022073C"/>
    <w:rsid w:val="00221020"/>
    <w:rsid w:val="00221CCB"/>
    <w:rsid w:val="00221DB3"/>
    <w:rsid w:val="00221ED4"/>
    <w:rsid w:val="00222128"/>
    <w:rsid w:val="0022282B"/>
    <w:rsid w:val="00222B46"/>
    <w:rsid w:val="00222B80"/>
    <w:rsid w:val="002231C2"/>
    <w:rsid w:val="0022359C"/>
    <w:rsid w:val="002239A2"/>
    <w:rsid w:val="00223E6D"/>
    <w:rsid w:val="00223FD3"/>
    <w:rsid w:val="002242E9"/>
    <w:rsid w:val="00224417"/>
    <w:rsid w:val="00224938"/>
    <w:rsid w:val="002250C4"/>
    <w:rsid w:val="00225248"/>
    <w:rsid w:val="0022541B"/>
    <w:rsid w:val="002255BB"/>
    <w:rsid w:val="00225AFE"/>
    <w:rsid w:val="002260A4"/>
    <w:rsid w:val="0022640B"/>
    <w:rsid w:val="00226584"/>
    <w:rsid w:val="00226878"/>
    <w:rsid w:val="00226ADE"/>
    <w:rsid w:val="00226D1B"/>
    <w:rsid w:val="0022718C"/>
    <w:rsid w:val="00227811"/>
    <w:rsid w:val="00227D00"/>
    <w:rsid w:val="0023034D"/>
    <w:rsid w:val="00231380"/>
    <w:rsid w:val="00231598"/>
    <w:rsid w:val="002317AF"/>
    <w:rsid w:val="00231A45"/>
    <w:rsid w:val="00231CF8"/>
    <w:rsid w:val="00231E36"/>
    <w:rsid w:val="00232C73"/>
    <w:rsid w:val="00233370"/>
    <w:rsid w:val="00233434"/>
    <w:rsid w:val="00233B1C"/>
    <w:rsid w:val="00233F11"/>
    <w:rsid w:val="002343A9"/>
    <w:rsid w:val="00234446"/>
    <w:rsid w:val="00234A45"/>
    <w:rsid w:val="00234CD6"/>
    <w:rsid w:val="00234D78"/>
    <w:rsid w:val="00234E8E"/>
    <w:rsid w:val="00234E92"/>
    <w:rsid w:val="00235AE4"/>
    <w:rsid w:val="00235F3D"/>
    <w:rsid w:val="002367DC"/>
    <w:rsid w:val="0023688D"/>
    <w:rsid w:val="002369B0"/>
    <w:rsid w:val="00236A33"/>
    <w:rsid w:val="00236E5E"/>
    <w:rsid w:val="0023749D"/>
    <w:rsid w:val="00237FE5"/>
    <w:rsid w:val="00240789"/>
    <w:rsid w:val="00240BF7"/>
    <w:rsid w:val="00241BA7"/>
    <w:rsid w:val="00241CD9"/>
    <w:rsid w:val="00242B34"/>
    <w:rsid w:val="00243032"/>
    <w:rsid w:val="00243069"/>
    <w:rsid w:val="0024349A"/>
    <w:rsid w:val="002438E1"/>
    <w:rsid w:val="00243D31"/>
    <w:rsid w:val="00243DCD"/>
    <w:rsid w:val="00245B58"/>
    <w:rsid w:val="00245C33"/>
    <w:rsid w:val="002460CE"/>
    <w:rsid w:val="002462B2"/>
    <w:rsid w:val="00246539"/>
    <w:rsid w:val="00247233"/>
    <w:rsid w:val="00247730"/>
    <w:rsid w:val="002479BE"/>
    <w:rsid w:val="00247DAF"/>
    <w:rsid w:val="00247F33"/>
    <w:rsid w:val="002500DF"/>
    <w:rsid w:val="002500E5"/>
    <w:rsid w:val="00250105"/>
    <w:rsid w:val="00250252"/>
    <w:rsid w:val="00250821"/>
    <w:rsid w:val="00250882"/>
    <w:rsid w:val="00250F60"/>
    <w:rsid w:val="00251CD1"/>
    <w:rsid w:val="00251D3E"/>
    <w:rsid w:val="0025203A"/>
    <w:rsid w:val="0025249D"/>
    <w:rsid w:val="0025249E"/>
    <w:rsid w:val="002525B0"/>
    <w:rsid w:val="002528C2"/>
    <w:rsid w:val="00253370"/>
    <w:rsid w:val="002535D2"/>
    <w:rsid w:val="002537BB"/>
    <w:rsid w:val="002538D8"/>
    <w:rsid w:val="00254005"/>
    <w:rsid w:val="0025478C"/>
    <w:rsid w:val="00254E0E"/>
    <w:rsid w:val="00254F75"/>
    <w:rsid w:val="00254FC2"/>
    <w:rsid w:val="0025519D"/>
    <w:rsid w:val="00255C9D"/>
    <w:rsid w:val="00256632"/>
    <w:rsid w:val="002572B9"/>
    <w:rsid w:val="002572BD"/>
    <w:rsid w:val="00260299"/>
    <w:rsid w:val="002603D4"/>
    <w:rsid w:val="00260583"/>
    <w:rsid w:val="00260802"/>
    <w:rsid w:val="00260E56"/>
    <w:rsid w:val="002610BE"/>
    <w:rsid w:val="002612D0"/>
    <w:rsid w:val="0026145E"/>
    <w:rsid w:val="002616CF"/>
    <w:rsid w:val="0026179E"/>
    <w:rsid w:val="00261C22"/>
    <w:rsid w:val="00261F8B"/>
    <w:rsid w:val="00262443"/>
    <w:rsid w:val="00262BFE"/>
    <w:rsid w:val="00262E1F"/>
    <w:rsid w:val="0026364E"/>
    <w:rsid w:val="00263814"/>
    <w:rsid w:val="002638A7"/>
    <w:rsid w:val="00263A5F"/>
    <w:rsid w:val="00263CD5"/>
    <w:rsid w:val="00263F74"/>
    <w:rsid w:val="00264073"/>
    <w:rsid w:val="002641E8"/>
    <w:rsid w:val="002644B0"/>
    <w:rsid w:val="002647B5"/>
    <w:rsid w:val="002654C0"/>
    <w:rsid w:val="002657EC"/>
    <w:rsid w:val="002657EF"/>
    <w:rsid w:val="00265922"/>
    <w:rsid w:val="002664A8"/>
    <w:rsid w:val="002664F9"/>
    <w:rsid w:val="0026686B"/>
    <w:rsid w:val="002668C2"/>
    <w:rsid w:val="00266ED9"/>
    <w:rsid w:val="00267145"/>
    <w:rsid w:val="002675A6"/>
    <w:rsid w:val="00267856"/>
    <w:rsid w:val="0027098C"/>
    <w:rsid w:val="002709F1"/>
    <w:rsid w:val="00270C8B"/>
    <w:rsid w:val="00270E7B"/>
    <w:rsid w:val="0027113A"/>
    <w:rsid w:val="00271377"/>
    <w:rsid w:val="00271599"/>
    <w:rsid w:val="00271CFC"/>
    <w:rsid w:val="00272435"/>
    <w:rsid w:val="0027284E"/>
    <w:rsid w:val="00272864"/>
    <w:rsid w:val="00272ABC"/>
    <w:rsid w:val="00273186"/>
    <w:rsid w:val="0027330C"/>
    <w:rsid w:val="00273F23"/>
    <w:rsid w:val="00274187"/>
    <w:rsid w:val="0027428A"/>
    <w:rsid w:val="002745C0"/>
    <w:rsid w:val="00274AD6"/>
    <w:rsid w:val="00275F2B"/>
    <w:rsid w:val="00275FDE"/>
    <w:rsid w:val="00276422"/>
    <w:rsid w:val="002765D8"/>
    <w:rsid w:val="002767C0"/>
    <w:rsid w:val="00276CDA"/>
    <w:rsid w:val="002770D7"/>
    <w:rsid w:val="00277114"/>
    <w:rsid w:val="00277383"/>
    <w:rsid w:val="002773F8"/>
    <w:rsid w:val="002777BA"/>
    <w:rsid w:val="0027799A"/>
    <w:rsid w:val="00277DFD"/>
    <w:rsid w:val="00277E9A"/>
    <w:rsid w:val="00280250"/>
    <w:rsid w:val="00280771"/>
    <w:rsid w:val="00280818"/>
    <w:rsid w:val="0028083C"/>
    <w:rsid w:val="00280A24"/>
    <w:rsid w:val="00280C29"/>
    <w:rsid w:val="002811A8"/>
    <w:rsid w:val="002813DA"/>
    <w:rsid w:val="002814C1"/>
    <w:rsid w:val="00281E03"/>
    <w:rsid w:val="00281EB5"/>
    <w:rsid w:val="0028206C"/>
    <w:rsid w:val="0028279F"/>
    <w:rsid w:val="00282E27"/>
    <w:rsid w:val="00282E2B"/>
    <w:rsid w:val="00283042"/>
    <w:rsid w:val="00283533"/>
    <w:rsid w:val="00283BAD"/>
    <w:rsid w:val="00283BC6"/>
    <w:rsid w:val="00283E36"/>
    <w:rsid w:val="002842AC"/>
    <w:rsid w:val="0028478A"/>
    <w:rsid w:val="00284A80"/>
    <w:rsid w:val="00284BA8"/>
    <w:rsid w:val="00284BB5"/>
    <w:rsid w:val="00284C4E"/>
    <w:rsid w:val="00284FE6"/>
    <w:rsid w:val="0028508A"/>
    <w:rsid w:val="0028508B"/>
    <w:rsid w:val="00285A7D"/>
    <w:rsid w:val="00286816"/>
    <w:rsid w:val="00286E02"/>
    <w:rsid w:val="00287241"/>
    <w:rsid w:val="002872A4"/>
    <w:rsid w:val="00287491"/>
    <w:rsid w:val="0028789A"/>
    <w:rsid w:val="0028799E"/>
    <w:rsid w:val="00290145"/>
    <w:rsid w:val="0029044E"/>
    <w:rsid w:val="002906AA"/>
    <w:rsid w:val="002908AB"/>
    <w:rsid w:val="00291BF8"/>
    <w:rsid w:val="00292737"/>
    <w:rsid w:val="00292797"/>
    <w:rsid w:val="00292A1D"/>
    <w:rsid w:val="00293643"/>
    <w:rsid w:val="00293647"/>
    <w:rsid w:val="00293C23"/>
    <w:rsid w:val="00293CC4"/>
    <w:rsid w:val="00293D40"/>
    <w:rsid w:val="00293E2C"/>
    <w:rsid w:val="00294602"/>
    <w:rsid w:val="0029467D"/>
    <w:rsid w:val="0029468D"/>
    <w:rsid w:val="002946AC"/>
    <w:rsid w:val="00294A79"/>
    <w:rsid w:val="00294CE8"/>
    <w:rsid w:val="0029500E"/>
    <w:rsid w:val="002954E9"/>
    <w:rsid w:val="002956B3"/>
    <w:rsid w:val="00295809"/>
    <w:rsid w:val="00295B70"/>
    <w:rsid w:val="002960B4"/>
    <w:rsid w:val="00296497"/>
    <w:rsid w:val="00296533"/>
    <w:rsid w:val="0029674B"/>
    <w:rsid w:val="00296C6F"/>
    <w:rsid w:val="00296D6B"/>
    <w:rsid w:val="00296E09"/>
    <w:rsid w:val="00296FAF"/>
    <w:rsid w:val="00297969"/>
    <w:rsid w:val="00297B5C"/>
    <w:rsid w:val="00297F36"/>
    <w:rsid w:val="002A05C3"/>
    <w:rsid w:val="002A065B"/>
    <w:rsid w:val="002A0900"/>
    <w:rsid w:val="002A0905"/>
    <w:rsid w:val="002A118F"/>
    <w:rsid w:val="002A1376"/>
    <w:rsid w:val="002A1923"/>
    <w:rsid w:val="002A2398"/>
    <w:rsid w:val="002A243E"/>
    <w:rsid w:val="002A2552"/>
    <w:rsid w:val="002A2615"/>
    <w:rsid w:val="002A28A0"/>
    <w:rsid w:val="002A2F09"/>
    <w:rsid w:val="002A3373"/>
    <w:rsid w:val="002A3557"/>
    <w:rsid w:val="002A3786"/>
    <w:rsid w:val="002A38BB"/>
    <w:rsid w:val="002A42CE"/>
    <w:rsid w:val="002A528B"/>
    <w:rsid w:val="002A55F4"/>
    <w:rsid w:val="002A58F3"/>
    <w:rsid w:val="002A5AD3"/>
    <w:rsid w:val="002A5C87"/>
    <w:rsid w:val="002A5D81"/>
    <w:rsid w:val="002A5E27"/>
    <w:rsid w:val="002A5FA6"/>
    <w:rsid w:val="002A62FD"/>
    <w:rsid w:val="002A6344"/>
    <w:rsid w:val="002A6BEC"/>
    <w:rsid w:val="002A6FFA"/>
    <w:rsid w:val="002A7441"/>
    <w:rsid w:val="002A77E6"/>
    <w:rsid w:val="002A79D3"/>
    <w:rsid w:val="002B09B5"/>
    <w:rsid w:val="002B0F37"/>
    <w:rsid w:val="002B0FE8"/>
    <w:rsid w:val="002B1456"/>
    <w:rsid w:val="002B19A4"/>
    <w:rsid w:val="002B1FDE"/>
    <w:rsid w:val="002B25F0"/>
    <w:rsid w:val="002B2ABA"/>
    <w:rsid w:val="002B2F61"/>
    <w:rsid w:val="002B3222"/>
    <w:rsid w:val="002B32E3"/>
    <w:rsid w:val="002B3466"/>
    <w:rsid w:val="002B3CFB"/>
    <w:rsid w:val="002B4090"/>
    <w:rsid w:val="002B43A2"/>
    <w:rsid w:val="002B4784"/>
    <w:rsid w:val="002B4D5D"/>
    <w:rsid w:val="002B4FAC"/>
    <w:rsid w:val="002B505C"/>
    <w:rsid w:val="002B51C9"/>
    <w:rsid w:val="002B5220"/>
    <w:rsid w:val="002B5ABD"/>
    <w:rsid w:val="002B5DE9"/>
    <w:rsid w:val="002B62CB"/>
    <w:rsid w:val="002B6694"/>
    <w:rsid w:val="002B6846"/>
    <w:rsid w:val="002B6AD8"/>
    <w:rsid w:val="002B6E4F"/>
    <w:rsid w:val="002B6FBA"/>
    <w:rsid w:val="002B7966"/>
    <w:rsid w:val="002B7E61"/>
    <w:rsid w:val="002C0F24"/>
    <w:rsid w:val="002C1326"/>
    <w:rsid w:val="002C133E"/>
    <w:rsid w:val="002C14B4"/>
    <w:rsid w:val="002C1804"/>
    <w:rsid w:val="002C1895"/>
    <w:rsid w:val="002C23EF"/>
    <w:rsid w:val="002C27BE"/>
    <w:rsid w:val="002C2DE0"/>
    <w:rsid w:val="002C3867"/>
    <w:rsid w:val="002C3DE5"/>
    <w:rsid w:val="002C3F19"/>
    <w:rsid w:val="002C47C5"/>
    <w:rsid w:val="002C49B0"/>
    <w:rsid w:val="002C510E"/>
    <w:rsid w:val="002C52B9"/>
    <w:rsid w:val="002C53A7"/>
    <w:rsid w:val="002C5D13"/>
    <w:rsid w:val="002C5E24"/>
    <w:rsid w:val="002C6099"/>
    <w:rsid w:val="002C629B"/>
    <w:rsid w:val="002C69AE"/>
    <w:rsid w:val="002C7073"/>
    <w:rsid w:val="002C72D1"/>
    <w:rsid w:val="002D0513"/>
    <w:rsid w:val="002D1057"/>
    <w:rsid w:val="002D15BA"/>
    <w:rsid w:val="002D16C4"/>
    <w:rsid w:val="002D17F8"/>
    <w:rsid w:val="002D19B3"/>
    <w:rsid w:val="002D2257"/>
    <w:rsid w:val="002D25F7"/>
    <w:rsid w:val="002D2714"/>
    <w:rsid w:val="002D2818"/>
    <w:rsid w:val="002D29DF"/>
    <w:rsid w:val="002D33E4"/>
    <w:rsid w:val="002D345E"/>
    <w:rsid w:val="002D3873"/>
    <w:rsid w:val="002D38E5"/>
    <w:rsid w:val="002D3DDA"/>
    <w:rsid w:val="002D421E"/>
    <w:rsid w:val="002D4975"/>
    <w:rsid w:val="002D49DD"/>
    <w:rsid w:val="002D4A31"/>
    <w:rsid w:val="002D4D67"/>
    <w:rsid w:val="002D4DF8"/>
    <w:rsid w:val="002D4F8E"/>
    <w:rsid w:val="002D5146"/>
    <w:rsid w:val="002D5383"/>
    <w:rsid w:val="002D5860"/>
    <w:rsid w:val="002D5993"/>
    <w:rsid w:val="002D59BE"/>
    <w:rsid w:val="002D608A"/>
    <w:rsid w:val="002D624A"/>
    <w:rsid w:val="002D72F3"/>
    <w:rsid w:val="002D7431"/>
    <w:rsid w:val="002D752D"/>
    <w:rsid w:val="002D78F3"/>
    <w:rsid w:val="002D7ADF"/>
    <w:rsid w:val="002E02BD"/>
    <w:rsid w:val="002E0472"/>
    <w:rsid w:val="002E1C7E"/>
    <w:rsid w:val="002E1D0B"/>
    <w:rsid w:val="002E21E5"/>
    <w:rsid w:val="002E2536"/>
    <w:rsid w:val="002E2C88"/>
    <w:rsid w:val="002E337C"/>
    <w:rsid w:val="002E402B"/>
    <w:rsid w:val="002E48FD"/>
    <w:rsid w:val="002E4F8C"/>
    <w:rsid w:val="002E5E3E"/>
    <w:rsid w:val="002E617F"/>
    <w:rsid w:val="002E6666"/>
    <w:rsid w:val="002E76B5"/>
    <w:rsid w:val="002E7733"/>
    <w:rsid w:val="002E7AFA"/>
    <w:rsid w:val="002E7F8F"/>
    <w:rsid w:val="002F01E0"/>
    <w:rsid w:val="002F0711"/>
    <w:rsid w:val="002F07FC"/>
    <w:rsid w:val="002F1015"/>
    <w:rsid w:val="002F15BF"/>
    <w:rsid w:val="002F1903"/>
    <w:rsid w:val="002F1AC5"/>
    <w:rsid w:val="002F1D35"/>
    <w:rsid w:val="002F241D"/>
    <w:rsid w:val="002F269E"/>
    <w:rsid w:val="002F3084"/>
    <w:rsid w:val="002F3600"/>
    <w:rsid w:val="002F3761"/>
    <w:rsid w:val="002F3C93"/>
    <w:rsid w:val="002F3DE6"/>
    <w:rsid w:val="002F3F23"/>
    <w:rsid w:val="002F4203"/>
    <w:rsid w:val="002F4657"/>
    <w:rsid w:val="002F4685"/>
    <w:rsid w:val="002F4718"/>
    <w:rsid w:val="002F49B6"/>
    <w:rsid w:val="002F5065"/>
    <w:rsid w:val="002F5094"/>
    <w:rsid w:val="002F5827"/>
    <w:rsid w:val="002F588E"/>
    <w:rsid w:val="002F5D75"/>
    <w:rsid w:val="002F6148"/>
    <w:rsid w:val="002F7027"/>
    <w:rsid w:val="002F726A"/>
    <w:rsid w:val="002F7A47"/>
    <w:rsid w:val="002F7BF3"/>
    <w:rsid w:val="002F7D83"/>
    <w:rsid w:val="002F7D93"/>
    <w:rsid w:val="0030009F"/>
    <w:rsid w:val="003001B7"/>
    <w:rsid w:val="0030092A"/>
    <w:rsid w:val="00301044"/>
    <w:rsid w:val="003011A0"/>
    <w:rsid w:val="00301DF0"/>
    <w:rsid w:val="00301FDD"/>
    <w:rsid w:val="003020BD"/>
    <w:rsid w:val="00302277"/>
    <w:rsid w:val="00302288"/>
    <w:rsid w:val="003024B7"/>
    <w:rsid w:val="003027DB"/>
    <w:rsid w:val="0030398D"/>
    <w:rsid w:val="003039EF"/>
    <w:rsid w:val="00303C1B"/>
    <w:rsid w:val="00303C7B"/>
    <w:rsid w:val="00303CEA"/>
    <w:rsid w:val="00304259"/>
    <w:rsid w:val="003055CB"/>
    <w:rsid w:val="00305738"/>
    <w:rsid w:val="003057A8"/>
    <w:rsid w:val="00305A10"/>
    <w:rsid w:val="00305C59"/>
    <w:rsid w:val="00306048"/>
    <w:rsid w:val="003065F7"/>
    <w:rsid w:val="0030661A"/>
    <w:rsid w:val="00306C5C"/>
    <w:rsid w:val="00306E2C"/>
    <w:rsid w:val="00307273"/>
    <w:rsid w:val="0030784D"/>
    <w:rsid w:val="0030798F"/>
    <w:rsid w:val="00307B5A"/>
    <w:rsid w:val="00307D98"/>
    <w:rsid w:val="003107C2"/>
    <w:rsid w:val="00310A6A"/>
    <w:rsid w:val="00311BD3"/>
    <w:rsid w:val="00311E55"/>
    <w:rsid w:val="00311FFB"/>
    <w:rsid w:val="003122C4"/>
    <w:rsid w:val="00312363"/>
    <w:rsid w:val="00313B34"/>
    <w:rsid w:val="00314B45"/>
    <w:rsid w:val="00315ADA"/>
    <w:rsid w:val="00315B4F"/>
    <w:rsid w:val="00315C4E"/>
    <w:rsid w:val="003160C0"/>
    <w:rsid w:val="003164E5"/>
    <w:rsid w:val="0031678D"/>
    <w:rsid w:val="00317025"/>
    <w:rsid w:val="0031715A"/>
    <w:rsid w:val="0031730F"/>
    <w:rsid w:val="003174B4"/>
    <w:rsid w:val="0031784F"/>
    <w:rsid w:val="00317881"/>
    <w:rsid w:val="003179FD"/>
    <w:rsid w:val="00317C55"/>
    <w:rsid w:val="00317FEC"/>
    <w:rsid w:val="00320044"/>
    <w:rsid w:val="0032007D"/>
    <w:rsid w:val="00320666"/>
    <w:rsid w:val="003209B7"/>
    <w:rsid w:val="00320DF2"/>
    <w:rsid w:val="00320E63"/>
    <w:rsid w:val="00321457"/>
    <w:rsid w:val="0032183A"/>
    <w:rsid w:val="00321E8B"/>
    <w:rsid w:val="00322406"/>
    <w:rsid w:val="0032260E"/>
    <w:rsid w:val="00322AD8"/>
    <w:rsid w:val="00322B55"/>
    <w:rsid w:val="00322E65"/>
    <w:rsid w:val="00323437"/>
    <w:rsid w:val="003234CA"/>
    <w:rsid w:val="00323613"/>
    <w:rsid w:val="00323D78"/>
    <w:rsid w:val="00324873"/>
    <w:rsid w:val="00324E58"/>
    <w:rsid w:val="003250AD"/>
    <w:rsid w:val="003252B7"/>
    <w:rsid w:val="003255CA"/>
    <w:rsid w:val="00325BA4"/>
    <w:rsid w:val="00325FC5"/>
    <w:rsid w:val="00326350"/>
    <w:rsid w:val="00326589"/>
    <w:rsid w:val="00327284"/>
    <w:rsid w:val="0032735B"/>
    <w:rsid w:val="00327BDD"/>
    <w:rsid w:val="00327D3D"/>
    <w:rsid w:val="0033072B"/>
    <w:rsid w:val="00330863"/>
    <w:rsid w:val="00331487"/>
    <w:rsid w:val="003315F6"/>
    <w:rsid w:val="003316A1"/>
    <w:rsid w:val="00331AD5"/>
    <w:rsid w:val="00331BEE"/>
    <w:rsid w:val="00331FFA"/>
    <w:rsid w:val="0033211B"/>
    <w:rsid w:val="0033222E"/>
    <w:rsid w:val="0033295F"/>
    <w:rsid w:val="00333636"/>
    <w:rsid w:val="003336F0"/>
    <w:rsid w:val="003336FB"/>
    <w:rsid w:val="0033391A"/>
    <w:rsid w:val="00333AB1"/>
    <w:rsid w:val="0033444C"/>
    <w:rsid w:val="0033479E"/>
    <w:rsid w:val="00335154"/>
    <w:rsid w:val="0033584C"/>
    <w:rsid w:val="00335A0C"/>
    <w:rsid w:val="00335E8B"/>
    <w:rsid w:val="0033635D"/>
    <w:rsid w:val="003364CC"/>
    <w:rsid w:val="003366A6"/>
    <w:rsid w:val="00336AEE"/>
    <w:rsid w:val="00336B96"/>
    <w:rsid w:val="00336CA4"/>
    <w:rsid w:val="0033712F"/>
    <w:rsid w:val="003375C3"/>
    <w:rsid w:val="00337768"/>
    <w:rsid w:val="00337AEC"/>
    <w:rsid w:val="003401ED"/>
    <w:rsid w:val="00340781"/>
    <w:rsid w:val="00340A20"/>
    <w:rsid w:val="00340E23"/>
    <w:rsid w:val="00341005"/>
    <w:rsid w:val="0034145C"/>
    <w:rsid w:val="003416D9"/>
    <w:rsid w:val="0034178C"/>
    <w:rsid w:val="00341D7C"/>
    <w:rsid w:val="003421CC"/>
    <w:rsid w:val="0034324F"/>
    <w:rsid w:val="0034342B"/>
    <w:rsid w:val="003436D8"/>
    <w:rsid w:val="003437CE"/>
    <w:rsid w:val="00343A13"/>
    <w:rsid w:val="00343CCA"/>
    <w:rsid w:val="0034481F"/>
    <w:rsid w:val="00344F5D"/>
    <w:rsid w:val="0034575E"/>
    <w:rsid w:val="00345FF5"/>
    <w:rsid w:val="00346D8A"/>
    <w:rsid w:val="00346F20"/>
    <w:rsid w:val="003470C2"/>
    <w:rsid w:val="00347790"/>
    <w:rsid w:val="00347998"/>
    <w:rsid w:val="00347F8D"/>
    <w:rsid w:val="00347FAB"/>
    <w:rsid w:val="0035027B"/>
    <w:rsid w:val="0035056B"/>
    <w:rsid w:val="003512CF"/>
    <w:rsid w:val="00351AC2"/>
    <w:rsid w:val="00351D02"/>
    <w:rsid w:val="0035223A"/>
    <w:rsid w:val="00352526"/>
    <w:rsid w:val="00352558"/>
    <w:rsid w:val="0035273E"/>
    <w:rsid w:val="003531C7"/>
    <w:rsid w:val="00353CB0"/>
    <w:rsid w:val="00353F26"/>
    <w:rsid w:val="0035406A"/>
    <w:rsid w:val="0035489D"/>
    <w:rsid w:val="00354950"/>
    <w:rsid w:val="00354F0E"/>
    <w:rsid w:val="00355270"/>
    <w:rsid w:val="00355954"/>
    <w:rsid w:val="00355B1D"/>
    <w:rsid w:val="00355D08"/>
    <w:rsid w:val="00356039"/>
    <w:rsid w:val="003564F2"/>
    <w:rsid w:val="00356510"/>
    <w:rsid w:val="003567A2"/>
    <w:rsid w:val="00356BB7"/>
    <w:rsid w:val="003571CD"/>
    <w:rsid w:val="0035786D"/>
    <w:rsid w:val="00357938"/>
    <w:rsid w:val="00357C53"/>
    <w:rsid w:val="00357F46"/>
    <w:rsid w:val="00360DB0"/>
    <w:rsid w:val="00361028"/>
    <w:rsid w:val="0036165F"/>
    <w:rsid w:val="00361728"/>
    <w:rsid w:val="0036189E"/>
    <w:rsid w:val="003622A7"/>
    <w:rsid w:val="0036237E"/>
    <w:rsid w:val="00362677"/>
    <w:rsid w:val="00362855"/>
    <w:rsid w:val="00363459"/>
    <w:rsid w:val="00363A58"/>
    <w:rsid w:val="00363B0B"/>
    <w:rsid w:val="00363D15"/>
    <w:rsid w:val="00363D28"/>
    <w:rsid w:val="00363DBD"/>
    <w:rsid w:val="003640F7"/>
    <w:rsid w:val="003644BD"/>
    <w:rsid w:val="00364990"/>
    <w:rsid w:val="00364C2A"/>
    <w:rsid w:val="003650FF"/>
    <w:rsid w:val="0036517D"/>
    <w:rsid w:val="00365385"/>
    <w:rsid w:val="00365FC2"/>
    <w:rsid w:val="003669F4"/>
    <w:rsid w:val="003670B6"/>
    <w:rsid w:val="003673A0"/>
    <w:rsid w:val="00367508"/>
    <w:rsid w:val="00367806"/>
    <w:rsid w:val="00367AD4"/>
    <w:rsid w:val="003702F2"/>
    <w:rsid w:val="003707A4"/>
    <w:rsid w:val="0037132E"/>
    <w:rsid w:val="003714D3"/>
    <w:rsid w:val="00371B0D"/>
    <w:rsid w:val="00371B8F"/>
    <w:rsid w:val="003721DB"/>
    <w:rsid w:val="0037228D"/>
    <w:rsid w:val="003723DF"/>
    <w:rsid w:val="0037247E"/>
    <w:rsid w:val="00372CE6"/>
    <w:rsid w:val="00372F33"/>
    <w:rsid w:val="00372FF7"/>
    <w:rsid w:val="00373232"/>
    <w:rsid w:val="00374009"/>
    <w:rsid w:val="00374126"/>
    <w:rsid w:val="00374482"/>
    <w:rsid w:val="003747AD"/>
    <w:rsid w:val="00374CBE"/>
    <w:rsid w:val="003750DD"/>
    <w:rsid w:val="00375887"/>
    <w:rsid w:val="003758BF"/>
    <w:rsid w:val="003758CA"/>
    <w:rsid w:val="00376100"/>
    <w:rsid w:val="00376DE1"/>
    <w:rsid w:val="003770A9"/>
    <w:rsid w:val="00377357"/>
    <w:rsid w:val="0037737A"/>
    <w:rsid w:val="003777AE"/>
    <w:rsid w:val="003801B9"/>
    <w:rsid w:val="003806E9"/>
    <w:rsid w:val="00380786"/>
    <w:rsid w:val="00380B7C"/>
    <w:rsid w:val="00380F6A"/>
    <w:rsid w:val="003810DA"/>
    <w:rsid w:val="003811C1"/>
    <w:rsid w:val="00381757"/>
    <w:rsid w:val="00381A47"/>
    <w:rsid w:val="00381F20"/>
    <w:rsid w:val="00382D11"/>
    <w:rsid w:val="003831E3"/>
    <w:rsid w:val="00383606"/>
    <w:rsid w:val="00383AAE"/>
    <w:rsid w:val="00383E4E"/>
    <w:rsid w:val="003840D3"/>
    <w:rsid w:val="0038417E"/>
    <w:rsid w:val="003847E4"/>
    <w:rsid w:val="003850F4"/>
    <w:rsid w:val="00385BFD"/>
    <w:rsid w:val="00385F64"/>
    <w:rsid w:val="0038611F"/>
    <w:rsid w:val="00386971"/>
    <w:rsid w:val="00386F0C"/>
    <w:rsid w:val="00386F9A"/>
    <w:rsid w:val="00387287"/>
    <w:rsid w:val="00387376"/>
    <w:rsid w:val="00387486"/>
    <w:rsid w:val="003875A5"/>
    <w:rsid w:val="003875E8"/>
    <w:rsid w:val="00387C24"/>
    <w:rsid w:val="00387D0E"/>
    <w:rsid w:val="00387E71"/>
    <w:rsid w:val="00391701"/>
    <w:rsid w:val="003919DB"/>
    <w:rsid w:val="00391F78"/>
    <w:rsid w:val="00392188"/>
    <w:rsid w:val="00392560"/>
    <w:rsid w:val="00392E99"/>
    <w:rsid w:val="00393241"/>
    <w:rsid w:val="00393350"/>
    <w:rsid w:val="0039429F"/>
    <w:rsid w:val="003942EE"/>
    <w:rsid w:val="00394C21"/>
    <w:rsid w:val="0039516A"/>
    <w:rsid w:val="0039547D"/>
    <w:rsid w:val="003954AC"/>
    <w:rsid w:val="00395A69"/>
    <w:rsid w:val="00395CA9"/>
    <w:rsid w:val="0039626C"/>
    <w:rsid w:val="003963B5"/>
    <w:rsid w:val="00396601"/>
    <w:rsid w:val="00396EB2"/>
    <w:rsid w:val="003970BC"/>
    <w:rsid w:val="003977F6"/>
    <w:rsid w:val="0039782D"/>
    <w:rsid w:val="0039788B"/>
    <w:rsid w:val="00397AAF"/>
    <w:rsid w:val="00397DE6"/>
    <w:rsid w:val="003A01F2"/>
    <w:rsid w:val="003A03A5"/>
    <w:rsid w:val="003A08D6"/>
    <w:rsid w:val="003A0FAF"/>
    <w:rsid w:val="003A102F"/>
    <w:rsid w:val="003A11EA"/>
    <w:rsid w:val="003A171F"/>
    <w:rsid w:val="003A1BE9"/>
    <w:rsid w:val="003A1C9A"/>
    <w:rsid w:val="003A2789"/>
    <w:rsid w:val="003A3228"/>
    <w:rsid w:val="003A3403"/>
    <w:rsid w:val="003A4074"/>
    <w:rsid w:val="003A443C"/>
    <w:rsid w:val="003A466E"/>
    <w:rsid w:val="003A46A8"/>
    <w:rsid w:val="003A4C6D"/>
    <w:rsid w:val="003A5219"/>
    <w:rsid w:val="003A5299"/>
    <w:rsid w:val="003A5372"/>
    <w:rsid w:val="003A54A5"/>
    <w:rsid w:val="003A592A"/>
    <w:rsid w:val="003A5B9D"/>
    <w:rsid w:val="003A68B4"/>
    <w:rsid w:val="003A6FFD"/>
    <w:rsid w:val="003A70F8"/>
    <w:rsid w:val="003A77C8"/>
    <w:rsid w:val="003A7F91"/>
    <w:rsid w:val="003B0440"/>
    <w:rsid w:val="003B0971"/>
    <w:rsid w:val="003B0AE6"/>
    <w:rsid w:val="003B0B3E"/>
    <w:rsid w:val="003B0E68"/>
    <w:rsid w:val="003B11C3"/>
    <w:rsid w:val="003B17C5"/>
    <w:rsid w:val="003B1B69"/>
    <w:rsid w:val="003B215C"/>
    <w:rsid w:val="003B21CA"/>
    <w:rsid w:val="003B2233"/>
    <w:rsid w:val="003B29A9"/>
    <w:rsid w:val="003B2A79"/>
    <w:rsid w:val="003B32FC"/>
    <w:rsid w:val="003B42F0"/>
    <w:rsid w:val="003B4345"/>
    <w:rsid w:val="003B45DC"/>
    <w:rsid w:val="003B45E9"/>
    <w:rsid w:val="003B4DEC"/>
    <w:rsid w:val="003B54FD"/>
    <w:rsid w:val="003B573E"/>
    <w:rsid w:val="003B5A5B"/>
    <w:rsid w:val="003B5C2D"/>
    <w:rsid w:val="003B6162"/>
    <w:rsid w:val="003B6502"/>
    <w:rsid w:val="003B6528"/>
    <w:rsid w:val="003B6735"/>
    <w:rsid w:val="003B68DF"/>
    <w:rsid w:val="003B7A89"/>
    <w:rsid w:val="003C0371"/>
    <w:rsid w:val="003C0423"/>
    <w:rsid w:val="003C0446"/>
    <w:rsid w:val="003C0568"/>
    <w:rsid w:val="003C0C73"/>
    <w:rsid w:val="003C0EA7"/>
    <w:rsid w:val="003C1611"/>
    <w:rsid w:val="003C1C76"/>
    <w:rsid w:val="003C1D49"/>
    <w:rsid w:val="003C1F2C"/>
    <w:rsid w:val="003C2386"/>
    <w:rsid w:val="003C290D"/>
    <w:rsid w:val="003C2BF3"/>
    <w:rsid w:val="003C2D66"/>
    <w:rsid w:val="003C2F90"/>
    <w:rsid w:val="003C3B22"/>
    <w:rsid w:val="003C3BC7"/>
    <w:rsid w:val="003C3E2F"/>
    <w:rsid w:val="003C42D3"/>
    <w:rsid w:val="003C4791"/>
    <w:rsid w:val="003C4B11"/>
    <w:rsid w:val="003C4FE3"/>
    <w:rsid w:val="003C500C"/>
    <w:rsid w:val="003C5620"/>
    <w:rsid w:val="003C566F"/>
    <w:rsid w:val="003C586A"/>
    <w:rsid w:val="003C5AB9"/>
    <w:rsid w:val="003C5F35"/>
    <w:rsid w:val="003C6499"/>
    <w:rsid w:val="003C64D3"/>
    <w:rsid w:val="003C681C"/>
    <w:rsid w:val="003C7435"/>
    <w:rsid w:val="003C7C1A"/>
    <w:rsid w:val="003D1E3A"/>
    <w:rsid w:val="003D227B"/>
    <w:rsid w:val="003D2C23"/>
    <w:rsid w:val="003D2D7E"/>
    <w:rsid w:val="003D3980"/>
    <w:rsid w:val="003D3E2D"/>
    <w:rsid w:val="003D445B"/>
    <w:rsid w:val="003D461A"/>
    <w:rsid w:val="003D4868"/>
    <w:rsid w:val="003D4903"/>
    <w:rsid w:val="003D4A6D"/>
    <w:rsid w:val="003D53D6"/>
    <w:rsid w:val="003D5B3A"/>
    <w:rsid w:val="003D5B9E"/>
    <w:rsid w:val="003D5BAA"/>
    <w:rsid w:val="003D66AA"/>
    <w:rsid w:val="003D6AD1"/>
    <w:rsid w:val="003D6C8A"/>
    <w:rsid w:val="003D6E31"/>
    <w:rsid w:val="003D6FE3"/>
    <w:rsid w:val="003D7521"/>
    <w:rsid w:val="003D77D8"/>
    <w:rsid w:val="003D7DA2"/>
    <w:rsid w:val="003E0327"/>
    <w:rsid w:val="003E03CE"/>
    <w:rsid w:val="003E0CDB"/>
    <w:rsid w:val="003E0F17"/>
    <w:rsid w:val="003E15B4"/>
    <w:rsid w:val="003E1C96"/>
    <w:rsid w:val="003E1CBA"/>
    <w:rsid w:val="003E1F71"/>
    <w:rsid w:val="003E2279"/>
    <w:rsid w:val="003E23F9"/>
    <w:rsid w:val="003E266B"/>
    <w:rsid w:val="003E29DE"/>
    <w:rsid w:val="003E2B56"/>
    <w:rsid w:val="003E3ABA"/>
    <w:rsid w:val="003E455D"/>
    <w:rsid w:val="003E4B9D"/>
    <w:rsid w:val="003E5768"/>
    <w:rsid w:val="003E5B2E"/>
    <w:rsid w:val="003E5BD1"/>
    <w:rsid w:val="003E5C8B"/>
    <w:rsid w:val="003E6089"/>
    <w:rsid w:val="003E6852"/>
    <w:rsid w:val="003E7392"/>
    <w:rsid w:val="003E73EB"/>
    <w:rsid w:val="003E74DF"/>
    <w:rsid w:val="003E785A"/>
    <w:rsid w:val="003E7860"/>
    <w:rsid w:val="003E7D66"/>
    <w:rsid w:val="003E7D93"/>
    <w:rsid w:val="003E7E3D"/>
    <w:rsid w:val="003F03FE"/>
    <w:rsid w:val="003F0771"/>
    <w:rsid w:val="003F0F21"/>
    <w:rsid w:val="003F1173"/>
    <w:rsid w:val="003F123E"/>
    <w:rsid w:val="003F13B3"/>
    <w:rsid w:val="003F22CA"/>
    <w:rsid w:val="003F2425"/>
    <w:rsid w:val="003F2900"/>
    <w:rsid w:val="003F2D3D"/>
    <w:rsid w:val="003F2F54"/>
    <w:rsid w:val="003F3430"/>
    <w:rsid w:val="003F354C"/>
    <w:rsid w:val="003F3AE0"/>
    <w:rsid w:val="003F3BC5"/>
    <w:rsid w:val="003F492C"/>
    <w:rsid w:val="003F5615"/>
    <w:rsid w:val="003F56A9"/>
    <w:rsid w:val="003F6443"/>
    <w:rsid w:val="003F6490"/>
    <w:rsid w:val="003F7121"/>
    <w:rsid w:val="003F7169"/>
    <w:rsid w:val="003F77BC"/>
    <w:rsid w:val="003F786D"/>
    <w:rsid w:val="003F7A29"/>
    <w:rsid w:val="00400132"/>
    <w:rsid w:val="0040014B"/>
    <w:rsid w:val="00400171"/>
    <w:rsid w:val="00400802"/>
    <w:rsid w:val="00400E97"/>
    <w:rsid w:val="00400EC8"/>
    <w:rsid w:val="0040122B"/>
    <w:rsid w:val="00401F01"/>
    <w:rsid w:val="004024C9"/>
    <w:rsid w:val="0040253E"/>
    <w:rsid w:val="00402743"/>
    <w:rsid w:val="00402F9D"/>
    <w:rsid w:val="00403EA8"/>
    <w:rsid w:val="00404D1F"/>
    <w:rsid w:val="00405DCD"/>
    <w:rsid w:val="00405E60"/>
    <w:rsid w:val="00406452"/>
    <w:rsid w:val="00406578"/>
    <w:rsid w:val="00406995"/>
    <w:rsid w:val="00406CA5"/>
    <w:rsid w:val="00407483"/>
    <w:rsid w:val="00407586"/>
    <w:rsid w:val="0040793A"/>
    <w:rsid w:val="00407C7F"/>
    <w:rsid w:val="00407CE5"/>
    <w:rsid w:val="00410429"/>
    <w:rsid w:val="00410E7B"/>
    <w:rsid w:val="0041108A"/>
    <w:rsid w:val="004113D4"/>
    <w:rsid w:val="00411D2C"/>
    <w:rsid w:val="00411F4F"/>
    <w:rsid w:val="00412A28"/>
    <w:rsid w:val="0041323A"/>
    <w:rsid w:val="0041377D"/>
    <w:rsid w:val="00414949"/>
    <w:rsid w:val="00414B3B"/>
    <w:rsid w:val="00414EBD"/>
    <w:rsid w:val="004153C0"/>
    <w:rsid w:val="004156F1"/>
    <w:rsid w:val="00415C0B"/>
    <w:rsid w:val="004162B1"/>
    <w:rsid w:val="004165DC"/>
    <w:rsid w:val="00416AEF"/>
    <w:rsid w:val="00416B45"/>
    <w:rsid w:val="00416D14"/>
    <w:rsid w:val="0041701A"/>
    <w:rsid w:val="00417B1D"/>
    <w:rsid w:val="00417C3C"/>
    <w:rsid w:val="00417D9F"/>
    <w:rsid w:val="004205E1"/>
    <w:rsid w:val="004209B7"/>
    <w:rsid w:val="0042197D"/>
    <w:rsid w:val="00421D1B"/>
    <w:rsid w:val="00421E4E"/>
    <w:rsid w:val="00421FD8"/>
    <w:rsid w:val="00422057"/>
    <w:rsid w:val="0042237F"/>
    <w:rsid w:val="00422800"/>
    <w:rsid w:val="00422D9E"/>
    <w:rsid w:val="00423735"/>
    <w:rsid w:val="00423EAD"/>
    <w:rsid w:val="00423F5D"/>
    <w:rsid w:val="00424365"/>
    <w:rsid w:val="00424483"/>
    <w:rsid w:val="004248E2"/>
    <w:rsid w:val="00424D09"/>
    <w:rsid w:val="00424E8C"/>
    <w:rsid w:val="0042562F"/>
    <w:rsid w:val="004268C3"/>
    <w:rsid w:val="00426A97"/>
    <w:rsid w:val="00426AA2"/>
    <w:rsid w:val="00426F66"/>
    <w:rsid w:val="004300A2"/>
    <w:rsid w:val="004304F5"/>
    <w:rsid w:val="004305E4"/>
    <w:rsid w:val="00430D70"/>
    <w:rsid w:val="0043121A"/>
    <w:rsid w:val="004316DE"/>
    <w:rsid w:val="00431D59"/>
    <w:rsid w:val="00432700"/>
    <w:rsid w:val="00432D24"/>
    <w:rsid w:val="00432EBA"/>
    <w:rsid w:val="0043446D"/>
    <w:rsid w:val="00434C02"/>
    <w:rsid w:val="0043514A"/>
    <w:rsid w:val="004358DB"/>
    <w:rsid w:val="00435F65"/>
    <w:rsid w:val="0043623C"/>
    <w:rsid w:val="0043644E"/>
    <w:rsid w:val="0043725B"/>
    <w:rsid w:val="00437834"/>
    <w:rsid w:val="004378B8"/>
    <w:rsid w:val="00437950"/>
    <w:rsid w:val="00437AC4"/>
    <w:rsid w:val="00437C2C"/>
    <w:rsid w:val="004405FA"/>
    <w:rsid w:val="0044077A"/>
    <w:rsid w:val="0044123F"/>
    <w:rsid w:val="004414EB"/>
    <w:rsid w:val="00441749"/>
    <w:rsid w:val="00441802"/>
    <w:rsid w:val="00441F64"/>
    <w:rsid w:val="00441FB8"/>
    <w:rsid w:val="004421E1"/>
    <w:rsid w:val="00442E1A"/>
    <w:rsid w:val="00442E8C"/>
    <w:rsid w:val="00443AAA"/>
    <w:rsid w:val="00443BAA"/>
    <w:rsid w:val="00443EAD"/>
    <w:rsid w:val="004440C2"/>
    <w:rsid w:val="00444597"/>
    <w:rsid w:val="00445633"/>
    <w:rsid w:val="00445C35"/>
    <w:rsid w:val="00445DBA"/>
    <w:rsid w:val="0044609E"/>
    <w:rsid w:val="004466C3"/>
    <w:rsid w:val="00446D08"/>
    <w:rsid w:val="00446D7A"/>
    <w:rsid w:val="00446F71"/>
    <w:rsid w:val="004470DE"/>
    <w:rsid w:val="0044712D"/>
    <w:rsid w:val="004501B9"/>
    <w:rsid w:val="004503FD"/>
    <w:rsid w:val="00450470"/>
    <w:rsid w:val="00450604"/>
    <w:rsid w:val="00450A7C"/>
    <w:rsid w:val="00451696"/>
    <w:rsid w:val="0045185A"/>
    <w:rsid w:val="00452144"/>
    <w:rsid w:val="00452195"/>
    <w:rsid w:val="00452EBD"/>
    <w:rsid w:val="00453452"/>
    <w:rsid w:val="00453D4C"/>
    <w:rsid w:val="004541AC"/>
    <w:rsid w:val="0045435C"/>
    <w:rsid w:val="004546F5"/>
    <w:rsid w:val="004547F9"/>
    <w:rsid w:val="00454932"/>
    <w:rsid w:val="00454A59"/>
    <w:rsid w:val="00454D3E"/>
    <w:rsid w:val="00455106"/>
    <w:rsid w:val="0045549B"/>
    <w:rsid w:val="00456028"/>
    <w:rsid w:val="0045724E"/>
    <w:rsid w:val="0045750B"/>
    <w:rsid w:val="004601A6"/>
    <w:rsid w:val="004602F7"/>
    <w:rsid w:val="00460DB4"/>
    <w:rsid w:val="004617EE"/>
    <w:rsid w:val="00461D61"/>
    <w:rsid w:val="004620D0"/>
    <w:rsid w:val="00462A23"/>
    <w:rsid w:val="00462AA0"/>
    <w:rsid w:val="00463248"/>
    <w:rsid w:val="00463496"/>
    <w:rsid w:val="004634A9"/>
    <w:rsid w:val="00463DDF"/>
    <w:rsid w:val="004643D6"/>
    <w:rsid w:val="0046450D"/>
    <w:rsid w:val="0046476B"/>
    <w:rsid w:val="00464D42"/>
    <w:rsid w:val="00464FA5"/>
    <w:rsid w:val="0046500E"/>
    <w:rsid w:val="0046544E"/>
    <w:rsid w:val="0046565B"/>
    <w:rsid w:val="0046577E"/>
    <w:rsid w:val="00465A54"/>
    <w:rsid w:val="00465F2D"/>
    <w:rsid w:val="00466184"/>
    <w:rsid w:val="00466632"/>
    <w:rsid w:val="004669B2"/>
    <w:rsid w:val="0046717A"/>
    <w:rsid w:val="0046717C"/>
    <w:rsid w:val="004673D9"/>
    <w:rsid w:val="00467BF4"/>
    <w:rsid w:val="00467F61"/>
    <w:rsid w:val="0047010E"/>
    <w:rsid w:val="00470442"/>
    <w:rsid w:val="00470E9A"/>
    <w:rsid w:val="0047136E"/>
    <w:rsid w:val="00471A18"/>
    <w:rsid w:val="00471C19"/>
    <w:rsid w:val="0047203B"/>
    <w:rsid w:val="004723D1"/>
    <w:rsid w:val="0047242D"/>
    <w:rsid w:val="00472782"/>
    <w:rsid w:val="0047285B"/>
    <w:rsid w:val="00472ACC"/>
    <w:rsid w:val="00472F5D"/>
    <w:rsid w:val="004731BC"/>
    <w:rsid w:val="00474A34"/>
    <w:rsid w:val="0047541A"/>
    <w:rsid w:val="00475907"/>
    <w:rsid w:val="0047620B"/>
    <w:rsid w:val="004763E0"/>
    <w:rsid w:val="00477E70"/>
    <w:rsid w:val="00480204"/>
    <w:rsid w:val="00480719"/>
    <w:rsid w:val="00480B1E"/>
    <w:rsid w:val="00481FE1"/>
    <w:rsid w:val="00482271"/>
    <w:rsid w:val="00482B02"/>
    <w:rsid w:val="00483371"/>
    <w:rsid w:val="0048395D"/>
    <w:rsid w:val="00483987"/>
    <w:rsid w:val="00483A63"/>
    <w:rsid w:val="00483D48"/>
    <w:rsid w:val="00483FA3"/>
    <w:rsid w:val="00483FCB"/>
    <w:rsid w:val="00484676"/>
    <w:rsid w:val="00484B9D"/>
    <w:rsid w:val="00484BC6"/>
    <w:rsid w:val="0048528B"/>
    <w:rsid w:val="0048540A"/>
    <w:rsid w:val="004854E9"/>
    <w:rsid w:val="004855BD"/>
    <w:rsid w:val="004859B2"/>
    <w:rsid w:val="00485D9F"/>
    <w:rsid w:val="00485E6A"/>
    <w:rsid w:val="0048713A"/>
    <w:rsid w:val="00490742"/>
    <w:rsid w:val="004914CA"/>
    <w:rsid w:val="00491C6B"/>
    <w:rsid w:val="00491C9F"/>
    <w:rsid w:val="00492198"/>
    <w:rsid w:val="004923E4"/>
    <w:rsid w:val="004926C6"/>
    <w:rsid w:val="00492B76"/>
    <w:rsid w:val="00492CB5"/>
    <w:rsid w:val="00492E71"/>
    <w:rsid w:val="00492F50"/>
    <w:rsid w:val="004932C0"/>
    <w:rsid w:val="004937E8"/>
    <w:rsid w:val="00493C90"/>
    <w:rsid w:val="00493F18"/>
    <w:rsid w:val="0049415E"/>
    <w:rsid w:val="004946C8"/>
    <w:rsid w:val="00494749"/>
    <w:rsid w:val="00494C24"/>
    <w:rsid w:val="00495218"/>
    <w:rsid w:val="00495BB7"/>
    <w:rsid w:val="00495CF0"/>
    <w:rsid w:val="00495EDC"/>
    <w:rsid w:val="004962CF"/>
    <w:rsid w:val="00496BD2"/>
    <w:rsid w:val="00496EDD"/>
    <w:rsid w:val="00497FBF"/>
    <w:rsid w:val="004A03A0"/>
    <w:rsid w:val="004A046B"/>
    <w:rsid w:val="004A0527"/>
    <w:rsid w:val="004A1146"/>
    <w:rsid w:val="004A1157"/>
    <w:rsid w:val="004A1475"/>
    <w:rsid w:val="004A281B"/>
    <w:rsid w:val="004A311B"/>
    <w:rsid w:val="004A3369"/>
    <w:rsid w:val="004A39D9"/>
    <w:rsid w:val="004A40AA"/>
    <w:rsid w:val="004A40E3"/>
    <w:rsid w:val="004A4107"/>
    <w:rsid w:val="004A54CF"/>
    <w:rsid w:val="004A574B"/>
    <w:rsid w:val="004A5852"/>
    <w:rsid w:val="004A59EE"/>
    <w:rsid w:val="004A6F41"/>
    <w:rsid w:val="004A6F99"/>
    <w:rsid w:val="004A7D62"/>
    <w:rsid w:val="004B024E"/>
    <w:rsid w:val="004B0BCA"/>
    <w:rsid w:val="004B13C1"/>
    <w:rsid w:val="004B153F"/>
    <w:rsid w:val="004B17AA"/>
    <w:rsid w:val="004B189A"/>
    <w:rsid w:val="004B1F50"/>
    <w:rsid w:val="004B20AE"/>
    <w:rsid w:val="004B276B"/>
    <w:rsid w:val="004B27DC"/>
    <w:rsid w:val="004B2B5C"/>
    <w:rsid w:val="004B2D0B"/>
    <w:rsid w:val="004B331C"/>
    <w:rsid w:val="004B49B7"/>
    <w:rsid w:val="004B4BE5"/>
    <w:rsid w:val="004B515A"/>
    <w:rsid w:val="004B612C"/>
    <w:rsid w:val="004B6303"/>
    <w:rsid w:val="004B69B5"/>
    <w:rsid w:val="004B6C12"/>
    <w:rsid w:val="004B70C2"/>
    <w:rsid w:val="004B719F"/>
    <w:rsid w:val="004B7231"/>
    <w:rsid w:val="004B7312"/>
    <w:rsid w:val="004B79B1"/>
    <w:rsid w:val="004B7D0D"/>
    <w:rsid w:val="004C059F"/>
    <w:rsid w:val="004C05DE"/>
    <w:rsid w:val="004C066B"/>
    <w:rsid w:val="004C0675"/>
    <w:rsid w:val="004C0680"/>
    <w:rsid w:val="004C0749"/>
    <w:rsid w:val="004C08C5"/>
    <w:rsid w:val="004C0C60"/>
    <w:rsid w:val="004C1065"/>
    <w:rsid w:val="004C10E9"/>
    <w:rsid w:val="004C127C"/>
    <w:rsid w:val="004C1DCA"/>
    <w:rsid w:val="004C2261"/>
    <w:rsid w:val="004C2C55"/>
    <w:rsid w:val="004C2CE5"/>
    <w:rsid w:val="004C2DEA"/>
    <w:rsid w:val="004C2E7E"/>
    <w:rsid w:val="004C314C"/>
    <w:rsid w:val="004C33C6"/>
    <w:rsid w:val="004C3717"/>
    <w:rsid w:val="004C3852"/>
    <w:rsid w:val="004C3CE0"/>
    <w:rsid w:val="004C427B"/>
    <w:rsid w:val="004C42BE"/>
    <w:rsid w:val="004C454A"/>
    <w:rsid w:val="004C4C9A"/>
    <w:rsid w:val="004C4F40"/>
    <w:rsid w:val="004C52E0"/>
    <w:rsid w:val="004C5B2E"/>
    <w:rsid w:val="004C708B"/>
    <w:rsid w:val="004C7878"/>
    <w:rsid w:val="004C7D25"/>
    <w:rsid w:val="004C7F9B"/>
    <w:rsid w:val="004D025E"/>
    <w:rsid w:val="004D03E2"/>
    <w:rsid w:val="004D1035"/>
    <w:rsid w:val="004D111F"/>
    <w:rsid w:val="004D16E4"/>
    <w:rsid w:val="004D1EBD"/>
    <w:rsid w:val="004D2095"/>
    <w:rsid w:val="004D279D"/>
    <w:rsid w:val="004D2BF7"/>
    <w:rsid w:val="004D2D60"/>
    <w:rsid w:val="004D2F82"/>
    <w:rsid w:val="004D3179"/>
    <w:rsid w:val="004D38A5"/>
    <w:rsid w:val="004D4334"/>
    <w:rsid w:val="004D52B7"/>
    <w:rsid w:val="004D581F"/>
    <w:rsid w:val="004D5988"/>
    <w:rsid w:val="004D6E9B"/>
    <w:rsid w:val="004D7623"/>
    <w:rsid w:val="004D7853"/>
    <w:rsid w:val="004D7A02"/>
    <w:rsid w:val="004E0953"/>
    <w:rsid w:val="004E11BC"/>
    <w:rsid w:val="004E1255"/>
    <w:rsid w:val="004E13A2"/>
    <w:rsid w:val="004E163A"/>
    <w:rsid w:val="004E1A4B"/>
    <w:rsid w:val="004E1C0F"/>
    <w:rsid w:val="004E1C6D"/>
    <w:rsid w:val="004E1FAC"/>
    <w:rsid w:val="004E202B"/>
    <w:rsid w:val="004E3282"/>
    <w:rsid w:val="004E32F3"/>
    <w:rsid w:val="004E35AF"/>
    <w:rsid w:val="004E37D7"/>
    <w:rsid w:val="004E3D58"/>
    <w:rsid w:val="004E474F"/>
    <w:rsid w:val="004E4921"/>
    <w:rsid w:val="004E49D7"/>
    <w:rsid w:val="004E4A21"/>
    <w:rsid w:val="004E4AE0"/>
    <w:rsid w:val="004E4FF9"/>
    <w:rsid w:val="004E53D7"/>
    <w:rsid w:val="004E581E"/>
    <w:rsid w:val="004E5984"/>
    <w:rsid w:val="004E5B57"/>
    <w:rsid w:val="004E5B7D"/>
    <w:rsid w:val="004E5D22"/>
    <w:rsid w:val="004E637F"/>
    <w:rsid w:val="004E65EE"/>
    <w:rsid w:val="004E664E"/>
    <w:rsid w:val="004E6978"/>
    <w:rsid w:val="004E69BA"/>
    <w:rsid w:val="004E76AD"/>
    <w:rsid w:val="004E7826"/>
    <w:rsid w:val="004E7AC9"/>
    <w:rsid w:val="004E7C49"/>
    <w:rsid w:val="004F02C7"/>
    <w:rsid w:val="004F05A5"/>
    <w:rsid w:val="004F0EEC"/>
    <w:rsid w:val="004F130A"/>
    <w:rsid w:val="004F148D"/>
    <w:rsid w:val="004F182F"/>
    <w:rsid w:val="004F187F"/>
    <w:rsid w:val="004F1895"/>
    <w:rsid w:val="004F2706"/>
    <w:rsid w:val="004F28ED"/>
    <w:rsid w:val="004F2985"/>
    <w:rsid w:val="004F2A0D"/>
    <w:rsid w:val="004F2A27"/>
    <w:rsid w:val="004F2A99"/>
    <w:rsid w:val="004F2BA8"/>
    <w:rsid w:val="004F2C39"/>
    <w:rsid w:val="004F3109"/>
    <w:rsid w:val="004F3A51"/>
    <w:rsid w:val="004F3AFC"/>
    <w:rsid w:val="004F3B77"/>
    <w:rsid w:val="004F3CDE"/>
    <w:rsid w:val="004F4269"/>
    <w:rsid w:val="004F4B00"/>
    <w:rsid w:val="004F4BE2"/>
    <w:rsid w:val="004F4DD9"/>
    <w:rsid w:val="004F4EBD"/>
    <w:rsid w:val="004F530D"/>
    <w:rsid w:val="004F7944"/>
    <w:rsid w:val="004F7F0C"/>
    <w:rsid w:val="00500A1A"/>
    <w:rsid w:val="00500B8F"/>
    <w:rsid w:val="00500DF2"/>
    <w:rsid w:val="0050142C"/>
    <w:rsid w:val="0050143A"/>
    <w:rsid w:val="005015CF"/>
    <w:rsid w:val="00501ACB"/>
    <w:rsid w:val="00501B2E"/>
    <w:rsid w:val="0050227A"/>
    <w:rsid w:val="005022C0"/>
    <w:rsid w:val="0050245C"/>
    <w:rsid w:val="00502BB8"/>
    <w:rsid w:val="005033A4"/>
    <w:rsid w:val="005042D6"/>
    <w:rsid w:val="005046D4"/>
    <w:rsid w:val="00504F56"/>
    <w:rsid w:val="0050502B"/>
    <w:rsid w:val="00505275"/>
    <w:rsid w:val="00505585"/>
    <w:rsid w:val="0050627D"/>
    <w:rsid w:val="00506A39"/>
    <w:rsid w:val="00506C9C"/>
    <w:rsid w:val="005072DD"/>
    <w:rsid w:val="005079C5"/>
    <w:rsid w:val="00507CB2"/>
    <w:rsid w:val="005103B1"/>
    <w:rsid w:val="00510412"/>
    <w:rsid w:val="005106F3"/>
    <w:rsid w:val="00510C42"/>
    <w:rsid w:val="005114DF"/>
    <w:rsid w:val="00511D66"/>
    <w:rsid w:val="00512474"/>
    <w:rsid w:val="0051274E"/>
    <w:rsid w:val="00512A3A"/>
    <w:rsid w:val="00512A7C"/>
    <w:rsid w:val="00512B39"/>
    <w:rsid w:val="00513420"/>
    <w:rsid w:val="00513D34"/>
    <w:rsid w:val="00513EE9"/>
    <w:rsid w:val="00514147"/>
    <w:rsid w:val="005142F8"/>
    <w:rsid w:val="00514555"/>
    <w:rsid w:val="00514928"/>
    <w:rsid w:val="00514F9D"/>
    <w:rsid w:val="00515394"/>
    <w:rsid w:val="005156ED"/>
    <w:rsid w:val="005160A2"/>
    <w:rsid w:val="00516797"/>
    <w:rsid w:val="0051694E"/>
    <w:rsid w:val="005169FC"/>
    <w:rsid w:val="00516BD6"/>
    <w:rsid w:val="00517108"/>
    <w:rsid w:val="00517C88"/>
    <w:rsid w:val="005203F2"/>
    <w:rsid w:val="00520701"/>
    <w:rsid w:val="00520A61"/>
    <w:rsid w:val="0052111B"/>
    <w:rsid w:val="005214C9"/>
    <w:rsid w:val="00521598"/>
    <w:rsid w:val="0052183C"/>
    <w:rsid w:val="00521AC6"/>
    <w:rsid w:val="00521FA0"/>
    <w:rsid w:val="00522376"/>
    <w:rsid w:val="0052260A"/>
    <w:rsid w:val="00522997"/>
    <w:rsid w:val="00522AD1"/>
    <w:rsid w:val="00522F3F"/>
    <w:rsid w:val="00522F53"/>
    <w:rsid w:val="00522FF3"/>
    <w:rsid w:val="005235C8"/>
    <w:rsid w:val="00523728"/>
    <w:rsid w:val="00524DF9"/>
    <w:rsid w:val="005250C0"/>
    <w:rsid w:val="005255F4"/>
    <w:rsid w:val="00525831"/>
    <w:rsid w:val="00525F36"/>
    <w:rsid w:val="00525F93"/>
    <w:rsid w:val="00525FCE"/>
    <w:rsid w:val="005266A7"/>
    <w:rsid w:val="005266C9"/>
    <w:rsid w:val="0052677E"/>
    <w:rsid w:val="005274AB"/>
    <w:rsid w:val="005279BA"/>
    <w:rsid w:val="00527E48"/>
    <w:rsid w:val="00527E4D"/>
    <w:rsid w:val="005301E8"/>
    <w:rsid w:val="00530606"/>
    <w:rsid w:val="00530A60"/>
    <w:rsid w:val="00530B2E"/>
    <w:rsid w:val="005317E6"/>
    <w:rsid w:val="0053197A"/>
    <w:rsid w:val="005319A3"/>
    <w:rsid w:val="00531C25"/>
    <w:rsid w:val="0053213E"/>
    <w:rsid w:val="00532410"/>
    <w:rsid w:val="00532524"/>
    <w:rsid w:val="005325D0"/>
    <w:rsid w:val="00532951"/>
    <w:rsid w:val="005339C9"/>
    <w:rsid w:val="00533DE5"/>
    <w:rsid w:val="00533EC7"/>
    <w:rsid w:val="00533ED1"/>
    <w:rsid w:val="0053408E"/>
    <w:rsid w:val="005349A3"/>
    <w:rsid w:val="00535497"/>
    <w:rsid w:val="00535750"/>
    <w:rsid w:val="00535A9C"/>
    <w:rsid w:val="00535C02"/>
    <w:rsid w:val="00535CA4"/>
    <w:rsid w:val="00536189"/>
    <w:rsid w:val="005363F5"/>
    <w:rsid w:val="00536640"/>
    <w:rsid w:val="005369DE"/>
    <w:rsid w:val="00536C2B"/>
    <w:rsid w:val="00536E7F"/>
    <w:rsid w:val="00537145"/>
    <w:rsid w:val="0053772A"/>
    <w:rsid w:val="00537C91"/>
    <w:rsid w:val="00537D50"/>
    <w:rsid w:val="00537E2E"/>
    <w:rsid w:val="00540C4F"/>
    <w:rsid w:val="005416AE"/>
    <w:rsid w:val="0054170B"/>
    <w:rsid w:val="00541AC6"/>
    <w:rsid w:val="00541C73"/>
    <w:rsid w:val="00541E6F"/>
    <w:rsid w:val="00541ED7"/>
    <w:rsid w:val="00542026"/>
    <w:rsid w:val="005421E0"/>
    <w:rsid w:val="0054268D"/>
    <w:rsid w:val="00542C07"/>
    <w:rsid w:val="00542ED9"/>
    <w:rsid w:val="0054375D"/>
    <w:rsid w:val="00543A83"/>
    <w:rsid w:val="00543B41"/>
    <w:rsid w:val="00543B9B"/>
    <w:rsid w:val="00543D97"/>
    <w:rsid w:val="00544099"/>
    <w:rsid w:val="00544EF1"/>
    <w:rsid w:val="00544F78"/>
    <w:rsid w:val="00545077"/>
    <w:rsid w:val="00545728"/>
    <w:rsid w:val="00545F8E"/>
    <w:rsid w:val="005464E9"/>
    <w:rsid w:val="0054685E"/>
    <w:rsid w:val="0054733C"/>
    <w:rsid w:val="0054791C"/>
    <w:rsid w:val="00547E3A"/>
    <w:rsid w:val="0055000C"/>
    <w:rsid w:val="005506A1"/>
    <w:rsid w:val="005507B6"/>
    <w:rsid w:val="00550B07"/>
    <w:rsid w:val="00550BAE"/>
    <w:rsid w:val="00550D8E"/>
    <w:rsid w:val="00550F98"/>
    <w:rsid w:val="0055115E"/>
    <w:rsid w:val="005517F0"/>
    <w:rsid w:val="00552012"/>
    <w:rsid w:val="0055246C"/>
    <w:rsid w:val="0055273C"/>
    <w:rsid w:val="00552F78"/>
    <w:rsid w:val="005547C6"/>
    <w:rsid w:val="00554D82"/>
    <w:rsid w:val="005550B6"/>
    <w:rsid w:val="005557EC"/>
    <w:rsid w:val="00555F2A"/>
    <w:rsid w:val="00555F8F"/>
    <w:rsid w:val="00555FEC"/>
    <w:rsid w:val="0055612B"/>
    <w:rsid w:val="005561F1"/>
    <w:rsid w:val="00556585"/>
    <w:rsid w:val="00556C0D"/>
    <w:rsid w:val="00556D02"/>
    <w:rsid w:val="00556F17"/>
    <w:rsid w:val="00556F2B"/>
    <w:rsid w:val="005576E4"/>
    <w:rsid w:val="00557A78"/>
    <w:rsid w:val="00557C92"/>
    <w:rsid w:val="00557DF6"/>
    <w:rsid w:val="00560154"/>
    <w:rsid w:val="00560175"/>
    <w:rsid w:val="0056038A"/>
    <w:rsid w:val="005607F6"/>
    <w:rsid w:val="00560D3E"/>
    <w:rsid w:val="00561253"/>
    <w:rsid w:val="0056147F"/>
    <w:rsid w:val="005617D9"/>
    <w:rsid w:val="005618BB"/>
    <w:rsid w:val="005621F7"/>
    <w:rsid w:val="00562B53"/>
    <w:rsid w:val="00563611"/>
    <w:rsid w:val="005636AF"/>
    <w:rsid w:val="0056378E"/>
    <w:rsid w:val="005637A8"/>
    <w:rsid w:val="00563CE2"/>
    <w:rsid w:val="00563ED4"/>
    <w:rsid w:val="005640F8"/>
    <w:rsid w:val="0056414D"/>
    <w:rsid w:val="00564787"/>
    <w:rsid w:val="0056539A"/>
    <w:rsid w:val="005655B4"/>
    <w:rsid w:val="00565B7D"/>
    <w:rsid w:val="00565BB3"/>
    <w:rsid w:val="005669A4"/>
    <w:rsid w:val="0056703B"/>
    <w:rsid w:val="0056722A"/>
    <w:rsid w:val="0056796C"/>
    <w:rsid w:val="00567A64"/>
    <w:rsid w:val="00567BB2"/>
    <w:rsid w:val="00567DB7"/>
    <w:rsid w:val="00567F04"/>
    <w:rsid w:val="005702B3"/>
    <w:rsid w:val="005707F8"/>
    <w:rsid w:val="00570B09"/>
    <w:rsid w:val="00570E55"/>
    <w:rsid w:val="005715A4"/>
    <w:rsid w:val="005719B4"/>
    <w:rsid w:val="00571EDC"/>
    <w:rsid w:val="005722AF"/>
    <w:rsid w:val="00572387"/>
    <w:rsid w:val="005724DA"/>
    <w:rsid w:val="00572674"/>
    <w:rsid w:val="005728DE"/>
    <w:rsid w:val="00572905"/>
    <w:rsid w:val="00572F3B"/>
    <w:rsid w:val="00573AC4"/>
    <w:rsid w:val="00573EC0"/>
    <w:rsid w:val="00573FB1"/>
    <w:rsid w:val="00574A47"/>
    <w:rsid w:val="005751FA"/>
    <w:rsid w:val="0057578A"/>
    <w:rsid w:val="00575820"/>
    <w:rsid w:val="00575BFE"/>
    <w:rsid w:val="0057611C"/>
    <w:rsid w:val="00576D6B"/>
    <w:rsid w:val="00576E59"/>
    <w:rsid w:val="005772B9"/>
    <w:rsid w:val="0057778E"/>
    <w:rsid w:val="00577B75"/>
    <w:rsid w:val="00577BAB"/>
    <w:rsid w:val="00577C2F"/>
    <w:rsid w:val="00577C93"/>
    <w:rsid w:val="00577EE8"/>
    <w:rsid w:val="0058006A"/>
    <w:rsid w:val="00580096"/>
    <w:rsid w:val="00580408"/>
    <w:rsid w:val="00580530"/>
    <w:rsid w:val="00580730"/>
    <w:rsid w:val="00580770"/>
    <w:rsid w:val="005808AC"/>
    <w:rsid w:val="00580C68"/>
    <w:rsid w:val="00581007"/>
    <w:rsid w:val="00581DB5"/>
    <w:rsid w:val="00582EA0"/>
    <w:rsid w:val="00583734"/>
    <w:rsid w:val="00584522"/>
    <w:rsid w:val="00584D8D"/>
    <w:rsid w:val="0058527E"/>
    <w:rsid w:val="00585565"/>
    <w:rsid w:val="005859CD"/>
    <w:rsid w:val="00585C82"/>
    <w:rsid w:val="0058627A"/>
    <w:rsid w:val="005862BB"/>
    <w:rsid w:val="005862CE"/>
    <w:rsid w:val="00586716"/>
    <w:rsid w:val="00586A91"/>
    <w:rsid w:val="00586AC4"/>
    <w:rsid w:val="00587248"/>
    <w:rsid w:val="0058768C"/>
    <w:rsid w:val="005876A4"/>
    <w:rsid w:val="00587ED4"/>
    <w:rsid w:val="00590EC3"/>
    <w:rsid w:val="00591868"/>
    <w:rsid w:val="00591D26"/>
    <w:rsid w:val="00591D7F"/>
    <w:rsid w:val="005927D2"/>
    <w:rsid w:val="00593402"/>
    <w:rsid w:val="005936CF"/>
    <w:rsid w:val="00594316"/>
    <w:rsid w:val="005943B6"/>
    <w:rsid w:val="00594499"/>
    <w:rsid w:val="0059479C"/>
    <w:rsid w:val="005957B5"/>
    <w:rsid w:val="00595A23"/>
    <w:rsid w:val="00596105"/>
    <w:rsid w:val="00596316"/>
    <w:rsid w:val="00596374"/>
    <w:rsid w:val="005966D3"/>
    <w:rsid w:val="00596F55"/>
    <w:rsid w:val="0059774D"/>
    <w:rsid w:val="00597A09"/>
    <w:rsid w:val="00597C3A"/>
    <w:rsid w:val="00597DEC"/>
    <w:rsid w:val="005A0163"/>
    <w:rsid w:val="005A0367"/>
    <w:rsid w:val="005A073A"/>
    <w:rsid w:val="005A0B3C"/>
    <w:rsid w:val="005A1227"/>
    <w:rsid w:val="005A1C30"/>
    <w:rsid w:val="005A2101"/>
    <w:rsid w:val="005A238E"/>
    <w:rsid w:val="005A2AA6"/>
    <w:rsid w:val="005A2BE1"/>
    <w:rsid w:val="005A2ED2"/>
    <w:rsid w:val="005A2FB6"/>
    <w:rsid w:val="005A3205"/>
    <w:rsid w:val="005A3483"/>
    <w:rsid w:val="005A4709"/>
    <w:rsid w:val="005A5282"/>
    <w:rsid w:val="005A5463"/>
    <w:rsid w:val="005A558C"/>
    <w:rsid w:val="005A5BAF"/>
    <w:rsid w:val="005A5BCA"/>
    <w:rsid w:val="005A5CD9"/>
    <w:rsid w:val="005A6F8D"/>
    <w:rsid w:val="005A7391"/>
    <w:rsid w:val="005A7695"/>
    <w:rsid w:val="005A7714"/>
    <w:rsid w:val="005A780E"/>
    <w:rsid w:val="005A7882"/>
    <w:rsid w:val="005A7B3E"/>
    <w:rsid w:val="005A7CDC"/>
    <w:rsid w:val="005A7DA4"/>
    <w:rsid w:val="005B0195"/>
    <w:rsid w:val="005B0229"/>
    <w:rsid w:val="005B06E4"/>
    <w:rsid w:val="005B0D15"/>
    <w:rsid w:val="005B18BE"/>
    <w:rsid w:val="005B1F35"/>
    <w:rsid w:val="005B211D"/>
    <w:rsid w:val="005B2392"/>
    <w:rsid w:val="005B27BF"/>
    <w:rsid w:val="005B2852"/>
    <w:rsid w:val="005B35B0"/>
    <w:rsid w:val="005B3695"/>
    <w:rsid w:val="005B39B9"/>
    <w:rsid w:val="005B3A7B"/>
    <w:rsid w:val="005B4064"/>
    <w:rsid w:val="005B4071"/>
    <w:rsid w:val="005B47FC"/>
    <w:rsid w:val="005B4C71"/>
    <w:rsid w:val="005B52CA"/>
    <w:rsid w:val="005B5B2E"/>
    <w:rsid w:val="005B5F67"/>
    <w:rsid w:val="005B632E"/>
    <w:rsid w:val="005B6341"/>
    <w:rsid w:val="005B6E15"/>
    <w:rsid w:val="005B6EDE"/>
    <w:rsid w:val="005B7564"/>
    <w:rsid w:val="005C014E"/>
    <w:rsid w:val="005C03B2"/>
    <w:rsid w:val="005C105E"/>
    <w:rsid w:val="005C1B34"/>
    <w:rsid w:val="005C1F44"/>
    <w:rsid w:val="005C2467"/>
    <w:rsid w:val="005C426F"/>
    <w:rsid w:val="005C44F6"/>
    <w:rsid w:val="005C482E"/>
    <w:rsid w:val="005C48B4"/>
    <w:rsid w:val="005C526E"/>
    <w:rsid w:val="005C572C"/>
    <w:rsid w:val="005C58E3"/>
    <w:rsid w:val="005C620C"/>
    <w:rsid w:val="005C6299"/>
    <w:rsid w:val="005C69EB"/>
    <w:rsid w:val="005C7701"/>
    <w:rsid w:val="005C7C21"/>
    <w:rsid w:val="005C7D89"/>
    <w:rsid w:val="005D0B7F"/>
    <w:rsid w:val="005D0C12"/>
    <w:rsid w:val="005D0C5A"/>
    <w:rsid w:val="005D1077"/>
    <w:rsid w:val="005D15F2"/>
    <w:rsid w:val="005D1A4B"/>
    <w:rsid w:val="005D1C2D"/>
    <w:rsid w:val="005D2B18"/>
    <w:rsid w:val="005D321F"/>
    <w:rsid w:val="005D330B"/>
    <w:rsid w:val="005D352D"/>
    <w:rsid w:val="005D3919"/>
    <w:rsid w:val="005D3A6F"/>
    <w:rsid w:val="005D4312"/>
    <w:rsid w:val="005D44C4"/>
    <w:rsid w:val="005D4830"/>
    <w:rsid w:val="005D4F97"/>
    <w:rsid w:val="005D51BE"/>
    <w:rsid w:val="005D5326"/>
    <w:rsid w:val="005D5945"/>
    <w:rsid w:val="005D6B4F"/>
    <w:rsid w:val="005D6EEC"/>
    <w:rsid w:val="005D7001"/>
    <w:rsid w:val="005D77E2"/>
    <w:rsid w:val="005E0560"/>
    <w:rsid w:val="005E060C"/>
    <w:rsid w:val="005E0DFE"/>
    <w:rsid w:val="005E11D3"/>
    <w:rsid w:val="005E1246"/>
    <w:rsid w:val="005E1454"/>
    <w:rsid w:val="005E218B"/>
    <w:rsid w:val="005E258D"/>
    <w:rsid w:val="005E278A"/>
    <w:rsid w:val="005E28E2"/>
    <w:rsid w:val="005E29B9"/>
    <w:rsid w:val="005E2C84"/>
    <w:rsid w:val="005E2F94"/>
    <w:rsid w:val="005E310B"/>
    <w:rsid w:val="005E36C4"/>
    <w:rsid w:val="005E3913"/>
    <w:rsid w:val="005E433C"/>
    <w:rsid w:val="005E4534"/>
    <w:rsid w:val="005E4982"/>
    <w:rsid w:val="005E4C1B"/>
    <w:rsid w:val="005E4C83"/>
    <w:rsid w:val="005E5190"/>
    <w:rsid w:val="005E527F"/>
    <w:rsid w:val="005E58ED"/>
    <w:rsid w:val="005E5FBE"/>
    <w:rsid w:val="005E6206"/>
    <w:rsid w:val="005E651C"/>
    <w:rsid w:val="005E6D31"/>
    <w:rsid w:val="005E77D3"/>
    <w:rsid w:val="005E7BED"/>
    <w:rsid w:val="005E7E35"/>
    <w:rsid w:val="005E7FA6"/>
    <w:rsid w:val="005F035D"/>
    <w:rsid w:val="005F0B16"/>
    <w:rsid w:val="005F0D8C"/>
    <w:rsid w:val="005F0E51"/>
    <w:rsid w:val="005F145D"/>
    <w:rsid w:val="005F1DD5"/>
    <w:rsid w:val="005F2201"/>
    <w:rsid w:val="005F28F9"/>
    <w:rsid w:val="005F2BFF"/>
    <w:rsid w:val="005F2E51"/>
    <w:rsid w:val="005F3015"/>
    <w:rsid w:val="005F3465"/>
    <w:rsid w:val="005F393D"/>
    <w:rsid w:val="005F3B4D"/>
    <w:rsid w:val="005F3C83"/>
    <w:rsid w:val="005F41A2"/>
    <w:rsid w:val="005F41B2"/>
    <w:rsid w:val="005F42EA"/>
    <w:rsid w:val="005F448D"/>
    <w:rsid w:val="005F471B"/>
    <w:rsid w:val="005F48B6"/>
    <w:rsid w:val="005F517F"/>
    <w:rsid w:val="005F5541"/>
    <w:rsid w:val="005F6003"/>
    <w:rsid w:val="005F6572"/>
    <w:rsid w:val="005F6745"/>
    <w:rsid w:val="005F67B4"/>
    <w:rsid w:val="005F69DB"/>
    <w:rsid w:val="005F6AD4"/>
    <w:rsid w:val="005F6F56"/>
    <w:rsid w:val="005F7D75"/>
    <w:rsid w:val="005F7F03"/>
    <w:rsid w:val="006003B3"/>
    <w:rsid w:val="00600E38"/>
    <w:rsid w:val="00601376"/>
    <w:rsid w:val="006013CB"/>
    <w:rsid w:val="00601A3D"/>
    <w:rsid w:val="00601D9B"/>
    <w:rsid w:val="006028BD"/>
    <w:rsid w:val="00602EAA"/>
    <w:rsid w:val="00602F1A"/>
    <w:rsid w:val="006033A9"/>
    <w:rsid w:val="00603A45"/>
    <w:rsid w:val="00604002"/>
    <w:rsid w:val="006049B6"/>
    <w:rsid w:val="00604B1F"/>
    <w:rsid w:val="00604CFF"/>
    <w:rsid w:val="00604F06"/>
    <w:rsid w:val="00605567"/>
    <w:rsid w:val="006058C4"/>
    <w:rsid w:val="006064A1"/>
    <w:rsid w:val="0060681E"/>
    <w:rsid w:val="00606BE6"/>
    <w:rsid w:val="006103EB"/>
    <w:rsid w:val="00610567"/>
    <w:rsid w:val="0061064E"/>
    <w:rsid w:val="006108C3"/>
    <w:rsid w:val="0061120A"/>
    <w:rsid w:val="00611364"/>
    <w:rsid w:val="00611614"/>
    <w:rsid w:val="00611FE1"/>
    <w:rsid w:val="006121FA"/>
    <w:rsid w:val="0061266E"/>
    <w:rsid w:val="006126B3"/>
    <w:rsid w:val="00612832"/>
    <w:rsid w:val="00612959"/>
    <w:rsid w:val="00612C46"/>
    <w:rsid w:val="00612D28"/>
    <w:rsid w:val="006130D4"/>
    <w:rsid w:val="0061335F"/>
    <w:rsid w:val="006134F6"/>
    <w:rsid w:val="00614188"/>
    <w:rsid w:val="0061517A"/>
    <w:rsid w:val="00615799"/>
    <w:rsid w:val="00615AD2"/>
    <w:rsid w:val="00615C9C"/>
    <w:rsid w:val="00615FEA"/>
    <w:rsid w:val="0061631C"/>
    <w:rsid w:val="0061687B"/>
    <w:rsid w:val="006176EA"/>
    <w:rsid w:val="006206C5"/>
    <w:rsid w:val="006208E6"/>
    <w:rsid w:val="00620FB1"/>
    <w:rsid w:val="006214BF"/>
    <w:rsid w:val="00621613"/>
    <w:rsid w:val="00621653"/>
    <w:rsid w:val="00621DA5"/>
    <w:rsid w:val="00621F8E"/>
    <w:rsid w:val="006223A4"/>
    <w:rsid w:val="00622873"/>
    <w:rsid w:val="00622AD0"/>
    <w:rsid w:val="006244A3"/>
    <w:rsid w:val="00624591"/>
    <w:rsid w:val="006245C6"/>
    <w:rsid w:val="00624A78"/>
    <w:rsid w:val="006252B9"/>
    <w:rsid w:val="0062539C"/>
    <w:rsid w:val="006255AC"/>
    <w:rsid w:val="0062598B"/>
    <w:rsid w:val="00625AA2"/>
    <w:rsid w:val="00625D19"/>
    <w:rsid w:val="00625D5D"/>
    <w:rsid w:val="00625EAB"/>
    <w:rsid w:val="0062620B"/>
    <w:rsid w:val="00626358"/>
    <w:rsid w:val="0062685C"/>
    <w:rsid w:val="00626ABF"/>
    <w:rsid w:val="00626B6E"/>
    <w:rsid w:val="00626C60"/>
    <w:rsid w:val="00626FD3"/>
    <w:rsid w:val="00627270"/>
    <w:rsid w:val="006277EE"/>
    <w:rsid w:val="00627A38"/>
    <w:rsid w:val="00627A89"/>
    <w:rsid w:val="006303DA"/>
    <w:rsid w:val="0063048E"/>
    <w:rsid w:val="00630A6D"/>
    <w:rsid w:val="00630AF6"/>
    <w:rsid w:val="00630B28"/>
    <w:rsid w:val="006310B1"/>
    <w:rsid w:val="006312F3"/>
    <w:rsid w:val="00631301"/>
    <w:rsid w:val="006316F2"/>
    <w:rsid w:val="00631C49"/>
    <w:rsid w:val="0063265D"/>
    <w:rsid w:val="00632BC5"/>
    <w:rsid w:val="00632C85"/>
    <w:rsid w:val="00633BA5"/>
    <w:rsid w:val="00633BAF"/>
    <w:rsid w:val="0063409C"/>
    <w:rsid w:val="0063442A"/>
    <w:rsid w:val="0063448F"/>
    <w:rsid w:val="0063452E"/>
    <w:rsid w:val="00634920"/>
    <w:rsid w:val="00634C6E"/>
    <w:rsid w:val="0063514C"/>
    <w:rsid w:val="006352BB"/>
    <w:rsid w:val="006353F2"/>
    <w:rsid w:val="00635405"/>
    <w:rsid w:val="0063568A"/>
    <w:rsid w:val="006357C6"/>
    <w:rsid w:val="00635A28"/>
    <w:rsid w:val="00636010"/>
    <w:rsid w:val="00636252"/>
    <w:rsid w:val="00636318"/>
    <w:rsid w:val="006364A0"/>
    <w:rsid w:val="006367A0"/>
    <w:rsid w:val="006368D7"/>
    <w:rsid w:val="00637472"/>
    <w:rsid w:val="0063796B"/>
    <w:rsid w:val="00637FED"/>
    <w:rsid w:val="006407FF"/>
    <w:rsid w:val="00640B3F"/>
    <w:rsid w:val="006414DC"/>
    <w:rsid w:val="00641CC1"/>
    <w:rsid w:val="006423C0"/>
    <w:rsid w:val="0064244B"/>
    <w:rsid w:val="00642788"/>
    <w:rsid w:val="006428D0"/>
    <w:rsid w:val="00642B2B"/>
    <w:rsid w:val="006438FE"/>
    <w:rsid w:val="00643966"/>
    <w:rsid w:val="00643EF7"/>
    <w:rsid w:val="00645A0A"/>
    <w:rsid w:val="00645A9F"/>
    <w:rsid w:val="00645E00"/>
    <w:rsid w:val="00645F6C"/>
    <w:rsid w:val="00646055"/>
    <w:rsid w:val="006469AA"/>
    <w:rsid w:val="00647AD9"/>
    <w:rsid w:val="00647E1F"/>
    <w:rsid w:val="00647FE3"/>
    <w:rsid w:val="006502AF"/>
    <w:rsid w:val="0065054B"/>
    <w:rsid w:val="006508A6"/>
    <w:rsid w:val="00650D2A"/>
    <w:rsid w:val="00650F25"/>
    <w:rsid w:val="006512C4"/>
    <w:rsid w:val="0065154C"/>
    <w:rsid w:val="006518AC"/>
    <w:rsid w:val="00652BD9"/>
    <w:rsid w:val="00653294"/>
    <w:rsid w:val="006535C8"/>
    <w:rsid w:val="00653948"/>
    <w:rsid w:val="00653AB6"/>
    <w:rsid w:val="0065459C"/>
    <w:rsid w:val="00654D16"/>
    <w:rsid w:val="006550C1"/>
    <w:rsid w:val="0065558C"/>
    <w:rsid w:val="00655758"/>
    <w:rsid w:val="006559DA"/>
    <w:rsid w:val="00655B9D"/>
    <w:rsid w:val="00656B40"/>
    <w:rsid w:val="00656CBB"/>
    <w:rsid w:val="00656DA1"/>
    <w:rsid w:val="00656F05"/>
    <w:rsid w:val="006570AE"/>
    <w:rsid w:val="006576E3"/>
    <w:rsid w:val="006579A4"/>
    <w:rsid w:val="00660167"/>
    <w:rsid w:val="006606D0"/>
    <w:rsid w:val="006608BD"/>
    <w:rsid w:val="006613D1"/>
    <w:rsid w:val="006614DA"/>
    <w:rsid w:val="006615C8"/>
    <w:rsid w:val="00661989"/>
    <w:rsid w:val="0066278E"/>
    <w:rsid w:val="00662D3D"/>
    <w:rsid w:val="006640E0"/>
    <w:rsid w:val="0066422B"/>
    <w:rsid w:val="006642E3"/>
    <w:rsid w:val="0066468D"/>
    <w:rsid w:val="00664BAE"/>
    <w:rsid w:val="00665516"/>
    <w:rsid w:val="0066587B"/>
    <w:rsid w:val="00665AC8"/>
    <w:rsid w:val="00665E01"/>
    <w:rsid w:val="00665E45"/>
    <w:rsid w:val="00665EA0"/>
    <w:rsid w:val="00665FAC"/>
    <w:rsid w:val="00666992"/>
    <w:rsid w:val="006669D4"/>
    <w:rsid w:val="00666A76"/>
    <w:rsid w:val="006674A2"/>
    <w:rsid w:val="00667627"/>
    <w:rsid w:val="00667B10"/>
    <w:rsid w:val="00667E02"/>
    <w:rsid w:val="00667E9E"/>
    <w:rsid w:val="00670138"/>
    <w:rsid w:val="006703D0"/>
    <w:rsid w:val="00670466"/>
    <w:rsid w:val="00670823"/>
    <w:rsid w:val="00670B57"/>
    <w:rsid w:val="00670C06"/>
    <w:rsid w:val="00670C95"/>
    <w:rsid w:val="00671017"/>
    <w:rsid w:val="00671EF0"/>
    <w:rsid w:val="00672486"/>
    <w:rsid w:val="00672DD1"/>
    <w:rsid w:val="00672EC3"/>
    <w:rsid w:val="00673CE8"/>
    <w:rsid w:val="00673DBE"/>
    <w:rsid w:val="00674C8F"/>
    <w:rsid w:val="00675432"/>
    <w:rsid w:val="00675B3D"/>
    <w:rsid w:val="00675D07"/>
    <w:rsid w:val="00675E8C"/>
    <w:rsid w:val="00677513"/>
    <w:rsid w:val="0067783C"/>
    <w:rsid w:val="00677E08"/>
    <w:rsid w:val="00680080"/>
    <w:rsid w:val="00680685"/>
    <w:rsid w:val="006806D3"/>
    <w:rsid w:val="006809A4"/>
    <w:rsid w:val="00681937"/>
    <w:rsid w:val="00681BB9"/>
    <w:rsid w:val="006820B2"/>
    <w:rsid w:val="006820C5"/>
    <w:rsid w:val="00682175"/>
    <w:rsid w:val="0068219D"/>
    <w:rsid w:val="006827E0"/>
    <w:rsid w:val="0068291C"/>
    <w:rsid w:val="00682A53"/>
    <w:rsid w:val="00682B6A"/>
    <w:rsid w:val="00682D89"/>
    <w:rsid w:val="00682E0D"/>
    <w:rsid w:val="0068307F"/>
    <w:rsid w:val="006830DD"/>
    <w:rsid w:val="0068369F"/>
    <w:rsid w:val="00683743"/>
    <w:rsid w:val="0068382C"/>
    <w:rsid w:val="00683A9C"/>
    <w:rsid w:val="00683BC5"/>
    <w:rsid w:val="00683DBA"/>
    <w:rsid w:val="006843B8"/>
    <w:rsid w:val="00684999"/>
    <w:rsid w:val="00684B3A"/>
    <w:rsid w:val="00685432"/>
    <w:rsid w:val="006856A7"/>
    <w:rsid w:val="0068641E"/>
    <w:rsid w:val="0068646D"/>
    <w:rsid w:val="006866E3"/>
    <w:rsid w:val="006868FC"/>
    <w:rsid w:val="00686B65"/>
    <w:rsid w:val="00686D80"/>
    <w:rsid w:val="00687718"/>
    <w:rsid w:val="00687FFB"/>
    <w:rsid w:val="0069012A"/>
    <w:rsid w:val="006903B1"/>
    <w:rsid w:val="00690501"/>
    <w:rsid w:val="00690B13"/>
    <w:rsid w:val="00691110"/>
    <w:rsid w:val="0069115B"/>
    <w:rsid w:val="006914F8"/>
    <w:rsid w:val="006915DE"/>
    <w:rsid w:val="00691D2F"/>
    <w:rsid w:val="006921E6"/>
    <w:rsid w:val="00692602"/>
    <w:rsid w:val="00692B95"/>
    <w:rsid w:val="0069368E"/>
    <w:rsid w:val="006942C2"/>
    <w:rsid w:val="006946F3"/>
    <w:rsid w:val="00694786"/>
    <w:rsid w:val="0069489D"/>
    <w:rsid w:val="00694ECB"/>
    <w:rsid w:val="006957EB"/>
    <w:rsid w:val="00695D69"/>
    <w:rsid w:val="006963FC"/>
    <w:rsid w:val="00696695"/>
    <w:rsid w:val="00696B9B"/>
    <w:rsid w:val="00696D59"/>
    <w:rsid w:val="0069710B"/>
    <w:rsid w:val="00697C0E"/>
    <w:rsid w:val="006A05E3"/>
    <w:rsid w:val="006A249E"/>
    <w:rsid w:val="006A2559"/>
    <w:rsid w:val="006A2C75"/>
    <w:rsid w:val="006A3810"/>
    <w:rsid w:val="006A4914"/>
    <w:rsid w:val="006A4AFB"/>
    <w:rsid w:val="006A51F9"/>
    <w:rsid w:val="006A54B4"/>
    <w:rsid w:val="006A5802"/>
    <w:rsid w:val="006A596D"/>
    <w:rsid w:val="006A599D"/>
    <w:rsid w:val="006A5E95"/>
    <w:rsid w:val="006A610C"/>
    <w:rsid w:val="006A611E"/>
    <w:rsid w:val="006A62A7"/>
    <w:rsid w:val="006A6A9E"/>
    <w:rsid w:val="006A6D78"/>
    <w:rsid w:val="006A79F2"/>
    <w:rsid w:val="006A7C21"/>
    <w:rsid w:val="006A7CF4"/>
    <w:rsid w:val="006B0293"/>
    <w:rsid w:val="006B0548"/>
    <w:rsid w:val="006B0A04"/>
    <w:rsid w:val="006B181B"/>
    <w:rsid w:val="006B1B7F"/>
    <w:rsid w:val="006B1E13"/>
    <w:rsid w:val="006B2013"/>
    <w:rsid w:val="006B27B7"/>
    <w:rsid w:val="006B2827"/>
    <w:rsid w:val="006B368D"/>
    <w:rsid w:val="006B39F5"/>
    <w:rsid w:val="006B3C52"/>
    <w:rsid w:val="006B3F2D"/>
    <w:rsid w:val="006B4E1D"/>
    <w:rsid w:val="006B4F6A"/>
    <w:rsid w:val="006B4F76"/>
    <w:rsid w:val="006B4FD8"/>
    <w:rsid w:val="006B52AF"/>
    <w:rsid w:val="006B5629"/>
    <w:rsid w:val="006B5925"/>
    <w:rsid w:val="006B67FA"/>
    <w:rsid w:val="006B7273"/>
    <w:rsid w:val="006C02BA"/>
    <w:rsid w:val="006C0E7E"/>
    <w:rsid w:val="006C181C"/>
    <w:rsid w:val="006C196B"/>
    <w:rsid w:val="006C1A36"/>
    <w:rsid w:val="006C1B1C"/>
    <w:rsid w:val="006C1B8E"/>
    <w:rsid w:val="006C1BC1"/>
    <w:rsid w:val="006C1CB1"/>
    <w:rsid w:val="006C1F00"/>
    <w:rsid w:val="006C2606"/>
    <w:rsid w:val="006C2923"/>
    <w:rsid w:val="006C2D0C"/>
    <w:rsid w:val="006C32E6"/>
    <w:rsid w:val="006C35A3"/>
    <w:rsid w:val="006C3698"/>
    <w:rsid w:val="006C3AA6"/>
    <w:rsid w:val="006C4102"/>
    <w:rsid w:val="006C42C2"/>
    <w:rsid w:val="006C4582"/>
    <w:rsid w:val="006C45A0"/>
    <w:rsid w:val="006C4C7C"/>
    <w:rsid w:val="006C4FAE"/>
    <w:rsid w:val="006C4FD9"/>
    <w:rsid w:val="006C5B17"/>
    <w:rsid w:val="006C6072"/>
    <w:rsid w:val="006C617C"/>
    <w:rsid w:val="006C6690"/>
    <w:rsid w:val="006C7027"/>
    <w:rsid w:val="006C70CC"/>
    <w:rsid w:val="006C7EE9"/>
    <w:rsid w:val="006D0795"/>
    <w:rsid w:val="006D136F"/>
    <w:rsid w:val="006D1842"/>
    <w:rsid w:val="006D1D18"/>
    <w:rsid w:val="006D2049"/>
    <w:rsid w:val="006D2370"/>
    <w:rsid w:val="006D2C73"/>
    <w:rsid w:val="006D2EE4"/>
    <w:rsid w:val="006D3A59"/>
    <w:rsid w:val="006D41A0"/>
    <w:rsid w:val="006D43CA"/>
    <w:rsid w:val="006D4FAC"/>
    <w:rsid w:val="006D590B"/>
    <w:rsid w:val="006D5911"/>
    <w:rsid w:val="006D6763"/>
    <w:rsid w:val="006D67FD"/>
    <w:rsid w:val="006D6807"/>
    <w:rsid w:val="006D6B6D"/>
    <w:rsid w:val="006D6EC5"/>
    <w:rsid w:val="006D7202"/>
    <w:rsid w:val="006D796D"/>
    <w:rsid w:val="006D7B3E"/>
    <w:rsid w:val="006D7BED"/>
    <w:rsid w:val="006E037C"/>
    <w:rsid w:val="006E0441"/>
    <w:rsid w:val="006E0BA9"/>
    <w:rsid w:val="006E141A"/>
    <w:rsid w:val="006E1F90"/>
    <w:rsid w:val="006E2A3A"/>
    <w:rsid w:val="006E2A88"/>
    <w:rsid w:val="006E3197"/>
    <w:rsid w:val="006E3851"/>
    <w:rsid w:val="006E3853"/>
    <w:rsid w:val="006E3B0E"/>
    <w:rsid w:val="006E3CBA"/>
    <w:rsid w:val="006E3DF5"/>
    <w:rsid w:val="006E3E42"/>
    <w:rsid w:val="006E4088"/>
    <w:rsid w:val="006E40C1"/>
    <w:rsid w:val="006E4128"/>
    <w:rsid w:val="006E419D"/>
    <w:rsid w:val="006E426A"/>
    <w:rsid w:val="006E4871"/>
    <w:rsid w:val="006E4A87"/>
    <w:rsid w:val="006E582F"/>
    <w:rsid w:val="006E5B14"/>
    <w:rsid w:val="006E6A69"/>
    <w:rsid w:val="006E6CD8"/>
    <w:rsid w:val="006E709F"/>
    <w:rsid w:val="006E732F"/>
    <w:rsid w:val="006E7929"/>
    <w:rsid w:val="006E7EA0"/>
    <w:rsid w:val="006F0051"/>
    <w:rsid w:val="006F0E20"/>
    <w:rsid w:val="006F0FF1"/>
    <w:rsid w:val="006F106B"/>
    <w:rsid w:val="006F13A5"/>
    <w:rsid w:val="006F1845"/>
    <w:rsid w:val="006F1BAB"/>
    <w:rsid w:val="006F1D31"/>
    <w:rsid w:val="006F2142"/>
    <w:rsid w:val="006F2256"/>
    <w:rsid w:val="006F2339"/>
    <w:rsid w:val="006F274B"/>
    <w:rsid w:val="006F28D6"/>
    <w:rsid w:val="006F305C"/>
    <w:rsid w:val="006F308D"/>
    <w:rsid w:val="006F36E4"/>
    <w:rsid w:val="006F37AA"/>
    <w:rsid w:val="006F3972"/>
    <w:rsid w:val="006F3AFD"/>
    <w:rsid w:val="006F3C04"/>
    <w:rsid w:val="006F461E"/>
    <w:rsid w:val="006F47AD"/>
    <w:rsid w:val="006F493B"/>
    <w:rsid w:val="006F4CD7"/>
    <w:rsid w:val="006F52C8"/>
    <w:rsid w:val="006F5941"/>
    <w:rsid w:val="006F5BFD"/>
    <w:rsid w:val="006F6033"/>
    <w:rsid w:val="006F6400"/>
    <w:rsid w:val="006F67CB"/>
    <w:rsid w:val="006F69A5"/>
    <w:rsid w:val="006F7150"/>
    <w:rsid w:val="006F785E"/>
    <w:rsid w:val="006F7A48"/>
    <w:rsid w:val="006F7F79"/>
    <w:rsid w:val="00700206"/>
    <w:rsid w:val="007004A4"/>
    <w:rsid w:val="007008FA"/>
    <w:rsid w:val="00700A21"/>
    <w:rsid w:val="00700B85"/>
    <w:rsid w:val="00700C8A"/>
    <w:rsid w:val="00700D7C"/>
    <w:rsid w:val="007013C0"/>
    <w:rsid w:val="0070195A"/>
    <w:rsid w:val="00701E91"/>
    <w:rsid w:val="0070216B"/>
    <w:rsid w:val="0070216C"/>
    <w:rsid w:val="007025A5"/>
    <w:rsid w:val="007025D1"/>
    <w:rsid w:val="00703923"/>
    <w:rsid w:val="00703A93"/>
    <w:rsid w:val="00703E07"/>
    <w:rsid w:val="007050EF"/>
    <w:rsid w:val="007051F8"/>
    <w:rsid w:val="007059DF"/>
    <w:rsid w:val="00705E93"/>
    <w:rsid w:val="0070606B"/>
    <w:rsid w:val="00706B5E"/>
    <w:rsid w:val="00706CD8"/>
    <w:rsid w:val="00707864"/>
    <w:rsid w:val="007079DE"/>
    <w:rsid w:val="00707A93"/>
    <w:rsid w:val="00710283"/>
    <w:rsid w:val="0071098E"/>
    <w:rsid w:val="00710FE1"/>
    <w:rsid w:val="0071172A"/>
    <w:rsid w:val="00711A1A"/>
    <w:rsid w:val="00711CD6"/>
    <w:rsid w:val="00711D15"/>
    <w:rsid w:val="00711D58"/>
    <w:rsid w:val="00711FFD"/>
    <w:rsid w:val="0071268B"/>
    <w:rsid w:val="00712CFE"/>
    <w:rsid w:val="00713559"/>
    <w:rsid w:val="00713660"/>
    <w:rsid w:val="0071368B"/>
    <w:rsid w:val="007137D1"/>
    <w:rsid w:val="00714748"/>
    <w:rsid w:val="0071495C"/>
    <w:rsid w:val="00715559"/>
    <w:rsid w:val="00715E49"/>
    <w:rsid w:val="00715EDA"/>
    <w:rsid w:val="00715F88"/>
    <w:rsid w:val="00716178"/>
    <w:rsid w:val="00716624"/>
    <w:rsid w:val="0071668C"/>
    <w:rsid w:val="00716F75"/>
    <w:rsid w:val="007175F4"/>
    <w:rsid w:val="00717C81"/>
    <w:rsid w:val="00717C85"/>
    <w:rsid w:val="00720284"/>
    <w:rsid w:val="00720382"/>
    <w:rsid w:val="00720790"/>
    <w:rsid w:val="00720BB0"/>
    <w:rsid w:val="00720D28"/>
    <w:rsid w:val="00720F89"/>
    <w:rsid w:val="00720FA6"/>
    <w:rsid w:val="0072141E"/>
    <w:rsid w:val="007214E4"/>
    <w:rsid w:val="00721613"/>
    <w:rsid w:val="00721FA5"/>
    <w:rsid w:val="00722F3B"/>
    <w:rsid w:val="0072303C"/>
    <w:rsid w:val="007230A0"/>
    <w:rsid w:val="007233AF"/>
    <w:rsid w:val="0072349E"/>
    <w:rsid w:val="007236DC"/>
    <w:rsid w:val="00723C31"/>
    <w:rsid w:val="00723EA4"/>
    <w:rsid w:val="00724288"/>
    <w:rsid w:val="0072475F"/>
    <w:rsid w:val="00724A3C"/>
    <w:rsid w:val="00724A92"/>
    <w:rsid w:val="00724D5D"/>
    <w:rsid w:val="00724E46"/>
    <w:rsid w:val="00724EBC"/>
    <w:rsid w:val="0072518E"/>
    <w:rsid w:val="007259BD"/>
    <w:rsid w:val="00726406"/>
    <w:rsid w:val="00730ABC"/>
    <w:rsid w:val="00730B4A"/>
    <w:rsid w:val="007315E7"/>
    <w:rsid w:val="007316A3"/>
    <w:rsid w:val="0073194E"/>
    <w:rsid w:val="00731A35"/>
    <w:rsid w:val="00731C11"/>
    <w:rsid w:val="00732144"/>
    <w:rsid w:val="00732217"/>
    <w:rsid w:val="00732600"/>
    <w:rsid w:val="00732712"/>
    <w:rsid w:val="00732957"/>
    <w:rsid w:val="00732F43"/>
    <w:rsid w:val="00732F48"/>
    <w:rsid w:val="007330FE"/>
    <w:rsid w:val="00733258"/>
    <w:rsid w:val="0073393D"/>
    <w:rsid w:val="00733A97"/>
    <w:rsid w:val="0073479D"/>
    <w:rsid w:val="00734DFD"/>
    <w:rsid w:val="00734E23"/>
    <w:rsid w:val="0073518C"/>
    <w:rsid w:val="00735223"/>
    <w:rsid w:val="00735640"/>
    <w:rsid w:val="00736733"/>
    <w:rsid w:val="0073673A"/>
    <w:rsid w:val="00736B97"/>
    <w:rsid w:val="00736DBB"/>
    <w:rsid w:val="0073717A"/>
    <w:rsid w:val="00740309"/>
    <w:rsid w:val="00740665"/>
    <w:rsid w:val="00740E60"/>
    <w:rsid w:val="00740F26"/>
    <w:rsid w:val="00742203"/>
    <w:rsid w:val="007424B3"/>
    <w:rsid w:val="00742AEE"/>
    <w:rsid w:val="00742B38"/>
    <w:rsid w:val="00742B41"/>
    <w:rsid w:val="00743544"/>
    <w:rsid w:val="007440E9"/>
    <w:rsid w:val="00745935"/>
    <w:rsid w:val="007464D5"/>
    <w:rsid w:val="00746B6A"/>
    <w:rsid w:val="00746FD3"/>
    <w:rsid w:val="00747168"/>
    <w:rsid w:val="007471CE"/>
    <w:rsid w:val="0074731A"/>
    <w:rsid w:val="007473E3"/>
    <w:rsid w:val="00747952"/>
    <w:rsid w:val="00747ABB"/>
    <w:rsid w:val="00747FC1"/>
    <w:rsid w:val="0075064F"/>
    <w:rsid w:val="0075070A"/>
    <w:rsid w:val="00750BD1"/>
    <w:rsid w:val="007510AE"/>
    <w:rsid w:val="007513A1"/>
    <w:rsid w:val="007517C6"/>
    <w:rsid w:val="00751975"/>
    <w:rsid w:val="00751D79"/>
    <w:rsid w:val="007521FF"/>
    <w:rsid w:val="007523E4"/>
    <w:rsid w:val="00752429"/>
    <w:rsid w:val="00752D03"/>
    <w:rsid w:val="00752DE4"/>
    <w:rsid w:val="00753293"/>
    <w:rsid w:val="00753CC9"/>
    <w:rsid w:val="00754034"/>
    <w:rsid w:val="00754180"/>
    <w:rsid w:val="0075427C"/>
    <w:rsid w:val="007543AB"/>
    <w:rsid w:val="00754723"/>
    <w:rsid w:val="00754C5D"/>
    <w:rsid w:val="007556C7"/>
    <w:rsid w:val="00755803"/>
    <w:rsid w:val="007561BC"/>
    <w:rsid w:val="007562D2"/>
    <w:rsid w:val="007570EC"/>
    <w:rsid w:val="00757417"/>
    <w:rsid w:val="007579EE"/>
    <w:rsid w:val="00757B4A"/>
    <w:rsid w:val="0076005F"/>
    <w:rsid w:val="007603C5"/>
    <w:rsid w:val="00760419"/>
    <w:rsid w:val="00760446"/>
    <w:rsid w:val="00760587"/>
    <w:rsid w:val="0076097B"/>
    <w:rsid w:val="00760A49"/>
    <w:rsid w:val="00760D3A"/>
    <w:rsid w:val="00761042"/>
    <w:rsid w:val="00761BD3"/>
    <w:rsid w:val="00761CDB"/>
    <w:rsid w:val="00762199"/>
    <w:rsid w:val="007622B3"/>
    <w:rsid w:val="00762C7E"/>
    <w:rsid w:val="0076309E"/>
    <w:rsid w:val="007632CF"/>
    <w:rsid w:val="007633A8"/>
    <w:rsid w:val="00763414"/>
    <w:rsid w:val="00763642"/>
    <w:rsid w:val="00763EFB"/>
    <w:rsid w:val="0076454B"/>
    <w:rsid w:val="00764918"/>
    <w:rsid w:val="007649D2"/>
    <w:rsid w:val="00764C3E"/>
    <w:rsid w:val="00765163"/>
    <w:rsid w:val="007654AE"/>
    <w:rsid w:val="00765713"/>
    <w:rsid w:val="0076581D"/>
    <w:rsid w:val="007675DE"/>
    <w:rsid w:val="0077065D"/>
    <w:rsid w:val="00770843"/>
    <w:rsid w:val="0077088A"/>
    <w:rsid w:val="00770B83"/>
    <w:rsid w:val="00770DC8"/>
    <w:rsid w:val="00772100"/>
    <w:rsid w:val="007721B5"/>
    <w:rsid w:val="007721C5"/>
    <w:rsid w:val="0077331E"/>
    <w:rsid w:val="007739AC"/>
    <w:rsid w:val="00773D8B"/>
    <w:rsid w:val="00774221"/>
    <w:rsid w:val="007744DE"/>
    <w:rsid w:val="00774618"/>
    <w:rsid w:val="00774B54"/>
    <w:rsid w:val="00774B5E"/>
    <w:rsid w:val="00774B94"/>
    <w:rsid w:val="00774DE4"/>
    <w:rsid w:val="00774EC9"/>
    <w:rsid w:val="0077509F"/>
    <w:rsid w:val="00775366"/>
    <w:rsid w:val="0077552E"/>
    <w:rsid w:val="00775EE3"/>
    <w:rsid w:val="00776AC9"/>
    <w:rsid w:val="00780054"/>
    <w:rsid w:val="00780619"/>
    <w:rsid w:val="00780DCC"/>
    <w:rsid w:val="007817B5"/>
    <w:rsid w:val="00781B50"/>
    <w:rsid w:val="00781DEC"/>
    <w:rsid w:val="00781FB8"/>
    <w:rsid w:val="00782108"/>
    <w:rsid w:val="00782B38"/>
    <w:rsid w:val="00782B8A"/>
    <w:rsid w:val="0078365D"/>
    <w:rsid w:val="00783755"/>
    <w:rsid w:val="007838CE"/>
    <w:rsid w:val="00783D91"/>
    <w:rsid w:val="007846E7"/>
    <w:rsid w:val="00784852"/>
    <w:rsid w:val="007848E4"/>
    <w:rsid w:val="00784D5B"/>
    <w:rsid w:val="00785427"/>
    <w:rsid w:val="0078689A"/>
    <w:rsid w:val="00786926"/>
    <w:rsid w:val="00786946"/>
    <w:rsid w:val="00786B61"/>
    <w:rsid w:val="00787406"/>
    <w:rsid w:val="007877D6"/>
    <w:rsid w:val="007878A9"/>
    <w:rsid w:val="00787CD1"/>
    <w:rsid w:val="00787D88"/>
    <w:rsid w:val="007902F4"/>
    <w:rsid w:val="00790848"/>
    <w:rsid w:val="0079099A"/>
    <w:rsid w:val="00790AE5"/>
    <w:rsid w:val="00790E66"/>
    <w:rsid w:val="00791151"/>
    <w:rsid w:val="007911A4"/>
    <w:rsid w:val="007917D9"/>
    <w:rsid w:val="00791A8A"/>
    <w:rsid w:val="00791C9A"/>
    <w:rsid w:val="00792938"/>
    <w:rsid w:val="00792BF6"/>
    <w:rsid w:val="00792DAD"/>
    <w:rsid w:val="00792E9A"/>
    <w:rsid w:val="00793099"/>
    <w:rsid w:val="007934EC"/>
    <w:rsid w:val="00793791"/>
    <w:rsid w:val="007938D0"/>
    <w:rsid w:val="00793A57"/>
    <w:rsid w:val="00794E5C"/>
    <w:rsid w:val="00794EF4"/>
    <w:rsid w:val="00794FA3"/>
    <w:rsid w:val="007952E3"/>
    <w:rsid w:val="00795499"/>
    <w:rsid w:val="007956DE"/>
    <w:rsid w:val="00796317"/>
    <w:rsid w:val="00796397"/>
    <w:rsid w:val="00796666"/>
    <w:rsid w:val="00796807"/>
    <w:rsid w:val="00796CD0"/>
    <w:rsid w:val="0079709B"/>
    <w:rsid w:val="007977D2"/>
    <w:rsid w:val="00797CB0"/>
    <w:rsid w:val="007A0B1C"/>
    <w:rsid w:val="007A0CCB"/>
    <w:rsid w:val="007A13F6"/>
    <w:rsid w:val="007A1511"/>
    <w:rsid w:val="007A2ABF"/>
    <w:rsid w:val="007A2DD2"/>
    <w:rsid w:val="007A3144"/>
    <w:rsid w:val="007A525A"/>
    <w:rsid w:val="007A5377"/>
    <w:rsid w:val="007A53A9"/>
    <w:rsid w:val="007A591A"/>
    <w:rsid w:val="007A5C67"/>
    <w:rsid w:val="007A62E1"/>
    <w:rsid w:val="007A746B"/>
    <w:rsid w:val="007A7CEA"/>
    <w:rsid w:val="007A7F2F"/>
    <w:rsid w:val="007B0BE7"/>
    <w:rsid w:val="007B0FEE"/>
    <w:rsid w:val="007B1503"/>
    <w:rsid w:val="007B1761"/>
    <w:rsid w:val="007B19B2"/>
    <w:rsid w:val="007B1CEE"/>
    <w:rsid w:val="007B1D5A"/>
    <w:rsid w:val="007B1ED4"/>
    <w:rsid w:val="007B2413"/>
    <w:rsid w:val="007B2EA6"/>
    <w:rsid w:val="007B2F81"/>
    <w:rsid w:val="007B384C"/>
    <w:rsid w:val="007B3D2E"/>
    <w:rsid w:val="007B4042"/>
    <w:rsid w:val="007B4208"/>
    <w:rsid w:val="007B4257"/>
    <w:rsid w:val="007B496D"/>
    <w:rsid w:val="007B555D"/>
    <w:rsid w:val="007B557E"/>
    <w:rsid w:val="007B568B"/>
    <w:rsid w:val="007B5B38"/>
    <w:rsid w:val="007B5C8C"/>
    <w:rsid w:val="007B5D5A"/>
    <w:rsid w:val="007B60D5"/>
    <w:rsid w:val="007B6147"/>
    <w:rsid w:val="007B6541"/>
    <w:rsid w:val="007B693E"/>
    <w:rsid w:val="007B6946"/>
    <w:rsid w:val="007B72D6"/>
    <w:rsid w:val="007B7928"/>
    <w:rsid w:val="007B7CA2"/>
    <w:rsid w:val="007B7D91"/>
    <w:rsid w:val="007B7FF2"/>
    <w:rsid w:val="007C0246"/>
    <w:rsid w:val="007C02C3"/>
    <w:rsid w:val="007C05B6"/>
    <w:rsid w:val="007C0977"/>
    <w:rsid w:val="007C0B7B"/>
    <w:rsid w:val="007C1019"/>
    <w:rsid w:val="007C178E"/>
    <w:rsid w:val="007C1997"/>
    <w:rsid w:val="007C1E74"/>
    <w:rsid w:val="007C2A2F"/>
    <w:rsid w:val="007C3023"/>
    <w:rsid w:val="007C34DF"/>
    <w:rsid w:val="007C42E3"/>
    <w:rsid w:val="007C52FD"/>
    <w:rsid w:val="007C5CB6"/>
    <w:rsid w:val="007C6114"/>
    <w:rsid w:val="007C635E"/>
    <w:rsid w:val="007C6533"/>
    <w:rsid w:val="007C690C"/>
    <w:rsid w:val="007C6E13"/>
    <w:rsid w:val="007C6E71"/>
    <w:rsid w:val="007C6ED6"/>
    <w:rsid w:val="007C75F8"/>
    <w:rsid w:val="007C79F8"/>
    <w:rsid w:val="007D0AB3"/>
    <w:rsid w:val="007D10CC"/>
    <w:rsid w:val="007D1183"/>
    <w:rsid w:val="007D2DC7"/>
    <w:rsid w:val="007D3075"/>
    <w:rsid w:val="007D32A8"/>
    <w:rsid w:val="007D33F8"/>
    <w:rsid w:val="007D3618"/>
    <w:rsid w:val="007D3690"/>
    <w:rsid w:val="007D3A5D"/>
    <w:rsid w:val="007D4C66"/>
    <w:rsid w:val="007D4FC6"/>
    <w:rsid w:val="007D56ED"/>
    <w:rsid w:val="007D571C"/>
    <w:rsid w:val="007D58EB"/>
    <w:rsid w:val="007D5911"/>
    <w:rsid w:val="007D6BFA"/>
    <w:rsid w:val="007D6DB9"/>
    <w:rsid w:val="007D6E9B"/>
    <w:rsid w:val="007D6F7C"/>
    <w:rsid w:val="007D6F88"/>
    <w:rsid w:val="007D728B"/>
    <w:rsid w:val="007D72F8"/>
    <w:rsid w:val="007D7590"/>
    <w:rsid w:val="007D7877"/>
    <w:rsid w:val="007D792E"/>
    <w:rsid w:val="007D7CFF"/>
    <w:rsid w:val="007D7DF9"/>
    <w:rsid w:val="007D7EF1"/>
    <w:rsid w:val="007E0122"/>
    <w:rsid w:val="007E03E7"/>
    <w:rsid w:val="007E0E91"/>
    <w:rsid w:val="007E1251"/>
    <w:rsid w:val="007E140F"/>
    <w:rsid w:val="007E1A8E"/>
    <w:rsid w:val="007E2098"/>
    <w:rsid w:val="007E3375"/>
    <w:rsid w:val="007E36D1"/>
    <w:rsid w:val="007E3A98"/>
    <w:rsid w:val="007E3DD7"/>
    <w:rsid w:val="007E40A9"/>
    <w:rsid w:val="007E40F7"/>
    <w:rsid w:val="007E4136"/>
    <w:rsid w:val="007E4173"/>
    <w:rsid w:val="007E48EF"/>
    <w:rsid w:val="007E49DB"/>
    <w:rsid w:val="007E56B3"/>
    <w:rsid w:val="007E56BC"/>
    <w:rsid w:val="007E59A4"/>
    <w:rsid w:val="007E5AA0"/>
    <w:rsid w:val="007E5FDA"/>
    <w:rsid w:val="007E60FB"/>
    <w:rsid w:val="007E6657"/>
    <w:rsid w:val="007E6E85"/>
    <w:rsid w:val="007E7295"/>
    <w:rsid w:val="007E737D"/>
    <w:rsid w:val="007E7AC9"/>
    <w:rsid w:val="007F0374"/>
    <w:rsid w:val="007F05D0"/>
    <w:rsid w:val="007F0AD0"/>
    <w:rsid w:val="007F1D81"/>
    <w:rsid w:val="007F1F1D"/>
    <w:rsid w:val="007F21F0"/>
    <w:rsid w:val="007F27D0"/>
    <w:rsid w:val="007F2ADD"/>
    <w:rsid w:val="007F30A7"/>
    <w:rsid w:val="007F30E2"/>
    <w:rsid w:val="007F33B5"/>
    <w:rsid w:val="007F35C8"/>
    <w:rsid w:val="007F379F"/>
    <w:rsid w:val="007F3C35"/>
    <w:rsid w:val="007F3C36"/>
    <w:rsid w:val="007F3E21"/>
    <w:rsid w:val="007F44F7"/>
    <w:rsid w:val="007F4AAC"/>
    <w:rsid w:val="007F4FB7"/>
    <w:rsid w:val="007F5125"/>
    <w:rsid w:val="007F52D1"/>
    <w:rsid w:val="007F5357"/>
    <w:rsid w:val="007F5483"/>
    <w:rsid w:val="007F5638"/>
    <w:rsid w:val="007F57A5"/>
    <w:rsid w:val="007F58BD"/>
    <w:rsid w:val="007F60D4"/>
    <w:rsid w:val="007F61EA"/>
    <w:rsid w:val="007F6407"/>
    <w:rsid w:val="007F653B"/>
    <w:rsid w:val="007F705A"/>
    <w:rsid w:val="0080030E"/>
    <w:rsid w:val="00800A8F"/>
    <w:rsid w:val="00800C1E"/>
    <w:rsid w:val="00800DB8"/>
    <w:rsid w:val="00801536"/>
    <w:rsid w:val="008019E4"/>
    <w:rsid w:val="00801DE1"/>
    <w:rsid w:val="008028DF"/>
    <w:rsid w:val="00803A0E"/>
    <w:rsid w:val="00803DB3"/>
    <w:rsid w:val="008042E0"/>
    <w:rsid w:val="00804A61"/>
    <w:rsid w:val="0080519E"/>
    <w:rsid w:val="00805DEB"/>
    <w:rsid w:val="008061CA"/>
    <w:rsid w:val="00806AED"/>
    <w:rsid w:val="008071BF"/>
    <w:rsid w:val="00807AE4"/>
    <w:rsid w:val="00807DD3"/>
    <w:rsid w:val="008103EA"/>
    <w:rsid w:val="00810591"/>
    <w:rsid w:val="00810A26"/>
    <w:rsid w:val="00810A80"/>
    <w:rsid w:val="00810FD9"/>
    <w:rsid w:val="008110FE"/>
    <w:rsid w:val="00811350"/>
    <w:rsid w:val="00811F60"/>
    <w:rsid w:val="00812001"/>
    <w:rsid w:val="0081321A"/>
    <w:rsid w:val="008132F7"/>
    <w:rsid w:val="008141ED"/>
    <w:rsid w:val="008149E2"/>
    <w:rsid w:val="00814B96"/>
    <w:rsid w:val="00814FB9"/>
    <w:rsid w:val="00815277"/>
    <w:rsid w:val="008155AC"/>
    <w:rsid w:val="008158DB"/>
    <w:rsid w:val="00815AAF"/>
    <w:rsid w:val="00815C1C"/>
    <w:rsid w:val="00816389"/>
    <w:rsid w:val="008163F5"/>
    <w:rsid w:val="008165F1"/>
    <w:rsid w:val="00816715"/>
    <w:rsid w:val="00816BDB"/>
    <w:rsid w:val="00816E15"/>
    <w:rsid w:val="00816EE6"/>
    <w:rsid w:val="00817762"/>
    <w:rsid w:val="0082052C"/>
    <w:rsid w:val="008207A7"/>
    <w:rsid w:val="00820B1A"/>
    <w:rsid w:val="008213F4"/>
    <w:rsid w:val="008214A1"/>
    <w:rsid w:val="00821E53"/>
    <w:rsid w:val="008223E5"/>
    <w:rsid w:val="008224ED"/>
    <w:rsid w:val="0082267F"/>
    <w:rsid w:val="00822C4C"/>
    <w:rsid w:val="008238B5"/>
    <w:rsid w:val="00823D7C"/>
    <w:rsid w:val="00823E32"/>
    <w:rsid w:val="00824685"/>
    <w:rsid w:val="00824C1E"/>
    <w:rsid w:val="00824DB6"/>
    <w:rsid w:val="008253E8"/>
    <w:rsid w:val="00825878"/>
    <w:rsid w:val="00825EBB"/>
    <w:rsid w:val="0082656E"/>
    <w:rsid w:val="008265A0"/>
    <w:rsid w:val="00826C9B"/>
    <w:rsid w:val="00826EA0"/>
    <w:rsid w:val="00826EFD"/>
    <w:rsid w:val="0082707E"/>
    <w:rsid w:val="0082712B"/>
    <w:rsid w:val="00827594"/>
    <w:rsid w:val="008277AC"/>
    <w:rsid w:val="00827E60"/>
    <w:rsid w:val="00827FD9"/>
    <w:rsid w:val="0083040D"/>
    <w:rsid w:val="008308EC"/>
    <w:rsid w:val="008309D4"/>
    <w:rsid w:val="0083141B"/>
    <w:rsid w:val="00831763"/>
    <w:rsid w:val="00831BAB"/>
    <w:rsid w:val="00831D6F"/>
    <w:rsid w:val="00832210"/>
    <w:rsid w:val="008322BD"/>
    <w:rsid w:val="00832D93"/>
    <w:rsid w:val="008335C1"/>
    <w:rsid w:val="00833BC2"/>
    <w:rsid w:val="00833C6A"/>
    <w:rsid w:val="00833C8F"/>
    <w:rsid w:val="00833DD5"/>
    <w:rsid w:val="00833E43"/>
    <w:rsid w:val="0083403C"/>
    <w:rsid w:val="008343BF"/>
    <w:rsid w:val="00834B1D"/>
    <w:rsid w:val="00834B68"/>
    <w:rsid w:val="0083586F"/>
    <w:rsid w:val="00835BA1"/>
    <w:rsid w:val="00835EE0"/>
    <w:rsid w:val="00836534"/>
    <w:rsid w:val="00836A41"/>
    <w:rsid w:val="00837417"/>
    <w:rsid w:val="00837BDA"/>
    <w:rsid w:val="0084006E"/>
    <w:rsid w:val="008405EC"/>
    <w:rsid w:val="00840B96"/>
    <w:rsid w:val="008414CE"/>
    <w:rsid w:val="00841551"/>
    <w:rsid w:val="00841D0A"/>
    <w:rsid w:val="00841FC9"/>
    <w:rsid w:val="0084204E"/>
    <w:rsid w:val="008423A0"/>
    <w:rsid w:val="008428EC"/>
    <w:rsid w:val="00843159"/>
    <w:rsid w:val="008432CB"/>
    <w:rsid w:val="00843451"/>
    <w:rsid w:val="00843895"/>
    <w:rsid w:val="008438D6"/>
    <w:rsid w:val="008443F5"/>
    <w:rsid w:val="00844C43"/>
    <w:rsid w:val="00845077"/>
    <w:rsid w:val="00845399"/>
    <w:rsid w:val="00845DD4"/>
    <w:rsid w:val="008466F0"/>
    <w:rsid w:val="00846FE0"/>
    <w:rsid w:val="00847AB0"/>
    <w:rsid w:val="00847B20"/>
    <w:rsid w:val="0085016F"/>
    <w:rsid w:val="008507F3"/>
    <w:rsid w:val="0085142B"/>
    <w:rsid w:val="00852B1F"/>
    <w:rsid w:val="00852BE3"/>
    <w:rsid w:val="00852C5A"/>
    <w:rsid w:val="00852F5B"/>
    <w:rsid w:val="0085364F"/>
    <w:rsid w:val="0085423A"/>
    <w:rsid w:val="0085452F"/>
    <w:rsid w:val="00854646"/>
    <w:rsid w:val="0085524B"/>
    <w:rsid w:val="00855272"/>
    <w:rsid w:val="00855695"/>
    <w:rsid w:val="00855974"/>
    <w:rsid w:val="0085629B"/>
    <w:rsid w:val="00856A2C"/>
    <w:rsid w:val="008571BA"/>
    <w:rsid w:val="008571D4"/>
    <w:rsid w:val="008603D3"/>
    <w:rsid w:val="0086069F"/>
    <w:rsid w:val="008606FD"/>
    <w:rsid w:val="00861083"/>
    <w:rsid w:val="008613EF"/>
    <w:rsid w:val="00861513"/>
    <w:rsid w:val="00861607"/>
    <w:rsid w:val="00861B9A"/>
    <w:rsid w:val="00862196"/>
    <w:rsid w:val="0086219E"/>
    <w:rsid w:val="00862E50"/>
    <w:rsid w:val="00863326"/>
    <w:rsid w:val="0086371F"/>
    <w:rsid w:val="008638A7"/>
    <w:rsid w:val="00863B22"/>
    <w:rsid w:val="0086407F"/>
    <w:rsid w:val="008641F8"/>
    <w:rsid w:val="00864468"/>
    <w:rsid w:val="008644B7"/>
    <w:rsid w:val="008645AF"/>
    <w:rsid w:val="008647F9"/>
    <w:rsid w:val="00864ACE"/>
    <w:rsid w:val="008650F8"/>
    <w:rsid w:val="00865103"/>
    <w:rsid w:val="00865184"/>
    <w:rsid w:val="00865C94"/>
    <w:rsid w:val="00866416"/>
    <w:rsid w:val="00866552"/>
    <w:rsid w:val="00867CCC"/>
    <w:rsid w:val="00867E75"/>
    <w:rsid w:val="00870206"/>
    <w:rsid w:val="008702EE"/>
    <w:rsid w:val="00870394"/>
    <w:rsid w:val="0087039F"/>
    <w:rsid w:val="008703C2"/>
    <w:rsid w:val="008707D7"/>
    <w:rsid w:val="00870D61"/>
    <w:rsid w:val="00871632"/>
    <w:rsid w:val="00871931"/>
    <w:rsid w:val="00871AD6"/>
    <w:rsid w:val="00871D31"/>
    <w:rsid w:val="00871F02"/>
    <w:rsid w:val="00872362"/>
    <w:rsid w:val="00872665"/>
    <w:rsid w:val="00872742"/>
    <w:rsid w:val="00872D48"/>
    <w:rsid w:val="00872DA4"/>
    <w:rsid w:val="00872F38"/>
    <w:rsid w:val="008736C5"/>
    <w:rsid w:val="00873E02"/>
    <w:rsid w:val="00873E22"/>
    <w:rsid w:val="0087437D"/>
    <w:rsid w:val="008747AE"/>
    <w:rsid w:val="00875203"/>
    <w:rsid w:val="00875F6E"/>
    <w:rsid w:val="00876132"/>
    <w:rsid w:val="00876C64"/>
    <w:rsid w:val="00876CFA"/>
    <w:rsid w:val="00877275"/>
    <w:rsid w:val="008776C0"/>
    <w:rsid w:val="0087782A"/>
    <w:rsid w:val="00877A82"/>
    <w:rsid w:val="00877F62"/>
    <w:rsid w:val="008800E4"/>
    <w:rsid w:val="008805A1"/>
    <w:rsid w:val="00880751"/>
    <w:rsid w:val="00880978"/>
    <w:rsid w:val="00880B7D"/>
    <w:rsid w:val="00880F8D"/>
    <w:rsid w:val="00881A26"/>
    <w:rsid w:val="00881B56"/>
    <w:rsid w:val="00881CA0"/>
    <w:rsid w:val="00881EC9"/>
    <w:rsid w:val="00881F0F"/>
    <w:rsid w:val="0088356A"/>
    <w:rsid w:val="008836FB"/>
    <w:rsid w:val="0088384B"/>
    <w:rsid w:val="00883980"/>
    <w:rsid w:val="00883DE9"/>
    <w:rsid w:val="00884A6F"/>
    <w:rsid w:val="00884F69"/>
    <w:rsid w:val="0088514D"/>
    <w:rsid w:val="00885461"/>
    <w:rsid w:val="008857FA"/>
    <w:rsid w:val="00886845"/>
    <w:rsid w:val="00886C14"/>
    <w:rsid w:val="008870DF"/>
    <w:rsid w:val="008872D3"/>
    <w:rsid w:val="00887335"/>
    <w:rsid w:val="008879E9"/>
    <w:rsid w:val="00887AA1"/>
    <w:rsid w:val="00887C90"/>
    <w:rsid w:val="00890195"/>
    <w:rsid w:val="00890845"/>
    <w:rsid w:val="00890C9A"/>
    <w:rsid w:val="00890CC6"/>
    <w:rsid w:val="00890E3C"/>
    <w:rsid w:val="0089182C"/>
    <w:rsid w:val="008919DB"/>
    <w:rsid w:val="00891A9E"/>
    <w:rsid w:val="00891B71"/>
    <w:rsid w:val="00892228"/>
    <w:rsid w:val="008927A0"/>
    <w:rsid w:val="00892B01"/>
    <w:rsid w:val="00892C64"/>
    <w:rsid w:val="00893146"/>
    <w:rsid w:val="008934A9"/>
    <w:rsid w:val="0089379D"/>
    <w:rsid w:val="0089430E"/>
    <w:rsid w:val="008948C7"/>
    <w:rsid w:val="00894D47"/>
    <w:rsid w:val="00896458"/>
    <w:rsid w:val="00896626"/>
    <w:rsid w:val="008966D4"/>
    <w:rsid w:val="00896798"/>
    <w:rsid w:val="008968AE"/>
    <w:rsid w:val="0089737D"/>
    <w:rsid w:val="008976A4"/>
    <w:rsid w:val="00897773"/>
    <w:rsid w:val="00897F6C"/>
    <w:rsid w:val="008A048B"/>
    <w:rsid w:val="008A0C8F"/>
    <w:rsid w:val="008A0E37"/>
    <w:rsid w:val="008A1015"/>
    <w:rsid w:val="008A11E1"/>
    <w:rsid w:val="008A1B63"/>
    <w:rsid w:val="008A2447"/>
    <w:rsid w:val="008A2938"/>
    <w:rsid w:val="008A3099"/>
    <w:rsid w:val="008A347C"/>
    <w:rsid w:val="008A3645"/>
    <w:rsid w:val="008A40B2"/>
    <w:rsid w:val="008A4316"/>
    <w:rsid w:val="008A49F4"/>
    <w:rsid w:val="008A5C8C"/>
    <w:rsid w:val="008A5E27"/>
    <w:rsid w:val="008A61E1"/>
    <w:rsid w:val="008A6548"/>
    <w:rsid w:val="008A6833"/>
    <w:rsid w:val="008A690C"/>
    <w:rsid w:val="008A6A65"/>
    <w:rsid w:val="008A6C89"/>
    <w:rsid w:val="008B0047"/>
    <w:rsid w:val="008B0911"/>
    <w:rsid w:val="008B0B61"/>
    <w:rsid w:val="008B0E4B"/>
    <w:rsid w:val="008B0F0C"/>
    <w:rsid w:val="008B2137"/>
    <w:rsid w:val="008B288C"/>
    <w:rsid w:val="008B2C36"/>
    <w:rsid w:val="008B3177"/>
    <w:rsid w:val="008B3690"/>
    <w:rsid w:val="008B3793"/>
    <w:rsid w:val="008B3C2C"/>
    <w:rsid w:val="008B3CF0"/>
    <w:rsid w:val="008B44D3"/>
    <w:rsid w:val="008B509D"/>
    <w:rsid w:val="008B5186"/>
    <w:rsid w:val="008B51DB"/>
    <w:rsid w:val="008B52C3"/>
    <w:rsid w:val="008B55F8"/>
    <w:rsid w:val="008B6670"/>
    <w:rsid w:val="008B681D"/>
    <w:rsid w:val="008B693A"/>
    <w:rsid w:val="008B76AE"/>
    <w:rsid w:val="008B7F96"/>
    <w:rsid w:val="008C00DB"/>
    <w:rsid w:val="008C0DC2"/>
    <w:rsid w:val="008C183A"/>
    <w:rsid w:val="008C19AB"/>
    <w:rsid w:val="008C2511"/>
    <w:rsid w:val="008C27C6"/>
    <w:rsid w:val="008C2B4F"/>
    <w:rsid w:val="008C2EDC"/>
    <w:rsid w:val="008C335A"/>
    <w:rsid w:val="008C33EC"/>
    <w:rsid w:val="008C3D73"/>
    <w:rsid w:val="008C3F68"/>
    <w:rsid w:val="008C427F"/>
    <w:rsid w:val="008C48A1"/>
    <w:rsid w:val="008C4BD6"/>
    <w:rsid w:val="008C527C"/>
    <w:rsid w:val="008C5646"/>
    <w:rsid w:val="008C5737"/>
    <w:rsid w:val="008C592B"/>
    <w:rsid w:val="008C5DA0"/>
    <w:rsid w:val="008C5DA5"/>
    <w:rsid w:val="008C6272"/>
    <w:rsid w:val="008C65EB"/>
    <w:rsid w:val="008C677D"/>
    <w:rsid w:val="008C6C80"/>
    <w:rsid w:val="008C6F0C"/>
    <w:rsid w:val="008C70F7"/>
    <w:rsid w:val="008C72AA"/>
    <w:rsid w:val="008C74F5"/>
    <w:rsid w:val="008C7547"/>
    <w:rsid w:val="008D0E81"/>
    <w:rsid w:val="008D0F65"/>
    <w:rsid w:val="008D1705"/>
    <w:rsid w:val="008D1CF3"/>
    <w:rsid w:val="008D1DE5"/>
    <w:rsid w:val="008D1EBA"/>
    <w:rsid w:val="008D2033"/>
    <w:rsid w:val="008D2B3F"/>
    <w:rsid w:val="008D2FB7"/>
    <w:rsid w:val="008D338C"/>
    <w:rsid w:val="008D390F"/>
    <w:rsid w:val="008D486A"/>
    <w:rsid w:val="008D52DE"/>
    <w:rsid w:val="008D552A"/>
    <w:rsid w:val="008D582F"/>
    <w:rsid w:val="008D5A40"/>
    <w:rsid w:val="008D6A1D"/>
    <w:rsid w:val="008D6B05"/>
    <w:rsid w:val="008D6E8C"/>
    <w:rsid w:val="008D7547"/>
    <w:rsid w:val="008D78A2"/>
    <w:rsid w:val="008E019F"/>
    <w:rsid w:val="008E0D6F"/>
    <w:rsid w:val="008E1171"/>
    <w:rsid w:val="008E12EE"/>
    <w:rsid w:val="008E1554"/>
    <w:rsid w:val="008E1835"/>
    <w:rsid w:val="008E1B6D"/>
    <w:rsid w:val="008E251A"/>
    <w:rsid w:val="008E27C2"/>
    <w:rsid w:val="008E3106"/>
    <w:rsid w:val="008E31DD"/>
    <w:rsid w:val="008E3490"/>
    <w:rsid w:val="008E355F"/>
    <w:rsid w:val="008E3FC5"/>
    <w:rsid w:val="008E4727"/>
    <w:rsid w:val="008E4EF3"/>
    <w:rsid w:val="008E5111"/>
    <w:rsid w:val="008E5310"/>
    <w:rsid w:val="008E5C1F"/>
    <w:rsid w:val="008E649F"/>
    <w:rsid w:val="008E6D2F"/>
    <w:rsid w:val="008E7428"/>
    <w:rsid w:val="008E7842"/>
    <w:rsid w:val="008F0894"/>
    <w:rsid w:val="008F08EA"/>
    <w:rsid w:val="008F09D5"/>
    <w:rsid w:val="008F0C64"/>
    <w:rsid w:val="008F0EBC"/>
    <w:rsid w:val="008F1020"/>
    <w:rsid w:val="008F1069"/>
    <w:rsid w:val="008F165E"/>
    <w:rsid w:val="008F17B9"/>
    <w:rsid w:val="008F194D"/>
    <w:rsid w:val="008F1968"/>
    <w:rsid w:val="008F19A0"/>
    <w:rsid w:val="008F19B4"/>
    <w:rsid w:val="008F1BB8"/>
    <w:rsid w:val="008F2096"/>
    <w:rsid w:val="008F2362"/>
    <w:rsid w:val="008F2451"/>
    <w:rsid w:val="008F2960"/>
    <w:rsid w:val="008F2F73"/>
    <w:rsid w:val="008F3357"/>
    <w:rsid w:val="008F3FF3"/>
    <w:rsid w:val="008F4431"/>
    <w:rsid w:val="008F45C4"/>
    <w:rsid w:val="008F4712"/>
    <w:rsid w:val="008F486A"/>
    <w:rsid w:val="008F5291"/>
    <w:rsid w:val="008F5693"/>
    <w:rsid w:val="008F5733"/>
    <w:rsid w:val="008F5E11"/>
    <w:rsid w:val="008F5F49"/>
    <w:rsid w:val="008F6495"/>
    <w:rsid w:val="008F64A6"/>
    <w:rsid w:val="008F665F"/>
    <w:rsid w:val="008F68B9"/>
    <w:rsid w:val="008F6FAB"/>
    <w:rsid w:val="008F6FFA"/>
    <w:rsid w:val="008F7176"/>
    <w:rsid w:val="008F7B3D"/>
    <w:rsid w:val="008F7B8A"/>
    <w:rsid w:val="008F7EF3"/>
    <w:rsid w:val="008F7F77"/>
    <w:rsid w:val="00900031"/>
    <w:rsid w:val="0090100A"/>
    <w:rsid w:val="009011B2"/>
    <w:rsid w:val="00901804"/>
    <w:rsid w:val="00901C95"/>
    <w:rsid w:val="00901CCD"/>
    <w:rsid w:val="00902441"/>
    <w:rsid w:val="00902512"/>
    <w:rsid w:val="00902C1B"/>
    <w:rsid w:val="00902CA5"/>
    <w:rsid w:val="00902DE3"/>
    <w:rsid w:val="00902E76"/>
    <w:rsid w:val="0090383A"/>
    <w:rsid w:val="0090403D"/>
    <w:rsid w:val="00904182"/>
    <w:rsid w:val="00904214"/>
    <w:rsid w:val="009046BA"/>
    <w:rsid w:val="00904D59"/>
    <w:rsid w:val="00904E9E"/>
    <w:rsid w:val="0090528D"/>
    <w:rsid w:val="00905A72"/>
    <w:rsid w:val="00905BC9"/>
    <w:rsid w:val="00905FEF"/>
    <w:rsid w:val="00906AF7"/>
    <w:rsid w:val="00906F14"/>
    <w:rsid w:val="00907201"/>
    <w:rsid w:val="009073E6"/>
    <w:rsid w:val="009078F9"/>
    <w:rsid w:val="00907B1B"/>
    <w:rsid w:val="00907C61"/>
    <w:rsid w:val="00907D58"/>
    <w:rsid w:val="0091022D"/>
    <w:rsid w:val="00910320"/>
    <w:rsid w:val="0091033D"/>
    <w:rsid w:val="0091089B"/>
    <w:rsid w:val="00910BED"/>
    <w:rsid w:val="00910E9A"/>
    <w:rsid w:val="00910F27"/>
    <w:rsid w:val="0091104D"/>
    <w:rsid w:val="0091140F"/>
    <w:rsid w:val="00911D16"/>
    <w:rsid w:val="00912142"/>
    <w:rsid w:val="00912D5B"/>
    <w:rsid w:val="00912DA1"/>
    <w:rsid w:val="00913127"/>
    <w:rsid w:val="009132ED"/>
    <w:rsid w:val="00913747"/>
    <w:rsid w:val="00913A83"/>
    <w:rsid w:val="00913CF3"/>
    <w:rsid w:val="00913E1F"/>
    <w:rsid w:val="009141F1"/>
    <w:rsid w:val="00914E41"/>
    <w:rsid w:val="00914F84"/>
    <w:rsid w:val="0091550C"/>
    <w:rsid w:val="00915AE4"/>
    <w:rsid w:val="00915C10"/>
    <w:rsid w:val="00916406"/>
    <w:rsid w:val="00916D52"/>
    <w:rsid w:val="00917315"/>
    <w:rsid w:val="0091735E"/>
    <w:rsid w:val="00920299"/>
    <w:rsid w:val="00920360"/>
    <w:rsid w:val="009205D3"/>
    <w:rsid w:val="009206D3"/>
    <w:rsid w:val="009211C1"/>
    <w:rsid w:val="00921B4A"/>
    <w:rsid w:val="0092262A"/>
    <w:rsid w:val="00922A16"/>
    <w:rsid w:val="00923C81"/>
    <w:rsid w:val="00924623"/>
    <w:rsid w:val="00924B91"/>
    <w:rsid w:val="00924E54"/>
    <w:rsid w:val="00925D33"/>
    <w:rsid w:val="00925FB8"/>
    <w:rsid w:val="0092649C"/>
    <w:rsid w:val="00926656"/>
    <w:rsid w:val="00926801"/>
    <w:rsid w:val="00927CDF"/>
    <w:rsid w:val="00930051"/>
    <w:rsid w:val="00930339"/>
    <w:rsid w:val="00930493"/>
    <w:rsid w:val="0093110D"/>
    <w:rsid w:val="0093143B"/>
    <w:rsid w:val="0093143C"/>
    <w:rsid w:val="0093185E"/>
    <w:rsid w:val="00931B33"/>
    <w:rsid w:val="00931BBC"/>
    <w:rsid w:val="009329A8"/>
    <w:rsid w:val="00933126"/>
    <w:rsid w:val="00933802"/>
    <w:rsid w:val="00933B20"/>
    <w:rsid w:val="00933E3C"/>
    <w:rsid w:val="00934052"/>
    <w:rsid w:val="00934CFA"/>
    <w:rsid w:val="00934E75"/>
    <w:rsid w:val="00935288"/>
    <w:rsid w:val="0093570E"/>
    <w:rsid w:val="009357ED"/>
    <w:rsid w:val="00935EC6"/>
    <w:rsid w:val="0093649F"/>
    <w:rsid w:val="00936676"/>
    <w:rsid w:val="009367DF"/>
    <w:rsid w:val="0093722B"/>
    <w:rsid w:val="009372C1"/>
    <w:rsid w:val="00937AA9"/>
    <w:rsid w:val="00937AB1"/>
    <w:rsid w:val="00940112"/>
    <w:rsid w:val="00940309"/>
    <w:rsid w:val="0094042F"/>
    <w:rsid w:val="009404A6"/>
    <w:rsid w:val="00940679"/>
    <w:rsid w:val="0094068D"/>
    <w:rsid w:val="009408AF"/>
    <w:rsid w:val="00940D03"/>
    <w:rsid w:val="00941466"/>
    <w:rsid w:val="009419B9"/>
    <w:rsid w:val="00941CAD"/>
    <w:rsid w:val="0094351B"/>
    <w:rsid w:val="0094380A"/>
    <w:rsid w:val="00943D64"/>
    <w:rsid w:val="00943EB8"/>
    <w:rsid w:val="009443D8"/>
    <w:rsid w:val="0094440F"/>
    <w:rsid w:val="0094449B"/>
    <w:rsid w:val="009454ED"/>
    <w:rsid w:val="009465FF"/>
    <w:rsid w:val="009469AA"/>
    <w:rsid w:val="00946FCE"/>
    <w:rsid w:val="0094720D"/>
    <w:rsid w:val="0094781E"/>
    <w:rsid w:val="00947920"/>
    <w:rsid w:val="00950888"/>
    <w:rsid w:val="00950A01"/>
    <w:rsid w:val="00950D20"/>
    <w:rsid w:val="0095193F"/>
    <w:rsid w:val="0095235F"/>
    <w:rsid w:val="0095291D"/>
    <w:rsid w:val="009532F2"/>
    <w:rsid w:val="009533C2"/>
    <w:rsid w:val="009536A0"/>
    <w:rsid w:val="00953A52"/>
    <w:rsid w:val="00953FB6"/>
    <w:rsid w:val="0095410D"/>
    <w:rsid w:val="00954495"/>
    <w:rsid w:val="0095498F"/>
    <w:rsid w:val="00954A3F"/>
    <w:rsid w:val="00955102"/>
    <w:rsid w:val="009557B4"/>
    <w:rsid w:val="00956168"/>
    <w:rsid w:val="0095626D"/>
    <w:rsid w:val="00956A94"/>
    <w:rsid w:val="00956F0F"/>
    <w:rsid w:val="00957325"/>
    <w:rsid w:val="009573F9"/>
    <w:rsid w:val="009579C9"/>
    <w:rsid w:val="00957D37"/>
    <w:rsid w:val="009608F0"/>
    <w:rsid w:val="00961B52"/>
    <w:rsid w:val="00961C44"/>
    <w:rsid w:val="00961D9F"/>
    <w:rsid w:val="009620A8"/>
    <w:rsid w:val="00962597"/>
    <w:rsid w:val="009626D4"/>
    <w:rsid w:val="009626F1"/>
    <w:rsid w:val="00962835"/>
    <w:rsid w:val="0096284E"/>
    <w:rsid w:val="00962B9E"/>
    <w:rsid w:val="00962C26"/>
    <w:rsid w:val="00963219"/>
    <w:rsid w:val="00963374"/>
    <w:rsid w:val="0096398E"/>
    <w:rsid w:val="00964373"/>
    <w:rsid w:val="00964803"/>
    <w:rsid w:val="00964B13"/>
    <w:rsid w:val="00965861"/>
    <w:rsid w:val="009658FF"/>
    <w:rsid w:val="00965BED"/>
    <w:rsid w:val="0096665D"/>
    <w:rsid w:val="00966B19"/>
    <w:rsid w:val="00966EC9"/>
    <w:rsid w:val="00966EE4"/>
    <w:rsid w:val="009673B1"/>
    <w:rsid w:val="00967407"/>
    <w:rsid w:val="0096759F"/>
    <w:rsid w:val="00967A16"/>
    <w:rsid w:val="009701BE"/>
    <w:rsid w:val="00970A78"/>
    <w:rsid w:val="009711FA"/>
    <w:rsid w:val="0097137E"/>
    <w:rsid w:val="009721AA"/>
    <w:rsid w:val="009722CC"/>
    <w:rsid w:val="00972986"/>
    <w:rsid w:val="00972CBE"/>
    <w:rsid w:val="00973513"/>
    <w:rsid w:val="00973806"/>
    <w:rsid w:val="0097430D"/>
    <w:rsid w:val="009747C3"/>
    <w:rsid w:val="009748EE"/>
    <w:rsid w:val="00974908"/>
    <w:rsid w:val="009749F9"/>
    <w:rsid w:val="009750B4"/>
    <w:rsid w:val="00975281"/>
    <w:rsid w:val="00976020"/>
    <w:rsid w:val="0097619D"/>
    <w:rsid w:val="0097635E"/>
    <w:rsid w:val="00976525"/>
    <w:rsid w:val="009765C7"/>
    <w:rsid w:val="009769EA"/>
    <w:rsid w:val="009769EE"/>
    <w:rsid w:val="00976A1D"/>
    <w:rsid w:val="00976AC0"/>
    <w:rsid w:val="00976D95"/>
    <w:rsid w:val="009775E4"/>
    <w:rsid w:val="0097768C"/>
    <w:rsid w:val="00980402"/>
    <w:rsid w:val="009812A6"/>
    <w:rsid w:val="0098142B"/>
    <w:rsid w:val="0098202D"/>
    <w:rsid w:val="00983058"/>
    <w:rsid w:val="00983136"/>
    <w:rsid w:val="00983702"/>
    <w:rsid w:val="00983FD7"/>
    <w:rsid w:val="00984906"/>
    <w:rsid w:val="00985350"/>
    <w:rsid w:val="00985599"/>
    <w:rsid w:val="00985735"/>
    <w:rsid w:val="00985DCB"/>
    <w:rsid w:val="0098604D"/>
    <w:rsid w:val="009862A4"/>
    <w:rsid w:val="00986447"/>
    <w:rsid w:val="009865DB"/>
    <w:rsid w:val="00986A20"/>
    <w:rsid w:val="00986A3C"/>
    <w:rsid w:val="00986B2E"/>
    <w:rsid w:val="00987AB4"/>
    <w:rsid w:val="00987AC8"/>
    <w:rsid w:val="00990A0A"/>
    <w:rsid w:val="00991237"/>
    <w:rsid w:val="009914A5"/>
    <w:rsid w:val="009914EE"/>
    <w:rsid w:val="009919FA"/>
    <w:rsid w:val="00991FAC"/>
    <w:rsid w:val="00991FF7"/>
    <w:rsid w:val="00993136"/>
    <w:rsid w:val="009932BF"/>
    <w:rsid w:val="00993697"/>
    <w:rsid w:val="00993A63"/>
    <w:rsid w:val="00993D41"/>
    <w:rsid w:val="00994037"/>
    <w:rsid w:val="009940F2"/>
    <w:rsid w:val="0099420C"/>
    <w:rsid w:val="00994232"/>
    <w:rsid w:val="009957A0"/>
    <w:rsid w:val="00995842"/>
    <w:rsid w:val="00995C44"/>
    <w:rsid w:val="00995CB9"/>
    <w:rsid w:val="00996732"/>
    <w:rsid w:val="0099685F"/>
    <w:rsid w:val="00996865"/>
    <w:rsid w:val="00996BD8"/>
    <w:rsid w:val="00996E56"/>
    <w:rsid w:val="0099716E"/>
    <w:rsid w:val="009971C5"/>
    <w:rsid w:val="009976A0"/>
    <w:rsid w:val="00997759"/>
    <w:rsid w:val="00997B80"/>
    <w:rsid w:val="00997F87"/>
    <w:rsid w:val="009A0097"/>
    <w:rsid w:val="009A0774"/>
    <w:rsid w:val="009A0D83"/>
    <w:rsid w:val="009A17B1"/>
    <w:rsid w:val="009A180E"/>
    <w:rsid w:val="009A1B61"/>
    <w:rsid w:val="009A20BA"/>
    <w:rsid w:val="009A2296"/>
    <w:rsid w:val="009A278E"/>
    <w:rsid w:val="009A2E30"/>
    <w:rsid w:val="009A38BA"/>
    <w:rsid w:val="009A39C3"/>
    <w:rsid w:val="009A44D6"/>
    <w:rsid w:val="009A4659"/>
    <w:rsid w:val="009A46F1"/>
    <w:rsid w:val="009A496C"/>
    <w:rsid w:val="009A4E9B"/>
    <w:rsid w:val="009A5386"/>
    <w:rsid w:val="009A5410"/>
    <w:rsid w:val="009A54B5"/>
    <w:rsid w:val="009A5D22"/>
    <w:rsid w:val="009A62B1"/>
    <w:rsid w:val="009A6486"/>
    <w:rsid w:val="009A650B"/>
    <w:rsid w:val="009A6A4F"/>
    <w:rsid w:val="009A6DE0"/>
    <w:rsid w:val="009A6FD8"/>
    <w:rsid w:val="009A7C1D"/>
    <w:rsid w:val="009A7C5F"/>
    <w:rsid w:val="009B0091"/>
    <w:rsid w:val="009B0103"/>
    <w:rsid w:val="009B132A"/>
    <w:rsid w:val="009B1BD0"/>
    <w:rsid w:val="009B1C64"/>
    <w:rsid w:val="009B1F71"/>
    <w:rsid w:val="009B204D"/>
    <w:rsid w:val="009B2458"/>
    <w:rsid w:val="009B2545"/>
    <w:rsid w:val="009B2E78"/>
    <w:rsid w:val="009B317B"/>
    <w:rsid w:val="009B3D63"/>
    <w:rsid w:val="009B3EB9"/>
    <w:rsid w:val="009B3F9E"/>
    <w:rsid w:val="009B4720"/>
    <w:rsid w:val="009B497E"/>
    <w:rsid w:val="009B4B95"/>
    <w:rsid w:val="009B5631"/>
    <w:rsid w:val="009B5A66"/>
    <w:rsid w:val="009B5B8D"/>
    <w:rsid w:val="009B6B88"/>
    <w:rsid w:val="009B6C2A"/>
    <w:rsid w:val="009B6E52"/>
    <w:rsid w:val="009B7002"/>
    <w:rsid w:val="009B7666"/>
    <w:rsid w:val="009B76BF"/>
    <w:rsid w:val="009B7773"/>
    <w:rsid w:val="009B79A2"/>
    <w:rsid w:val="009C018F"/>
    <w:rsid w:val="009C02CB"/>
    <w:rsid w:val="009C04F0"/>
    <w:rsid w:val="009C0E59"/>
    <w:rsid w:val="009C1059"/>
    <w:rsid w:val="009C1597"/>
    <w:rsid w:val="009C16D0"/>
    <w:rsid w:val="009C202E"/>
    <w:rsid w:val="009C25A5"/>
    <w:rsid w:val="009C2603"/>
    <w:rsid w:val="009C309E"/>
    <w:rsid w:val="009C3109"/>
    <w:rsid w:val="009C33F2"/>
    <w:rsid w:val="009C49AB"/>
    <w:rsid w:val="009C4D65"/>
    <w:rsid w:val="009C560E"/>
    <w:rsid w:val="009C6371"/>
    <w:rsid w:val="009C6BC5"/>
    <w:rsid w:val="009C6FE4"/>
    <w:rsid w:val="009C7092"/>
    <w:rsid w:val="009C7124"/>
    <w:rsid w:val="009C73C1"/>
    <w:rsid w:val="009C7DCE"/>
    <w:rsid w:val="009D002D"/>
    <w:rsid w:val="009D003F"/>
    <w:rsid w:val="009D01C7"/>
    <w:rsid w:val="009D045F"/>
    <w:rsid w:val="009D08C5"/>
    <w:rsid w:val="009D0A09"/>
    <w:rsid w:val="009D0D8B"/>
    <w:rsid w:val="009D0F1C"/>
    <w:rsid w:val="009D0F7F"/>
    <w:rsid w:val="009D1329"/>
    <w:rsid w:val="009D137C"/>
    <w:rsid w:val="009D1644"/>
    <w:rsid w:val="009D1AAB"/>
    <w:rsid w:val="009D1B02"/>
    <w:rsid w:val="009D1CC0"/>
    <w:rsid w:val="009D1E67"/>
    <w:rsid w:val="009D2406"/>
    <w:rsid w:val="009D2A13"/>
    <w:rsid w:val="009D3BED"/>
    <w:rsid w:val="009D40D0"/>
    <w:rsid w:val="009D49E7"/>
    <w:rsid w:val="009D4A0A"/>
    <w:rsid w:val="009D4BAA"/>
    <w:rsid w:val="009D4C0D"/>
    <w:rsid w:val="009D55AA"/>
    <w:rsid w:val="009D55BA"/>
    <w:rsid w:val="009D583B"/>
    <w:rsid w:val="009D602A"/>
    <w:rsid w:val="009D6244"/>
    <w:rsid w:val="009D6354"/>
    <w:rsid w:val="009D682C"/>
    <w:rsid w:val="009D6D7F"/>
    <w:rsid w:val="009D6E72"/>
    <w:rsid w:val="009D75BD"/>
    <w:rsid w:val="009E0683"/>
    <w:rsid w:val="009E0847"/>
    <w:rsid w:val="009E0B4C"/>
    <w:rsid w:val="009E19A1"/>
    <w:rsid w:val="009E1D78"/>
    <w:rsid w:val="009E2049"/>
    <w:rsid w:val="009E286F"/>
    <w:rsid w:val="009E3075"/>
    <w:rsid w:val="009E314C"/>
    <w:rsid w:val="009E370B"/>
    <w:rsid w:val="009E3A60"/>
    <w:rsid w:val="009E3AB4"/>
    <w:rsid w:val="009E40F6"/>
    <w:rsid w:val="009E44C7"/>
    <w:rsid w:val="009E505E"/>
    <w:rsid w:val="009E5331"/>
    <w:rsid w:val="009E5498"/>
    <w:rsid w:val="009E5690"/>
    <w:rsid w:val="009E58FC"/>
    <w:rsid w:val="009E5AA2"/>
    <w:rsid w:val="009E5D05"/>
    <w:rsid w:val="009E65AC"/>
    <w:rsid w:val="009E69F2"/>
    <w:rsid w:val="009E6BB4"/>
    <w:rsid w:val="009E6E73"/>
    <w:rsid w:val="009E7C06"/>
    <w:rsid w:val="009E7EBB"/>
    <w:rsid w:val="009F0330"/>
    <w:rsid w:val="009F0556"/>
    <w:rsid w:val="009F064A"/>
    <w:rsid w:val="009F0EC4"/>
    <w:rsid w:val="009F117B"/>
    <w:rsid w:val="009F1418"/>
    <w:rsid w:val="009F165D"/>
    <w:rsid w:val="009F1663"/>
    <w:rsid w:val="009F19D4"/>
    <w:rsid w:val="009F1A0B"/>
    <w:rsid w:val="009F255F"/>
    <w:rsid w:val="009F25C4"/>
    <w:rsid w:val="009F2BD0"/>
    <w:rsid w:val="009F2EBB"/>
    <w:rsid w:val="009F30A5"/>
    <w:rsid w:val="009F32B6"/>
    <w:rsid w:val="009F3374"/>
    <w:rsid w:val="009F396E"/>
    <w:rsid w:val="009F46D4"/>
    <w:rsid w:val="009F49A0"/>
    <w:rsid w:val="009F4DB4"/>
    <w:rsid w:val="009F50F7"/>
    <w:rsid w:val="009F5172"/>
    <w:rsid w:val="009F52B5"/>
    <w:rsid w:val="009F591D"/>
    <w:rsid w:val="009F5A77"/>
    <w:rsid w:val="009F6B0E"/>
    <w:rsid w:val="009F735D"/>
    <w:rsid w:val="009F75AC"/>
    <w:rsid w:val="009F7633"/>
    <w:rsid w:val="009F76F1"/>
    <w:rsid w:val="009F7913"/>
    <w:rsid w:val="009F7F59"/>
    <w:rsid w:val="00A005C6"/>
    <w:rsid w:val="00A0202E"/>
    <w:rsid w:val="00A02284"/>
    <w:rsid w:val="00A02D7E"/>
    <w:rsid w:val="00A0353A"/>
    <w:rsid w:val="00A03F5C"/>
    <w:rsid w:val="00A04129"/>
    <w:rsid w:val="00A0475E"/>
    <w:rsid w:val="00A04CCC"/>
    <w:rsid w:val="00A04D54"/>
    <w:rsid w:val="00A04E6F"/>
    <w:rsid w:val="00A04EB0"/>
    <w:rsid w:val="00A05068"/>
    <w:rsid w:val="00A051A0"/>
    <w:rsid w:val="00A05A98"/>
    <w:rsid w:val="00A05B2F"/>
    <w:rsid w:val="00A063A3"/>
    <w:rsid w:val="00A06414"/>
    <w:rsid w:val="00A0647B"/>
    <w:rsid w:val="00A06C12"/>
    <w:rsid w:val="00A075E2"/>
    <w:rsid w:val="00A10620"/>
    <w:rsid w:val="00A10917"/>
    <w:rsid w:val="00A117CD"/>
    <w:rsid w:val="00A11989"/>
    <w:rsid w:val="00A11AC3"/>
    <w:rsid w:val="00A1216C"/>
    <w:rsid w:val="00A12317"/>
    <w:rsid w:val="00A13052"/>
    <w:rsid w:val="00A13074"/>
    <w:rsid w:val="00A1363C"/>
    <w:rsid w:val="00A136D2"/>
    <w:rsid w:val="00A13877"/>
    <w:rsid w:val="00A13CA9"/>
    <w:rsid w:val="00A13E75"/>
    <w:rsid w:val="00A140C5"/>
    <w:rsid w:val="00A1411D"/>
    <w:rsid w:val="00A1442F"/>
    <w:rsid w:val="00A1449E"/>
    <w:rsid w:val="00A144AA"/>
    <w:rsid w:val="00A147EF"/>
    <w:rsid w:val="00A14A21"/>
    <w:rsid w:val="00A14D81"/>
    <w:rsid w:val="00A14ECB"/>
    <w:rsid w:val="00A150A5"/>
    <w:rsid w:val="00A15D97"/>
    <w:rsid w:val="00A15F1E"/>
    <w:rsid w:val="00A16291"/>
    <w:rsid w:val="00A16708"/>
    <w:rsid w:val="00A167E5"/>
    <w:rsid w:val="00A16D95"/>
    <w:rsid w:val="00A17120"/>
    <w:rsid w:val="00A17302"/>
    <w:rsid w:val="00A17343"/>
    <w:rsid w:val="00A17EE4"/>
    <w:rsid w:val="00A17FCB"/>
    <w:rsid w:val="00A202B7"/>
    <w:rsid w:val="00A205F2"/>
    <w:rsid w:val="00A20977"/>
    <w:rsid w:val="00A21473"/>
    <w:rsid w:val="00A2152A"/>
    <w:rsid w:val="00A216D2"/>
    <w:rsid w:val="00A21856"/>
    <w:rsid w:val="00A21F3D"/>
    <w:rsid w:val="00A22170"/>
    <w:rsid w:val="00A22455"/>
    <w:rsid w:val="00A224CB"/>
    <w:rsid w:val="00A2301E"/>
    <w:rsid w:val="00A2310D"/>
    <w:rsid w:val="00A236C5"/>
    <w:rsid w:val="00A237A4"/>
    <w:rsid w:val="00A23B2B"/>
    <w:rsid w:val="00A23D5D"/>
    <w:rsid w:val="00A24593"/>
    <w:rsid w:val="00A2461D"/>
    <w:rsid w:val="00A2462A"/>
    <w:rsid w:val="00A24E89"/>
    <w:rsid w:val="00A253B8"/>
    <w:rsid w:val="00A2541F"/>
    <w:rsid w:val="00A2567D"/>
    <w:rsid w:val="00A25B7F"/>
    <w:rsid w:val="00A25C3F"/>
    <w:rsid w:val="00A25CCB"/>
    <w:rsid w:val="00A25D29"/>
    <w:rsid w:val="00A25E0D"/>
    <w:rsid w:val="00A269B0"/>
    <w:rsid w:val="00A270D1"/>
    <w:rsid w:val="00A2774F"/>
    <w:rsid w:val="00A27858"/>
    <w:rsid w:val="00A27AA4"/>
    <w:rsid w:val="00A30495"/>
    <w:rsid w:val="00A30D77"/>
    <w:rsid w:val="00A30E47"/>
    <w:rsid w:val="00A30EFA"/>
    <w:rsid w:val="00A3179D"/>
    <w:rsid w:val="00A31A68"/>
    <w:rsid w:val="00A31DF6"/>
    <w:rsid w:val="00A323D2"/>
    <w:rsid w:val="00A32845"/>
    <w:rsid w:val="00A32B2E"/>
    <w:rsid w:val="00A32B55"/>
    <w:rsid w:val="00A32C1B"/>
    <w:rsid w:val="00A32D39"/>
    <w:rsid w:val="00A32F80"/>
    <w:rsid w:val="00A339CE"/>
    <w:rsid w:val="00A342F0"/>
    <w:rsid w:val="00A34574"/>
    <w:rsid w:val="00A348A4"/>
    <w:rsid w:val="00A34C1D"/>
    <w:rsid w:val="00A34C62"/>
    <w:rsid w:val="00A34CB6"/>
    <w:rsid w:val="00A353E4"/>
    <w:rsid w:val="00A35521"/>
    <w:rsid w:val="00A358A2"/>
    <w:rsid w:val="00A35E1B"/>
    <w:rsid w:val="00A36155"/>
    <w:rsid w:val="00A363A7"/>
    <w:rsid w:val="00A371A9"/>
    <w:rsid w:val="00A374B8"/>
    <w:rsid w:val="00A378C4"/>
    <w:rsid w:val="00A37C56"/>
    <w:rsid w:val="00A37D18"/>
    <w:rsid w:val="00A40D42"/>
    <w:rsid w:val="00A40DE0"/>
    <w:rsid w:val="00A414E5"/>
    <w:rsid w:val="00A41906"/>
    <w:rsid w:val="00A41BF5"/>
    <w:rsid w:val="00A42184"/>
    <w:rsid w:val="00A425B0"/>
    <w:rsid w:val="00A42604"/>
    <w:rsid w:val="00A4262B"/>
    <w:rsid w:val="00A42CB1"/>
    <w:rsid w:val="00A433DF"/>
    <w:rsid w:val="00A433F8"/>
    <w:rsid w:val="00A43925"/>
    <w:rsid w:val="00A439A0"/>
    <w:rsid w:val="00A43C8D"/>
    <w:rsid w:val="00A43D73"/>
    <w:rsid w:val="00A446B8"/>
    <w:rsid w:val="00A44EC7"/>
    <w:rsid w:val="00A44FE2"/>
    <w:rsid w:val="00A45364"/>
    <w:rsid w:val="00A466B8"/>
    <w:rsid w:val="00A46CAD"/>
    <w:rsid w:val="00A46CC4"/>
    <w:rsid w:val="00A46E10"/>
    <w:rsid w:val="00A46E61"/>
    <w:rsid w:val="00A46EE2"/>
    <w:rsid w:val="00A47698"/>
    <w:rsid w:val="00A478F2"/>
    <w:rsid w:val="00A47A78"/>
    <w:rsid w:val="00A50654"/>
    <w:rsid w:val="00A5093F"/>
    <w:rsid w:val="00A50B36"/>
    <w:rsid w:val="00A51056"/>
    <w:rsid w:val="00A5121E"/>
    <w:rsid w:val="00A5153E"/>
    <w:rsid w:val="00A52139"/>
    <w:rsid w:val="00A5218F"/>
    <w:rsid w:val="00A522C5"/>
    <w:rsid w:val="00A527FA"/>
    <w:rsid w:val="00A52B89"/>
    <w:rsid w:val="00A537FD"/>
    <w:rsid w:val="00A53FF4"/>
    <w:rsid w:val="00A54002"/>
    <w:rsid w:val="00A549D3"/>
    <w:rsid w:val="00A54E96"/>
    <w:rsid w:val="00A5545D"/>
    <w:rsid w:val="00A554CD"/>
    <w:rsid w:val="00A5588B"/>
    <w:rsid w:val="00A55D2B"/>
    <w:rsid w:val="00A56435"/>
    <w:rsid w:val="00A5686A"/>
    <w:rsid w:val="00A5698E"/>
    <w:rsid w:val="00A56D2E"/>
    <w:rsid w:val="00A572FB"/>
    <w:rsid w:val="00A57BD3"/>
    <w:rsid w:val="00A57E5C"/>
    <w:rsid w:val="00A57EF4"/>
    <w:rsid w:val="00A60112"/>
    <w:rsid w:val="00A60553"/>
    <w:rsid w:val="00A60714"/>
    <w:rsid w:val="00A60DD5"/>
    <w:rsid w:val="00A6167C"/>
    <w:rsid w:val="00A61C0B"/>
    <w:rsid w:val="00A61D61"/>
    <w:rsid w:val="00A61DC1"/>
    <w:rsid w:val="00A6291E"/>
    <w:rsid w:val="00A62EF6"/>
    <w:rsid w:val="00A62FAB"/>
    <w:rsid w:val="00A63227"/>
    <w:rsid w:val="00A6339F"/>
    <w:rsid w:val="00A635E9"/>
    <w:rsid w:val="00A63D67"/>
    <w:rsid w:val="00A63EC1"/>
    <w:rsid w:val="00A63F8F"/>
    <w:rsid w:val="00A647D1"/>
    <w:rsid w:val="00A64CA1"/>
    <w:rsid w:val="00A64F0F"/>
    <w:rsid w:val="00A65503"/>
    <w:rsid w:val="00A656D5"/>
    <w:rsid w:val="00A658BD"/>
    <w:rsid w:val="00A66240"/>
    <w:rsid w:val="00A668D4"/>
    <w:rsid w:val="00A66917"/>
    <w:rsid w:val="00A66A8C"/>
    <w:rsid w:val="00A66E44"/>
    <w:rsid w:val="00A673C4"/>
    <w:rsid w:val="00A673EF"/>
    <w:rsid w:val="00A67522"/>
    <w:rsid w:val="00A67939"/>
    <w:rsid w:val="00A67E4A"/>
    <w:rsid w:val="00A67E7A"/>
    <w:rsid w:val="00A7123D"/>
    <w:rsid w:val="00A7131E"/>
    <w:rsid w:val="00A71AB5"/>
    <w:rsid w:val="00A71D5F"/>
    <w:rsid w:val="00A720EC"/>
    <w:rsid w:val="00A7232F"/>
    <w:rsid w:val="00A72F9E"/>
    <w:rsid w:val="00A73636"/>
    <w:rsid w:val="00A73F4B"/>
    <w:rsid w:val="00A7443B"/>
    <w:rsid w:val="00A74BFE"/>
    <w:rsid w:val="00A74C75"/>
    <w:rsid w:val="00A75A7E"/>
    <w:rsid w:val="00A75BC2"/>
    <w:rsid w:val="00A76687"/>
    <w:rsid w:val="00A7671B"/>
    <w:rsid w:val="00A768C3"/>
    <w:rsid w:val="00A76B9C"/>
    <w:rsid w:val="00A76BDC"/>
    <w:rsid w:val="00A76E67"/>
    <w:rsid w:val="00A76F86"/>
    <w:rsid w:val="00A7774D"/>
    <w:rsid w:val="00A77964"/>
    <w:rsid w:val="00A80149"/>
    <w:rsid w:val="00A80541"/>
    <w:rsid w:val="00A8080C"/>
    <w:rsid w:val="00A80F48"/>
    <w:rsid w:val="00A810CD"/>
    <w:rsid w:val="00A815DB"/>
    <w:rsid w:val="00A81814"/>
    <w:rsid w:val="00A81A96"/>
    <w:rsid w:val="00A81BC1"/>
    <w:rsid w:val="00A81D15"/>
    <w:rsid w:val="00A81F46"/>
    <w:rsid w:val="00A824A5"/>
    <w:rsid w:val="00A82B79"/>
    <w:rsid w:val="00A82C78"/>
    <w:rsid w:val="00A82E7C"/>
    <w:rsid w:val="00A8337B"/>
    <w:rsid w:val="00A833BD"/>
    <w:rsid w:val="00A83447"/>
    <w:rsid w:val="00A83B7D"/>
    <w:rsid w:val="00A83F18"/>
    <w:rsid w:val="00A84792"/>
    <w:rsid w:val="00A849AB"/>
    <w:rsid w:val="00A84B2F"/>
    <w:rsid w:val="00A84E39"/>
    <w:rsid w:val="00A84E3D"/>
    <w:rsid w:val="00A850C7"/>
    <w:rsid w:val="00A852C4"/>
    <w:rsid w:val="00A857A2"/>
    <w:rsid w:val="00A86044"/>
    <w:rsid w:val="00A866C1"/>
    <w:rsid w:val="00A86CE4"/>
    <w:rsid w:val="00A86CFD"/>
    <w:rsid w:val="00A87025"/>
    <w:rsid w:val="00A871B2"/>
    <w:rsid w:val="00A872FA"/>
    <w:rsid w:val="00A87355"/>
    <w:rsid w:val="00A873A1"/>
    <w:rsid w:val="00A87995"/>
    <w:rsid w:val="00A9092B"/>
    <w:rsid w:val="00A91A62"/>
    <w:rsid w:val="00A92094"/>
    <w:rsid w:val="00A92A12"/>
    <w:rsid w:val="00A92F28"/>
    <w:rsid w:val="00A931BA"/>
    <w:rsid w:val="00A93A95"/>
    <w:rsid w:val="00A94EDE"/>
    <w:rsid w:val="00A94FFC"/>
    <w:rsid w:val="00A952B9"/>
    <w:rsid w:val="00A95305"/>
    <w:rsid w:val="00A953D9"/>
    <w:rsid w:val="00A95680"/>
    <w:rsid w:val="00A96008"/>
    <w:rsid w:val="00A960BE"/>
    <w:rsid w:val="00A960DD"/>
    <w:rsid w:val="00A964BD"/>
    <w:rsid w:val="00A965E4"/>
    <w:rsid w:val="00A96761"/>
    <w:rsid w:val="00A96CE0"/>
    <w:rsid w:val="00A96F5E"/>
    <w:rsid w:val="00AA04D5"/>
    <w:rsid w:val="00AA093C"/>
    <w:rsid w:val="00AA0C36"/>
    <w:rsid w:val="00AA0D65"/>
    <w:rsid w:val="00AA0FFB"/>
    <w:rsid w:val="00AA1191"/>
    <w:rsid w:val="00AA1265"/>
    <w:rsid w:val="00AA1D5F"/>
    <w:rsid w:val="00AA1E2A"/>
    <w:rsid w:val="00AA1E3C"/>
    <w:rsid w:val="00AA2086"/>
    <w:rsid w:val="00AA20DC"/>
    <w:rsid w:val="00AA21D4"/>
    <w:rsid w:val="00AA22CF"/>
    <w:rsid w:val="00AA3C17"/>
    <w:rsid w:val="00AA3C6F"/>
    <w:rsid w:val="00AA3E97"/>
    <w:rsid w:val="00AA3FF0"/>
    <w:rsid w:val="00AA4271"/>
    <w:rsid w:val="00AA4608"/>
    <w:rsid w:val="00AA4E57"/>
    <w:rsid w:val="00AA4F0B"/>
    <w:rsid w:val="00AA5180"/>
    <w:rsid w:val="00AA5331"/>
    <w:rsid w:val="00AA5363"/>
    <w:rsid w:val="00AA64D8"/>
    <w:rsid w:val="00AA6691"/>
    <w:rsid w:val="00AA678A"/>
    <w:rsid w:val="00AA74B5"/>
    <w:rsid w:val="00AA7683"/>
    <w:rsid w:val="00AA7C63"/>
    <w:rsid w:val="00AA7DFC"/>
    <w:rsid w:val="00AA7FDE"/>
    <w:rsid w:val="00AB097D"/>
    <w:rsid w:val="00AB0AA1"/>
    <w:rsid w:val="00AB0C9F"/>
    <w:rsid w:val="00AB0CD6"/>
    <w:rsid w:val="00AB22B5"/>
    <w:rsid w:val="00AB32DD"/>
    <w:rsid w:val="00AB368B"/>
    <w:rsid w:val="00AB3980"/>
    <w:rsid w:val="00AB410B"/>
    <w:rsid w:val="00AB43FC"/>
    <w:rsid w:val="00AB4836"/>
    <w:rsid w:val="00AB4F9E"/>
    <w:rsid w:val="00AB540F"/>
    <w:rsid w:val="00AB587A"/>
    <w:rsid w:val="00AB589B"/>
    <w:rsid w:val="00AB5BEA"/>
    <w:rsid w:val="00AB5EEC"/>
    <w:rsid w:val="00AB6461"/>
    <w:rsid w:val="00AB6BF2"/>
    <w:rsid w:val="00AB7DE6"/>
    <w:rsid w:val="00AB7F49"/>
    <w:rsid w:val="00AC0231"/>
    <w:rsid w:val="00AC05A7"/>
    <w:rsid w:val="00AC08D6"/>
    <w:rsid w:val="00AC0AAE"/>
    <w:rsid w:val="00AC120C"/>
    <w:rsid w:val="00AC2990"/>
    <w:rsid w:val="00AC31BC"/>
    <w:rsid w:val="00AC3729"/>
    <w:rsid w:val="00AC41F3"/>
    <w:rsid w:val="00AC455F"/>
    <w:rsid w:val="00AC4719"/>
    <w:rsid w:val="00AC53DE"/>
    <w:rsid w:val="00AC5549"/>
    <w:rsid w:val="00AC5A28"/>
    <w:rsid w:val="00AC5C70"/>
    <w:rsid w:val="00AC5EC2"/>
    <w:rsid w:val="00AC6946"/>
    <w:rsid w:val="00AC6A9E"/>
    <w:rsid w:val="00AC7072"/>
    <w:rsid w:val="00AC722A"/>
    <w:rsid w:val="00AC778E"/>
    <w:rsid w:val="00AC7943"/>
    <w:rsid w:val="00AC7B71"/>
    <w:rsid w:val="00AD001C"/>
    <w:rsid w:val="00AD04CD"/>
    <w:rsid w:val="00AD0638"/>
    <w:rsid w:val="00AD0F68"/>
    <w:rsid w:val="00AD0FD4"/>
    <w:rsid w:val="00AD1050"/>
    <w:rsid w:val="00AD10CA"/>
    <w:rsid w:val="00AD116D"/>
    <w:rsid w:val="00AD1252"/>
    <w:rsid w:val="00AD1864"/>
    <w:rsid w:val="00AD246A"/>
    <w:rsid w:val="00AD2A12"/>
    <w:rsid w:val="00AD2F82"/>
    <w:rsid w:val="00AD3103"/>
    <w:rsid w:val="00AD35BA"/>
    <w:rsid w:val="00AD3DC6"/>
    <w:rsid w:val="00AD46DD"/>
    <w:rsid w:val="00AD483F"/>
    <w:rsid w:val="00AD5185"/>
    <w:rsid w:val="00AD5270"/>
    <w:rsid w:val="00AD658B"/>
    <w:rsid w:val="00AD68B0"/>
    <w:rsid w:val="00AD6929"/>
    <w:rsid w:val="00AD6A9D"/>
    <w:rsid w:val="00AD6DDE"/>
    <w:rsid w:val="00AD6FEB"/>
    <w:rsid w:val="00AD76AA"/>
    <w:rsid w:val="00AD7858"/>
    <w:rsid w:val="00AD7CC2"/>
    <w:rsid w:val="00AD7D31"/>
    <w:rsid w:val="00AE0314"/>
    <w:rsid w:val="00AE117D"/>
    <w:rsid w:val="00AE13DF"/>
    <w:rsid w:val="00AE19DB"/>
    <w:rsid w:val="00AE1F97"/>
    <w:rsid w:val="00AE27B6"/>
    <w:rsid w:val="00AE2836"/>
    <w:rsid w:val="00AE2BCC"/>
    <w:rsid w:val="00AE2FE6"/>
    <w:rsid w:val="00AE31A1"/>
    <w:rsid w:val="00AE3AF7"/>
    <w:rsid w:val="00AE40F9"/>
    <w:rsid w:val="00AE4462"/>
    <w:rsid w:val="00AE4547"/>
    <w:rsid w:val="00AE47E0"/>
    <w:rsid w:val="00AE4D64"/>
    <w:rsid w:val="00AE4FA0"/>
    <w:rsid w:val="00AE52C8"/>
    <w:rsid w:val="00AE54C3"/>
    <w:rsid w:val="00AE562C"/>
    <w:rsid w:val="00AE5634"/>
    <w:rsid w:val="00AE5A78"/>
    <w:rsid w:val="00AE5AB1"/>
    <w:rsid w:val="00AE6343"/>
    <w:rsid w:val="00AE6624"/>
    <w:rsid w:val="00AE6B69"/>
    <w:rsid w:val="00AE6D3F"/>
    <w:rsid w:val="00AE706F"/>
    <w:rsid w:val="00AE7EF6"/>
    <w:rsid w:val="00AF073E"/>
    <w:rsid w:val="00AF08A8"/>
    <w:rsid w:val="00AF0D94"/>
    <w:rsid w:val="00AF0DAA"/>
    <w:rsid w:val="00AF10B9"/>
    <w:rsid w:val="00AF11BB"/>
    <w:rsid w:val="00AF13E7"/>
    <w:rsid w:val="00AF1542"/>
    <w:rsid w:val="00AF157E"/>
    <w:rsid w:val="00AF1BD1"/>
    <w:rsid w:val="00AF1CED"/>
    <w:rsid w:val="00AF1F00"/>
    <w:rsid w:val="00AF28D4"/>
    <w:rsid w:val="00AF3602"/>
    <w:rsid w:val="00AF3683"/>
    <w:rsid w:val="00AF39A2"/>
    <w:rsid w:val="00AF3C5A"/>
    <w:rsid w:val="00AF444B"/>
    <w:rsid w:val="00AF4698"/>
    <w:rsid w:val="00AF4B40"/>
    <w:rsid w:val="00AF57B9"/>
    <w:rsid w:val="00AF5A45"/>
    <w:rsid w:val="00AF5B14"/>
    <w:rsid w:val="00AF5D29"/>
    <w:rsid w:val="00AF5DA5"/>
    <w:rsid w:val="00AF5DF8"/>
    <w:rsid w:val="00AF6C42"/>
    <w:rsid w:val="00AF6F5E"/>
    <w:rsid w:val="00AF7267"/>
    <w:rsid w:val="00AF7DF9"/>
    <w:rsid w:val="00AF7F5B"/>
    <w:rsid w:val="00AF7FC1"/>
    <w:rsid w:val="00B00282"/>
    <w:rsid w:val="00B00EAC"/>
    <w:rsid w:val="00B00F4B"/>
    <w:rsid w:val="00B00FAD"/>
    <w:rsid w:val="00B010C6"/>
    <w:rsid w:val="00B01231"/>
    <w:rsid w:val="00B016A5"/>
    <w:rsid w:val="00B01B57"/>
    <w:rsid w:val="00B01DDA"/>
    <w:rsid w:val="00B0204C"/>
    <w:rsid w:val="00B025CB"/>
    <w:rsid w:val="00B03864"/>
    <w:rsid w:val="00B03872"/>
    <w:rsid w:val="00B03B05"/>
    <w:rsid w:val="00B03E6E"/>
    <w:rsid w:val="00B042CF"/>
    <w:rsid w:val="00B0496E"/>
    <w:rsid w:val="00B04FE3"/>
    <w:rsid w:val="00B051EE"/>
    <w:rsid w:val="00B056BD"/>
    <w:rsid w:val="00B05B17"/>
    <w:rsid w:val="00B05B4F"/>
    <w:rsid w:val="00B06361"/>
    <w:rsid w:val="00B069F5"/>
    <w:rsid w:val="00B06DD4"/>
    <w:rsid w:val="00B07009"/>
    <w:rsid w:val="00B070B3"/>
    <w:rsid w:val="00B0710E"/>
    <w:rsid w:val="00B071E2"/>
    <w:rsid w:val="00B0745E"/>
    <w:rsid w:val="00B07A0D"/>
    <w:rsid w:val="00B103B0"/>
    <w:rsid w:val="00B10DED"/>
    <w:rsid w:val="00B11491"/>
    <w:rsid w:val="00B11944"/>
    <w:rsid w:val="00B11A7C"/>
    <w:rsid w:val="00B12754"/>
    <w:rsid w:val="00B12FB7"/>
    <w:rsid w:val="00B132D8"/>
    <w:rsid w:val="00B13319"/>
    <w:rsid w:val="00B13428"/>
    <w:rsid w:val="00B1351F"/>
    <w:rsid w:val="00B13794"/>
    <w:rsid w:val="00B13E4B"/>
    <w:rsid w:val="00B1415B"/>
    <w:rsid w:val="00B146A2"/>
    <w:rsid w:val="00B14C06"/>
    <w:rsid w:val="00B1585E"/>
    <w:rsid w:val="00B159C5"/>
    <w:rsid w:val="00B16467"/>
    <w:rsid w:val="00B165E7"/>
    <w:rsid w:val="00B16745"/>
    <w:rsid w:val="00B16FDB"/>
    <w:rsid w:val="00B17451"/>
    <w:rsid w:val="00B1755C"/>
    <w:rsid w:val="00B176E0"/>
    <w:rsid w:val="00B17A26"/>
    <w:rsid w:val="00B17CD2"/>
    <w:rsid w:val="00B17EB5"/>
    <w:rsid w:val="00B202A7"/>
    <w:rsid w:val="00B202FE"/>
    <w:rsid w:val="00B21C15"/>
    <w:rsid w:val="00B22258"/>
    <w:rsid w:val="00B226B1"/>
    <w:rsid w:val="00B22C10"/>
    <w:rsid w:val="00B22ED9"/>
    <w:rsid w:val="00B2390D"/>
    <w:rsid w:val="00B23C44"/>
    <w:rsid w:val="00B23D4D"/>
    <w:rsid w:val="00B24857"/>
    <w:rsid w:val="00B2490E"/>
    <w:rsid w:val="00B25109"/>
    <w:rsid w:val="00B2519B"/>
    <w:rsid w:val="00B258EA"/>
    <w:rsid w:val="00B25A23"/>
    <w:rsid w:val="00B25BFC"/>
    <w:rsid w:val="00B262D7"/>
    <w:rsid w:val="00B262F7"/>
    <w:rsid w:val="00B266AB"/>
    <w:rsid w:val="00B270EB"/>
    <w:rsid w:val="00B275BF"/>
    <w:rsid w:val="00B27E19"/>
    <w:rsid w:val="00B30279"/>
    <w:rsid w:val="00B305ED"/>
    <w:rsid w:val="00B3073E"/>
    <w:rsid w:val="00B30A0B"/>
    <w:rsid w:val="00B30A5E"/>
    <w:rsid w:val="00B3104E"/>
    <w:rsid w:val="00B31194"/>
    <w:rsid w:val="00B31E75"/>
    <w:rsid w:val="00B32309"/>
    <w:rsid w:val="00B32D42"/>
    <w:rsid w:val="00B330C0"/>
    <w:rsid w:val="00B33F96"/>
    <w:rsid w:val="00B34418"/>
    <w:rsid w:val="00B344BE"/>
    <w:rsid w:val="00B34527"/>
    <w:rsid w:val="00B3472A"/>
    <w:rsid w:val="00B34BE3"/>
    <w:rsid w:val="00B351BC"/>
    <w:rsid w:val="00B355E2"/>
    <w:rsid w:val="00B3570F"/>
    <w:rsid w:val="00B35DBC"/>
    <w:rsid w:val="00B3605F"/>
    <w:rsid w:val="00B360BC"/>
    <w:rsid w:val="00B364A5"/>
    <w:rsid w:val="00B364C9"/>
    <w:rsid w:val="00B36688"/>
    <w:rsid w:val="00B36857"/>
    <w:rsid w:val="00B36C26"/>
    <w:rsid w:val="00B36FF8"/>
    <w:rsid w:val="00B3728F"/>
    <w:rsid w:val="00B3732F"/>
    <w:rsid w:val="00B37353"/>
    <w:rsid w:val="00B374A7"/>
    <w:rsid w:val="00B404FF"/>
    <w:rsid w:val="00B40BA6"/>
    <w:rsid w:val="00B41340"/>
    <w:rsid w:val="00B41428"/>
    <w:rsid w:val="00B4178D"/>
    <w:rsid w:val="00B4216D"/>
    <w:rsid w:val="00B425CB"/>
    <w:rsid w:val="00B4292D"/>
    <w:rsid w:val="00B430DC"/>
    <w:rsid w:val="00B4379F"/>
    <w:rsid w:val="00B437C1"/>
    <w:rsid w:val="00B43C59"/>
    <w:rsid w:val="00B44261"/>
    <w:rsid w:val="00B4435E"/>
    <w:rsid w:val="00B447A6"/>
    <w:rsid w:val="00B44C64"/>
    <w:rsid w:val="00B44D01"/>
    <w:rsid w:val="00B44EAC"/>
    <w:rsid w:val="00B45104"/>
    <w:rsid w:val="00B453C6"/>
    <w:rsid w:val="00B45437"/>
    <w:rsid w:val="00B45769"/>
    <w:rsid w:val="00B45F7D"/>
    <w:rsid w:val="00B4674C"/>
    <w:rsid w:val="00B4697F"/>
    <w:rsid w:val="00B46D51"/>
    <w:rsid w:val="00B46D63"/>
    <w:rsid w:val="00B46E3C"/>
    <w:rsid w:val="00B474EB"/>
    <w:rsid w:val="00B4783C"/>
    <w:rsid w:val="00B500D1"/>
    <w:rsid w:val="00B500E0"/>
    <w:rsid w:val="00B508E4"/>
    <w:rsid w:val="00B50FF5"/>
    <w:rsid w:val="00B51087"/>
    <w:rsid w:val="00B514C0"/>
    <w:rsid w:val="00B52330"/>
    <w:rsid w:val="00B52A0D"/>
    <w:rsid w:val="00B530B1"/>
    <w:rsid w:val="00B5341F"/>
    <w:rsid w:val="00B5368E"/>
    <w:rsid w:val="00B53B44"/>
    <w:rsid w:val="00B53FBD"/>
    <w:rsid w:val="00B53FFE"/>
    <w:rsid w:val="00B54BF6"/>
    <w:rsid w:val="00B54BF8"/>
    <w:rsid w:val="00B54E97"/>
    <w:rsid w:val="00B54EC9"/>
    <w:rsid w:val="00B5520D"/>
    <w:rsid w:val="00B5527F"/>
    <w:rsid w:val="00B5558B"/>
    <w:rsid w:val="00B55D7F"/>
    <w:rsid w:val="00B55FE3"/>
    <w:rsid w:val="00B561CC"/>
    <w:rsid w:val="00B56275"/>
    <w:rsid w:val="00B56522"/>
    <w:rsid w:val="00B56609"/>
    <w:rsid w:val="00B56704"/>
    <w:rsid w:val="00B578FC"/>
    <w:rsid w:val="00B57D4C"/>
    <w:rsid w:val="00B6000A"/>
    <w:rsid w:val="00B6041E"/>
    <w:rsid w:val="00B60AAB"/>
    <w:rsid w:val="00B60EE4"/>
    <w:rsid w:val="00B613A8"/>
    <w:rsid w:val="00B6194D"/>
    <w:rsid w:val="00B62177"/>
    <w:rsid w:val="00B62753"/>
    <w:rsid w:val="00B627ED"/>
    <w:rsid w:val="00B62841"/>
    <w:rsid w:val="00B631BD"/>
    <w:rsid w:val="00B63BAB"/>
    <w:rsid w:val="00B640CF"/>
    <w:rsid w:val="00B65044"/>
    <w:rsid w:val="00B6526B"/>
    <w:rsid w:val="00B65886"/>
    <w:rsid w:val="00B65BAD"/>
    <w:rsid w:val="00B65C96"/>
    <w:rsid w:val="00B65E1A"/>
    <w:rsid w:val="00B65F09"/>
    <w:rsid w:val="00B66913"/>
    <w:rsid w:val="00B67011"/>
    <w:rsid w:val="00B679A2"/>
    <w:rsid w:val="00B67F02"/>
    <w:rsid w:val="00B700C6"/>
    <w:rsid w:val="00B708E6"/>
    <w:rsid w:val="00B70A07"/>
    <w:rsid w:val="00B70B04"/>
    <w:rsid w:val="00B70B95"/>
    <w:rsid w:val="00B70D02"/>
    <w:rsid w:val="00B70E26"/>
    <w:rsid w:val="00B70F78"/>
    <w:rsid w:val="00B718A2"/>
    <w:rsid w:val="00B71C39"/>
    <w:rsid w:val="00B71D7F"/>
    <w:rsid w:val="00B71E35"/>
    <w:rsid w:val="00B7257B"/>
    <w:rsid w:val="00B728C9"/>
    <w:rsid w:val="00B7294D"/>
    <w:rsid w:val="00B7321E"/>
    <w:rsid w:val="00B7369E"/>
    <w:rsid w:val="00B73CA0"/>
    <w:rsid w:val="00B73DD9"/>
    <w:rsid w:val="00B741E1"/>
    <w:rsid w:val="00B74352"/>
    <w:rsid w:val="00B746E7"/>
    <w:rsid w:val="00B7564F"/>
    <w:rsid w:val="00B75A2E"/>
    <w:rsid w:val="00B75C8D"/>
    <w:rsid w:val="00B761C7"/>
    <w:rsid w:val="00B762CD"/>
    <w:rsid w:val="00B7673C"/>
    <w:rsid w:val="00B76816"/>
    <w:rsid w:val="00B76D99"/>
    <w:rsid w:val="00B777E3"/>
    <w:rsid w:val="00B77831"/>
    <w:rsid w:val="00B8034F"/>
    <w:rsid w:val="00B80882"/>
    <w:rsid w:val="00B811A6"/>
    <w:rsid w:val="00B81608"/>
    <w:rsid w:val="00B81EED"/>
    <w:rsid w:val="00B8284D"/>
    <w:rsid w:val="00B82B95"/>
    <w:rsid w:val="00B82EE3"/>
    <w:rsid w:val="00B830D2"/>
    <w:rsid w:val="00B83C8D"/>
    <w:rsid w:val="00B83F3E"/>
    <w:rsid w:val="00B83FE7"/>
    <w:rsid w:val="00B84B50"/>
    <w:rsid w:val="00B84DC5"/>
    <w:rsid w:val="00B84F64"/>
    <w:rsid w:val="00B85196"/>
    <w:rsid w:val="00B854D4"/>
    <w:rsid w:val="00B859C2"/>
    <w:rsid w:val="00B85B75"/>
    <w:rsid w:val="00B85EA1"/>
    <w:rsid w:val="00B8613F"/>
    <w:rsid w:val="00B8656D"/>
    <w:rsid w:val="00B86A60"/>
    <w:rsid w:val="00B86FD7"/>
    <w:rsid w:val="00B87822"/>
    <w:rsid w:val="00B906A9"/>
    <w:rsid w:val="00B90D09"/>
    <w:rsid w:val="00B90D44"/>
    <w:rsid w:val="00B90D56"/>
    <w:rsid w:val="00B912F7"/>
    <w:rsid w:val="00B916DB"/>
    <w:rsid w:val="00B921E8"/>
    <w:rsid w:val="00B922FC"/>
    <w:rsid w:val="00B9234F"/>
    <w:rsid w:val="00B92686"/>
    <w:rsid w:val="00B927D3"/>
    <w:rsid w:val="00B92A14"/>
    <w:rsid w:val="00B935E3"/>
    <w:rsid w:val="00B939D8"/>
    <w:rsid w:val="00B9408A"/>
    <w:rsid w:val="00B94A38"/>
    <w:rsid w:val="00B954D2"/>
    <w:rsid w:val="00B95DDE"/>
    <w:rsid w:val="00B95EB3"/>
    <w:rsid w:val="00B961A1"/>
    <w:rsid w:val="00B96644"/>
    <w:rsid w:val="00B96A42"/>
    <w:rsid w:val="00B976B9"/>
    <w:rsid w:val="00B97B96"/>
    <w:rsid w:val="00BA0E69"/>
    <w:rsid w:val="00BA10A2"/>
    <w:rsid w:val="00BA1A7E"/>
    <w:rsid w:val="00BA1B87"/>
    <w:rsid w:val="00BA21C0"/>
    <w:rsid w:val="00BA2674"/>
    <w:rsid w:val="00BA26CB"/>
    <w:rsid w:val="00BA2909"/>
    <w:rsid w:val="00BA3021"/>
    <w:rsid w:val="00BA3EF2"/>
    <w:rsid w:val="00BA4BD0"/>
    <w:rsid w:val="00BA54AD"/>
    <w:rsid w:val="00BA56C5"/>
    <w:rsid w:val="00BA64B7"/>
    <w:rsid w:val="00BA6786"/>
    <w:rsid w:val="00BA68CB"/>
    <w:rsid w:val="00BA75EA"/>
    <w:rsid w:val="00BA7749"/>
    <w:rsid w:val="00BA7B0C"/>
    <w:rsid w:val="00BB0459"/>
    <w:rsid w:val="00BB0855"/>
    <w:rsid w:val="00BB09EF"/>
    <w:rsid w:val="00BB0CF9"/>
    <w:rsid w:val="00BB0E20"/>
    <w:rsid w:val="00BB17E3"/>
    <w:rsid w:val="00BB1A44"/>
    <w:rsid w:val="00BB2047"/>
    <w:rsid w:val="00BB266C"/>
    <w:rsid w:val="00BB2934"/>
    <w:rsid w:val="00BB332D"/>
    <w:rsid w:val="00BB3666"/>
    <w:rsid w:val="00BB3960"/>
    <w:rsid w:val="00BB3972"/>
    <w:rsid w:val="00BB3DC9"/>
    <w:rsid w:val="00BB3EAD"/>
    <w:rsid w:val="00BB420C"/>
    <w:rsid w:val="00BB4496"/>
    <w:rsid w:val="00BB485D"/>
    <w:rsid w:val="00BB4C36"/>
    <w:rsid w:val="00BB4CCC"/>
    <w:rsid w:val="00BB582F"/>
    <w:rsid w:val="00BB58E6"/>
    <w:rsid w:val="00BB5A70"/>
    <w:rsid w:val="00BB5C5F"/>
    <w:rsid w:val="00BB6CEA"/>
    <w:rsid w:val="00BB7124"/>
    <w:rsid w:val="00BB7BDE"/>
    <w:rsid w:val="00BC0576"/>
    <w:rsid w:val="00BC0927"/>
    <w:rsid w:val="00BC0CE1"/>
    <w:rsid w:val="00BC0E84"/>
    <w:rsid w:val="00BC1B09"/>
    <w:rsid w:val="00BC1BC4"/>
    <w:rsid w:val="00BC1DF3"/>
    <w:rsid w:val="00BC21AA"/>
    <w:rsid w:val="00BC22BB"/>
    <w:rsid w:val="00BC2600"/>
    <w:rsid w:val="00BC268C"/>
    <w:rsid w:val="00BC28E4"/>
    <w:rsid w:val="00BC299E"/>
    <w:rsid w:val="00BC2E8F"/>
    <w:rsid w:val="00BC3346"/>
    <w:rsid w:val="00BC38EB"/>
    <w:rsid w:val="00BC392E"/>
    <w:rsid w:val="00BC3B6E"/>
    <w:rsid w:val="00BC3B97"/>
    <w:rsid w:val="00BC3D94"/>
    <w:rsid w:val="00BC3DFF"/>
    <w:rsid w:val="00BC3E92"/>
    <w:rsid w:val="00BC3F98"/>
    <w:rsid w:val="00BC4045"/>
    <w:rsid w:val="00BC413D"/>
    <w:rsid w:val="00BC462A"/>
    <w:rsid w:val="00BC50A2"/>
    <w:rsid w:val="00BC5475"/>
    <w:rsid w:val="00BC5ABD"/>
    <w:rsid w:val="00BC5AC6"/>
    <w:rsid w:val="00BC5C62"/>
    <w:rsid w:val="00BC6006"/>
    <w:rsid w:val="00BC6476"/>
    <w:rsid w:val="00BC6C18"/>
    <w:rsid w:val="00BC760D"/>
    <w:rsid w:val="00BC77ED"/>
    <w:rsid w:val="00BC7B8B"/>
    <w:rsid w:val="00BD0075"/>
    <w:rsid w:val="00BD0421"/>
    <w:rsid w:val="00BD0D6F"/>
    <w:rsid w:val="00BD1137"/>
    <w:rsid w:val="00BD129C"/>
    <w:rsid w:val="00BD160B"/>
    <w:rsid w:val="00BD163E"/>
    <w:rsid w:val="00BD1AD6"/>
    <w:rsid w:val="00BD1ED6"/>
    <w:rsid w:val="00BD2296"/>
    <w:rsid w:val="00BD32F2"/>
    <w:rsid w:val="00BD366A"/>
    <w:rsid w:val="00BD47A9"/>
    <w:rsid w:val="00BD48F0"/>
    <w:rsid w:val="00BD4A6D"/>
    <w:rsid w:val="00BD610D"/>
    <w:rsid w:val="00BD6386"/>
    <w:rsid w:val="00BD63DB"/>
    <w:rsid w:val="00BD6BA6"/>
    <w:rsid w:val="00BD71C5"/>
    <w:rsid w:val="00BD749B"/>
    <w:rsid w:val="00BD750B"/>
    <w:rsid w:val="00BD76AF"/>
    <w:rsid w:val="00BD76E6"/>
    <w:rsid w:val="00BD78D5"/>
    <w:rsid w:val="00BE0011"/>
    <w:rsid w:val="00BE033E"/>
    <w:rsid w:val="00BE082B"/>
    <w:rsid w:val="00BE0C5B"/>
    <w:rsid w:val="00BE1341"/>
    <w:rsid w:val="00BE15A0"/>
    <w:rsid w:val="00BE17D8"/>
    <w:rsid w:val="00BE1BED"/>
    <w:rsid w:val="00BE1C05"/>
    <w:rsid w:val="00BE287C"/>
    <w:rsid w:val="00BE2A75"/>
    <w:rsid w:val="00BE3006"/>
    <w:rsid w:val="00BE3632"/>
    <w:rsid w:val="00BE3B9A"/>
    <w:rsid w:val="00BE47D4"/>
    <w:rsid w:val="00BE52CA"/>
    <w:rsid w:val="00BE52F5"/>
    <w:rsid w:val="00BE5575"/>
    <w:rsid w:val="00BE5676"/>
    <w:rsid w:val="00BE5A11"/>
    <w:rsid w:val="00BE627B"/>
    <w:rsid w:val="00BE643C"/>
    <w:rsid w:val="00BE6812"/>
    <w:rsid w:val="00BE6F2A"/>
    <w:rsid w:val="00BE7480"/>
    <w:rsid w:val="00BF001A"/>
    <w:rsid w:val="00BF0055"/>
    <w:rsid w:val="00BF059B"/>
    <w:rsid w:val="00BF072F"/>
    <w:rsid w:val="00BF0753"/>
    <w:rsid w:val="00BF149A"/>
    <w:rsid w:val="00BF14A8"/>
    <w:rsid w:val="00BF19B0"/>
    <w:rsid w:val="00BF1BAC"/>
    <w:rsid w:val="00BF1DCB"/>
    <w:rsid w:val="00BF2481"/>
    <w:rsid w:val="00BF28E3"/>
    <w:rsid w:val="00BF2CD7"/>
    <w:rsid w:val="00BF2EBF"/>
    <w:rsid w:val="00BF2FA9"/>
    <w:rsid w:val="00BF33FC"/>
    <w:rsid w:val="00BF3F26"/>
    <w:rsid w:val="00BF4054"/>
    <w:rsid w:val="00BF50E7"/>
    <w:rsid w:val="00BF552D"/>
    <w:rsid w:val="00BF57A2"/>
    <w:rsid w:val="00BF5BEB"/>
    <w:rsid w:val="00BF5C85"/>
    <w:rsid w:val="00BF6425"/>
    <w:rsid w:val="00BF65EA"/>
    <w:rsid w:val="00BF79BA"/>
    <w:rsid w:val="00BF7FFD"/>
    <w:rsid w:val="00C000D8"/>
    <w:rsid w:val="00C000DE"/>
    <w:rsid w:val="00C0034F"/>
    <w:rsid w:val="00C00641"/>
    <w:rsid w:val="00C00D31"/>
    <w:rsid w:val="00C016E2"/>
    <w:rsid w:val="00C02B58"/>
    <w:rsid w:val="00C0303B"/>
    <w:rsid w:val="00C03537"/>
    <w:rsid w:val="00C03653"/>
    <w:rsid w:val="00C03EEC"/>
    <w:rsid w:val="00C04138"/>
    <w:rsid w:val="00C0474A"/>
    <w:rsid w:val="00C0493A"/>
    <w:rsid w:val="00C05129"/>
    <w:rsid w:val="00C0571E"/>
    <w:rsid w:val="00C05B27"/>
    <w:rsid w:val="00C05C0C"/>
    <w:rsid w:val="00C05DCE"/>
    <w:rsid w:val="00C05E02"/>
    <w:rsid w:val="00C06398"/>
    <w:rsid w:val="00C065C1"/>
    <w:rsid w:val="00C06885"/>
    <w:rsid w:val="00C068F0"/>
    <w:rsid w:val="00C06C96"/>
    <w:rsid w:val="00C06F6B"/>
    <w:rsid w:val="00C06F8D"/>
    <w:rsid w:val="00C06FC3"/>
    <w:rsid w:val="00C071FA"/>
    <w:rsid w:val="00C07365"/>
    <w:rsid w:val="00C0748E"/>
    <w:rsid w:val="00C10228"/>
    <w:rsid w:val="00C104A1"/>
    <w:rsid w:val="00C10AC7"/>
    <w:rsid w:val="00C1121D"/>
    <w:rsid w:val="00C11595"/>
    <w:rsid w:val="00C11A4E"/>
    <w:rsid w:val="00C11CD2"/>
    <w:rsid w:val="00C11F6F"/>
    <w:rsid w:val="00C121D0"/>
    <w:rsid w:val="00C1231E"/>
    <w:rsid w:val="00C12504"/>
    <w:rsid w:val="00C12627"/>
    <w:rsid w:val="00C12D36"/>
    <w:rsid w:val="00C13B05"/>
    <w:rsid w:val="00C13BA9"/>
    <w:rsid w:val="00C13D56"/>
    <w:rsid w:val="00C13EC0"/>
    <w:rsid w:val="00C14609"/>
    <w:rsid w:val="00C14950"/>
    <w:rsid w:val="00C149AE"/>
    <w:rsid w:val="00C14F9D"/>
    <w:rsid w:val="00C15062"/>
    <w:rsid w:val="00C152AE"/>
    <w:rsid w:val="00C153E4"/>
    <w:rsid w:val="00C158CE"/>
    <w:rsid w:val="00C15A76"/>
    <w:rsid w:val="00C15ACE"/>
    <w:rsid w:val="00C15E9A"/>
    <w:rsid w:val="00C16062"/>
    <w:rsid w:val="00C161A9"/>
    <w:rsid w:val="00C165B7"/>
    <w:rsid w:val="00C166DB"/>
    <w:rsid w:val="00C16CD6"/>
    <w:rsid w:val="00C1719F"/>
    <w:rsid w:val="00C17DE2"/>
    <w:rsid w:val="00C2015E"/>
    <w:rsid w:val="00C202B5"/>
    <w:rsid w:val="00C20E73"/>
    <w:rsid w:val="00C2125C"/>
    <w:rsid w:val="00C2139B"/>
    <w:rsid w:val="00C21497"/>
    <w:rsid w:val="00C21796"/>
    <w:rsid w:val="00C21C48"/>
    <w:rsid w:val="00C21D3F"/>
    <w:rsid w:val="00C2214F"/>
    <w:rsid w:val="00C22357"/>
    <w:rsid w:val="00C229B1"/>
    <w:rsid w:val="00C23014"/>
    <w:rsid w:val="00C230EA"/>
    <w:rsid w:val="00C23420"/>
    <w:rsid w:val="00C23B4B"/>
    <w:rsid w:val="00C23D6E"/>
    <w:rsid w:val="00C24669"/>
    <w:rsid w:val="00C24754"/>
    <w:rsid w:val="00C249F1"/>
    <w:rsid w:val="00C24F2A"/>
    <w:rsid w:val="00C251B0"/>
    <w:rsid w:val="00C2550C"/>
    <w:rsid w:val="00C258C3"/>
    <w:rsid w:val="00C25C9C"/>
    <w:rsid w:val="00C25D07"/>
    <w:rsid w:val="00C25EA2"/>
    <w:rsid w:val="00C2638C"/>
    <w:rsid w:val="00C26D7B"/>
    <w:rsid w:val="00C26DE0"/>
    <w:rsid w:val="00C26E4F"/>
    <w:rsid w:val="00C26FEC"/>
    <w:rsid w:val="00C27BF3"/>
    <w:rsid w:val="00C30736"/>
    <w:rsid w:val="00C30A4A"/>
    <w:rsid w:val="00C30EAD"/>
    <w:rsid w:val="00C3181C"/>
    <w:rsid w:val="00C31B02"/>
    <w:rsid w:val="00C31E41"/>
    <w:rsid w:val="00C31F06"/>
    <w:rsid w:val="00C323FA"/>
    <w:rsid w:val="00C32983"/>
    <w:rsid w:val="00C32A88"/>
    <w:rsid w:val="00C3372E"/>
    <w:rsid w:val="00C33854"/>
    <w:rsid w:val="00C33DA0"/>
    <w:rsid w:val="00C34402"/>
    <w:rsid w:val="00C34DB6"/>
    <w:rsid w:val="00C35363"/>
    <w:rsid w:val="00C35893"/>
    <w:rsid w:val="00C359EA"/>
    <w:rsid w:val="00C35C4A"/>
    <w:rsid w:val="00C35E32"/>
    <w:rsid w:val="00C36162"/>
    <w:rsid w:val="00C3693F"/>
    <w:rsid w:val="00C36983"/>
    <w:rsid w:val="00C36ABD"/>
    <w:rsid w:val="00C36AF4"/>
    <w:rsid w:val="00C36DD6"/>
    <w:rsid w:val="00C36EA5"/>
    <w:rsid w:val="00C36EC7"/>
    <w:rsid w:val="00C3700C"/>
    <w:rsid w:val="00C3711E"/>
    <w:rsid w:val="00C374F5"/>
    <w:rsid w:val="00C37B9D"/>
    <w:rsid w:val="00C37BD4"/>
    <w:rsid w:val="00C37BEE"/>
    <w:rsid w:val="00C37E42"/>
    <w:rsid w:val="00C40AAF"/>
    <w:rsid w:val="00C40DBD"/>
    <w:rsid w:val="00C40FDB"/>
    <w:rsid w:val="00C4145C"/>
    <w:rsid w:val="00C4155B"/>
    <w:rsid w:val="00C41756"/>
    <w:rsid w:val="00C41B22"/>
    <w:rsid w:val="00C41F56"/>
    <w:rsid w:val="00C423A2"/>
    <w:rsid w:val="00C42477"/>
    <w:rsid w:val="00C4276B"/>
    <w:rsid w:val="00C427FD"/>
    <w:rsid w:val="00C42AD0"/>
    <w:rsid w:val="00C4322D"/>
    <w:rsid w:val="00C43898"/>
    <w:rsid w:val="00C43CFD"/>
    <w:rsid w:val="00C43F27"/>
    <w:rsid w:val="00C44296"/>
    <w:rsid w:val="00C44BD1"/>
    <w:rsid w:val="00C45603"/>
    <w:rsid w:val="00C4568F"/>
    <w:rsid w:val="00C46023"/>
    <w:rsid w:val="00C46735"/>
    <w:rsid w:val="00C46B3C"/>
    <w:rsid w:val="00C46B5F"/>
    <w:rsid w:val="00C47161"/>
    <w:rsid w:val="00C47182"/>
    <w:rsid w:val="00C471A5"/>
    <w:rsid w:val="00C4738F"/>
    <w:rsid w:val="00C47858"/>
    <w:rsid w:val="00C47CEB"/>
    <w:rsid w:val="00C47EFB"/>
    <w:rsid w:val="00C47F74"/>
    <w:rsid w:val="00C5007C"/>
    <w:rsid w:val="00C50C5C"/>
    <w:rsid w:val="00C51306"/>
    <w:rsid w:val="00C51A3B"/>
    <w:rsid w:val="00C51AF2"/>
    <w:rsid w:val="00C51CC3"/>
    <w:rsid w:val="00C521BB"/>
    <w:rsid w:val="00C52253"/>
    <w:rsid w:val="00C5263A"/>
    <w:rsid w:val="00C5272C"/>
    <w:rsid w:val="00C52A74"/>
    <w:rsid w:val="00C52BE8"/>
    <w:rsid w:val="00C52E05"/>
    <w:rsid w:val="00C5303F"/>
    <w:rsid w:val="00C531AE"/>
    <w:rsid w:val="00C53A4D"/>
    <w:rsid w:val="00C53FF2"/>
    <w:rsid w:val="00C5416E"/>
    <w:rsid w:val="00C542A6"/>
    <w:rsid w:val="00C54378"/>
    <w:rsid w:val="00C544EF"/>
    <w:rsid w:val="00C549A4"/>
    <w:rsid w:val="00C549DF"/>
    <w:rsid w:val="00C54E60"/>
    <w:rsid w:val="00C54EF1"/>
    <w:rsid w:val="00C55149"/>
    <w:rsid w:val="00C55489"/>
    <w:rsid w:val="00C55DD1"/>
    <w:rsid w:val="00C56765"/>
    <w:rsid w:val="00C57F5C"/>
    <w:rsid w:val="00C606BD"/>
    <w:rsid w:val="00C6074A"/>
    <w:rsid w:val="00C607FD"/>
    <w:rsid w:val="00C611BD"/>
    <w:rsid w:val="00C612E7"/>
    <w:rsid w:val="00C61B52"/>
    <w:rsid w:val="00C61E56"/>
    <w:rsid w:val="00C6215A"/>
    <w:rsid w:val="00C6248B"/>
    <w:rsid w:val="00C6291B"/>
    <w:rsid w:val="00C6391A"/>
    <w:rsid w:val="00C63E07"/>
    <w:rsid w:val="00C64027"/>
    <w:rsid w:val="00C644BD"/>
    <w:rsid w:val="00C646F9"/>
    <w:rsid w:val="00C647BD"/>
    <w:rsid w:val="00C64BBA"/>
    <w:rsid w:val="00C651FC"/>
    <w:rsid w:val="00C673C6"/>
    <w:rsid w:val="00C6742B"/>
    <w:rsid w:val="00C67B01"/>
    <w:rsid w:val="00C7041F"/>
    <w:rsid w:val="00C705F0"/>
    <w:rsid w:val="00C7078E"/>
    <w:rsid w:val="00C70CA7"/>
    <w:rsid w:val="00C710BB"/>
    <w:rsid w:val="00C718B9"/>
    <w:rsid w:val="00C71F0E"/>
    <w:rsid w:val="00C72330"/>
    <w:rsid w:val="00C723AC"/>
    <w:rsid w:val="00C7261E"/>
    <w:rsid w:val="00C7279B"/>
    <w:rsid w:val="00C728AD"/>
    <w:rsid w:val="00C72DE3"/>
    <w:rsid w:val="00C734FE"/>
    <w:rsid w:val="00C73569"/>
    <w:rsid w:val="00C735BC"/>
    <w:rsid w:val="00C738D2"/>
    <w:rsid w:val="00C73AE7"/>
    <w:rsid w:val="00C74210"/>
    <w:rsid w:val="00C752D6"/>
    <w:rsid w:val="00C75398"/>
    <w:rsid w:val="00C75729"/>
    <w:rsid w:val="00C75820"/>
    <w:rsid w:val="00C759BB"/>
    <w:rsid w:val="00C75A99"/>
    <w:rsid w:val="00C764DF"/>
    <w:rsid w:val="00C76B11"/>
    <w:rsid w:val="00C76CDE"/>
    <w:rsid w:val="00C76E1D"/>
    <w:rsid w:val="00C77441"/>
    <w:rsid w:val="00C77943"/>
    <w:rsid w:val="00C779CB"/>
    <w:rsid w:val="00C779CD"/>
    <w:rsid w:val="00C77ABA"/>
    <w:rsid w:val="00C77D5E"/>
    <w:rsid w:val="00C77DA4"/>
    <w:rsid w:val="00C77E42"/>
    <w:rsid w:val="00C80384"/>
    <w:rsid w:val="00C8099D"/>
    <w:rsid w:val="00C80C96"/>
    <w:rsid w:val="00C81F06"/>
    <w:rsid w:val="00C81FEB"/>
    <w:rsid w:val="00C82D3D"/>
    <w:rsid w:val="00C82D55"/>
    <w:rsid w:val="00C82E29"/>
    <w:rsid w:val="00C82F2C"/>
    <w:rsid w:val="00C83593"/>
    <w:rsid w:val="00C835B3"/>
    <w:rsid w:val="00C8361A"/>
    <w:rsid w:val="00C83801"/>
    <w:rsid w:val="00C83A92"/>
    <w:rsid w:val="00C83D0B"/>
    <w:rsid w:val="00C83F56"/>
    <w:rsid w:val="00C84063"/>
    <w:rsid w:val="00C847D1"/>
    <w:rsid w:val="00C84A5E"/>
    <w:rsid w:val="00C84A72"/>
    <w:rsid w:val="00C84B1E"/>
    <w:rsid w:val="00C84B24"/>
    <w:rsid w:val="00C84C8F"/>
    <w:rsid w:val="00C84C97"/>
    <w:rsid w:val="00C8581D"/>
    <w:rsid w:val="00C85B54"/>
    <w:rsid w:val="00C85BA1"/>
    <w:rsid w:val="00C86346"/>
    <w:rsid w:val="00C864A3"/>
    <w:rsid w:val="00C86AE1"/>
    <w:rsid w:val="00C87177"/>
    <w:rsid w:val="00C87AE5"/>
    <w:rsid w:val="00C87E4B"/>
    <w:rsid w:val="00C90709"/>
    <w:rsid w:val="00C9074A"/>
    <w:rsid w:val="00C90C09"/>
    <w:rsid w:val="00C91173"/>
    <w:rsid w:val="00C91474"/>
    <w:rsid w:val="00C914BA"/>
    <w:rsid w:val="00C9188C"/>
    <w:rsid w:val="00C91A2F"/>
    <w:rsid w:val="00C92400"/>
    <w:rsid w:val="00C924EC"/>
    <w:rsid w:val="00C9274C"/>
    <w:rsid w:val="00C92E84"/>
    <w:rsid w:val="00C930C8"/>
    <w:rsid w:val="00C93843"/>
    <w:rsid w:val="00C93947"/>
    <w:rsid w:val="00C93F2A"/>
    <w:rsid w:val="00C95281"/>
    <w:rsid w:val="00C95A24"/>
    <w:rsid w:val="00C96308"/>
    <w:rsid w:val="00C963D7"/>
    <w:rsid w:val="00C967CD"/>
    <w:rsid w:val="00C96A9C"/>
    <w:rsid w:val="00C96E7A"/>
    <w:rsid w:val="00C96E7D"/>
    <w:rsid w:val="00C96FBB"/>
    <w:rsid w:val="00C9725B"/>
    <w:rsid w:val="00C9767B"/>
    <w:rsid w:val="00C9768B"/>
    <w:rsid w:val="00C97930"/>
    <w:rsid w:val="00C97A85"/>
    <w:rsid w:val="00CA0085"/>
    <w:rsid w:val="00CA0215"/>
    <w:rsid w:val="00CA058B"/>
    <w:rsid w:val="00CA0C5A"/>
    <w:rsid w:val="00CA0EF5"/>
    <w:rsid w:val="00CA10C3"/>
    <w:rsid w:val="00CA1824"/>
    <w:rsid w:val="00CA183A"/>
    <w:rsid w:val="00CA1943"/>
    <w:rsid w:val="00CA1DCA"/>
    <w:rsid w:val="00CA209D"/>
    <w:rsid w:val="00CA23BA"/>
    <w:rsid w:val="00CA2560"/>
    <w:rsid w:val="00CA27A1"/>
    <w:rsid w:val="00CA2834"/>
    <w:rsid w:val="00CA2BA8"/>
    <w:rsid w:val="00CA31DB"/>
    <w:rsid w:val="00CA360E"/>
    <w:rsid w:val="00CA4A23"/>
    <w:rsid w:val="00CA5097"/>
    <w:rsid w:val="00CA609F"/>
    <w:rsid w:val="00CA625C"/>
    <w:rsid w:val="00CA64DD"/>
    <w:rsid w:val="00CA6792"/>
    <w:rsid w:val="00CA699F"/>
    <w:rsid w:val="00CA6B69"/>
    <w:rsid w:val="00CA725C"/>
    <w:rsid w:val="00CA739E"/>
    <w:rsid w:val="00CA7738"/>
    <w:rsid w:val="00CA7BF0"/>
    <w:rsid w:val="00CB0596"/>
    <w:rsid w:val="00CB07E2"/>
    <w:rsid w:val="00CB0802"/>
    <w:rsid w:val="00CB0C55"/>
    <w:rsid w:val="00CB0CFC"/>
    <w:rsid w:val="00CB0D57"/>
    <w:rsid w:val="00CB0FAD"/>
    <w:rsid w:val="00CB10B0"/>
    <w:rsid w:val="00CB1142"/>
    <w:rsid w:val="00CB1BD8"/>
    <w:rsid w:val="00CB1D82"/>
    <w:rsid w:val="00CB1EAE"/>
    <w:rsid w:val="00CB2037"/>
    <w:rsid w:val="00CB216A"/>
    <w:rsid w:val="00CB21BE"/>
    <w:rsid w:val="00CB2694"/>
    <w:rsid w:val="00CB2F67"/>
    <w:rsid w:val="00CB3CBB"/>
    <w:rsid w:val="00CB4185"/>
    <w:rsid w:val="00CB44EB"/>
    <w:rsid w:val="00CB44F5"/>
    <w:rsid w:val="00CB4B5D"/>
    <w:rsid w:val="00CB4CD3"/>
    <w:rsid w:val="00CB5293"/>
    <w:rsid w:val="00CB531D"/>
    <w:rsid w:val="00CB5EFA"/>
    <w:rsid w:val="00CB63A1"/>
    <w:rsid w:val="00CB72BC"/>
    <w:rsid w:val="00CB73AF"/>
    <w:rsid w:val="00CB7E4F"/>
    <w:rsid w:val="00CC03B4"/>
    <w:rsid w:val="00CC0D3E"/>
    <w:rsid w:val="00CC12B2"/>
    <w:rsid w:val="00CC138B"/>
    <w:rsid w:val="00CC20EA"/>
    <w:rsid w:val="00CC228B"/>
    <w:rsid w:val="00CC295F"/>
    <w:rsid w:val="00CC32E1"/>
    <w:rsid w:val="00CC3E0A"/>
    <w:rsid w:val="00CC4088"/>
    <w:rsid w:val="00CC4700"/>
    <w:rsid w:val="00CC4873"/>
    <w:rsid w:val="00CC5B62"/>
    <w:rsid w:val="00CC5F3D"/>
    <w:rsid w:val="00CC61C2"/>
    <w:rsid w:val="00CC6300"/>
    <w:rsid w:val="00CC6898"/>
    <w:rsid w:val="00CC7127"/>
    <w:rsid w:val="00CD021C"/>
    <w:rsid w:val="00CD12A4"/>
    <w:rsid w:val="00CD1321"/>
    <w:rsid w:val="00CD1BC5"/>
    <w:rsid w:val="00CD1CE9"/>
    <w:rsid w:val="00CD1E88"/>
    <w:rsid w:val="00CD1F16"/>
    <w:rsid w:val="00CD2133"/>
    <w:rsid w:val="00CD2C29"/>
    <w:rsid w:val="00CD324D"/>
    <w:rsid w:val="00CD37BC"/>
    <w:rsid w:val="00CD390E"/>
    <w:rsid w:val="00CD3D57"/>
    <w:rsid w:val="00CD4398"/>
    <w:rsid w:val="00CD4485"/>
    <w:rsid w:val="00CD46EB"/>
    <w:rsid w:val="00CD4922"/>
    <w:rsid w:val="00CD4A3C"/>
    <w:rsid w:val="00CD4B99"/>
    <w:rsid w:val="00CD4BDB"/>
    <w:rsid w:val="00CD4DF9"/>
    <w:rsid w:val="00CD5741"/>
    <w:rsid w:val="00CD5EF8"/>
    <w:rsid w:val="00CD6079"/>
    <w:rsid w:val="00CD6546"/>
    <w:rsid w:val="00CD6809"/>
    <w:rsid w:val="00CD7D1E"/>
    <w:rsid w:val="00CE0378"/>
    <w:rsid w:val="00CE04B7"/>
    <w:rsid w:val="00CE0FEB"/>
    <w:rsid w:val="00CE1318"/>
    <w:rsid w:val="00CE13CB"/>
    <w:rsid w:val="00CE23BC"/>
    <w:rsid w:val="00CE2A11"/>
    <w:rsid w:val="00CE2AA6"/>
    <w:rsid w:val="00CE3319"/>
    <w:rsid w:val="00CE3D14"/>
    <w:rsid w:val="00CE3ECB"/>
    <w:rsid w:val="00CE3ED2"/>
    <w:rsid w:val="00CE5747"/>
    <w:rsid w:val="00CE5961"/>
    <w:rsid w:val="00CE5BBB"/>
    <w:rsid w:val="00CE5C65"/>
    <w:rsid w:val="00CE5DD0"/>
    <w:rsid w:val="00CE62FD"/>
    <w:rsid w:val="00CE64F4"/>
    <w:rsid w:val="00CE6756"/>
    <w:rsid w:val="00CE6A21"/>
    <w:rsid w:val="00CE72C2"/>
    <w:rsid w:val="00CE72D9"/>
    <w:rsid w:val="00CE7617"/>
    <w:rsid w:val="00CE7658"/>
    <w:rsid w:val="00CE773F"/>
    <w:rsid w:val="00CE7C09"/>
    <w:rsid w:val="00CE7CBB"/>
    <w:rsid w:val="00CE7D4E"/>
    <w:rsid w:val="00CE7E24"/>
    <w:rsid w:val="00CF023C"/>
    <w:rsid w:val="00CF0948"/>
    <w:rsid w:val="00CF10D8"/>
    <w:rsid w:val="00CF1835"/>
    <w:rsid w:val="00CF1BA0"/>
    <w:rsid w:val="00CF21B5"/>
    <w:rsid w:val="00CF249F"/>
    <w:rsid w:val="00CF27ED"/>
    <w:rsid w:val="00CF2CA0"/>
    <w:rsid w:val="00CF2D73"/>
    <w:rsid w:val="00CF3824"/>
    <w:rsid w:val="00CF403B"/>
    <w:rsid w:val="00CF4212"/>
    <w:rsid w:val="00CF448F"/>
    <w:rsid w:val="00CF4FDF"/>
    <w:rsid w:val="00CF68C8"/>
    <w:rsid w:val="00CF6A22"/>
    <w:rsid w:val="00CF6C17"/>
    <w:rsid w:val="00CF715D"/>
    <w:rsid w:val="00CF7CCE"/>
    <w:rsid w:val="00D0009C"/>
    <w:rsid w:val="00D00540"/>
    <w:rsid w:val="00D0125C"/>
    <w:rsid w:val="00D0135C"/>
    <w:rsid w:val="00D01550"/>
    <w:rsid w:val="00D015DD"/>
    <w:rsid w:val="00D015EE"/>
    <w:rsid w:val="00D017AF"/>
    <w:rsid w:val="00D02040"/>
    <w:rsid w:val="00D020A4"/>
    <w:rsid w:val="00D02810"/>
    <w:rsid w:val="00D02DBA"/>
    <w:rsid w:val="00D02E85"/>
    <w:rsid w:val="00D02EB4"/>
    <w:rsid w:val="00D038E1"/>
    <w:rsid w:val="00D046B8"/>
    <w:rsid w:val="00D04AC5"/>
    <w:rsid w:val="00D04B5B"/>
    <w:rsid w:val="00D0524D"/>
    <w:rsid w:val="00D05E53"/>
    <w:rsid w:val="00D061C3"/>
    <w:rsid w:val="00D076AB"/>
    <w:rsid w:val="00D07975"/>
    <w:rsid w:val="00D07A0A"/>
    <w:rsid w:val="00D07AE8"/>
    <w:rsid w:val="00D1062B"/>
    <w:rsid w:val="00D10A7E"/>
    <w:rsid w:val="00D10E95"/>
    <w:rsid w:val="00D11329"/>
    <w:rsid w:val="00D11515"/>
    <w:rsid w:val="00D11558"/>
    <w:rsid w:val="00D117FA"/>
    <w:rsid w:val="00D11DE9"/>
    <w:rsid w:val="00D12048"/>
    <w:rsid w:val="00D122DD"/>
    <w:rsid w:val="00D134AB"/>
    <w:rsid w:val="00D13510"/>
    <w:rsid w:val="00D13840"/>
    <w:rsid w:val="00D139E9"/>
    <w:rsid w:val="00D13AC9"/>
    <w:rsid w:val="00D13D54"/>
    <w:rsid w:val="00D1435B"/>
    <w:rsid w:val="00D14770"/>
    <w:rsid w:val="00D14F01"/>
    <w:rsid w:val="00D150C9"/>
    <w:rsid w:val="00D152E1"/>
    <w:rsid w:val="00D1546F"/>
    <w:rsid w:val="00D1565C"/>
    <w:rsid w:val="00D15CE2"/>
    <w:rsid w:val="00D15D73"/>
    <w:rsid w:val="00D15DE2"/>
    <w:rsid w:val="00D16108"/>
    <w:rsid w:val="00D1673E"/>
    <w:rsid w:val="00D16741"/>
    <w:rsid w:val="00D168B4"/>
    <w:rsid w:val="00D16A48"/>
    <w:rsid w:val="00D17E20"/>
    <w:rsid w:val="00D206E6"/>
    <w:rsid w:val="00D20805"/>
    <w:rsid w:val="00D20E16"/>
    <w:rsid w:val="00D20E6C"/>
    <w:rsid w:val="00D21562"/>
    <w:rsid w:val="00D2165B"/>
    <w:rsid w:val="00D218B7"/>
    <w:rsid w:val="00D21B7A"/>
    <w:rsid w:val="00D21BED"/>
    <w:rsid w:val="00D22751"/>
    <w:rsid w:val="00D22D00"/>
    <w:rsid w:val="00D2355E"/>
    <w:rsid w:val="00D2361C"/>
    <w:rsid w:val="00D2375C"/>
    <w:rsid w:val="00D23AFA"/>
    <w:rsid w:val="00D23EE4"/>
    <w:rsid w:val="00D24DFA"/>
    <w:rsid w:val="00D25A9F"/>
    <w:rsid w:val="00D2605B"/>
    <w:rsid w:val="00D260B0"/>
    <w:rsid w:val="00D26140"/>
    <w:rsid w:val="00D26454"/>
    <w:rsid w:val="00D272D7"/>
    <w:rsid w:val="00D273F9"/>
    <w:rsid w:val="00D27A12"/>
    <w:rsid w:val="00D30808"/>
    <w:rsid w:val="00D308B6"/>
    <w:rsid w:val="00D30A83"/>
    <w:rsid w:val="00D31027"/>
    <w:rsid w:val="00D31041"/>
    <w:rsid w:val="00D31F69"/>
    <w:rsid w:val="00D32447"/>
    <w:rsid w:val="00D32451"/>
    <w:rsid w:val="00D32A2B"/>
    <w:rsid w:val="00D32BA8"/>
    <w:rsid w:val="00D33629"/>
    <w:rsid w:val="00D33B1D"/>
    <w:rsid w:val="00D34360"/>
    <w:rsid w:val="00D3457D"/>
    <w:rsid w:val="00D345C4"/>
    <w:rsid w:val="00D34B1B"/>
    <w:rsid w:val="00D34F7D"/>
    <w:rsid w:val="00D357B9"/>
    <w:rsid w:val="00D358FF"/>
    <w:rsid w:val="00D35AF5"/>
    <w:rsid w:val="00D35ED7"/>
    <w:rsid w:val="00D36507"/>
    <w:rsid w:val="00D36BF9"/>
    <w:rsid w:val="00D36C38"/>
    <w:rsid w:val="00D36C54"/>
    <w:rsid w:val="00D372EC"/>
    <w:rsid w:val="00D37354"/>
    <w:rsid w:val="00D3741A"/>
    <w:rsid w:val="00D37FAF"/>
    <w:rsid w:val="00D4010B"/>
    <w:rsid w:val="00D40C0F"/>
    <w:rsid w:val="00D40D28"/>
    <w:rsid w:val="00D40DB8"/>
    <w:rsid w:val="00D40DE4"/>
    <w:rsid w:val="00D40FDE"/>
    <w:rsid w:val="00D413D4"/>
    <w:rsid w:val="00D41474"/>
    <w:rsid w:val="00D4159A"/>
    <w:rsid w:val="00D416B3"/>
    <w:rsid w:val="00D4195F"/>
    <w:rsid w:val="00D421CC"/>
    <w:rsid w:val="00D4225C"/>
    <w:rsid w:val="00D4275C"/>
    <w:rsid w:val="00D42863"/>
    <w:rsid w:val="00D428F3"/>
    <w:rsid w:val="00D43009"/>
    <w:rsid w:val="00D4374B"/>
    <w:rsid w:val="00D43A2D"/>
    <w:rsid w:val="00D43E71"/>
    <w:rsid w:val="00D43F15"/>
    <w:rsid w:val="00D44120"/>
    <w:rsid w:val="00D44496"/>
    <w:rsid w:val="00D447E1"/>
    <w:rsid w:val="00D448AC"/>
    <w:rsid w:val="00D44A58"/>
    <w:rsid w:val="00D44C64"/>
    <w:rsid w:val="00D44FCB"/>
    <w:rsid w:val="00D453E4"/>
    <w:rsid w:val="00D4577E"/>
    <w:rsid w:val="00D45D10"/>
    <w:rsid w:val="00D45ECA"/>
    <w:rsid w:val="00D46138"/>
    <w:rsid w:val="00D463B6"/>
    <w:rsid w:val="00D465FD"/>
    <w:rsid w:val="00D468AA"/>
    <w:rsid w:val="00D46AAB"/>
    <w:rsid w:val="00D46F40"/>
    <w:rsid w:val="00D4726C"/>
    <w:rsid w:val="00D47D3B"/>
    <w:rsid w:val="00D50010"/>
    <w:rsid w:val="00D501C8"/>
    <w:rsid w:val="00D50308"/>
    <w:rsid w:val="00D50312"/>
    <w:rsid w:val="00D506D1"/>
    <w:rsid w:val="00D50F27"/>
    <w:rsid w:val="00D51FFC"/>
    <w:rsid w:val="00D521CC"/>
    <w:rsid w:val="00D52A9A"/>
    <w:rsid w:val="00D53206"/>
    <w:rsid w:val="00D532F8"/>
    <w:rsid w:val="00D53363"/>
    <w:rsid w:val="00D53A9C"/>
    <w:rsid w:val="00D53AEB"/>
    <w:rsid w:val="00D54340"/>
    <w:rsid w:val="00D543BE"/>
    <w:rsid w:val="00D54950"/>
    <w:rsid w:val="00D55223"/>
    <w:rsid w:val="00D552AC"/>
    <w:rsid w:val="00D55384"/>
    <w:rsid w:val="00D55BA6"/>
    <w:rsid w:val="00D55D7F"/>
    <w:rsid w:val="00D55E12"/>
    <w:rsid w:val="00D5609A"/>
    <w:rsid w:val="00D56511"/>
    <w:rsid w:val="00D5657D"/>
    <w:rsid w:val="00D56A91"/>
    <w:rsid w:val="00D56C07"/>
    <w:rsid w:val="00D572E2"/>
    <w:rsid w:val="00D573DB"/>
    <w:rsid w:val="00D5798F"/>
    <w:rsid w:val="00D57FAC"/>
    <w:rsid w:val="00D602CC"/>
    <w:rsid w:val="00D602E5"/>
    <w:rsid w:val="00D6035E"/>
    <w:rsid w:val="00D606F4"/>
    <w:rsid w:val="00D60B0B"/>
    <w:rsid w:val="00D610E1"/>
    <w:rsid w:val="00D61B91"/>
    <w:rsid w:val="00D61FC3"/>
    <w:rsid w:val="00D6220B"/>
    <w:rsid w:val="00D6301E"/>
    <w:rsid w:val="00D632DC"/>
    <w:rsid w:val="00D6394A"/>
    <w:rsid w:val="00D64002"/>
    <w:rsid w:val="00D640E4"/>
    <w:rsid w:val="00D641BF"/>
    <w:rsid w:val="00D6461A"/>
    <w:rsid w:val="00D647BD"/>
    <w:rsid w:val="00D64EA4"/>
    <w:rsid w:val="00D658B1"/>
    <w:rsid w:val="00D65B88"/>
    <w:rsid w:val="00D66749"/>
    <w:rsid w:val="00D669A1"/>
    <w:rsid w:val="00D6730B"/>
    <w:rsid w:val="00D67374"/>
    <w:rsid w:val="00D67742"/>
    <w:rsid w:val="00D67899"/>
    <w:rsid w:val="00D6796A"/>
    <w:rsid w:val="00D67B0B"/>
    <w:rsid w:val="00D67E26"/>
    <w:rsid w:val="00D67EDF"/>
    <w:rsid w:val="00D7070E"/>
    <w:rsid w:val="00D70983"/>
    <w:rsid w:val="00D70CCD"/>
    <w:rsid w:val="00D70D36"/>
    <w:rsid w:val="00D71C9F"/>
    <w:rsid w:val="00D72307"/>
    <w:rsid w:val="00D7275B"/>
    <w:rsid w:val="00D72B7B"/>
    <w:rsid w:val="00D73BAA"/>
    <w:rsid w:val="00D7437C"/>
    <w:rsid w:val="00D74A26"/>
    <w:rsid w:val="00D74A57"/>
    <w:rsid w:val="00D751FF"/>
    <w:rsid w:val="00D7615D"/>
    <w:rsid w:val="00D76473"/>
    <w:rsid w:val="00D76D1C"/>
    <w:rsid w:val="00D76F17"/>
    <w:rsid w:val="00D77003"/>
    <w:rsid w:val="00D77316"/>
    <w:rsid w:val="00D77AF2"/>
    <w:rsid w:val="00D802CD"/>
    <w:rsid w:val="00D80588"/>
    <w:rsid w:val="00D805EA"/>
    <w:rsid w:val="00D80CDD"/>
    <w:rsid w:val="00D80E37"/>
    <w:rsid w:val="00D812C9"/>
    <w:rsid w:val="00D81414"/>
    <w:rsid w:val="00D81453"/>
    <w:rsid w:val="00D81973"/>
    <w:rsid w:val="00D81B08"/>
    <w:rsid w:val="00D820D8"/>
    <w:rsid w:val="00D82167"/>
    <w:rsid w:val="00D82250"/>
    <w:rsid w:val="00D82B11"/>
    <w:rsid w:val="00D83157"/>
    <w:rsid w:val="00D83683"/>
    <w:rsid w:val="00D83922"/>
    <w:rsid w:val="00D83B5D"/>
    <w:rsid w:val="00D84947"/>
    <w:rsid w:val="00D84A65"/>
    <w:rsid w:val="00D86114"/>
    <w:rsid w:val="00D8638E"/>
    <w:rsid w:val="00D86793"/>
    <w:rsid w:val="00D86BF5"/>
    <w:rsid w:val="00D87209"/>
    <w:rsid w:val="00D87C68"/>
    <w:rsid w:val="00D87D58"/>
    <w:rsid w:val="00D9043B"/>
    <w:rsid w:val="00D90C42"/>
    <w:rsid w:val="00D915B2"/>
    <w:rsid w:val="00D91D2B"/>
    <w:rsid w:val="00D91EC7"/>
    <w:rsid w:val="00D92227"/>
    <w:rsid w:val="00D922DA"/>
    <w:rsid w:val="00D93421"/>
    <w:rsid w:val="00D9354C"/>
    <w:rsid w:val="00D938C9"/>
    <w:rsid w:val="00D94866"/>
    <w:rsid w:val="00D94B33"/>
    <w:rsid w:val="00D94B58"/>
    <w:rsid w:val="00D94BAE"/>
    <w:rsid w:val="00D952FE"/>
    <w:rsid w:val="00D9534E"/>
    <w:rsid w:val="00D965E2"/>
    <w:rsid w:val="00D96CD3"/>
    <w:rsid w:val="00D97673"/>
    <w:rsid w:val="00D9779D"/>
    <w:rsid w:val="00D978AF"/>
    <w:rsid w:val="00D97D20"/>
    <w:rsid w:val="00D97FDF"/>
    <w:rsid w:val="00DA00B5"/>
    <w:rsid w:val="00DA03C1"/>
    <w:rsid w:val="00DA055C"/>
    <w:rsid w:val="00DA13C2"/>
    <w:rsid w:val="00DA16DD"/>
    <w:rsid w:val="00DA18C3"/>
    <w:rsid w:val="00DA1B85"/>
    <w:rsid w:val="00DA1C4D"/>
    <w:rsid w:val="00DA1CBD"/>
    <w:rsid w:val="00DA1E46"/>
    <w:rsid w:val="00DA2E81"/>
    <w:rsid w:val="00DA2E89"/>
    <w:rsid w:val="00DA3833"/>
    <w:rsid w:val="00DA43AA"/>
    <w:rsid w:val="00DA46DF"/>
    <w:rsid w:val="00DA4951"/>
    <w:rsid w:val="00DA4B58"/>
    <w:rsid w:val="00DA4F23"/>
    <w:rsid w:val="00DA57B2"/>
    <w:rsid w:val="00DA5D4E"/>
    <w:rsid w:val="00DA5FF1"/>
    <w:rsid w:val="00DA62B8"/>
    <w:rsid w:val="00DA6A2A"/>
    <w:rsid w:val="00DA7B16"/>
    <w:rsid w:val="00DA7C53"/>
    <w:rsid w:val="00DB0978"/>
    <w:rsid w:val="00DB0995"/>
    <w:rsid w:val="00DB18FA"/>
    <w:rsid w:val="00DB1EC9"/>
    <w:rsid w:val="00DB21B3"/>
    <w:rsid w:val="00DB29F9"/>
    <w:rsid w:val="00DB2CD1"/>
    <w:rsid w:val="00DB2DAE"/>
    <w:rsid w:val="00DB2E99"/>
    <w:rsid w:val="00DB38FA"/>
    <w:rsid w:val="00DB3A3E"/>
    <w:rsid w:val="00DB4A97"/>
    <w:rsid w:val="00DB4EB3"/>
    <w:rsid w:val="00DB520F"/>
    <w:rsid w:val="00DB53E9"/>
    <w:rsid w:val="00DB5ABB"/>
    <w:rsid w:val="00DB5B8C"/>
    <w:rsid w:val="00DB5D51"/>
    <w:rsid w:val="00DB604A"/>
    <w:rsid w:val="00DB6114"/>
    <w:rsid w:val="00DB739C"/>
    <w:rsid w:val="00DB743A"/>
    <w:rsid w:val="00DB752E"/>
    <w:rsid w:val="00DB7749"/>
    <w:rsid w:val="00DB7D22"/>
    <w:rsid w:val="00DB7F61"/>
    <w:rsid w:val="00DC023A"/>
    <w:rsid w:val="00DC02F7"/>
    <w:rsid w:val="00DC05C1"/>
    <w:rsid w:val="00DC08D6"/>
    <w:rsid w:val="00DC098D"/>
    <w:rsid w:val="00DC0AF7"/>
    <w:rsid w:val="00DC0C85"/>
    <w:rsid w:val="00DC1280"/>
    <w:rsid w:val="00DC12EC"/>
    <w:rsid w:val="00DC16A7"/>
    <w:rsid w:val="00DC1807"/>
    <w:rsid w:val="00DC1BE4"/>
    <w:rsid w:val="00DC2173"/>
    <w:rsid w:val="00DC2E46"/>
    <w:rsid w:val="00DC2FC9"/>
    <w:rsid w:val="00DC3A48"/>
    <w:rsid w:val="00DC3BA0"/>
    <w:rsid w:val="00DC473A"/>
    <w:rsid w:val="00DC487D"/>
    <w:rsid w:val="00DC543B"/>
    <w:rsid w:val="00DC6170"/>
    <w:rsid w:val="00DC65FA"/>
    <w:rsid w:val="00DC6A43"/>
    <w:rsid w:val="00DC6E35"/>
    <w:rsid w:val="00DC73D0"/>
    <w:rsid w:val="00DC73FD"/>
    <w:rsid w:val="00DC772A"/>
    <w:rsid w:val="00DC7D9D"/>
    <w:rsid w:val="00DC7EE1"/>
    <w:rsid w:val="00DD06EA"/>
    <w:rsid w:val="00DD1C24"/>
    <w:rsid w:val="00DD2826"/>
    <w:rsid w:val="00DD358F"/>
    <w:rsid w:val="00DD3648"/>
    <w:rsid w:val="00DD424B"/>
    <w:rsid w:val="00DD472A"/>
    <w:rsid w:val="00DD4831"/>
    <w:rsid w:val="00DD4959"/>
    <w:rsid w:val="00DD4DDE"/>
    <w:rsid w:val="00DD4E95"/>
    <w:rsid w:val="00DD5425"/>
    <w:rsid w:val="00DD5C93"/>
    <w:rsid w:val="00DD5F60"/>
    <w:rsid w:val="00DD606D"/>
    <w:rsid w:val="00DD664C"/>
    <w:rsid w:val="00DD6917"/>
    <w:rsid w:val="00DD6A07"/>
    <w:rsid w:val="00DD715A"/>
    <w:rsid w:val="00DD71F7"/>
    <w:rsid w:val="00DD7219"/>
    <w:rsid w:val="00DD732D"/>
    <w:rsid w:val="00DD7BBC"/>
    <w:rsid w:val="00DD7C45"/>
    <w:rsid w:val="00DD7F4F"/>
    <w:rsid w:val="00DE026A"/>
    <w:rsid w:val="00DE08BC"/>
    <w:rsid w:val="00DE0C76"/>
    <w:rsid w:val="00DE0D93"/>
    <w:rsid w:val="00DE1239"/>
    <w:rsid w:val="00DE1C81"/>
    <w:rsid w:val="00DE2332"/>
    <w:rsid w:val="00DE355F"/>
    <w:rsid w:val="00DE368A"/>
    <w:rsid w:val="00DE378F"/>
    <w:rsid w:val="00DE399D"/>
    <w:rsid w:val="00DE3A5F"/>
    <w:rsid w:val="00DE3AC1"/>
    <w:rsid w:val="00DE41FF"/>
    <w:rsid w:val="00DE49A4"/>
    <w:rsid w:val="00DE4C3D"/>
    <w:rsid w:val="00DE4C50"/>
    <w:rsid w:val="00DE503F"/>
    <w:rsid w:val="00DE5466"/>
    <w:rsid w:val="00DE5525"/>
    <w:rsid w:val="00DE5A11"/>
    <w:rsid w:val="00DE5DDD"/>
    <w:rsid w:val="00DE66BE"/>
    <w:rsid w:val="00DE69A6"/>
    <w:rsid w:val="00DE7029"/>
    <w:rsid w:val="00DE704C"/>
    <w:rsid w:val="00DE761A"/>
    <w:rsid w:val="00DE77A3"/>
    <w:rsid w:val="00DE78ED"/>
    <w:rsid w:val="00DE7948"/>
    <w:rsid w:val="00DE7FD0"/>
    <w:rsid w:val="00DF029E"/>
    <w:rsid w:val="00DF0DED"/>
    <w:rsid w:val="00DF11B5"/>
    <w:rsid w:val="00DF1BCC"/>
    <w:rsid w:val="00DF1C8A"/>
    <w:rsid w:val="00DF2D3A"/>
    <w:rsid w:val="00DF3132"/>
    <w:rsid w:val="00DF31A3"/>
    <w:rsid w:val="00DF439D"/>
    <w:rsid w:val="00DF4B29"/>
    <w:rsid w:val="00DF4C94"/>
    <w:rsid w:val="00DF61BF"/>
    <w:rsid w:val="00DF6341"/>
    <w:rsid w:val="00DF65E2"/>
    <w:rsid w:val="00DF6696"/>
    <w:rsid w:val="00DF69F8"/>
    <w:rsid w:val="00DF6CA2"/>
    <w:rsid w:val="00DF6D54"/>
    <w:rsid w:val="00DF704E"/>
    <w:rsid w:val="00DF70AA"/>
    <w:rsid w:val="00DF7AB2"/>
    <w:rsid w:val="00DF7D45"/>
    <w:rsid w:val="00E000A4"/>
    <w:rsid w:val="00E007E5"/>
    <w:rsid w:val="00E01538"/>
    <w:rsid w:val="00E01585"/>
    <w:rsid w:val="00E026D3"/>
    <w:rsid w:val="00E02896"/>
    <w:rsid w:val="00E029BA"/>
    <w:rsid w:val="00E02B05"/>
    <w:rsid w:val="00E032EE"/>
    <w:rsid w:val="00E03AC5"/>
    <w:rsid w:val="00E03B83"/>
    <w:rsid w:val="00E03FC0"/>
    <w:rsid w:val="00E052EA"/>
    <w:rsid w:val="00E05714"/>
    <w:rsid w:val="00E05779"/>
    <w:rsid w:val="00E058CD"/>
    <w:rsid w:val="00E0596F"/>
    <w:rsid w:val="00E05BFA"/>
    <w:rsid w:val="00E062CD"/>
    <w:rsid w:val="00E0643C"/>
    <w:rsid w:val="00E06A7B"/>
    <w:rsid w:val="00E06B49"/>
    <w:rsid w:val="00E076A5"/>
    <w:rsid w:val="00E078E8"/>
    <w:rsid w:val="00E100CA"/>
    <w:rsid w:val="00E102E8"/>
    <w:rsid w:val="00E105CA"/>
    <w:rsid w:val="00E10625"/>
    <w:rsid w:val="00E10CAB"/>
    <w:rsid w:val="00E114E5"/>
    <w:rsid w:val="00E11EE3"/>
    <w:rsid w:val="00E11EE7"/>
    <w:rsid w:val="00E1338C"/>
    <w:rsid w:val="00E13996"/>
    <w:rsid w:val="00E13EFD"/>
    <w:rsid w:val="00E140FF"/>
    <w:rsid w:val="00E1433A"/>
    <w:rsid w:val="00E14C16"/>
    <w:rsid w:val="00E15424"/>
    <w:rsid w:val="00E15713"/>
    <w:rsid w:val="00E158FE"/>
    <w:rsid w:val="00E161E9"/>
    <w:rsid w:val="00E17661"/>
    <w:rsid w:val="00E17698"/>
    <w:rsid w:val="00E17902"/>
    <w:rsid w:val="00E201F6"/>
    <w:rsid w:val="00E204F7"/>
    <w:rsid w:val="00E207E3"/>
    <w:rsid w:val="00E208B2"/>
    <w:rsid w:val="00E20DBC"/>
    <w:rsid w:val="00E21360"/>
    <w:rsid w:val="00E2167D"/>
    <w:rsid w:val="00E219E7"/>
    <w:rsid w:val="00E21DF2"/>
    <w:rsid w:val="00E21FDB"/>
    <w:rsid w:val="00E21FF2"/>
    <w:rsid w:val="00E22341"/>
    <w:rsid w:val="00E223D9"/>
    <w:rsid w:val="00E228D9"/>
    <w:rsid w:val="00E2294B"/>
    <w:rsid w:val="00E23395"/>
    <w:rsid w:val="00E239A6"/>
    <w:rsid w:val="00E23B51"/>
    <w:rsid w:val="00E24702"/>
    <w:rsid w:val="00E24802"/>
    <w:rsid w:val="00E24C3C"/>
    <w:rsid w:val="00E2507A"/>
    <w:rsid w:val="00E25202"/>
    <w:rsid w:val="00E25BFE"/>
    <w:rsid w:val="00E25D4A"/>
    <w:rsid w:val="00E2660F"/>
    <w:rsid w:val="00E268B8"/>
    <w:rsid w:val="00E2721B"/>
    <w:rsid w:val="00E2728A"/>
    <w:rsid w:val="00E273CA"/>
    <w:rsid w:val="00E27DDA"/>
    <w:rsid w:val="00E3086E"/>
    <w:rsid w:val="00E30BF7"/>
    <w:rsid w:val="00E30C04"/>
    <w:rsid w:val="00E31932"/>
    <w:rsid w:val="00E31EF1"/>
    <w:rsid w:val="00E33011"/>
    <w:rsid w:val="00E334FF"/>
    <w:rsid w:val="00E336E5"/>
    <w:rsid w:val="00E3375A"/>
    <w:rsid w:val="00E33DCE"/>
    <w:rsid w:val="00E3403A"/>
    <w:rsid w:val="00E349BA"/>
    <w:rsid w:val="00E3519C"/>
    <w:rsid w:val="00E35858"/>
    <w:rsid w:val="00E35C01"/>
    <w:rsid w:val="00E35EE1"/>
    <w:rsid w:val="00E362F0"/>
    <w:rsid w:val="00E36405"/>
    <w:rsid w:val="00E3743A"/>
    <w:rsid w:val="00E374D5"/>
    <w:rsid w:val="00E37564"/>
    <w:rsid w:val="00E40105"/>
    <w:rsid w:val="00E4066A"/>
    <w:rsid w:val="00E40683"/>
    <w:rsid w:val="00E409E6"/>
    <w:rsid w:val="00E41282"/>
    <w:rsid w:val="00E41E2A"/>
    <w:rsid w:val="00E4248A"/>
    <w:rsid w:val="00E424A0"/>
    <w:rsid w:val="00E4283E"/>
    <w:rsid w:val="00E4316D"/>
    <w:rsid w:val="00E43494"/>
    <w:rsid w:val="00E4354E"/>
    <w:rsid w:val="00E43E88"/>
    <w:rsid w:val="00E446DF"/>
    <w:rsid w:val="00E446E5"/>
    <w:rsid w:val="00E44A31"/>
    <w:rsid w:val="00E44ABF"/>
    <w:rsid w:val="00E44C34"/>
    <w:rsid w:val="00E44ED9"/>
    <w:rsid w:val="00E44FFD"/>
    <w:rsid w:val="00E454AD"/>
    <w:rsid w:val="00E459A4"/>
    <w:rsid w:val="00E459E9"/>
    <w:rsid w:val="00E45CC9"/>
    <w:rsid w:val="00E45EC4"/>
    <w:rsid w:val="00E45FB8"/>
    <w:rsid w:val="00E47226"/>
    <w:rsid w:val="00E474E8"/>
    <w:rsid w:val="00E47863"/>
    <w:rsid w:val="00E47C5F"/>
    <w:rsid w:val="00E507CB"/>
    <w:rsid w:val="00E5081C"/>
    <w:rsid w:val="00E508BF"/>
    <w:rsid w:val="00E5091B"/>
    <w:rsid w:val="00E50A63"/>
    <w:rsid w:val="00E50E59"/>
    <w:rsid w:val="00E520BA"/>
    <w:rsid w:val="00E522E6"/>
    <w:rsid w:val="00E52484"/>
    <w:rsid w:val="00E52814"/>
    <w:rsid w:val="00E528EA"/>
    <w:rsid w:val="00E529B1"/>
    <w:rsid w:val="00E52CC5"/>
    <w:rsid w:val="00E535A8"/>
    <w:rsid w:val="00E53671"/>
    <w:rsid w:val="00E5404D"/>
    <w:rsid w:val="00E54168"/>
    <w:rsid w:val="00E545E5"/>
    <w:rsid w:val="00E55298"/>
    <w:rsid w:val="00E55601"/>
    <w:rsid w:val="00E5582C"/>
    <w:rsid w:val="00E55834"/>
    <w:rsid w:val="00E5620C"/>
    <w:rsid w:val="00E56319"/>
    <w:rsid w:val="00E567A9"/>
    <w:rsid w:val="00E57859"/>
    <w:rsid w:val="00E57E1A"/>
    <w:rsid w:val="00E57F98"/>
    <w:rsid w:val="00E6060B"/>
    <w:rsid w:val="00E61142"/>
    <w:rsid w:val="00E61587"/>
    <w:rsid w:val="00E61BB0"/>
    <w:rsid w:val="00E61EC8"/>
    <w:rsid w:val="00E624A0"/>
    <w:rsid w:val="00E62A56"/>
    <w:rsid w:val="00E633F1"/>
    <w:rsid w:val="00E636F5"/>
    <w:rsid w:val="00E636FD"/>
    <w:rsid w:val="00E6378B"/>
    <w:rsid w:val="00E64617"/>
    <w:rsid w:val="00E647F9"/>
    <w:rsid w:val="00E64895"/>
    <w:rsid w:val="00E650A7"/>
    <w:rsid w:val="00E6542B"/>
    <w:rsid w:val="00E6548E"/>
    <w:rsid w:val="00E65A4F"/>
    <w:rsid w:val="00E65D92"/>
    <w:rsid w:val="00E663CF"/>
    <w:rsid w:val="00E66418"/>
    <w:rsid w:val="00E66842"/>
    <w:rsid w:val="00E669D9"/>
    <w:rsid w:val="00E66D16"/>
    <w:rsid w:val="00E674F1"/>
    <w:rsid w:val="00E6763F"/>
    <w:rsid w:val="00E70037"/>
    <w:rsid w:val="00E70062"/>
    <w:rsid w:val="00E70976"/>
    <w:rsid w:val="00E70A84"/>
    <w:rsid w:val="00E71356"/>
    <w:rsid w:val="00E7161D"/>
    <w:rsid w:val="00E71DBA"/>
    <w:rsid w:val="00E72897"/>
    <w:rsid w:val="00E72BEB"/>
    <w:rsid w:val="00E72E41"/>
    <w:rsid w:val="00E73317"/>
    <w:rsid w:val="00E73712"/>
    <w:rsid w:val="00E73AA5"/>
    <w:rsid w:val="00E73EAE"/>
    <w:rsid w:val="00E74254"/>
    <w:rsid w:val="00E7428F"/>
    <w:rsid w:val="00E7562E"/>
    <w:rsid w:val="00E75926"/>
    <w:rsid w:val="00E75D51"/>
    <w:rsid w:val="00E7629E"/>
    <w:rsid w:val="00E763A2"/>
    <w:rsid w:val="00E768D4"/>
    <w:rsid w:val="00E7696C"/>
    <w:rsid w:val="00E76DD1"/>
    <w:rsid w:val="00E7708D"/>
    <w:rsid w:val="00E771B7"/>
    <w:rsid w:val="00E778E9"/>
    <w:rsid w:val="00E77E05"/>
    <w:rsid w:val="00E802C1"/>
    <w:rsid w:val="00E80450"/>
    <w:rsid w:val="00E804FD"/>
    <w:rsid w:val="00E80540"/>
    <w:rsid w:val="00E805B8"/>
    <w:rsid w:val="00E805CD"/>
    <w:rsid w:val="00E80793"/>
    <w:rsid w:val="00E80AE7"/>
    <w:rsid w:val="00E80B36"/>
    <w:rsid w:val="00E80E2A"/>
    <w:rsid w:val="00E81025"/>
    <w:rsid w:val="00E8108A"/>
    <w:rsid w:val="00E810C1"/>
    <w:rsid w:val="00E81283"/>
    <w:rsid w:val="00E8130A"/>
    <w:rsid w:val="00E81451"/>
    <w:rsid w:val="00E81915"/>
    <w:rsid w:val="00E81A0C"/>
    <w:rsid w:val="00E81B3F"/>
    <w:rsid w:val="00E8265E"/>
    <w:rsid w:val="00E82D42"/>
    <w:rsid w:val="00E82E8A"/>
    <w:rsid w:val="00E83357"/>
    <w:rsid w:val="00E83405"/>
    <w:rsid w:val="00E838D1"/>
    <w:rsid w:val="00E847EA"/>
    <w:rsid w:val="00E84C9C"/>
    <w:rsid w:val="00E84D86"/>
    <w:rsid w:val="00E851A8"/>
    <w:rsid w:val="00E85646"/>
    <w:rsid w:val="00E8576F"/>
    <w:rsid w:val="00E85DC1"/>
    <w:rsid w:val="00E86AC3"/>
    <w:rsid w:val="00E87076"/>
    <w:rsid w:val="00E87129"/>
    <w:rsid w:val="00E873AC"/>
    <w:rsid w:val="00E874A6"/>
    <w:rsid w:val="00E87970"/>
    <w:rsid w:val="00E901B8"/>
    <w:rsid w:val="00E9026D"/>
    <w:rsid w:val="00E90644"/>
    <w:rsid w:val="00E906D0"/>
    <w:rsid w:val="00E910D5"/>
    <w:rsid w:val="00E916FE"/>
    <w:rsid w:val="00E91EF9"/>
    <w:rsid w:val="00E921BF"/>
    <w:rsid w:val="00E92996"/>
    <w:rsid w:val="00E92C50"/>
    <w:rsid w:val="00E93529"/>
    <w:rsid w:val="00E938D5"/>
    <w:rsid w:val="00E93DC1"/>
    <w:rsid w:val="00E9424F"/>
    <w:rsid w:val="00E947C4"/>
    <w:rsid w:val="00E94870"/>
    <w:rsid w:val="00E948E7"/>
    <w:rsid w:val="00E950A9"/>
    <w:rsid w:val="00E9516C"/>
    <w:rsid w:val="00E9639C"/>
    <w:rsid w:val="00E96458"/>
    <w:rsid w:val="00E964E6"/>
    <w:rsid w:val="00E96B61"/>
    <w:rsid w:val="00E96F5E"/>
    <w:rsid w:val="00E96F6A"/>
    <w:rsid w:val="00E9727A"/>
    <w:rsid w:val="00E973C1"/>
    <w:rsid w:val="00E97CD2"/>
    <w:rsid w:val="00E97E3B"/>
    <w:rsid w:val="00E97F71"/>
    <w:rsid w:val="00EA02AB"/>
    <w:rsid w:val="00EA0E5D"/>
    <w:rsid w:val="00EA16A9"/>
    <w:rsid w:val="00EA1C73"/>
    <w:rsid w:val="00EA1F5A"/>
    <w:rsid w:val="00EA24A7"/>
    <w:rsid w:val="00EA2794"/>
    <w:rsid w:val="00EA2E48"/>
    <w:rsid w:val="00EA2EAA"/>
    <w:rsid w:val="00EA2FE8"/>
    <w:rsid w:val="00EA3D57"/>
    <w:rsid w:val="00EA412C"/>
    <w:rsid w:val="00EA4281"/>
    <w:rsid w:val="00EA451B"/>
    <w:rsid w:val="00EA46E3"/>
    <w:rsid w:val="00EA4938"/>
    <w:rsid w:val="00EA4C0A"/>
    <w:rsid w:val="00EA4D2E"/>
    <w:rsid w:val="00EA4E95"/>
    <w:rsid w:val="00EA5469"/>
    <w:rsid w:val="00EA6198"/>
    <w:rsid w:val="00EA6699"/>
    <w:rsid w:val="00EA709E"/>
    <w:rsid w:val="00EA70C5"/>
    <w:rsid w:val="00EA71EE"/>
    <w:rsid w:val="00EA7F3A"/>
    <w:rsid w:val="00EB03A7"/>
    <w:rsid w:val="00EB064F"/>
    <w:rsid w:val="00EB06A7"/>
    <w:rsid w:val="00EB089A"/>
    <w:rsid w:val="00EB0C7C"/>
    <w:rsid w:val="00EB1DEF"/>
    <w:rsid w:val="00EB286F"/>
    <w:rsid w:val="00EB37A2"/>
    <w:rsid w:val="00EB3A0A"/>
    <w:rsid w:val="00EB3B68"/>
    <w:rsid w:val="00EB4066"/>
    <w:rsid w:val="00EB453D"/>
    <w:rsid w:val="00EB52D0"/>
    <w:rsid w:val="00EB55B9"/>
    <w:rsid w:val="00EB563A"/>
    <w:rsid w:val="00EB59B9"/>
    <w:rsid w:val="00EB5C9E"/>
    <w:rsid w:val="00EB69AE"/>
    <w:rsid w:val="00EB6DF5"/>
    <w:rsid w:val="00EB6F21"/>
    <w:rsid w:val="00EB748E"/>
    <w:rsid w:val="00EB7827"/>
    <w:rsid w:val="00EC0117"/>
    <w:rsid w:val="00EC012C"/>
    <w:rsid w:val="00EC097A"/>
    <w:rsid w:val="00EC0A1A"/>
    <w:rsid w:val="00EC0A30"/>
    <w:rsid w:val="00EC0C0F"/>
    <w:rsid w:val="00EC1351"/>
    <w:rsid w:val="00EC191D"/>
    <w:rsid w:val="00EC1DDC"/>
    <w:rsid w:val="00EC2A37"/>
    <w:rsid w:val="00EC3410"/>
    <w:rsid w:val="00EC38D1"/>
    <w:rsid w:val="00EC39DA"/>
    <w:rsid w:val="00EC3BCE"/>
    <w:rsid w:val="00EC3E02"/>
    <w:rsid w:val="00EC3E9C"/>
    <w:rsid w:val="00EC3FD3"/>
    <w:rsid w:val="00EC4263"/>
    <w:rsid w:val="00EC489D"/>
    <w:rsid w:val="00EC5485"/>
    <w:rsid w:val="00EC5AF4"/>
    <w:rsid w:val="00EC5B04"/>
    <w:rsid w:val="00EC700D"/>
    <w:rsid w:val="00EC7030"/>
    <w:rsid w:val="00EC7207"/>
    <w:rsid w:val="00EC73FF"/>
    <w:rsid w:val="00EC7C35"/>
    <w:rsid w:val="00ED0560"/>
    <w:rsid w:val="00ED0AE2"/>
    <w:rsid w:val="00ED0C5F"/>
    <w:rsid w:val="00ED122C"/>
    <w:rsid w:val="00ED1526"/>
    <w:rsid w:val="00ED1BF4"/>
    <w:rsid w:val="00ED1C29"/>
    <w:rsid w:val="00ED1F7B"/>
    <w:rsid w:val="00ED20F3"/>
    <w:rsid w:val="00ED2C72"/>
    <w:rsid w:val="00ED306B"/>
    <w:rsid w:val="00ED3681"/>
    <w:rsid w:val="00ED3719"/>
    <w:rsid w:val="00ED3A0A"/>
    <w:rsid w:val="00ED3D65"/>
    <w:rsid w:val="00ED3EE1"/>
    <w:rsid w:val="00ED3F20"/>
    <w:rsid w:val="00ED405E"/>
    <w:rsid w:val="00ED42ED"/>
    <w:rsid w:val="00ED48B1"/>
    <w:rsid w:val="00ED4C89"/>
    <w:rsid w:val="00ED4D52"/>
    <w:rsid w:val="00ED501C"/>
    <w:rsid w:val="00ED592C"/>
    <w:rsid w:val="00ED5DF5"/>
    <w:rsid w:val="00ED5F9B"/>
    <w:rsid w:val="00ED606E"/>
    <w:rsid w:val="00ED625F"/>
    <w:rsid w:val="00ED628E"/>
    <w:rsid w:val="00ED65AF"/>
    <w:rsid w:val="00ED6723"/>
    <w:rsid w:val="00ED6F38"/>
    <w:rsid w:val="00ED7413"/>
    <w:rsid w:val="00ED7570"/>
    <w:rsid w:val="00ED7742"/>
    <w:rsid w:val="00ED7CA0"/>
    <w:rsid w:val="00ED7D36"/>
    <w:rsid w:val="00EE0CC9"/>
    <w:rsid w:val="00EE14A3"/>
    <w:rsid w:val="00EE1A64"/>
    <w:rsid w:val="00EE1D4B"/>
    <w:rsid w:val="00EE2FAA"/>
    <w:rsid w:val="00EE3137"/>
    <w:rsid w:val="00EE34C5"/>
    <w:rsid w:val="00EE385F"/>
    <w:rsid w:val="00EE3C60"/>
    <w:rsid w:val="00EE3FDC"/>
    <w:rsid w:val="00EE4651"/>
    <w:rsid w:val="00EE4807"/>
    <w:rsid w:val="00EE48B1"/>
    <w:rsid w:val="00EE48EB"/>
    <w:rsid w:val="00EE498F"/>
    <w:rsid w:val="00EE4AD3"/>
    <w:rsid w:val="00EE4D77"/>
    <w:rsid w:val="00EE4FBD"/>
    <w:rsid w:val="00EE50D5"/>
    <w:rsid w:val="00EE581B"/>
    <w:rsid w:val="00EE58B3"/>
    <w:rsid w:val="00EE5D4D"/>
    <w:rsid w:val="00EE5D8E"/>
    <w:rsid w:val="00EE6586"/>
    <w:rsid w:val="00EE6EA0"/>
    <w:rsid w:val="00EE6F28"/>
    <w:rsid w:val="00EE72A7"/>
    <w:rsid w:val="00EE77A8"/>
    <w:rsid w:val="00EE77F5"/>
    <w:rsid w:val="00EE7871"/>
    <w:rsid w:val="00EE7B7B"/>
    <w:rsid w:val="00EE7F6F"/>
    <w:rsid w:val="00EF006A"/>
    <w:rsid w:val="00EF057B"/>
    <w:rsid w:val="00EF0ECA"/>
    <w:rsid w:val="00EF127A"/>
    <w:rsid w:val="00EF134C"/>
    <w:rsid w:val="00EF21D9"/>
    <w:rsid w:val="00EF24FE"/>
    <w:rsid w:val="00EF2ABF"/>
    <w:rsid w:val="00EF347E"/>
    <w:rsid w:val="00EF372A"/>
    <w:rsid w:val="00EF3F8F"/>
    <w:rsid w:val="00EF4134"/>
    <w:rsid w:val="00EF4296"/>
    <w:rsid w:val="00EF485B"/>
    <w:rsid w:val="00EF489B"/>
    <w:rsid w:val="00EF4C86"/>
    <w:rsid w:val="00EF55D0"/>
    <w:rsid w:val="00EF576B"/>
    <w:rsid w:val="00EF581D"/>
    <w:rsid w:val="00EF583B"/>
    <w:rsid w:val="00EF59F1"/>
    <w:rsid w:val="00EF5BAA"/>
    <w:rsid w:val="00EF6275"/>
    <w:rsid w:val="00EF630B"/>
    <w:rsid w:val="00EF6525"/>
    <w:rsid w:val="00EF65F4"/>
    <w:rsid w:val="00EF697F"/>
    <w:rsid w:val="00EF6C84"/>
    <w:rsid w:val="00EF6E9C"/>
    <w:rsid w:val="00EF73C5"/>
    <w:rsid w:val="00EF7FD6"/>
    <w:rsid w:val="00F00691"/>
    <w:rsid w:val="00F00E11"/>
    <w:rsid w:val="00F01094"/>
    <w:rsid w:val="00F010FA"/>
    <w:rsid w:val="00F01114"/>
    <w:rsid w:val="00F018D7"/>
    <w:rsid w:val="00F01D04"/>
    <w:rsid w:val="00F02921"/>
    <w:rsid w:val="00F03202"/>
    <w:rsid w:val="00F036EC"/>
    <w:rsid w:val="00F03DBF"/>
    <w:rsid w:val="00F04492"/>
    <w:rsid w:val="00F0482E"/>
    <w:rsid w:val="00F063FA"/>
    <w:rsid w:val="00F06414"/>
    <w:rsid w:val="00F06823"/>
    <w:rsid w:val="00F06F0F"/>
    <w:rsid w:val="00F1048A"/>
    <w:rsid w:val="00F1055C"/>
    <w:rsid w:val="00F1092D"/>
    <w:rsid w:val="00F10F99"/>
    <w:rsid w:val="00F1170E"/>
    <w:rsid w:val="00F119EB"/>
    <w:rsid w:val="00F11B8C"/>
    <w:rsid w:val="00F126E7"/>
    <w:rsid w:val="00F12A0D"/>
    <w:rsid w:val="00F12CA2"/>
    <w:rsid w:val="00F13834"/>
    <w:rsid w:val="00F1395B"/>
    <w:rsid w:val="00F13F7C"/>
    <w:rsid w:val="00F142A3"/>
    <w:rsid w:val="00F142C6"/>
    <w:rsid w:val="00F14431"/>
    <w:rsid w:val="00F147B8"/>
    <w:rsid w:val="00F14D21"/>
    <w:rsid w:val="00F1544F"/>
    <w:rsid w:val="00F15864"/>
    <w:rsid w:val="00F158A9"/>
    <w:rsid w:val="00F159ED"/>
    <w:rsid w:val="00F15CE5"/>
    <w:rsid w:val="00F15F93"/>
    <w:rsid w:val="00F1693B"/>
    <w:rsid w:val="00F17267"/>
    <w:rsid w:val="00F17B51"/>
    <w:rsid w:val="00F200D4"/>
    <w:rsid w:val="00F20606"/>
    <w:rsid w:val="00F20987"/>
    <w:rsid w:val="00F20A6C"/>
    <w:rsid w:val="00F21008"/>
    <w:rsid w:val="00F214E2"/>
    <w:rsid w:val="00F21533"/>
    <w:rsid w:val="00F21D68"/>
    <w:rsid w:val="00F21E1A"/>
    <w:rsid w:val="00F220D8"/>
    <w:rsid w:val="00F2212C"/>
    <w:rsid w:val="00F225E8"/>
    <w:rsid w:val="00F226DE"/>
    <w:rsid w:val="00F2289E"/>
    <w:rsid w:val="00F232F8"/>
    <w:rsid w:val="00F23D49"/>
    <w:rsid w:val="00F23D5F"/>
    <w:rsid w:val="00F2431B"/>
    <w:rsid w:val="00F245A3"/>
    <w:rsid w:val="00F250D7"/>
    <w:rsid w:val="00F2546D"/>
    <w:rsid w:val="00F258E9"/>
    <w:rsid w:val="00F25AEC"/>
    <w:rsid w:val="00F25E01"/>
    <w:rsid w:val="00F266AB"/>
    <w:rsid w:val="00F26E4E"/>
    <w:rsid w:val="00F26F3A"/>
    <w:rsid w:val="00F27371"/>
    <w:rsid w:val="00F27C94"/>
    <w:rsid w:val="00F30150"/>
    <w:rsid w:val="00F30338"/>
    <w:rsid w:val="00F307CA"/>
    <w:rsid w:val="00F31A10"/>
    <w:rsid w:val="00F321BE"/>
    <w:rsid w:val="00F3239C"/>
    <w:rsid w:val="00F32B0F"/>
    <w:rsid w:val="00F32D2C"/>
    <w:rsid w:val="00F32F78"/>
    <w:rsid w:val="00F33239"/>
    <w:rsid w:val="00F3335A"/>
    <w:rsid w:val="00F344FE"/>
    <w:rsid w:val="00F3465B"/>
    <w:rsid w:val="00F358EA"/>
    <w:rsid w:val="00F3650D"/>
    <w:rsid w:val="00F36DC7"/>
    <w:rsid w:val="00F36F3A"/>
    <w:rsid w:val="00F3701B"/>
    <w:rsid w:val="00F37ADB"/>
    <w:rsid w:val="00F4004A"/>
    <w:rsid w:val="00F400D2"/>
    <w:rsid w:val="00F40803"/>
    <w:rsid w:val="00F40D17"/>
    <w:rsid w:val="00F40DF5"/>
    <w:rsid w:val="00F40F3F"/>
    <w:rsid w:val="00F410C3"/>
    <w:rsid w:val="00F410E9"/>
    <w:rsid w:val="00F41F6F"/>
    <w:rsid w:val="00F426B7"/>
    <w:rsid w:val="00F427AA"/>
    <w:rsid w:val="00F4281F"/>
    <w:rsid w:val="00F42A4A"/>
    <w:rsid w:val="00F42AA7"/>
    <w:rsid w:val="00F42FF3"/>
    <w:rsid w:val="00F4341B"/>
    <w:rsid w:val="00F4348B"/>
    <w:rsid w:val="00F43604"/>
    <w:rsid w:val="00F43801"/>
    <w:rsid w:val="00F43D21"/>
    <w:rsid w:val="00F43D8F"/>
    <w:rsid w:val="00F44D28"/>
    <w:rsid w:val="00F44D2D"/>
    <w:rsid w:val="00F46D83"/>
    <w:rsid w:val="00F46E8B"/>
    <w:rsid w:val="00F47D2F"/>
    <w:rsid w:val="00F47EFA"/>
    <w:rsid w:val="00F50448"/>
    <w:rsid w:val="00F505B2"/>
    <w:rsid w:val="00F50B85"/>
    <w:rsid w:val="00F517DB"/>
    <w:rsid w:val="00F520AA"/>
    <w:rsid w:val="00F5216D"/>
    <w:rsid w:val="00F52A12"/>
    <w:rsid w:val="00F52F31"/>
    <w:rsid w:val="00F53A7E"/>
    <w:rsid w:val="00F53ADE"/>
    <w:rsid w:val="00F53F7B"/>
    <w:rsid w:val="00F544E7"/>
    <w:rsid w:val="00F54609"/>
    <w:rsid w:val="00F547D6"/>
    <w:rsid w:val="00F5481E"/>
    <w:rsid w:val="00F549E2"/>
    <w:rsid w:val="00F54BCE"/>
    <w:rsid w:val="00F559BE"/>
    <w:rsid w:val="00F55F9F"/>
    <w:rsid w:val="00F56066"/>
    <w:rsid w:val="00F5659C"/>
    <w:rsid w:val="00F5740C"/>
    <w:rsid w:val="00F5781A"/>
    <w:rsid w:val="00F6019C"/>
    <w:rsid w:val="00F60874"/>
    <w:rsid w:val="00F60D84"/>
    <w:rsid w:val="00F6159C"/>
    <w:rsid w:val="00F61887"/>
    <w:rsid w:val="00F6199B"/>
    <w:rsid w:val="00F62A77"/>
    <w:rsid w:val="00F6357B"/>
    <w:rsid w:val="00F637AA"/>
    <w:rsid w:val="00F63F07"/>
    <w:rsid w:val="00F64768"/>
    <w:rsid w:val="00F64C89"/>
    <w:rsid w:val="00F64D2C"/>
    <w:rsid w:val="00F64EFC"/>
    <w:rsid w:val="00F65323"/>
    <w:rsid w:val="00F655E0"/>
    <w:rsid w:val="00F65930"/>
    <w:rsid w:val="00F65B6C"/>
    <w:rsid w:val="00F6745D"/>
    <w:rsid w:val="00F675C9"/>
    <w:rsid w:val="00F676A2"/>
    <w:rsid w:val="00F67746"/>
    <w:rsid w:val="00F6792E"/>
    <w:rsid w:val="00F67FE1"/>
    <w:rsid w:val="00F701F9"/>
    <w:rsid w:val="00F70B21"/>
    <w:rsid w:val="00F71156"/>
    <w:rsid w:val="00F71782"/>
    <w:rsid w:val="00F71A77"/>
    <w:rsid w:val="00F71A7B"/>
    <w:rsid w:val="00F71A93"/>
    <w:rsid w:val="00F724EB"/>
    <w:rsid w:val="00F729BB"/>
    <w:rsid w:val="00F72F07"/>
    <w:rsid w:val="00F72FAE"/>
    <w:rsid w:val="00F73F43"/>
    <w:rsid w:val="00F740B8"/>
    <w:rsid w:val="00F747F1"/>
    <w:rsid w:val="00F74C3A"/>
    <w:rsid w:val="00F7532A"/>
    <w:rsid w:val="00F75A9F"/>
    <w:rsid w:val="00F7634B"/>
    <w:rsid w:val="00F76DDD"/>
    <w:rsid w:val="00F76DE5"/>
    <w:rsid w:val="00F771A1"/>
    <w:rsid w:val="00F771D6"/>
    <w:rsid w:val="00F772B0"/>
    <w:rsid w:val="00F77D11"/>
    <w:rsid w:val="00F77E8B"/>
    <w:rsid w:val="00F77ED2"/>
    <w:rsid w:val="00F80083"/>
    <w:rsid w:val="00F80AA3"/>
    <w:rsid w:val="00F80F79"/>
    <w:rsid w:val="00F81848"/>
    <w:rsid w:val="00F818DC"/>
    <w:rsid w:val="00F8195E"/>
    <w:rsid w:val="00F81B41"/>
    <w:rsid w:val="00F8203F"/>
    <w:rsid w:val="00F82340"/>
    <w:rsid w:val="00F83ABA"/>
    <w:rsid w:val="00F83CE5"/>
    <w:rsid w:val="00F840EB"/>
    <w:rsid w:val="00F848E0"/>
    <w:rsid w:val="00F84C1E"/>
    <w:rsid w:val="00F86017"/>
    <w:rsid w:val="00F86FCD"/>
    <w:rsid w:val="00F873AA"/>
    <w:rsid w:val="00F878E0"/>
    <w:rsid w:val="00F903D4"/>
    <w:rsid w:val="00F9040C"/>
    <w:rsid w:val="00F9072E"/>
    <w:rsid w:val="00F90780"/>
    <w:rsid w:val="00F90966"/>
    <w:rsid w:val="00F90D32"/>
    <w:rsid w:val="00F912BA"/>
    <w:rsid w:val="00F913A5"/>
    <w:rsid w:val="00F923C8"/>
    <w:rsid w:val="00F924CC"/>
    <w:rsid w:val="00F9293D"/>
    <w:rsid w:val="00F92AFA"/>
    <w:rsid w:val="00F93855"/>
    <w:rsid w:val="00F93A86"/>
    <w:rsid w:val="00F93DBB"/>
    <w:rsid w:val="00F94CBD"/>
    <w:rsid w:val="00F94CE2"/>
    <w:rsid w:val="00F94D05"/>
    <w:rsid w:val="00F94FC6"/>
    <w:rsid w:val="00F957DF"/>
    <w:rsid w:val="00F968C2"/>
    <w:rsid w:val="00F96C9D"/>
    <w:rsid w:val="00F96CA9"/>
    <w:rsid w:val="00F96D0A"/>
    <w:rsid w:val="00F96D9E"/>
    <w:rsid w:val="00F96E1C"/>
    <w:rsid w:val="00F96E43"/>
    <w:rsid w:val="00F97642"/>
    <w:rsid w:val="00F97717"/>
    <w:rsid w:val="00F97A35"/>
    <w:rsid w:val="00FA062C"/>
    <w:rsid w:val="00FA124F"/>
    <w:rsid w:val="00FA125F"/>
    <w:rsid w:val="00FA146A"/>
    <w:rsid w:val="00FA1DF2"/>
    <w:rsid w:val="00FA22F4"/>
    <w:rsid w:val="00FA3535"/>
    <w:rsid w:val="00FA3B0F"/>
    <w:rsid w:val="00FA3D8B"/>
    <w:rsid w:val="00FA3DF6"/>
    <w:rsid w:val="00FA4543"/>
    <w:rsid w:val="00FA48FB"/>
    <w:rsid w:val="00FA4BC8"/>
    <w:rsid w:val="00FA5148"/>
    <w:rsid w:val="00FA5394"/>
    <w:rsid w:val="00FA5563"/>
    <w:rsid w:val="00FA55FC"/>
    <w:rsid w:val="00FA5CEA"/>
    <w:rsid w:val="00FA5F80"/>
    <w:rsid w:val="00FA6278"/>
    <w:rsid w:val="00FA6535"/>
    <w:rsid w:val="00FA7079"/>
    <w:rsid w:val="00FA7166"/>
    <w:rsid w:val="00FA7FA3"/>
    <w:rsid w:val="00FB0122"/>
    <w:rsid w:val="00FB067A"/>
    <w:rsid w:val="00FB08FB"/>
    <w:rsid w:val="00FB0D46"/>
    <w:rsid w:val="00FB0DB2"/>
    <w:rsid w:val="00FB0FF3"/>
    <w:rsid w:val="00FB1451"/>
    <w:rsid w:val="00FB158F"/>
    <w:rsid w:val="00FB2085"/>
    <w:rsid w:val="00FB2092"/>
    <w:rsid w:val="00FB23FF"/>
    <w:rsid w:val="00FB24F0"/>
    <w:rsid w:val="00FB27A6"/>
    <w:rsid w:val="00FB4FF7"/>
    <w:rsid w:val="00FB5035"/>
    <w:rsid w:val="00FB58DD"/>
    <w:rsid w:val="00FB5C82"/>
    <w:rsid w:val="00FB6622"/>
    <w:rsid w:val="00FB76AB"/>
    <w:rsid w:val="00FB7D57"/>
    <w:rsid w:val="00FC01BD"/>
    <w:rsid w:val="00FC02D9"/>
    <w:rsid w:val="00FC0458"/>
    <w:rsid w:val="00FC05B4"/>
    <w:rsid w:val="00FC0FE9"/>
    <w:rsid w:val="00FC1440"/>
    <w:rsid w:val="00FC17EC"/>
    <w:rsid w:val="00FC195B"/>
    <w:rsid w:val="00FC1DE4"/>
    <w:rsid w:val="00FC1E89"/>
    <w:rsid w:val="00FC1F80"/>
    <w:rsid w:val="00FC2C90"/>
    <w:rsid w:val="00FC340A"/>
    <w:rsid w:val="00FC3A9B"/>
    <w:rsid w:val="00FC461E"/>
    <w:rsid w:val="00FC4DD4"/>
    <w:rsid w:val="00FC59B8"/>
    <w:rsid w:val="00FC5C92"/>
    <w:rsid w:val="00FC5CB7"/>
    <w:rsid w:val="00FC5EE1"/>
    <w:rsid w:val="00FC6AE8"/>
    <w:rsid w:val="00FC70B5"/>
    <w:rsid w:val="00FC7217"/>
    <w:rsid w:val="00FD0209"/>
    <w:rsid w:val="00FD0A94"/>
    <w:rsid w:val="00FD0EC1"/>
    <w:rsid w:val="00FD1198"/>
    <w:rsid w:val="00FD1890"/>
    <w:rsid w:val="00FD1A8C"/>
    <w:rsid w:val="00FD1F50"/>
    <w:rsid w:val="00FD2D14"/>
    <w:rsid w:val="00FD36BC"/>
    <w:rsid w:val="00FD37EA"/>
    <w:rsid w:val="00FD3A8F"/>
    <w:rsid w:val="00FD449E"/>
    <w:rsid w:val="00FD462B"/>
    <w:rsid w:val="00FD4879"/>
    <w:rsid w:val="00FD49F6"/>
    <w:rsid w:val="00FD4F78"/>
    <w:rsid w:val="00FD52DD"/>
    <w:rsid w:val="00FD6155"/>
    <w:rsid w:val="00FD616E"/>
    <w:rsid w:val="00FD6216"/>
    <w:rsid w:val="00FD657E"/>
    <w:rsid w:val="00FD6A71"/>
    <w:rsid w:val="00FD6A7F"/>
    <w:rsid w:val="00FD6FE0"/>
    <w:rsid w:val="00FD7475"/>
    <w:rsid w:val="00FD7987"/>
    <w:rsid w:val="00FD7B96"/>
    <w:rsid w:val="00FD7D1F"/>
    <w:rsid w:val="00FD7FC7"/>
    <w:rsid w:val="00FE08E6"/>
    <w:rsid w:val="00FE0C26"/>
    <w:rsid w:val="00FE19F5"/>
    <w:rsid w:val="00FE1B6D"/>
    <w:rsid w:val="00FE1C92"/>
    <w:rsid w:val="00FE281F"/>
    <w:rsid w:val="00FE2A0D"/>
    <w:rsid w:val="00FE2FA4"/>
    <w:rsid w:val="00FE3991"/>
    <w:rsid w:val="00FE3B5D"/>
    <w:rsid w:val="00FE4820"/>
    <w:rsid w:val="00FE4886"/>
    <w:rsid w:val="00FE4AAB"/>
    <w:rsid w:val="00FE5075"/>
    <w:rsid w:val="00FE53C3"/>
    <w:rsid w:val="00FE5A09"/>
    <w:rsid w:val="00FE6543"/>
    <w:rsid w:val="00FE69D4"/>
    <w:rsid w:val="00FE746E"/>
    <w:rsid w:val="00FF0236"/>
    <w:rsid w:val="00FF09F6"/>
    <w:rsid w:val="00FF18D7"/>
    <w:rsid w:val="00FF1998"/>
    <w:rsid w:val="00FF1D7C"/>
    <w:rsid w:val="00FF25E1"/>
    <w:rsid w:val="00FF337D"/>
    <w:rsid w:val="00FF3551"/>
    <w:rsid w:val="00FF3B09"/>
    <w:rsid w:val="00FF3D3D"/>
    <w:rsid w:val="00FF4253"/>
    <w:rsid w:val="00FF52DB"/>
    <w:rsid w:val="00FF5596"/>
    <w:rsid w:val="00FF5A7E"/>
    <w:rsid w:val="00FF5F15"/>
    <w:rsid w:val="00FF7C9A"/>
    <w:rsid w:val="00FF7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FCB154B"/>
  <w15:docId w15:val="{DE08CA21-43A8-4F8B-837B-BCFD2BDC4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3374"/>
    <w:rPr>
      <w:rFonts w:ascii="Times New Roman" w:eastAsia="Times New Roman" w:hAnsi="Times New Roman"/>
      <w:sz w:val="24"/>
      <w:szCs w:val="24"/>
      <w:lang w:val="en-ZA" w:eastAsia="en-GB"/>
    </w:rPr>
  </w:style>
  <w:style w:type="paragraph" w:styleId="Titre1">
    <w:name w:val="heading 1"/>
    <w:basedOn w:val="Normal"/>
    <w:next w:val="Normal"/>
    <w:link w:val="Titre1Car"/>
    <w:uiPriority w:val="9"/>
    <w:qFormat/>
    <w:rsid w:val="00901804"/>
    <w:pPr>
      <w:keepNext/>
      <w:numPr>
        <w:numId w:val="1"/>
      </w:numPr>
      <w:pBdr>
        <w:top w:val="single" w:sz="4" w:space="1" w:color="auto"/>
      </w:pBdr>
      <w:suppressAutoHyphens/>
      <w:spacing w:before="104" w:after="226"/>
      <w:outlineLvl w:val="0"/>
    </w:pPr>
    <w:rPr>
      <w:rFonts w:asciiTheme="majorHAnsi" w:hAnsiTheme="majorHAnsi"/>
      <w:b/>
      <w:smallCaps/>
      <w:spacing w:val="-2"/>
      <w:sz w:val="28"/>
      <w:szCs w:val="20"/>
    </w:rPr>
  </w:style>
  <w:style w:type="paragraph" w:styleId="Titre2">
    <w:name w:val="heading 2"/>
    <w:basedOn w:val="Normal"/>
    <w:next w:val="Normal"/>
    <w:link w:val="Titre2Car"/>
    <w:uiPriority w:val="9"/>
    <w:qFormat/>
    <w:rsid w:val="00E93DC1"/>
    <w:pPr>
      <w:keepNext/>
      <w:ind w:left="720"/>
      <w:outlineLvl w:val="1"/>
    </w:pPr>
    <w:rPr>
      <w:rFonts w:ascii="Arial Narrow" w:hAnsi="Arial Narrow"/>
      <w:b/>
      <w:bCs/>
    </w:rPr>
  </w:style>
  <w:style w:type="paragraph" w:styleId="Titre3">
    <w:name w:val="heading 3"/>
    <w:basedOn w:val="Normal"/>
    <w:next w:val="Normal"/>
    <w:link w:val="Titre3Car"/>
    <w:uiPriority w:val="9"/>
    <w:qFormat/>
    <w:rsid w:val="00E93DC1"/>
    <w:pPr>
      <w:keepNext/>
      <w:widowControl w:val="0"/>
      <w:tabs>
        <w:tab w:val="left" w:pos="2160"/>
        <w:tab w:val="left" w:pos="9360"/>
      </w:tabs>
      <w:outlineLvl w:val="2"/>
    </w:pPr>
    <w:rPr>
      <w:rFonts w:ascii="Courier" w:hAnsi="Courier"/>
      <w:b/>
      <w:sz w:val="28"/>
      <w:szCs w:val="20"/>
    </w:rPr>
  </w:style>
  <w:style w:type="paragraph" w:styleId="Titre4">
    <w:name w:val="heading 4"/>
    <w:basedOn w:val="Normal"/>
    <w:next w:val="Normal"/>
    <w:link w:val="Titre4Car"/>
    <w:uiPriority w:val="9"/>
    <w:qFormat/>
    <w:rsid w:val="00E93DC1"/>
    <w:pPr>
      <w:keepNext/>
      <w:widowControl w:val="0"/>
      <w:spacing w:after="540"/>
      <w:ind w:left="116"/>
      <w:outlineLvl w:val="3"/>
    </w:pPr>
    <w:rPr>
      <w:b/>
      <w:spacing w:val="15"/>
      <w:sz w:val="28"/>
    </w:rPr>
  </w:style>
  <w:style w:type="paragraph" w:styleId="Titre5">
    <w:name w:val="heading 5"/>
    <w:basedOn w:val="Normal"/>
    <w:next w:val="Normal"/>
    <w:link w:val="Titre5Car"/>
    <w:uiPriority w:val="9"/>
    <w:qFormat/>
    <w:rsid w:val="00525831"/>
    <w:pPr>
      <w:keepNext/>
      <w:pBdr>
        <w:top w:val="single" w:sz="4" w:space="1" w:color="auto"/>
        <w:left w:val="single" w:sz="4" w:space="4" w:color="auto"/>
        <w:bottom w:val="single" w:sz="4" w:space="1" w:color="auto"/>
        <w:right w:val="single" w:sz="4" w:space="4" w:color="auto"/>
      </w:pBdr>
      <w:spacing w:before="120" w:after="120"/>
      <w:jc w:val="center"/>
      <w:outlineLvl w:val="4"/>
    </w:pPr>
    <w:rPr>
      <w:b/>
      <w:bCs/>
    </w:rPr>
  </w:style>
  <w:style w:type="paragraph" w:styleId="Titre6">
    <w:name w:val="heading 6"/>
    <w:basedOn w:val="Normal"/>
    <w:next w:val="Normal"/>
    <w:link w:val="Titre6Car"/>
    <w:uiPriority w:val="9"/>
    <w:qFormat/>
    <w:rsid w:val="00EC38D1"/>
    <w:pPr>
      <w:keepNext/>
      <w:ind w:left="360"/>
      <w:outlineLvl w:val="5"/>
    </w:pPr>
    <w:rPr>
      <w:b/>
      <w:bCs/>
      <w:smallCaps/>
      <w:lang w:val="x-none" w:eastAsia="x-none"/>
    </w:rPr>
  </w:style>
  <w:style w:type="paragraph" w:styleId="Titre7">
    <w:name w:val="heading 7"/>
    <w:basedOn w:val="Normal"/>
    <w:next w:val="Normal"/>
    <w:link w:val="Titre7Car"/>
    <w:uiPriority w:val="9"/>
    <w:qFormat/>
    <w:rsid w:val="00EC38D1"/>
    <w:pPr>
      <w:keepNext/>
      <w:outlineLvl w:val="6"/>
    </w:pPr>
    <w:rPr>
      <w:b/>
      <w:bCs/>
      <w:lang w:val="x-none" w:eastAsia="x-none"/>
    </w:rPr>
  </w:style>
  <w:style w:type="paragraph" w:styleId="Titre8">
    <w:name w:val="heading 8"/>
    <w:basedOn w:val="Normal"/>
    <w:next w:val="Normal"/>
    <w:link w:val="Titre8Car"/>
    <w:uiPriority w:val="9"/>
    <w:unhideWhenUsed/>
    <w:qFormat/>
    <w:rsid w:val="000923DC"/>
    <w:pPr>
      <w:spacing w:before="240"/>
      <w:outlineLvl w:val="7"/>
    </w:pPr>
    <w:rPr>
      <w:i/>
      <w:iCs/>
    </w:rPr>
  </w:style>
  <w:style w:type="paragraph" w:styleId="Titre9">
    <w:name w:val="heading 9"/>
    <w:basedOn w:val="Normal"/>
    <w:next w:val="Normal"/>
    <w:link w:val="Titre9Car"/>
    <w:uiPriority w:val="9"/>
    <w:qFormat/>
    <w:rsid w:val="00EC38D1"/>
    <w:pPr>
      <w:keepNext/>
      <w:framePr w:w="3801" w:h="4681" w:hSpace="180" w:wrap="around" w:vAnchor="text" w:hAnchor="page" w:x="7141" w:y="1441"/>
      <w:outlineLvl w:val="8"/>
    </w:pPr>
    <w:rPr>
      <w:b/>
      <w:bCs/>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rsid w:val="00D260B0"/>
    <w:rPr>
      <w:rFonts w:ascii="Tahoma" w:hAnsi="Tahoma" w:cs="Tahoma"/>
      <w:sz w:val="16"/>
      <w:szCs w:val="16"/>
    </w:rPr>
  </w:style>
  <w:style w:type="character" w:customStyle="1" w:styleId="Titre1Car">
    <w:name w:val="Titre 1 Car"/>
    <w:link w:val="Titre1"/>
    <w:uiPriority w:val="9"/>
    <w:locked/>
    <w:rsid w:val="00901804"/>
    <w:rPr>
      <w:rFonts w:asciiTheme="majorHAnsi" w:hAnsiTheme="majorHAnsi"/>
      <w:b/>
      <w:smallCaps/>
      <w:spacing w:val="-2"/>
      <w:sz w:val="28"/>
    </w:rPr>
  </w:style>
  <w:style w:type="character" w:customStyle="1" w:styleId="Titre2Car">
    <w:name w:val="Titre 2 Car"/>
    <w:link w:val="Titre2"/>
    <w:locked/>
    <w:rsid w:val="00CB0802"/>
    <w:rPr>
      <w:rFonts w:ascii="Cambria" w:hAnsi="Cambria" w:cs="Times New Roman"/>
      <w:b/>
      <w:bCs/>
      <w:i/>
      <w:iCs/>
      <w:sz w:val="28"/>
      <w:szCs w:val="28"/>
      <w:lang w:val="en-GB"/>
    </w:rPr>
  </w:style>
  <w:style w:type="character" w:customStyle="1" w:styleId="Titre3Car">
    <w:name w:val="Titre 3 Car"/>
    <w:link w:val="Titre3"/>
    <w:uiPriority w:val="9"/>
    <w:locked/>
    <w:rsid w:val="00CB0802"/>
    <w:rPr>
      <w:rFonts w:ascii="Cambria" w:hAnsi="Cambria" w:cs="Times New Roman"/>
      <w:b/>
      <w:bCs/>
      <w:sz w:val="26"/>
      <w:szCs w:val="26"/>
      <w:lang w:val="en-GB"/>
    </w:rPr>
  </w:style>
  <w:style w:type="character" w:customStyle="1" w:styleId="Titre4Car">
    <w:name w:val="Titre 4 Car"/>
    <w:link w:val="Titre4"/>
    <w:uiPriority w:val="9"/>
    <w:locked/>
    <w:rsid w:val="00CB0802"/>
    <w:rPr>
      <w:rFonts w:ascii="Calibri" w:hAnsi="Calibri" w:cs="Times New Roman"/>
      <w:b/>
      <w:bCs/>
      <w:sz w:val="28"/>
      <w:szCs w:val="28"/>
      <w:lang w:val="en-GB"/>
    </w:rPr>
  </w:style>
  <w:style w:type="character" w:customStyle="1" w:styleId="Titre5Car">
    <w:name w:val="Titre 5 Car"/>
    <w:link w:val="Titre5"/>
    <w:uiPriority w:val="9"/>
    <w:locked/>
    <w:rsid w:val="00CB0802"/>
    <w:rPr>
      <w:rFonts w:ascii="Calibri" w:hAnsi="Calibri" w:cs="Times New Roman"/>
      <w:b/>
      <w:bCs/>
      <w:i/>
      <w:iCs/>
      <w:sz w:val="26"/>
      <w:szCs w:val="26"/>
      <w:lang w:val="en-GB"/>
    </w:rPr>
  </w:style>
  <w:style w:type="paragraph" w:styleId="En-tte">
    <w:name w:val="header"/>
    <w:basedOn w:val="Normal"/>
    <w:link w:val="En-tteCar"/>
    <w:uiPriority w:val="99"/>
    <w:rsid w:val="00E93DC1"/>
    <w:pPr>
      <w:tabs>
        <w:tab w:val="center" w:pos="4153"/>
        <w:tab w:val="right" w:pos="8306"/>
      </w:tabs>
    </w:pPr>
  </w:style>
  <w:style w:type="character" w:customStyle="1" w:styleId="En-tteCar">
    <w:name w:val="En-tête Car"/>
    <w:link w:val="En-tte"/>
    <w:uiPriority w:val="99"/>
    <w:locked/>
    <w:rsid w:val="00CB0802"/>
    <w:rPr>
      <w:rFonts w:ascii="Arial" w:hAnsi="Arial" w:cs="Times New Roman"/>
      <w:sz w:val="24"/>
      <w:szCs w:val="24"/>
      <w:lang w:val="en-GB"/>
    </w:rPr>
  </w:style>
  <w:style w:type="paragraph" w:styleId="Pieddepage">
    <w:name w:val="footer"/>
    <w:basedOn w:val="Normal"/>
    <w:link w:val="PieddepageCar"/>
    <w:uiPriority w:val="99"/>
    <w:rsid w:val="00E93DC1"/>
    <w:pPr>
      <w:tabs>
        <w:tab w:val="center" w:pos="4153"/>
        <w:tab w:val="right" w:pos="8306"/>
      </w:tabs>
    </w:pPr>
  </w:style>
  <w:style w:type="character" w:customStyle="1" w:styleId="PieddepageCar">
    <w:name w:val="Pied de page Car"/>
    <w:link w:val="Pieddepage"/>
    <w:uiPriority w:val="99"/>
    <w:locked/>
    <w:rsid w:val="00CB0802"/>
    <w:rPr>
      <w:rFonts w:ascii="Arial" w:hAnsi="Arial" w:cs="Times New Roman"/>
      <w:sz w:val="24"/>
      <w:szCs w:val="24"/>
      <w:lang w:val="en-GB"/>
    </w:rPr>
  </w:style>
  <w:style w:type="character" w:styleId="Numrodepage">
    <w:name w:val="page number"/>
    <w:rsid w:val="00E93DC1"/>
    <w:rPr>
      <w:rFonts w:cs="Times New Roman"/>
    </w:rPr>
  </w:style>
  <w:style w:type="paragraph" w:styleId="Notedebasdepage">
    <w:name w:val="footnote text"/>
    <w:aliases w:val="Geneva 9,Font: Geneva 9,Boston 10,f,single space,footnote text,Footnote,otnote Text,Footnote Text Char Char Char,Footnote Text Char Char Char Char Char Char Char,Footnote Text Char Char Char Char Char,Footnotes,fn"/>
    <w:basedOn w:val="Normal"/>
    <w:link w:val="NotedebasdepageCar"/>
    <w:uiPriority w:val="99"/>
    <w:qFormat/>
    <w:rsid w:val="00901804"/>
    <w:pPr>
      <w:widowControl w:val="0"/>
    </w:pPr>
    <w:rPr>
      <w:rFonts w:asciiTheme="minorHAnsi" w:hAnsiTheme="minorHAnsi"/>
      <w:sz w:val="18"/>
      <w:szCs w:val="20"/>
    </w:rPr>
  </w:style>
  <w:style w:type="character" w:customStyle="1" w:styleId="NotedebasdepageCar">
    <w:name w:val="Note de bas de page Car"/>
    <w:aliases w:val="Geneva 9 Car,Font: Geneva 9 Car,Boston 10 Car,f Car,single space Car,footnote text Car,Footnote Car,otnote Text Car,Footnote Text Char Char Char Car,Footnote Text Char Char Char Char Char Char Char Car,Footnotes Car,fn Car"/>
    <w:link w:val="Notedebasdepage"/>
    <w:uiPriority w:val="99"/>
    <w:locked/>
    <w:rsid w:val="00901804"/>
    <w:rPr>
      <w:rFonts w:asciiTheme="minorHAnsi" w:hAnsiTheme="minorHAnsi"/>
      <w:sz w:val="18"/>
    </w:rPr>
  </w:style>
  <w:style w:type="paragraph" w:styleId="Corpsdetexte3">
    <w:name w:val="Body Text 3"/>
    <w:basedOn w:val="Normal"/>
    <w:link w:val="Corpsdetexte3Car"/>
    <w:rsid w:val="00E93DC1"/>
    <w:rPr>
      <w:szCs w:val="20"/>
    </w:rPr>
  </w:style>
  <w:style w:type="character" w:customStyle="1" w:styleId="Corpsdetexte3Car">
    <w:name w:val="Corps de texte 3 Car"/>
    <w:link w:val="Corpsdetexte3"/>
    <w:locked/>
    <w:rsid w:val="00CB0802"/>
    <w:rPr>
      <w:rFonts w:ascii="Arial" w:hAnsi="Arial" w:cs="Times New Roman"/>
      <w:sz w:val="16"/>
      <w:szCs w:val="16"/>
      <w:lang w:val="en-GB"/>
    </w:rPr>
  </w:style>
  <w:style w:type="paragraph" w:styleId="Retraitcorpsdetexte">
    <w:name w:val="Body Text Indent"/>
    <w:basedOn w:val="Normal"/>
    <w:link w:val="RetraitcorpsdetexteCar"/>
    <w:uiPriority w:val="99"/>
    <w:rsid w:val="00E93DC1"/>
    <w:pPr>
      <w:tabs>
        <w:tab w:val="left" w:pos="360"/>
      </w:tabs>
    </w:pPr>
    <w:rPr>
      <w:b/>
      <w:i/>
      <w:sz w:val="28"/>
      <w:szCs w:val="20"/>
    </w:rPr>
  </w:style>
  <w:style w:type="character" w:customStyle="1" w:styleId="RetraitcorpsdetexteCar">
    <w:name w:val="Retrait corps de texte Car"/>
    <w:link w:val="Retraitcorpsdetexte"/>
    <w:uiPriority w:val="99"/>
    <w:locked/>
    <w:rsid w:val="00CB0802"/>
    <w:rPr>
      <w:rFonts w:ascii="Arial" w:hAnsi="Arial" w:cs="Times New Roman"/>
      <w:sz w:val="24"/>
      <w:szCs w:val="24"/>
      <w:lang w:val="en-GB"/>
    </w:rPr>
  </w:style>
  <w:style w:type="character" w:styleId="Lienhypertexte">
    <w:name w:val="Hyperlink"/>
    <w:uiPriority w:val="99"/>
    <w:rsid w:val="00E93DC1"/>
    <w:rPr>
      <w:rFonts w:cs="Times New Roman"/>
      <w:color w:val="0000FF"/>
      <w:u w:val="single"/>
    </w:rPr>
  </w:style>
  <w:style w:type="character" w:styleId="Lienhypertextesuivivisit">
    <w:name w:val="FollowedHyperlink"/>
    <w:uiPriority w:val="99"/>
    <w:rsid w:val="00E93DC1"/>
    <w:rPr>
      <w:rFonts w:cs="Times New Roman"/>
      <w:color w:val="800080"/>
      <w:u w:val="single"/>
    </w:rPr>
  </w:style>
  <w:style w:type="paragraph" w:styleId="Corpsdetexte">
    <w:name w:val="Body Text"/>
    <w:basedOn w:val="Normal"/>
    <w:link w:val="CorpsdetexteCar"/>
    <w:uiPriority w:val="99"/>
    <w:rsid w:val="00E93DC1"/>
    <w:pPr>
      <w:pBdr>
        <w:bottom w:val="single" w:sz="4" w:space="1" w:color="auto"/>
      </w:pBdr>
    </w:pPr>
    <w:rPr>
      <w:rFonts w:ascii="Arial Narrow" w:hAnsi="Arial Narrow"/>
      <w:i/>
      <w:iCs/>
    </w:rPr>
  </w:style>
  <w:style w:type="character" w:customStyle="1" w:styleId="CorpsdetexteCar">
    <w:name w:val="Corps de texte Car"/>
    <w:link w:val="Corpsdetexte"/>
    <w:uiPriority w:val="99"/>
    <w:locked/>
    <w:rsid w:val="00CB0802"/>
    <w:rPr>
      <w:rFonts w:ascii="Arial" w:hAnsi="Arial" w:cs="Times New Roman"/>
      <w:sz w:val="24"/>
      <w:szCs w:val="24"/>
      <w:lang w:val="en-GB"/>
    </w:rPr>
  </w:style>
  <w:style w:type="paragraph" w:styleId="Corpsdetexte2">
    <w:name w:val="Body Text 2"/>
    <w:basedOn w:val="Normal"/>
    <w:link w:val="Corpsdetexte2Car"/>
    <w:uiPriority w:val="99"/>
    <w:rsid w:val="00E93DC1"/>
    <w:pPr>
      <w:spacing w:before="120" w:after="120"/>
    </w:pPr>
    <w:rPr>
      <w:rFonts w:ascii="Arial Narrow" w:hAnsi="Arial Narrow"/>
    </w:rPr>
  </w:style>
  <w:style w:type="character" w:customStyle="1" w:styleId="Corpsdetexte2Car">
    <w:name w:val="Corps de texte 2 Car"/>
    <w:link w:val="Corpsdetexte2"/>
    <w:uiPriority w:val="99"/>
    <w:locked/>
    <w:rsid w:val="00CB0802"/>
    <w:rPr>
      <w:rFonts w:ascii="Arial" w:hAnsi="Arial" w:cs="Times New Roman"/>
      <w:sz w:val="24"/>
      <w:szCs w:val="24"/>
      <w:lang w:val="en-GB"/>
    </w:rPr>
  </w:style>
  <w:style w:type="character" w:customStyle="1" w:styleId="TextedebullesCar">
    <w:name w:val="Texte de bulles Car"/>
    <w:link w:val="Textedebulles"/>
    <w:uiPriority w:val="99"/>
    <w:semiHidden/>
    <w:locked/>
    <w:rsid w:val="00CB0802"/>
    <w:rPr>
      <w:rFonts w:cs="Times New Roman"/>
      <w:sz w:val="2"/>
      <w:lang w:val="en-GB"/>
    </w:rPr>
  </w:style>
  <w:style w:type="character" w:styleId="Marquedecommentaire">
    <w:name w:val="annotation reference"/>
    <w:uiPriority w:val="99"/>
    <w:rsid w:val="00EF6275"/>
    <w:rPr>
      <w:rFonts w:cs="Times New Roman"/>
      <w:sz w:val="16"/>
      <w:szCs w:val="16"/>
    </w:rPr>
  </w:style>
  <w:style w:type="paragraph" w:styleId="Commentaire">
    <w:name w:val="annotation text"/>
    <w:basedOn w:val="Normal"/>
    <w:link w:val="CommentaireCar"/>
    <w:uiPriority w:val="99"/>
    <w:rsid w:val="00EF6275"/>
    <w:rPr>
      <w:szCs w:val="20"/>
    </w:rPr>
  </w:style>
  <w:style w:type="character" w:customStyle="1" w:styleId="CommentaireCar">
    <w:name w:val="Commentaire Car"/>
    <w:link w:val="Commentaire"/>
    <w:uiPriority w:val="99"/>
    <w:locked/>
    <w:rsid w:val="00CB0802"/>
    <w:rPr>
      <w:rFonts w:ascii="Arial" w:hAnsi="Arial" w:cs="Times New Roman"/>
      <w:lang w:val="en-GB"/>
    </w:rPr>
  </w:style>
  <w:style w:type="paragraph" w:styleId="Objetducommentaire">
    <w:name w:val="annotation subject"/>
    <w:basedOn w:val="Commentaire"/>
    <w:next w:val="Commentaire"/>
    <w:link w:val="ObjetducommentaireCar"/>
    <w:uiPriority w:val="99"/>
    <w:rsid w:val="00EF6275"/>
    <w:rPr>
      <w:b/>
      <w:bCs/>
    </w:rPr>
  </w:style>
  <w:style w:type="character" w:customStyle="1" w:styleId="ObjetducommentaireCar">
    <w:name w:val="Objet du commentaire Car"/>
    <w:link w:val="Objetducommentaire"/>
    <w:uiPriority w:val="99"/>
    <w:locked/>
    <w:rsid w:val="00CB0802"/>
    <w:rPr>
      <w:rFonts w:ascii="Arial" w:hAnsi="Arial" w:cs="Times New Roman"/>
      <w:b/>
      <w:bCs/>
      <w:lang w:val="en-GB"/>
    </w:rPr>
  </w:style>
  <w:style w:type="table" w:styleId="Grilledutableau">
    <w:name w:val="Table Grid"/>
    <w:basedOn w:val="TableauNormal"/>
    <w:uiPriority w:val="59"/>
    <w:rsid w:val="00233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 webb"/>
    <w:basedOn w:val="Normal"/>
    <w:uiPriority w:val="99"/>
    <w:rsid w:val="00E663CF"/>
    <w:pPr>
      <w:spacing w:before="100" w:beforeAutospacing="1" w:after="100" w:afterAutospacing="1"/>
    </w:pPr>
  </w:style>
  <w:style w:type="character" w:styleId="Accentuation">
    <w:name w:val="Emphasis"/>
    <w:uiPriority w:val="20"/>
    <w:qFormat/>
    <w:rsid w:val="00F30150"/>
    <w:rPr>
      <w:rFonts w:cs="Times New Roman"/>
      <w:i/>
      <w:iCs/>
    </w:rPr>
  </w:style>
  <w:style w:type="character" w:styleId="Appelnotedebasdep">
    <w:name w:val="footnote reference"/>
    <w:aliases w:val="16 Point,Superscript 6 Point,Superscript 6 Point + 11 pt,ftref,Footnote Reference Number,SUPERS,SUPERS1,SUPERS2,SUPERS3,BVI fnr,BVI fnr Car Car,BVI fnr Car,BVI fnr Car Car Car Car,FNRefe Char Char Char,BVI fnr Char Char Char,fr"/>
    <w:link w:val="CharCharCharCharCarChar"/>
    <w:qFormat/>
    <w:rsid w:val="00BF50E7"/>
    <w:rPr>
      <w:rFonts w:ascii="Arial" w:hAnsi="Arial" w:cs="Times New Roman"/>
      <w:sz w:val="18"/>
      <w:vertAlign w:val="superscript"/>
    </w:rPr>
  </w:style>
  <w:style w:type="paragraph" w:customStyle="1" w:styleId="Char">
    <w:name w:val="Char"/>
    <w:basedOn w:val="Titre2"/>
    <w:rsid w:val="00912142"/>
    <w:pPr>
      <w:pageBreakBefore/>
      <w:tabs>
        <w:tab w:val="left" w:pos="850"/>
        <w:tab w:val="left" w:pos="1191"/>
        <w:tab w:val="left" w:pos="1531"/>
      </w:tabs>
      <w:ind w:left="0"/>
      <w:jc w:val="center"/>
    </w:pPr>
    <w:rPr>
      <w:rFonts w:ascii="Tahoma" w:hAnsi="Tahoma" w:cs="Tahoma"/>
      <w:bCs w:val="0"/>
      <w:color w:val="FFFFFF"/>
      <w:spacing w:val="20"/>
      <w:szCs w:val="22"/>
      <w:lang w:eastAsia="zh-CN"/>
    </w:rPr>
  </w:style>
  <w:style w:type="paragraph" w:styleId="Paragraphedeliste">
    <w:name w:val="List Paragraph"/>
    <w:aliases w:val="List Paragraph1,Project Profile name,Paragraphe de liste1,Numbered paragraph,Medium Grid 1 - Accent 21,List Paragraph (numbered (a)),Numbered List Paragraph,References,ReferencesCxSpLast,Table/Figure Heading,En tête 1"/>
    <w:basedOn w:val="Normal"/>
    <w:link w:val="ParagraphedelisteCar"/>
    <w:uiPriority w:val="34"/>
    <w:qFormat/>
    <w:rsid w:val="00DB520F"/>
    <w:pPr>
      <w:ind w:left="720"/>
    </w:pPr>
  </w:style>
  <w:style w:type="paragraph" w:styleId="Titre">
    <w:name w:val="Title"/>
    <w:basedOn w:val="Normal"/>
    <w:link w:val="TitreCar"/>
    <w:uiPriority w:val="10"/>
    <w:qFormat/>
    <w:rsid w:val="00700D7C"/>
    <w:pPr>
      <w:pBdr>
        <w:top w:val="single" w:sz="4" w:space="1" w:color="auto"/>
        <w:left w:val="single" w:sz="4" w:space="4" w:color="auto"/>
        <w:bottom w:val="single" w:sz="4" w:space="1" w:color="auto"/>
        <w:right w:val="single" w:sz="4" w:space="4" w:color="auto"/>
      </w:pBdr>
      <w:spacing w:before="240"/>
      <w:jc w:val="center"/>
      <w:outlineLvl w:val="0"/>
    </w:pPr>
    <w:rPr>
      <w:rFonts w:cs="Arial"/>
      <w:b/>
      <w:bCs/>
      <w:kern w:val="28"/>
      <w:sz w:val="32"/>
      <w:szCs w:val="32"/>
    </w:rPr>
  </w:style>
  <w:style w:type="character" w:customStyle="1" w:styleId="TitreCar">
    <w:name w:val="Titre Car"/>
    <w:link w:val="Titre"/>
    <w:uiPriority w:val="10"/>
    <w:locked/>
    <w:rsid w:val="00CB0802"/>
    <w:rPr>
      <w:rFonts w:ascii="Cambria" w:hAnsi="Cambria" w:cs="Times New Roman"/>
      <w:b/>
      <w:bCs/>
      <w:kern w:val="28"/>
      <w:sz w:val="32"/>
      <w:szCs w:val="32"/>
      <w:lang w:val="en-GB"/>
    </w:rPr>
  </w:style>
  <w:style w:type="paragraph" w:customStyle="1" w:styleId="CharCharChar1">
    <w:name w:val="Char Char Char1"/>
    <w:basedOn w:val="Normal"/>
    <w:uiPriority w:val="99"/>
    <w:rsid w:val="00340E23"/>
    <w:pPr>
      <w:spacing w:after="160" w:line="240" w:lineRule="exact"/>
    </w:pPr>
    <w:rPr>
      <w:rFonts w:cs="Arial"/>
      <w:szCs w:val="20"/>
    </w:rPr>
  </w:style>
  <w:style w:type="paragraph" w:customStyle="1" w:styleId="JFHeading3">
    <w:name w:val="JF Heading 3"/>
    <w:basedOn w:val="Titre3"/>
    <w:rsid w:val="0015737E"/>
    <w:pPr>
      <w:keepNext w:val="0"/>
      <w:widowControl/>
      <w:pBdr>
        <w:bottom w:val="dotted" w:sz="4" w:space="2" w:color="666666"/>
      </w:pBdr>
      <w:tabs>
        <w:tab w:val="clear" w:pos="2160"/>
        <w:tab w:val="clear" w:pos="9360"/>
      </w:tabs>
    </w:pPr>
    <w:rPr>
      <w:rFonts w:ascii="Times New Roman" w:eastAsia="MS Mincho" w:hAnsi="Times New Roman"/>
      <w:b w:val="0"/>
      <w:i/>
      <w:sz w:val="22"/>
      <w:szCs w:val="22"/>
      <w:lang w:eastAsia="ja-JP"/>
    </w:rPr>
  </w:style>
  <w:style w:type="character" w:styleId="lev">
    <w:name w:val="Strong"/>
    <w:uiPriority w:val="22"/>
    <w:qFormat/>
    <w:rsid w:val="00724288"/>
    <w:rPr>
      <w:rFonts w:cs="Times New Roman"/>
      <w:b/>
      <w:bCs/>
    </w:rPr>
  </w:style>
  <w:style w:type="paragraph" w:customStyle="1" w:styleId="Default">
    <w:name w:val="Default"/>
    <w:uiPriority w:val="99"/>
    <w:rsid w:val="00724288"/>
    <w:pPr>
      <w:autoSpaceDE w:val="0"/>
      <w:autoSpaceDN w:val="0"/>
      <w:adjustRightInd w:val="0"/>
    </w:pPr>
    <w:rPr>
      <w:rFonts w:ascii="Arial" w:eastAsia="MS Mincho" w:hAnsi="Arial" w:cs="Arial"/>
      <w:color w:val="000000"/>
      <w:sz w:val="24"/>
      <w:szCs w:val="24"/>
      <w:lang w:eastAsia="ja-JP"/>
    </w:rPr>
  </w:style>
  <w:style w:type="paragraph" w:customStyle="1" w:styleId="bodyfont">
    <w:name w:val="bodyfont"/>
    <w:basedOn w:val="Normal"/>
    <w:rsid w:val="00724288"/>
    <w:pPr>
      <w:spacing w:before="100" w:beforeAutospacing="1" w:after="100" w:afterAutospacing="1"/>
    </w:pPr>
    <w:rPr>
      <w:rFonts w:eastAsia="MS Mincho" w:cs="Arial"/>
      <w:sz w:val="12"/>
      <w:szCs w:val="12"/>
      <w:lang w:eastAsia="ja-JP"/>
    </w:rPr>
  </w:style>
  <w:style w:type="paragraph" w:customStyle="1" w:styleId="JFHeading1">
    <w:name w:val="JF Heading 1"/>
    <w:basedOn w:val="Titre1"/>
    <w:rsid w:val="00724288"/>
    <w:pPr>
      <w:pBdr>
        <w:top w:val="none" w:sz="0" w:space="0" w:color="auto"/>
      </w:pBdr>
      <w:suppressAutoHyphens w:val="0"/>
      <w:spacing w:before="240" w:after="60"/>
    </w:pPr>
    <w:rPr>
      <w:rFonts w:ascii="Times New Roman" w:hAnsi="Times New Roman" w:cs="Arial"/>
      <w:bCs/>
      <w:smallCaps w:val="0"/>
      <w:spacing w:val="0"/>
      <w:kern w:val="32"/>
      <w:sz w:val="24"/>
      <w:szCs w:val="32"/>
      <w:u w:val="single"/>
    </w:rPr>
  </w:style>
  <w:style w:type="paragraph" w:customStyle="1" w:styleId="Pa2">
    <w:name w:val="Pa2"/>
    <w:basedOn w:val="Default"/>
    <w:next w:val="Default"/>
    <w:rsid w:val="00D37FAF"/>
    <w:pPr>
      <w:spacing w:line="191" w:lineRule="atLeast"/>
    </w:pPr>
    <w:rPr>
      <w:rFonts w:ascii="Adobe Garamond Pro" w:hAnsi="Adobe Garamond Pro" w:cs="Times New Roman"/>
      <w:color w:val="auto"/>
    </w:rPr>
  </w:style>
  <w:style w:type="character" w:customStyle="1" w:styleId="bodytag3">
    <w:name w:val="bodytag3"/>
    <w:rsid w:val="00D37FAF"/>
    <w:rPr>
      <w:rFonts w:ascii="Trebuchet MS" w:hAnsi="Trebuchet MS" w:cs="Times New Roman"/>
      <w:sz w:val="15"/>
      <w:szCs w:val="15"/>
    </w:rPr>
  </w:style>
  <w:style w:type="paragraph" w:styleId="Notedefin">
    <w:name w:val="endnote text"/>
    <w:aliases w:val=" Char"/>
    <w:basedOn w:val="Normal"/>
    <w:link w:val="NotedefinCar"/>
    <w:uiPriority w:val="99"/>
    <w:semiHidden/>
    <w:rsid w:val="00D37FAF"/>
    <w:rPr>
      <w:rFonts w:eastAsia="MS Mincho"/>
      <w:szCs w:val="20"/>
      <w:lang w:eastAsia="ja-JP"/>
    </w:rPr>
  </w:style>
  <w:style w:type="character" w:customStyle="1" w:styleId="NotedefinCar">
    <w:name w:val="Note de fin Car"/>
    <w:aliases w:val=" Char Car"/>
    <w:link w:val="Notedefin"/>
    <w:uiPriority w:val="99"/>
    <w:semiHidden/>
    <w:locked/>
    <w:rsid w:val="00CB0802"/>
    <w:rPr>
      <w:rFonts w:ascii="Arial" w:hAnsi="Arial" w:cs="Times New Roman"/>
      <w:lang w:val="en-GB"/>
    </w:rPr>
  </w:style>
  <w:style w:type="character" w:styleId="Appeldenotedefin">
    <w:name w:val="endnote reference"/>
    <w:semiHidden/>
    <w:rsid w:val="00D37FAF"/>
    <w:rPr>
      <w:rFonts w:cs="Times New Roman"/>
      <w:vertAlign w:val="superscript"/>
    </w:rPr>
  </w:style>
  <w:style w:type="character" w:customStyle="1" w:styleId="mw-headline">
    <w:name w:val="mw-headline"/>
    <w:rsid w:val="00AF7267"/>
    <w:rPr>
      <w:rFonts w:cs="Times New Roman"/>
    </w:rPr>
  </w:style>
  <w:style w:type="paragraph" w:customStyle="1" w:styleId="CharCharCharCharCharCharChar">
    <w:name w:val="Char Char Char Char Char Char Char"/>
    <w:basedOn w:val="Titre2"/>
    <w:rsid w:val="00BC22BB"/>
    <w:pPr>
      <w:pageBreakBefore/>
      <w:tabs>
        <w:tab w:val="left" w:pos="850"/>
        <w:tab w:val="left" w:pos="1191"/>
        <w:tab w:val="left" w:pos="1531"/>
      </w:tabs>
      <w:spacing w:before="120" w:after="120"/>
      <w:ind w:left="0"/>
      <w:jc w:val="center"/>
    </w:pPr>
    <w:rPr>
      <w:rFonts w:ascii="Tahoma" w:eastAsia="MS Mincho" w:hAnsi="Tahoma" w:cs="Tahoma"/>
      <w:bCs w:val="0"/>
      <w:color w:val="FFFFFF"/>
      <w:spacing w:val="20"/>
      <w:szCs w:val="22"/>
      <w:lang w:eastAsia="zh-CN"/>
    </w:rPr>
  </w:style>
  <w:style w:type="paragraph" w:customStyle="1" w:styleId="CarCar">
    <w:name w:val="Car Car"/>
    <w:basedOn w:val="Titre2"/>
    <w:rsid w:val="00AE562C"/>
    <w:pPr>
      <w:pageBreakBefore/>
      <w:tabs>
        <w:tab w:val="left" w:pos="850"/>
        <w:tab w:val="left" w:pos="1191"/>
        <w:tab w:val="left" w:pos="1531"/>
      </w:tabs>
      <w:spacing w:before="120" w:after="120"/>
      <w:ind w:left="0"/>
      <w:jc w:val="center"/>
    </w:pPr>
    <w:rPr>
      <w:rFonts w:ascii="Tahoma" w:eastAsia="MS Mincho" w:hAnsi="Tahoma" w:cs="Tahoma"/>
      <w:bCs w:val="0"/>
      <w:color w:val="FFFFFF"/>
      <w:spacing w:val="20"/>
      <w:szCs w:val="22"/>
      <w:lang w:eastAsia="zh-CN"/>
    </w:rPr>
  </w:style>
  <w:style w:type="paragraph" w:customStyle="1" w:styleId="Arial">
    <w:name w:val="Arial"/>
    <w:basedOn w:val="Normal"/>
    <w:rsid w:val="00544099"/>
    <w:rPr>
      <w:rFonts w:ascii="Arial Narrow" w:hAnsi="Arial Narrow" w:cs="Arial"/>
      <w:szCs w:val="20"/>
    </w:rPr>
  </w:style>
  <w:style w:type="paragraph" w:customStyle="1" w:styleId="Paragraph">
    <w:name w:val="Paragraph"/>
    <w:basedOn w:val="Normal"/>
    <w:link w:val="ParagraphChar"/>
    <w:qFormat/>
    <w:rsid w:val="000D00F9"/>
    <w:pPr>
      <w:numPr>
        <w:numId w:val="2"/>
      </w:numPr>
      <w:spacing w:after="240"/>
    </w:pPr>
    <w:rPr>
      <w:rFonts w:cs="Angsana New"/>
      <w:noProof/>
      <w:szCs w:val="22"/>
    </w:rPr>
  </w:style>
  <w:style w:type="character" w:customStyle="1" w:styleId="ParagraphChar">
    <w:name w:val="Paragraph Char"/>
    <w:link w:val="Paragraph"/>
    <w:rsid w:val="000D00F9"/>
    <w:rPr>
      <w:rFonts w:ascii="Times New Roman" w:hAnsi="Times New Roman" w:cs="Angsana New"/>
      <w:noProof/>
      <w:szCs w:val="22"/>
    </w:rPr>
  </w:style>
  <w:style w:type="paragraph" w:customStyle="1" w:styleId="Bullets">
    <w:name w:val="Bullets"/>
    <w:aliases w:val="Párrafo de lista,ADB paragraph numbering,Paragraphe de liste 1,Titulo 4,NULLETS 2,• List Paragraph"/>
    <w:basedOn w:val="Paragraph"/>
    <w:link w:val="BulletsChar"/>
    <w:qFormat/>
    <w:rsid w:val="000D00F9"/>
    <w:pPr>
      <w:numPr>
        <w:numId w:val="3"/>
      </w:numPr>
      <w:spacing w:before="60" w:after="0"/>
    </w:pPr>
  </w:style>
  <w:style w:type="character" w:customStyle="1" w:styleId="BulletsChar">
    <w:name w:val="Bullets Char"/>
    <w:link w:val="Bullets"/>
    <w:rsid w:val="000D00F9"/>
    <w:rPr>
      <w:rFonts w:ascii="Times New Roman" w:hAnsi="Times New Roman" w:cs="Angsana New"/>
      <w:noProof/>
      <w:szCs w:val="22"/>
    </w:rPr>
  </w:style>
  <w:style w:type="paragraph" w:styleId="TM2">
    <w:name w:val="toc 2"/>
    <w:basedOn w:val="Normal"/>
    <w:next w:val="Normal"/>
    <w:autoRedefine/>
    <w:uiPriority w:val="39"/>
    <w:locked/>
    <w:rsid w:val="00893146"/>
    <w:pPr>
      <w:tabs>
        <w:tab w:val="right" w:leader="dot" w:pos="9350"/>
      </w:tabs>
      <w:ind w:left="220"/>
    </w:pPr>
  </w:style>
  <w:style w:type="paragraph" w:styleId="TM1">
    <w:name w:val="toc 1"/>
    <w:basedOn w:val="Normal"/>
    <w:next w:val="Normal"/>
    <w:autoRedefine/>
    <w:uiPriority w:val="39"/>
    <w:locked/>
    <w:rsid w:val="00893146"/>
    <w:pPr>
      <w:tabs>
        <w:tab w:val="left" w:pos="540"/>
        <w:tab w:val="right" w:leader="dot" w:pos="9304"/>
      </w:tabs>
    </w:pPr>
  </w:style>
  <w:style w:type="character" w:customStyle="1" w:styleId="Heading2Char">
    <w:name w:val="Heading 2 Char"/>
    <w:uiPriority w:val="9"/>
    <w:locked/>
    <w:rsid w:val="00720790"/>
    <w:rPr>
      <w:rFonts w:ascii="Cambria" w:hAnsi="Cambria" w:cs="Times New Roman"/>
      <w:b/>
      <w:bCs/>
      <w:i/>
      <w:iCs/>
      <w:sz w:val="28"/>
      <w:szCs w:val="28"/>
      <w:lang w:val="en-GB"/>
    </w:rPr>
  </w:style>
  <w:style w:type="character" w:customStyle="1" w:styleId="FootnoteTextChar">
    <w:name w:val="Footnote Text Char"/>
    <w:aliases w:val="Footnote Text Char Char Char Char,Footnote Text Char Char Char Char Char Char Char Char,Footnote Text Char Char Char Char Char Char1,Footnote Text Char Char Char Char Char Char Char1,Footnote Text Char Char Char Char Ch Char Char"/>
    <w:qFormat/>
    <w:locked/>
    <w:rsid w:val="00720790"/>
    <w:rPr>
      <w:rFonts w:ascii="Arial" w:hAnsi="Arial" w:cs="Times New Roman"/>
      <w:lang w:val="en-GB"/>
    </w:rPr>
  </w:style>
  <w:style w:type="paragraph" w:customStyle="1" w:styleId="Normalbullets">
    <w:name w:val="Normal bullets"/>
    <w:basedOn w:val="Normal"/>
    <w:rsid w:val="003847E4"/>
    <w:pPr>
      <w:numPr>
        <w:numId w:val="4"/>
      </w:numPr>
    </w:pPr>
  </w:style>
  <w:style w:type="paragraph" w:customStyle="1" w:styleId="Text">
    <w:name w:val="Text"/>
    <w:basedOn w:val="Normal"/>
    <w:rsid w:val="00C26FEC"/>
    <w:pPr>
      <w:spacing w:before="240" w:line="252" w:lineRule="auto"/>
    </w:pPr>
    <w:rPr>
      <w:szCs w:val="20"/>
    </w:rPr>
  </w:style>
  <w:style w:type="paragraph" w:customStyle="1" w:styleId="CharCharChar11">
    <w:name w:val="Char Char Char11"/>
    <w:basedOn w:val="Normal"/>
    <w:rsid w:val="00B27E19"/>
    <w:pPr>
      <w:spacing w:after="160" w:line="240" w:lineRule="exact"/>
    </w:pPr>
    <w:rPr>
      <w:rFonts w:cs="Arial"/>
      <w:szCs w:val="20"/>
    </w:rPr>
  </w:style>
  <w:style w:type="paragraph" w:customStyle="1" w:styleId="BodyText23">
    <w:name w:val="Body Text 23"/>
    <w:basedOn w:val="Normal"/>
    <w:rsid w:val="00B27E19"/>
    <w:pPr>
      <w:widowControl w:val="0"/>
      <w:tabs>
        <w:tab w:val="left" w:pos="547"/>
      </w:tabs>
    </w:pPr>
    <w:rPr>
      <w:snapToGrid w:val="0"/>
      <w:szCs w:val="20"/>
    </w:rPr>
  </w:style>
  <w:style w:type="paragraph" w:styleId="Lgende">
    <w:name w:val="caption"/>
    <w:aliases w:val="Baastel Caption, Car"/>
    <w:basedOn w:val="Normal"/>
    <w:next w:val="Normal"/>
    <w:link w:val="LgendeCar"/>
    <w:uiPriority w:val="99"/>
    <w:qFormat/>
    <w:rsid w:val="0070606B"/>
    <w:rPr>
      <w:b/>
      <w:bCs/>
      <w:sz w:val="28"/>
    </w:rPr>
  </w:style>
  <w:style w:type="paragraph" w:customStyle="1" w:styleId="TableT">
    <w:name w:val="TableT"/>
    <w:basedOn w:val="Normal"/>
    <w:autoRedefine/>
    <w:rsid w:val="00550BAE"/>
    <w:rPr>
      <w:noProof/>
      <w:szCs w:val="20"/>
    </w:rPr>
  </w:style>
  <w:style w:type="paragraph" w:customStyle="1" w:styleId="ParaCharChar">
    <w:name w:val="Para Char Char"/>
    <w:basedOn w:val="Normal"/>
    <w:link w:val="ParaCharCharChar"/>
    <w:autoRedefine/>
    <w:rsid w:val="00597DE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ind w:right="-7"/>
    </w:pPr>
    <w:rPr>
      <w:rFonts w:eastAsia="Arial Unicode MS" w:cs="Arial"/>
      <w:szCs w:val="20"/>
    </w:rPr>
  </w:style>
  <w:style w:type="character" w:customStyle="1" w:styleId="ParaCharCharChar">
    <w:name w:val="Para Char Char Char"/>
    <w:link w:val="ParaCharChar"/>
    <w:rsid w:val="00597DEC"/>
    <w:rPr>
      <w:rFonts w:ascii="Calibri" w:eastAsia="Arial Unicode MS" w:hAnsi="Calibri" w:cs="Arial"/>
      <w:lang w:val="en-GB"/>
    </w:rPr>
  </w:style>
  <w:style w:type="paragraph" w:customStyle="1" w:styleId="TableHCharCharChar">
    <w:name w:val="TableH Char Char Char"/>
    <w:basedOn w:val="Normal"/>
    <w:link w:val="TableHCharCharCharChar"/>
    <w:autoRedefine/>
    <w:rsid w:val="00E43E88"/>
    <w:pPr>
      <w:spacing w:before="240"/>
    </w:pPr>
    <w:rPr>
      <w:b/>
      <w:sz w:val="21"/>
      <w:szCs w:val="22"/>
    </w:rPr>
  </w:style>
  <w:style w:type="character" w:customStyle="1" w:styleId="TableHCharCharCharChar">
    <w:name w:val="TableH Char Char Char Char"/>
    <w:link w:val="TableHCharCharChar"/>
    <w:rsid w:val="00E43E88"/>
    <w:rPr>
      <w:b/>
      <w:sz w:val="21"/>
      <w:szCs w:val="22"/>
    </w:rPr>
  </w:style>
  <w:style w:type="character" w:customStyle="1" w:styleId="Titre8Car">
    <w:name w:val="Titre 8 Car"/>
    <w:link w:val="Titre8"/>
    <w:uiPriority w:val="9"/>
    <w:rsid w:val="000923DC"/>
    <w:rPr>
      <w:rFonts w:ascii="Calibri" w:eastAsia="Times New Roman" w:hAnsi="Calibri" w:cs="Times New Roman"/>
      <w:i/>
      <w:iCs/>
      <w:sz w:val="24"/>
      <w:szCs w:val="24"/>
      <w:lang w:val="en-GB"/>
    </w:rPr>
  </w:style>
  <w:style w:type="character" w:customStyle="1" w:styleId="highlighttext">
    <w:name w:val="highlighttext"/>
    <w:rsid w:val="00CA725C"/>
    <w:rPr>
      <w:rFonts w:ascii="Times New Roman" w:hAnsi="Times New Roman"/>
      <w:sz w:val="22"/>
      <w:bdr w:val="none" w:sz="0" w:space="0" w:color="auto"/>
      <w:shd w:val="clear" w:color="auto" w:fill="B3B3B3"/>
    </w:rPr>
  </w:style>
  <w:style w:type="paragraph" w:customStyle="1" w:styleId="steptext">
    <w:name w:val="steptext"/>
    <w:basedOn w:val="Normal"/>
    <w:rsid w:val="00CA725C"/>
  </w:style>
  <w:style w:type="paragraph" w:customStyle="1" w:styleId="NumberedList2">
    <w:name w:val="Numbered List 2"/>
    <w:aliases w:val="nl2"/>
    <w:basedOn w:val="Normal"/>
    <w:rsid w:val="00CA725C"/>
    <w:pPr>
      <w:spacing w:line="240" w:lineRule="atLeast"/>
      <w:ind w:hanging="360"/>
    </w:pPr>
    <w:rPr>
      <w:rFonts w:ascii="Arial Unicode MS" w:hAnsi="Arial Unicode MS"/>
      <w:szCs w:val="22"/>
    </w:rPr>
  </w:style>
  <w:style w:type="paragraph" w:customStyle="1" w:styleId="CharChar">
    <w:name w:val="Char Char Знак Знак"/>
    <w:basedOn w:val="Normal"/>
    <w:rsid w:val="00E61BB0"/>
    <w:pPr>
      <w:spacing w:after="160" w:line="240" w:lineRule="exact"/>
    </w:pPr>
    <w:rPr>
      <w:rFonts w:cs="Arial"/>
      <w:szCs w:val="20"/>
      <w:lang w:val="de-CH" w:eastAsia="de-CH"/>
    </w:rPr>
  </w:style>
  <w:style w:type="paragraph" w:styleId="Textebrut">
    <w:name w:val="Plain Text"/>
    <w:basedOn w:val="Normal"/>
    <w:link w:val="TextebrutCar"/>
    <w:uiPriority w:val="99"/>
    <w:unhideWhenUsed/>
    <w:rsid w:val="00FC1F80"/>
    <w:rPr>
      <w:rFonts w:ascii="Consolas" w:eastAsia="Calibri" w:hAnsi="Consolas"/>
      <w:sz w:val="21"/>
      <w:szCs w:val="21"/>
    </w:rPr>
  </w:style>
  <w:style w:type="character" w:customStyle="1" w:styleId="TextebrutCar">
    <w:name w:val="Texte brut Car"/>
    <w:link w:val="Textebrut"/>
    <w:uiPriority w:val="99"/>
    <w:rsid w:val="00FC1F80"/>
    <w:rPr>
      <w:rFonts w:ascii="Consolas" w:eastAsia="Calibri" w:hAnsi="Consolas"/>
      <w:sz w:val="21"/>
      <w:szCs w:val="21"/>
    </w:rPr>
  </w:style>
  <w:style w:type="paragraph" w:styleId="En-ttedetabledesmatires">
    <w:name w:val="TOC Heading"/>
    <w:basedOn w:val="Titre1"/>
    <w:next w:val="Normal"/>
    <w:uiPriority w:val="39"/>
    <w:unhideWhenUsed/>
    <w:qFormat/>
    <w:rsid w:val="006B67FA"/>
    <w:pPr>
      <w:keepLines/>
      <w:numPr>
        <w:numId w:val="0"/>
      </w:numPr>
      <w:pBdr>
        <w:top w:val="none" w:sz="0" w:space="0" w:color="auto"/>
      </w:pBdr>
      <w:suppressAutoHyphens w:val="0"/>
      <w:spacing w:before="480" w:after="0" w:line="276" w:lineRule="auto"/>
      <w:outlineLvl w:val="9"/>
    </w:pPr>
    <w:rPr>
      <w:rFonts w:ascii="Cambria" w:hAnsi="Cambria"/>
      <w:bCs/>
      <w:smallCaps w:val="0"/>
      <w:color w:val="365F91"/>
      <w:spacing w:val="0"/>
      <w:szCs w:val="28"/>
    </w:rPr>
  </w:style>
  <w:style w:type="paragraph" w:styleId="Sansinterligne">
    <w:name w:val="No Spacing"/>
    <w:link w:val="SansinterligneCar"/>
    <w:uiPriority w:val="1"/>
    <w:qFormat/>
    <w:rsid w:val="004C454A"/>
    <w:rPr>
      <w:rFonts w:ascii="Times" w:eastAsia="Times" w:hAnsi="Times"/>
      <w:sz w:val="24"/>
      <w:szCs w:val="24"/>
    </w:rPr>
  </w:style>
  <w:style w:type="character" w:customStyle="1" w:styleId="SansinterligneCar">
    <w:name w:val="Sans interligne Car"/>
    <w:link w:val="Sansinterligne"/>
    <w:uiPriority w:val="1"/>
    <w:rsid w:val="004C454A"/>
    <w:rPr>
      <w:rFonts w:ascii="Times" w:eastAsia="Times" w:hAnsi="Times"/>
      <w:sz w:val="24"/>
    </w:rPr>
  </w:style>
  <w:style w:type="character" w:customStyle="1" w:styleId="ParagraphedelisteCar">
    <w:name w:val="Paragraphe de liste Car"/>
    <w:aliases w:val="List Paragraph1 Car,Project Profile name Car,Paragraphe de liste1 Car,Numbered paragraph Car,Medium Grid 1 - Accent 21 Car,List Paragraph (numbered (a)) Car,Numbered List Paragraph Car,References Car,ReferencesCxSpLast Car"/>
    <w:link w:val="Paragraphedeliste"/>
    <w:uiPriority w:val="34"/>
    <w:qFormat/>
    <w:rsid w:val="00881F0F"/>
    <w:rPr>
      <w:sz w:val="24"/>
      <w:szCs w:val="24"/>
    </w:rPr>
  </w:style>
  <w:style w:type="character" w:customStyle="1" w:styleId="PlainTextChar1">
    <w:name w:val="Plain Text Char1"/>
    <w:uiPriority w:val="99"/>
    <w:locked/>
    <w:rsid w:val="00666A76"/>
    <w:rPr>
      <w:rFonts w:ascii="Consolas" w:eastAsia="Times New Roman" w:hAnsi="Consolas" w:cs="Times New Roman"/>
      <w:sz w:val="20"/>
      <w:szCs w:val="20"/>
    </w:rPr>
  </w:style>
  <w:style w:type="character" w:styleId="Rfrenceintense">
    <w:name w:val="Intense Reference"/>
    <w:uiPriority w:val="32"/>
    <w:qFormat/>
    <w:rsid w:val="00DA4B58"/>
    <w:rPr>
      <w:b/>
      <w:bCs/>
      <w:smallCaps/>
      <w:color w:val="C0504D"/>
      <w:spacing w:val="5"/>
      <w:u w:val="single"/>
    </w:rPr>
  </w:style>
  <w:style w:type="character" w:customStyle="1" w:styleId="StyleHeading2NotBoldChar">
    <w:name w:val="Style Heading 2 + Not Bold Char"/>
    <w:rsid w:val="00DA4B58"/>
    <w:rPr>
      <w:rFonts w:ascii="Book Antiqua" w:hAnsi="Book Antiqua" w:cs="Arial"/>
      <w:b/>
      <w:i/>
      <w:sz w:val="22"/>
      <w:szCs w:val="28"/>
      <w:lang w:val="en-US" w:eastAsia="ar-SA"/>
    </w:rPr>
  </w:style>
  <w:style w:type="character" w:customStyle="1" w:styleId="apple-converted-space">
    <w:name w:val="apple-converted-space"/>
    <w:basedOn w:val="Policepardfaut"/>
    <w:rsid w:val="00655B9D"/>
  </w:style>
  <w:style w:type="paragraph" w:customStyle="1" w:styleId="Normal1">
    <w:name w:val="Normal1"/>
    <w:basedOn w:val="Normal"/>
    <w:next w:val="Normal"/>
    <w:rsid w:val="00901804"/>
    <w:pPr>
      <w:numPr>
        <w:numId w:val="7"/>
      </w:numPr>
    </w:pPr>
    <w:rPr>
      <w:noProof/>
      <w:lang w:eastAsia="ja-JP"/>
    </w:rPr>
  </w:style>
  <w:style w:type="character" w:customStyle="1" w:styleId="ColorfulList-Accent1Char">
    <w:name w:val="Colorful List - Accent 1 Char"/>
    <w:link w:val="ColorfulList-Accent12"/>
    <w:uiPriority w:val="34"/>
    <w:locked/>
    <w:rsid w:val="00007B01"/>
  </w:style>
  <w:style w:type="paragraph" w:customStyle="1" w:styleId="ColorfulList-Accent12">
    <w:name w:val="Colorful List - Accent 12"/>
    <w:basedOn w:val="Normal"/>
    <w:link w:val="ColorfulList-Accent1Char"/>
    <w:uiPriority w:val="34"/>
    <w:rsid w:val="00007B01"/>
    <w:pPr>
      <w:ind w:left="720"/>
    </w:pPr>
    <w:rPr>
      <w:szCs w:val="20"/>
    </w:rPr>
  </w:style>
  <w:style w:type="paragraph" w:styleId="TM3">
    <w:name w:val="toc 3"/>
    <w:basedOn w:val="Normal"/>
    <w:next w:val="Normal"/>
    <w:autoRedefine/>
    <w:uiPriority w:val="39"/>
    <w:unhideWhenUsed/>
    <w:rsid w:val="006957EB"/>
    <w:pPr>
      <w:ind w:left="400"/>
    </w:pPr>
  </w:style>
  <w:style w:type="paragraph" w:customStyle="1" w:styleId="CharCharCharCharCarChar">
    <w:name w:val="Char Char Char Char Car Char"/>
    <w:aliases w:val="Char Char Char Char Car Char Char1 Char Char Char Char1 Char,Char Char Char1 Char Char Char Char1 Char,Char Char Char Char Car Char Char1 Char Char"/>
    <w:basedOn w:val="Normal"/>
    <w:link w:val="Appelnotedebasdep"/>
    <w:rsid w:val="00872F38"/>
    <w:pPr>
      <w:spacing w:after="160" w:line="240" w:lineRule="exact"/>
    </w:pPr>
    <w:rPr>
      <w:rFonts w:ascii="Arial" w:hAnsi="Arial"/>
      <w:sz w:val="18"/>
      <w:szCs w:val="20"/>
      <w:vertAlign w:val="superscript"/>
    </w:rPr>
  </w:style>
  <w:style w:type="character" w:customStyle="1" w:styleId="Mention1">
    <w:name w:val="Mention1"/>
    <w:uiPriority w:val="99"/>
    <w:semiHidden/>
    <w:unhideWhenUsed/>
    <w:rsid w:val="00254E0E"/>
    <w:rPr>
      <w:color w:val="2B579A"/>
      <w:shd w:val="clear" w:color="auto" w:fill="E6E6E6"/>
    </w:rPr>
  </w:style>
  <w:style w:type="paragraph" w:customStyle="1" w:styleId="xmsonormal">
    <w:name w:val="x_msonormal"/>
    <w:basedOn w:val="Normal"/>
    <w:uiPriority w:val="99"/>
    <w:rsid w:val="00564787"/>
    <w:pPr>
      <w:spacing w:before="100" w:beforeAutospacing="1" w:after="100" w:afterAutospacing="1"/>
    </w:pPr>
    <w:rPr>
      <w:lang w:val="es-ES" w:eastAsia="es-ES"/>
    </w:rPr>
  </w:style>
  <w:style w:type="character" w:customStyle="1" w:styleId="Mentionnonrsolue1">
    <w:name w:val="Mention non résolue1"/>
    <w:uiPriority w:val="99"/>
    <w:semiHidden/>
    <w:unhideWhenUsed/>
    <w:rsid w:val="00871632"/>
    <w:rPr>
      <w:color w:val="605E5C"/>
      <w:shd w:val="clear" w:color="auto" w:fill="E1DFDD"/>
    </w:rPr>
  </w:style>
  <w:style w:type="paragraph" w:customStyle="1" w:styleId="GEFQuestion">
    <w:name w:val="GEF Question"/>
    <w:basedOn w:val="Normal"/>
    <w:next w:val="Normal"/>
    <w:uiPriority w:val="99"/>
    <w:qFormat/>
    <w:rsid w:val="00E349BA"/>
    <w:pPr>
      <w:ind w:left="-720"/>
    </w:pPr>
    <w:rPr>
      <w:sz w:val="22"/>
    </w:rPr>
  </w:style>
  <w:style w:type="character" w:customStyle="1" w:styleId="GEFFieldtoFilloutChar">
    <w:name w:val="GEF Field to Fill out Char"/>
    <w:link w:val="GEFFieldtoFillout"/>
    <w:locked/>
    <w:rsid w:val="00E349BA"/>
    <w:rPr>
      <w:rFonts w:ascii="Times New Roman" w:eastAsia="Times New Roman" w:hAnsi="Times New Roman"/>
      <w:color w:val="000000"/>
      <w:sz w:val="22"/>
      <w:szCs w:val="22"/>
    </w:rPr>
  </w:style>
  <w:style w:type="paragraph" w:customStyle="1" w:styleId="GEFFieldtoFillout">
    <w:name w:val="GEF Field to Fill out"/>
    <w:basedOn w:val="Normal"/>
    <w:link w:val="GEFFieldtoFilloutChar"/>
    <w:qFormat/>
    <w:rsid w:val="00E349BA"/>
    <w:pPr>
      <w:ind w:left="-720"/>
    </w:pPr>
    <w:rPr>
      <w:color w:val="000000"/>
      <w:sz w:val="22"/>
      <w:szCs w:val="22"/>
    </w:rPr>
  </w:style>
  <w:style w:type="numbering" w:customStyle="1" w:styleId="NoList1">
    <w:name w:val="No List1"/>
    <w:next w:val="Aucuneliste"/>
    <w:uiPriority w:val="99"/>
    <w:semiHidden/>
    <w:unhideWhenUsed/>
    <w:rsid w:val="007F5638"/>
  </w:style>
  <w:style w:type="paragraph" w:customStyle="1" w:styleId="GEFTableHeading">
    <w:name w:val="GEF Table Heading"/>
    <w:basedOn w:val="Normal"/>
    <w:next w:val="Normal"/>
    <w:uiPriority w:val="99"/>
    <w:qFormat/>
    <w:rsid w:val="007F5638"/>
    <w:pPr>
      <w:ind w:left="-720"/>
    </w:pPr>
    <w:rPr>
      <w:rFonts w:ascii="Times New Roman Bold" w:hAnsi="Times New Roman Bold"/>
      <w:b/>
      <w:bCs/>
      <w:smallCaps/>
      <w:color w:val="000000"/>
      <w:sz w:val="22"/>
      <w:szCs w:val="22"/>
    </w:rPr>
  </w:style>
  <w:style w:type="paragraph" w:customStyle="1" w:styleId="GEFInstruction">
    <w:name w:val="GEF Instruction"/>
    <w:basedOn w:val="Normal"/>
    <w:next w:val="Normal"/>
    <w:uiPriority w:val="99"/>
    <w:qFormat/>
    <w:rsid w:val="007F5638"/>
    <w:pPr>
      <w:ind w:left="-540"/>
    </w:pPr>
  </w:style>
  <w:style w:type="table" w:customStyle="1" w:styleId="TableGrid1">
    <w:name w:val="Table Grid1"/>
    <w:basedOn w:val="TableauNormal"/>
    <w:next w:val="Grilledutableau"/>
    <w:uiPriority w:val="39"/>
    <w:rsid w:val="007F563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bullets">
    <w:name w:val="body bullets"/>
    <w:basedOn w:val="Normal"/>
    <w:next w:val="Normal"/>
    <w:qFormat/>
    <w:rsid w:val="00470E9A"/>
    <w:pPr>
      <w:spacing w:before="60" w:line="260" w:lineRule="exact"/>
      <w:ind w:left="720" w:hanging="360"/>
    </w:pPr>
    <w:rPr>
      <w:lang w:eastAsia="ja-JP"/>
    </w:rPr>
  </w:style>
  <w:style w:type="character" w:customStyle="1" w:styleId="Titre6Car">
    <w:name w:val="Titre 6 Car"/>
    <w:basedOn w:val="Policepardfaut"/>
    <w:link w:val="Titre6"/>
    <w:uiPriority w:val="9"/>
    <w:rsid w:val="00EC38D1"/>
    <w:rPr>
      <w:rFonts w:ascii="Times New Roman" w:eastAsia="Times New Roman" w:hAnsi="Times New Roman"/>
      <w:b/>
      <w:bCs/>
      <w:smallCaps/>
      <w:sz w:val="24"/>
      <w:szCs w:val="24"/>
      <w:lang w:val="x-none" w:eastAsia="x-none"/>
    </w:rPr>
  </w:style>
  <w:style w:type="character" w:customStyle="1" w:styleId="Titre7Car">
    <w:name w:val="Titre 7 Car"/>
    <w:basedOn w:val="Policepardfaut"/>
    <w:link w:val="Titre7"/>
    <w:uiPriority w:val="9"/>
    <w:rsid w:val="00EC38D1"/>
    <w:rPr>
      <w:rFonts w:ascii="Times New Roman" w:eastAsia="Times New Roman" w:hAnsi="Times New Roman"/>
      <w:b/>
      <w:bCs/>
      <w:szCs w:val="24"/>
      <w:lang w:val="x-none" w:eastAsia="x-none"/>
    </w:rPr>
  </w:style>
  <w:style w:type="character" w:customStyle="1" w:styleId="Titre9Car">
    <w:name w:val="Titre 9 Car"/>
    <w:basedOn w:val="Policepardfaut"/>
    <w:link w:val="Titre9"/>
    <w:uiPriority w:val="9"/>
    <w:rsid w:val="00EC38D1"/>
    <w:rPr>
      <w:rFonts w:ascii="Times New Roman" w:eastAsia="Times New Roman" w:hAnsi="Times New Roman"/>
      <w:b/>
      <w:bCs/>
      <w:sz w:val="24"/>
      <w:szCs w:val="24"/>
      <w:lang w:val="x-none" w:eastAsia="x-none"/>
    </w:rPr>
  </w:style>
  <w:style w:type="character" w:customStyle="1" w:styleId="Mention10">
    <w:name w:val="Mention1"/>
    <w:uiPriority w:val="99"/>
    <w:semiHidden/>
    <w:unhideWhenUsed/>
    <w:rsid w:val="00EC38D1"/>
    <w:rPr>
      <w:color w:val="2B579A"/>
      <w:shd w:val="clear" w:color="auto" w:fill="E6E6E6"/>
    </w:rPr>
  </w:style>
  <w:style w:type="paragraph" w:customStyle="1" w:styleId="Outline">
    <w:name w:val="Outline"/>
    <w:basedOn w:val="Normal"/>
    <w:uiPriority w:val="99"/>
    <w:rsid w:val="00EC38D1"/>
    <w:pPr>
      <w:spacing w:before="240"/>
    </w:pPr>
    <w:rPr>
      <w:kern w:val="28"/>
      <w:szCs w:val="20"/>
    </w:rPr>
  </w:style>
  <w:style w:type="paragraph" w:styleId="Retraitcorpsdetexte2">
    <w:name w:val="Body Text Indent 2"/>
    <w:basedOn w:val="Normal"/>
    <w:link w:val="Retraitcorpsdetexte2Car"/>
    <w:uiPriority w:val="99"/>
    <w:rsid w:val="00EC38D1"/>
    <w:pPr>
      <w:ind w:left="360"/>
    </w:pPr>
    <w:rPr>
      <w:i/>
      <w:iCs/>
      <w:lang w:val="x-none" w:eastAsia="x-none"/>
    </w:rPr>
  </w:style>
  <w:style w:type="character" w:customStyle="1" w:styleId="Retraitcorpsdetexte2Car">
    <w:name w:val="Retrait corps de texte 2 Car"/>
    <w:basedOn w:val="Policepardfaut"/>
    <w:link w:val="Retraitcorpsdetexte2"/>
    <w:uiPriority w:val="99"/>
    <w:rsid w:val="00EC38D1"/>
    <w:rPr>
      <w:rFonts w:ascii="Times New Roman" w:eastAsia="Times New Roman" w:hAnsi="Times New Roman"/>
      <w:i/>
      <w:iCs/>
      <w:szCs w:val="24"/>
      <w:lang w:val="x-none" w:eastAsia="x-none"/>
    </w:rPr>
  </w:style>
  <w:style w:type="paragraph" w:styleId="Retraitcorpsdetexte3">
    <w:name w:val="Body Text Indent 3"/>
    <w:basedOn w:val="Normal"/>
    <w:link w:val="Retraitcorpsdetexte3Car"/>
    <w:uiPriority w:val="99"/>
    <w:rsid w:val="00EC38D1"/>
    <w:pPr>
      <w:ind w:left="540"/>
    </w:pPr>
    <w:rPr>
      <w:lang w:val="x-none" w:eastAsia="x-none"/>
    </w:rPr>
  </w:style>
  <w:style w:type="character" w:customStyle="1" w:styleId="Retraitcorpsdetexte3Car">
    <w:name w:val="Retrait corps de texte 3 Car"/>
    <w:basedOn w:val="Policepardfaut"/>
    <w:link w:val="Retraitcorpsdetexte3"/>
    <w:uiPriority w:val="99"/>
    <w:rsid w:val="00EC38D1"/>
    <w:rPr>
      <w:rFonts w:ascii="Times New Roman" w:eastAsia="Times New Roman" w:hAnsi="Times New Roman"/>
      <w:sz w:val="24"/>
      <w:szCs w:val="24"/>
      <w:lang w:val="x-none" w:eastAsia="x-none"/>
    </w:rPr>
  </w:style>
  <w:style w:type="paragraph" w:styleId="Explorateurdedocuments">
    <w:name w:val="Document Map"/>
    <w:basedOn w:val="Normal"/>
    <w:link w:val="ExplorateurdedocumentsCar"/>
    <w:uiPriority w:val="99"/>
    <w:semiHidden/>
    <w:rsid w:val="00EC38D1"/>
    <w:pPr>
      <w:shd w:val="clear" w:color="auto" w:fill="000080"/>
    </w:pPr>
    <w:rPr>
      <w:rFonts w:ascii="Tahoma" w:hAnsi="Tahoma"/>
      <w:szCs w:val="20"/>
      <w:lang w:val="x-none" w:eastAsia="x-none"/>
    </w:rPr>
  </w:style>
  <w:style w:type="character" w:customStyle="1" w:styleId="ExplorateurdedocumentsCar">
    <w:name w:val="Explorateur de documents Car"/>
    <w:basedOn w:val="Policepardfaut"/>
    <w:link w:val="Explorateurdedocuments"/>
    <w:uiPriority w:val="99"/>
    <w:semiHidden/>
    <w:rsid w:val="00EC38D1"/>
    <w:rPr>
      <w:rFonts w:ascii="Tahoma" w:eastAsia="Times New Roman" w:hAnsi="Tahoma"/>
      <w:shd w:val="clear" w:color="auto" w:fill="000080"/>
      <w:lang w:val="x-none" w:eastAsia="x-none"/>
    </w:rPr>
  </w:style>
  <w:style w:type="paragraph" w:customStyle="1" w:styleId="MainParanoChapter">
    <w:name w:val="Main Para no Chapter #"/>
    <w:basedOn w:val="Normal"/>
    <w:link w:val="MainParanoChapterChar"/>
    <w:autoRedefine/>
    <w:uiPriority w:val="99"/>
    <w:qFormat/>
    <w:rsid w:val="00EC38D1"/>
    <w:pPr>
      <w:numPr>
        <w:numId w:val="45"/>
      </w:numPr>
      <w:spacing w:before="120" w:after="240"/>
      <w:ind w:left="0" w:firstLine="0"/>
      <w:outlineLvl w:val="1"/>
    </w:pPr>
    <w:rPr>
      <w:color w:val="000000"/>
      <w:lang w:val="x-none" w:eastAsia="x-none"/>
    </w:rPr>
  </w:style>
  <w:style w:type="character" w:customStyle="1" w:styleId="MainParanoChapterChar">
    <w:name w:val="Main Para no Chapter # Char"/>
    <w:link w:val="MainParanoChapter"/>
    <w:uiPriority w:val="99"/>
    <w:locked/>
    <w:rsid w:val="00EC38D1"/>
    <w:rPr>
      <w:rFonts w:ascii="Times New Roman" w:eastAsia="Times New Roman" w:hAnsi="Times New Roman"/>
      <w:color w:val="000000"/>
      <w:sz w:val="24"/>
      <w:szCs w:val="24"/>
      <w:lang w:val="x-none" w:eastAsia="x-none"/>
    </w:rPr>
  </w:style>
  <w:style w:type="paragraph" w:styleId="z-Hautduformulaire">
    <w:name w:val="HTML Top of Form"/>
    <w:basedOn w:val="Normal"/>
    <w:next w:val="Normal"/>
    <w:link w:val="z-HautduformulaireCar"/>
    <w:hidden/>
    <w:rsid w:val="00EC38D1"/>
    <w:pPr>
      <w:pBdr>
        <w:bottom w:val="single" w:sz="6" w:space="1" w:color="auto"/>
      </w:pBdr>
      <w:jc w:val="center"/>
    </w:pPr>
    <w:rPr>
      <w:rFonts w:ascii="Arial" w:hAnsi="Arial"/>
      <w:vanish/>
      <w:sz w:val="16"/>
      <w:szCs w:val="16"/>
      <w:lang w:val="x-none" w:eastAsia="x-none"/>
    </w:rPr>
  </w:style>
  <w:style w:type="character" w:customStyle="1" w:styleId="z-HautduformulaireCar">
    <w:name w:val="z-Haut du formulaire Car"/>
    <w:basedOn w:val="Policepardfaut"/>
    <w:link w:val="z-Hautduformulaire"/>
    <w:rsid w:val="00EC38D1"/>
    <w:rPr>
      <w:rFonts w:ascii="Arial" w:eastAsia="Times New Roman" w:hAnsi="Arial"/>
      <w:vanish/>
      <w:sz w:val="16"/>
      <w:szCs w:val="16"/>
      <w:lang w:val="x-none" w:eastAsia="x-none"/>
    </w:rPr>
  </w:style>
  <w:style w:type="paragraph" w:styleId="z-Basduformulaire">
    <w:name w:val="HTML Bottom of Form"/>
    <w:basedOn w:val="Normal"/>
    <w:next w:val="Normal"/>
    <w:link w:val="z-BasduformulaireCar"/>
    <w:hidden/>
    <w:rsid w:val="00EC38D1"/>
    <w:pPr>
      <w:pBdr>
        <w:top w:val="single" w:sz="6" w:space="1" w:color="auto"/>
      </w:pBdr>
      <w:jc w:val="center"/>
    </w:pPr>
    <w:rPr>
      <w:rFonts w:ascii="Arial" w:hAnsi="Arial"/>
      <w:vanish/>
      <w:sz w:val="16"/>
      <w:szCs w:val="16"/>
      <w:lang w:val="x-none" w:eastAsia="x-none"/>
    </w:rPr>
  </w:style>
  <w:style w:type="character" w:customStyle="1" w:styleId="z-BasduformulaireCar">
    <w:name w:val="z-Bas du formulaire Car"/>
    <w:basedOn w:val="Policepardfaut"/>
    <w:link w:val="z-Basduformulaire"/>
    <w:rsid w:val="00EC38D1"/>
    <w:rPr>
      <w:rFonts w:ascii="Arial" w:eastAsia="Times New Roman" w:hAnsi="Arial"/>
      <w:vanish/>
      <w:sz w:val="16"/>
      <w:szCs w:val="16"/>
      <w:lang w:val="x-none" w:eastAsia="x-none"/>
    </w:rPr>
  </w:style>
  <w:style w:type="numbering" w:customStyle="1" w:styleId="NoList2">
    <w:name w:val="No List2"/>
    <w:next w:val="Aucuneliste"/>
    <w:uiPriority w:val="99"/>
    <w:semiHidden/>
    <w:unhideWhenUsed/>
    <w:rsid w:val="00EC38D1"/>
  </w:style>
  <w:style w:type="numbering" w:customStyle="1" w:styleId="NoList11">
    <w:name w:val="No List11"/>
    <w:next w:val="Aucuneliste"/>
    <w:semiHidden/>
    <w:rsid w:val="00EC38D1"/>
  </w:style>
  <w:style w:type="paragraph" w:customStyle="1" w:styleId="GEFPartHeading">
    <w:name w:val="GEF Part Heading"/>
    <w:basedOn w:val="Paragraphedeliste"/>
    <w:uiPriority w:val="99"/>
    <w:qFormat/>
    <w:rsid w:val="00EC38D1"/>
    <w:pPr>
      <w:snapToGrid w:val="0"/>
      <w:spacing w:before="120" w:after="120"/>
      <w:ind w:left="-720"/>
      <w:outlineLvl w:val="0"/>
    </w:pPr>
    <w:rPr>
      <w:rFonts w:ascii="Times New Roman Bold" w:hAnsi="Times New Roman Bold"/>
      <w:b/>
      <w:caps/>
      <w:noProof/>
      <w:color w:val="000000"/>
      <w:sz w:val="22"/>
      <w:szCs w:val="22"/>
      <w:u w:val="single"/>
      <w:lang w:val="en-GB"/>
    </w:rPr>
  </w:style>
  <w:style w:type="paragraph" w:customStyle="1" w:styleId="NumberedParasPIF">
    <w:name w:val="Numbered Paras PIF"/>
    <w:basedOn w:val="Normal"/>
    <w:qFormat/>
    <w:rsid w:val="00EC38D1"/>
    <w:pPr>
      <w:numPr>
        <w:numId w:val="46"/>
      </w:numPr>
      <w:spacing w:after="100"/>
    </w:pPr>
    <w:rPr>
      <w:szCs w:val="18"/>
      <w:lang w:val="en-GB"/>
    </w:rPr>
  </w:style>
  <w:style w:type="paragraph" w:styleId="Rvision">
    <w:name w:val="Revision"/>
    <w:hidden/>
    <w:uiPriority w:val="99"/>
    <w:semiHidden/>
    <w:rsid w:val="00EC38D1"/>
    <w:rPr>
      <w:szCs w:val="24"/>
    </w:rPr>
  </w:style>
  <w:style w:type="table" w:customStyle="1" w:styleId="TableGrid2">
    <w:name w:val="Table Grid2"/>
    <w:basedOn w:val="TableauNormal"/>
    <w:next w:val="Grilledutableau"/>
    <w:uiPriority w:val="39"/>
    <w:rsid w:val="00EC38D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auNormal"/>
    <w:next w:val="Grilledutableau"/>
    <w:uiPriority w:val="39"/>
    <w:rsid w:val="00EC38D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auNormal"/>
    <w:next w:val="Grilledutableau"/>
    <w:uiPriority w:val="39"/>
    <w:rsid w:val="00EC38D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auNormal"/>
    <w:next w:val="Grilledutableau"/>
    <w:uiPriority w:val="39"/>
    <w:rsid w:val="00EC38D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uiPriority w:val="99"/>
    <w:rsid w:val="00EC38D1"/>
  </w:style>
  <w:style w:type="character" w:customStyle="1" w:styleId="shorttext">
    <w:name w:val="short_text"/>
    <w:rsid w:val="00EC38D1"/>
  </w:style>
  <w:style w:type="numbering" w:customStyle="1" w:styleId="NoList3">
    <w:name w:val="No List3"/>
    <w:next w:val="Aucuneliste"/>
    <w:uiPriority w:val="99"/>
    <w:semiHidden/>
    <w:unhideWhenUsed/>
    <w:rsid w:val="00EC38D1"/>
  </w:style>
  <w:style w:type="paragraph" w:customStyle="1" w:styleId="BVIfnrCarattereCharCharCharCarattereCharCharCharCharCharChar1CharCharCharCarattereChar">
    <w:name w:val="BVI fnr Carattere Char Char Char Carattere Char Char Char Char Char Char1 Char Char Char Carattere Char"/>
    <w:aliases w:val="BVI fnr Carattere Char Char Char Carattere Char Char Char Char Char Char1 Char Char Char Carattere Carattere Char"/>
    <w:basedOn w:val="Normal"/>
    <w:uiPriority w:val="99"/>
    <w:qFormat/>
    <w:rsid w:val="0092649C"/>
    <w:pPr>
      <w:spacing w:after="160" w:line="240" w:lineRule="exact"/>
    </w:pPr>
    <w:rPr>
      <w:rFonts w:asciiTheme="minorHAnsi" w:hAnsiTheme="minorHAnsi" w:cstheme="minorBidi"/>
      <w:sz w:val="22"/>
      <w:szCs w:val="22"/>
      <w:vertAlign w:val="superscript"/>
      <w:lang w:val="fr-CA"/>
    </w:rPr>
  </w:style>
  <w:style w:type="character" w:customStyle="1" w:styleId="LgendeCar">
    <w:name w:val="Légende Car"/>
    <w:aliases w:val="Baastel Caption Car, Car Car"/>
    <w:link w:val="Lgende"/>
    <w:uiPriority w:val="99"/>
    <w:rsid w:val="0092649C"/>
    <w:rPr>
      <w:rFonts w:ascii="Times New Roman" w:hAnsi="Times New Roman"/>
      <w:b/>
      <w:bCs/>
      <w:sz w:val="28"/>
      <w:szCs w:val="24"/>
    </w:rPr>
  </w:style>
  <w:style w:type="paragraph" w:customStyle="1" w:styleId="p">
    <w:name w:val="p"/>
    <w:basedOn w:val="Normal"/>
    <w:rsid w:val="0092649C"/>
    <w:pPr>
      <w:spacing w:before="100" w:beforeAutospacing="1" w:after="100" w:afterAutospacing="1"/>
    </w:pPr>
    <w:rPr>
      <w:lang w:val="fr-FR" w:eastAsia="fr-FR"/>
    </w:rPr>
  </w:style>
  <w:style w:type="paragraph" w:customStyle="1" w:styleId="ParagraphOED">
    <w:name w:val="Paragraph  OED"/>
    <w:basedOn w:val="Paragraphedeliste"/>
    <w:next w:val="Normal"/>
    <w:link w:val="ParagraphOEDChar"/>
    <w:qFormat/>
    <w:rsid w:val="001D2501"/>
    <w:pPr>
      <w:numPr>
        <w:numId w:val="48"/>
      </w:numPr>
      <w:spacing w:after="180"/>
      <w:jc w:val="both"/>
    </w:pPr>
    <w:rPr>
      <w:rFonts w:eastAsia="Calibri"/>
      <w:sz w:val="20"/>
      <w:szCs w:val="20"/>
      <w:shd w:val="clear" w:color="auto" w:fill="FFFFFF"/>
      <w:lang w:val="x-none" w:eastAsia="x-none"/>
    </w:rPr>
  </w:style>
  <w:style w:type="character" w:customStyle="1" w:styleId="ParagraphOEDChar">
    <w:name w:val="Paragraph  OED Char"/>
    <w:link w:val="ParagraphOED"/>
    <w:rsid w:val="001D2501"/>
    <w:rPr>
      <w:rFonts w:ascii="Times New Roman" w:eastAsia="Calibri" w:hAnsi="Times New Roman"/>
      <w:lang w:val="x-none" w:eastAsia="x-none"/>
    </w:rPr>
  </w:style>
  <w:style w:type="character" w:customStyle="1" w:styleId="markedcontent">
    <w:name w:val="markedcontent"/>
    <w:basedOn w:val="Policepardfaut"/>
    <w:rsid w:val="001D2501"/>
  </w:style>
  <w:style w:type="paragraph" w:customStyle="1" w:styleId="FunotenzeichenDISS">
    <w:name w:val="Fußnotenzeichen DISS"/>
    <w:aliases w:val="(NECG) Footnote Reference,Footnote Ref in FtNote,ftref Char Char,fr Char Char,ftref Char1 Char Char,fr Char Char Char"/>
    <w:basedOn w:val="Normal"/>
    <w:rsid w:val="00360DB0"/>
    <w:pPr>
      <w:spacing w:after="160" w:line="240" w:lineRule="exact"/>
    </w:pPr>
    <w:rPr>
      <w:szCs w:val="20"/>
      <w:vertAlign w:val="superscript"/>
    </w:rPr>
  </w:style>
  <w:style w:type="paragraph" w:customStyle="1" w:styleId="Tabels">
    <w:name w:val="Tabels"/>
    <w:basedOn w:val="Normal"/>
    <w:link w:val="TabelsChar"/>
    <w:autoRedefine/>
    <w:qFormat/>
    <w:rsid w:val="009F25C4"/>
    <w:pPr>
      <w:spacing w:before="40" w:after="40"/>
      <w:ind w:left="57"/>
    </w:pPr>
    <w:rPr>
      <w:szCs w:val="20"/>
      <w:lang w:val="en-GB"/>
    </w:rPr>
  </w:style>
  <w:style w:type="character" w:customStyle="1" w:styleId="TabelsChar">
    <w:name w:val="Tabels Char"/>
    <w:link w:val="Tabels"/>
    <w:rsid w:val="009F25C4"/>
    <w:rPr>
      <w:rFonts w:ascii="Times New Roman" w:eastAsia="Times New Roman" w:hAnsi="Times New Roman"/>
      <w:lang w:val="en-GB"/>
    </w:rPr>
  </w:style>
  <w:style w:type="paragraph" w:styleId="Tabledesillustrations">
    <w:name w:val="table of figures"/>
    <w:basedOn w:val="Normal"/>
    <w:next w:val="Normal"/>
    <w:uiPriority w:val="99"/>
    <w:unhideWhenUsed/>
    <w:rsid w:val="00905BC9"/>
  </w:style>
  <w:style w:type="paragraph" w:customStyle="1" w:styleId="msonormal0">
    <w:name w:val="msonormal"/>
    <w:basedOn w:val="Normal"/>
    <w:rsid w:val="009F3374"/>
    <w:pPr>
      <w:spacing w:before="100" w:beforeAutospacing="1" w:after="100" w:afterAutospacing="1"/>
    </w:pPr>
  </w:style>
  <w:style w:type="paragraph" w:styleId="TM4">
    <w:name w:val="toc 4"/>
    <w:basedOn w:val="Normal"/>
    <w:next w:val="Normal"/>
    <w:autoRedefine/>
    <w:uiPriority w:val="39"/>
    <w:semiHidden/>
    <w:unhideWhenUsed/>
    <w:rsid w:val="009F3374"/>
    <w:pPr>
      <w:ind w:left="600"/>
    </w:pPr>
    <w:rPr>
      <w:rFonts w:asciiTheme="majorHAnsi" w:eastAsiaTheme="minorEastAsia" w:hAnsiTheme="majorHAnsi" w:cstheme="minorBidi"/>
      <w:sz w:val="20"/>
      <w:lang w:val="en-US" w:eastAsia="ja-JP"/>
    </w:rPr>
  </w:style>
  <w:style w:type="paragraph" w:styleId="TM5">
    <w:name w:val="toc 5"/>
    <w:basedOn w:val="Normal"/>
    <w:next w:val="Normal"/>
    <w:autoRedefine/>
    <w:uiPriority w:val="39"/>
    <w:semiHidden/>
    <w:unhideWhenUsed/>
    <w:rsid w:val="009F3374"/>
    <w:pPr>
      <w:ind w:left="800"/>
    </w:pPr>
    <w:rPr>
      <w:rFonts w:asciiTheme="majorHAnsi" w:eastAsiaTheme="minorEastAsia" w:hAnsiTheme="majorHAnsi" w:cstheme="minorBidi"/>
      <w:sz w:val="20"/>
      <w:lang w:val="en-US" w:eastAsia="ja-JP"/>
    </w:rPr>
  </w:style>
  <w:style w:type="paragraph" w:styleId="TM6">
    <w:name w:val="toc 6"/>
    <w:basedOn w:val="Normal"/>
    <w:next w:val="Normal"/>
    <w:autoRedefine/>
    <w:uiPriority w:val="39"/>
    <w:semiHidden/>
    <w:unhideWhenUsed/>
    <w:rsid w:val="009F3374"/>
    <w:pPr>
      <w:ind w:left="1000"/>
    </w:pPr>
    <w:rPr>
      <w:rFonts w:asciiTheme="majorHAnsi" w:eastAsiaTheme="minorEastAsia" w:hAnsiTheme="majorHAnsi" w:cstheme="minorBidi"/>
      <w:sz w:val="20"/>
      <w:lang w:val="en-US" w:eastAsia="ja-JP"/>
    </w:rPr>
  </w:style>
  <w:style w:type="paragraph" w:styleId="TM7">
    <w:name w:val="toc 7"/>
    <w:basedOn w:val="Normal"/>
    <w:next w:val="Normal"/>
    <w:autoRedefine/>
    <w:uiPriority w:val="39"/>
    <w:semiHidden/>
    <w:unhideWhenUsed/>
    <w:rsid w:val="009F3374"/>
    <w:pPr>
      <w:ind w:left="1200"/>
    </w:pPr>
    <w:rPr>
      <w:rFonts w:asciiTheme="majorHAnsi" w:eastAsiaTheme="minorEastAsia" w:hAnsiTheme="majorHAnsi" w:cstheme="minorBidi"/>
      <w:sz w:val="20"/>
      <w:lang w:val="en-US" w:eastAsia="ja-JP"/>
    </w:rPr>
  </w:style>
  <w:style w:type="paragraph" w:styleId="TM8">
    <w:name w:val="toc 8"/>
    <w:basedOn w:val="Normal"/>
    <w:next w:val="Normal"/>
    <w:autoRedefine/>
    <w:uiPriority w:val="39"/>
    <w:semiHidden/>
    <w:unhideWhenUsed/>
    <w:rsid w:val="009F3374"/>
    <w:pPr>
      <w:ind w:left="1400"/>
    </w:pPr>
    <w:rPr>
      <w:rFonts w:asciiTheme="majorHAnsi" w:eastAsiaTheme="minorEastAsia" w:hAnsiTheme="majorHAnsi" w:cstheme="minorBidi"/>
      <w:sz w:val="20"/>
      <w:lang w:val="en-US" w:eastAsia="ja-JP"/>
    </w:rPr>
  </w:style>
  <w:style w:type="paragraph" w:styleId="TM9">
    <w:name w:val="toc 9"/>
    <w:basedOn w:val="Normal"/>
    <w:next w:val="Normal"/>
    <w:autoRedefine/>
    <w:uiPriority w:val="39"/>
    <w:semiHidden/>
    <w:unhideWhenUsed/>
    <w:rsid w:val="009F3374"/>
    <w:pPr>
      <w:ind w:left="1600"/>
    </w:pPr>
    <w:rPr>
      <w:rFonts w:asciiTheme="majorHAnsi" w:eastAsiaTheme="minorEastAsia" w:hAnsiTheme="majorHAnsi" w:cstheme="minorBidi"/>
      <w:sz w:val="20"/>
      <w:lang w:val="en-US" w:eastAsia="ja-JP"/>
    </w:rPr>
  </w:style>
  <w:style w:type="paragraph" w:styleId="Listepuces">
    <w:name w:val="List Bullet"/>
    <w:basedOn w:val="Normal"/>
    <w:uiPriority w:val="99"/>
    <w:semiHidden/>
    <w:unhideWhenUsed/>
    <w:rsid w:val="009F3374"/>
    <w:pPr>
      <w:numPr>
        <w:numId w:val="71"/>
      </w:numPr>
      <w:contextualSpacing/>
    </w:pPr>
    <w:rPr>
      <w:rFonts w:asciiTheme="majorHAnsi" w:eastAsiaTheme="minorEastAsia" w:hAnsiTheme="majorHAnsi" w:cstheme="minorBidi"/>
      <w:sz w:val="20"/>
      <w:lang w:val="en-US" w:eastAsia="ja-JP"/>
    </w:rPr>
  </w:style>
  <w:style w:type="paragraph" w:customStyle="1" w:styleId="16PointCarCarCarCarCarCar">
    <w:name w:val="16 Point Car Car Car Car Car Car"/>
    <w:aliases w:val="Superscript 6 Point Car Car Car Car Car Car,BVI fnr Car Char Char Car Car Car Car Car Car,BVI fnr Car Car Car Char Char Car Car Car Car Car Car"/>
    <w:basedOn w:val="Normal"/>
    <w:uiPriority w:val="99"/>
    <w:rsid w:val="009F3374"/>
    <w:pPr>
      <w:spacing w:after="160" w:line="240" w:lineRule="exact"/>
    </w:pPr>
    <w:rPr>
      <w:rFonts w:asciiTheme="minorHAnsi" w:eastAsiaTheme="minorHAnsi" w:hAnsiTheme="minorHAnsi" w:cstheme="minorBidi"/>
      <w:vertAlign w:val="superscript"/>
      <w:lang w:eastAsia="en-US"/>
    </w:rPr>
  </w:style>
  <w:style w:type="paragraph" w:customStyle="1" w:styleId="caption1">
    <w:name w:val="caption 1"/>
    <w:basedOn w:val="Normal"/>
    <w:uiPriority w:val="99"/>
    <w:qFormat/>
    <w:rsid w:val="009F3374"/>
    <w:pPr>
      <w:spacing w:after="120"/>
      <w:ind w:left="274"/>
      <w:jc w:val="both"/>
    </w:pPr>
    <w:rPr>
      <w:rFonts w:ascii="Garamond" w:eastAsia="ヒラギノ角ゴ Pro W3" w:hAnsi="Garamond"/>
      <w:color w:val="000000"/>
      <w:sz w:val="22"/>
      <w:lang w:val="en-US" w:eastAsia="ja-JP"/>
    </w:rPr>
  </w:style>
  <w:style w:type="paragraph" w:customStyle="1" w:styleId="listbulletsSESP">
    <w:name w:val="list bullets SESP"/>
    <w:basedOn w:val="Listepuces"/>
    <w:autoRedefine/>
    <w:uiPriority w:val="99"/>
    <w:qFormat/>
    <w:rsid w:val="009F3374"/>
    <w:pPr>
      <w:numPr>
        <w:numId w:val="73"/>
      </w:numPr>
      <w:tabs>
        <w:tab w:val="clear" w:pos="360"/>
        <w:tab w:val="num" w:pos="972"/>
      </w:tabs>
      <w:spacing w:after="120"/>
      <w:ind w:left="972" w:hanging="270"/>
    </w:pPr>
    <w:rPr>
      <w:rFonts w:eastAsia="ヒラギノ角ゴ Pro W3" w:cs="Times New Roman"/>
      <w:color w:val="000000"/>
    </w:rPr>
  </w:style>
  <w:style w:type="paragraph" w:customStyle="1" w:styleId="Heading1a">
    <w:name w:val="Heading 1a"/>
    <w:basedOn w:val="Normal"/>
    <w:next w:val="Normal"/>
    <w:uiPriority w:val="99"/>
    <w:qFormat/>
    <w:rsid w:val="009F3374"/>
    <w:pPr>
      <w:suppressAutoHyphens/>
      <w:spacing w:line="288" w:lineRule="auto"/>
    </w:pPr>
    <w:rPr>
      <w:rFonts w:ascii="Calibri" w:eastAsia="Times" w:hAnsi="Calibri"/>
      <w:b/>
      <w:sz w:val="26"/>
      <w:szCs w:val="20"/>
      <w:lang w:val="en-US" w:eastAsia="ja-JP"/>
    </w:rPr>
  </w:style>
  <w:style w:type="paragraph" w:customStyle="1" w:styleId="outlineSEQSs">
    <w:name w:val="outline SEQSs"/>
    <w:autoRedefine/>
    <w:uiPriority w:val="99"/>
    <w:qFormat/>
    <w:rsid w:val="009F3374"/>
    <w:pPr>
      <w:numPr>
        <w:numId w:val="74"/>
      </w:numPr>
      <w:tabs>
        <w:tab w:val="num" w:pos="360"/>
        <w:tab w:val="left" w:pos="2880"/>
      </w:tabs>
      <w:spacing w:before="60" w:after="60" w:line="360" w:lineRule="auto"/>
      <w:ind w:firstLine="0"/>
    </w:pPr>
    <w:rPr>
      <w:rFonts w:eastAsia="MS Mincho"/>
      <w:b/>
      <w:sz w:val="24"/>
      <w:szCs w:val="24"/>
      <w:lang w:eastAsia="ja-JP"/>
    </w:rPr>
  </w:style>
  <w:style w:type="paragraph" w:customStyle="1" w:styleId="SEQSbodynumbered">
    <w:name w:val="SEQS body numbered"/>
    <w:basedOn w:val="Normal"/>
    <w:autoRedefine/>
    <w:uiPriority w:val="99"/>
    <w:qFormat/>
    <w:rsid w:val="009F3374"/>
    <w:pPr>
      <w:tabs>
        <w:tab w:val="left" w:pos="360"/>
      </w:tabs>
      <w:spacing w:before="120" w:after="120" w:line="300" w:lineRule="auto"/>
    </w:pPr>
    <w:rPr>
      <w:rFonts w:ascii="Calibri" w:eastAsia="MS Mincho" w:hAnsi="Calibri"/>
      <w:bCs/>
      <w:sz w:val="20"/>
      <w:lang w:val="en-US" w:eastAsia="ja-JP"/>
    </w:rPr>
  </w:style>
  <w:style w:type="paragraph" w:customStyle="1" w:styleId="listlettered">
    <w:name w:val="list lettered"/>
    <w:basedOn w:val="listbulletsSESP"/>
    <w:uiPriority w:val="99"/>
    <w:qFormat/>
    <w:rsid w:val="009F3374"/>
    <w:pPr>
      <w:numPr>
        <w:numId w:val="75"/>
      </w:numPr>
      <w:spacing w:before="60" w:after="60" w:line="300" w:lineRule="auto"/>
    </w:pPr>
    <w:rPr>
      <w:rFonts w:ascii="Calibri" w:hAnsi="Calibri"/>
      <w:szCs w:val="20"/>
    </w:rPr>
  </w:style>
  <w:style w:type="paragraph" w:customStyle="1" w:styleId="SESPbody">
    <w:name w:val="SESP body"/>
    <w:basedOn w:val="SEQSbodynumbered"/>
    <w:uiPriority w:val="99"/>
    <w:qFormat/>
    <w:rsid w:val="009F3374"/>
    <w:pPr>
      <w:spacing w:line="264" w:lineRule="auto"/>
    </w:pPr>
    <w:rPr>
      <w:bCs w:val="0"/>
      <w:szCs w:val="20"/>
    </w:rPr>
  </w:style>
  <w:style w:type="paragraph" w:customStyle="1" w:styleId="SESPbodynumbered">
    <w:name w:val="SESP body numbered"/>
    <w:basedOn w:val="SESPbody"/>
    <w:uiPriority w:val="99"/>
    <w:qFormat/>
    <w:rsid w:val="009F3374"/>
    <w:pPr>
      <w:numPr>
        <w:numId w:val="76"/>
      </w:numPr>
    </w:pPr>
  </w:style>
  <w:style w:type="paragraph" w:customStyle="1" w:styleId="listbullets1">
    <w:name w:val="list bullets 1"/>
    <w:basedOn w:val="Normal"/>
    <w:autoRedefine/>
    <w:uiPriority w:val="99"/>
    <w:qFormat/>
    <w:rsid w:val="009F3374"/>
    <w:pPr>
      <w:numPr>
        <w:numId w:val="77"/>
      </w:numPr>
      <w:spacing w:before="60" w:after="60" w:line="300" w:lineRule="auto"/>
    </w:pPr>
    <w:rPr>
      <w:rFonts w:ascii="Calibri" w:eastAsia="ヒラギノ角ゴ Pro W3" w:hAnsi="Calibri"/>
      <w:color w:val="000000"/>
      <w:sz w:val="20"/>
      <w:szCs w:val="20"/>
      <w:lang w:val="en-US" w:eastAsia="ja-JP"/>
    </w:rPr>
  </w:style>
  <w:style w:type="paragraph" w:customStyle="1" w:styleId="TableParagraph">
    <w:name w:val="Table Paragraph"/>
    <w:basedOn w:val="Normal"/>
    <w:uiPriority w:val="1"/>
    <w:qFormat/>
    <w:rsid w:val="009F3374"/>
    <w:pPr>
      <w:widowControl w:val="0"/>
    </w:pPr>
    <w:rPr>
      <w:rFonts w:asciiTheme="minorHAnsi" w:eastAsiaTheme="minorHAnsi" w:hAnsiTheme="minorHAnsi" w:cstheme="minorBidi"/>
      <w:sz w:val="22"/>
      <w:szCs w:val="22"/>
      <w:lang w:val="en-US" w:eastAsia="en-US"/>
    </w:rPr>
  </w:style>
  <w:style w:type="character" w:styleId="Textedelespacerserv">
    <w:name w:val="Placeholder Text"/>
    <w:uiPriority w:val="99"/>
    <w:semiHidden/>
    <w:rsid w:val="009F3374"/>
    <w:rPr>
      <w:color w:val="808080"/>
    </w:rPr>
  </w:style>
  <w:style w:type="paragraph" w:customStyle="1" w:styleId="font5">
    <w:name w:val="font5"/>
    <w:basedOn w:val="Normal"/>
    <w:rsid w:val="00107491"/>
    <w:pPr>
      <w:spacing w:before="100" w:beforeAutospacing="1" w:after="100" w:afterAutospacing="1"/>
    </w:pPr>
    <w:rPr>
      <w:rFonts w:ascii="Calibri" w:hAnsi="Calibri" w:cs="Calibri"/>
      <w:b/>
      <w:bCs/>
      <w:color w:val="000000"/>
      <w:sz w:val="18"/>
      <w:szCs w:val="18"/>
      <w:lang w:val="en-US" w:eastAsia="en-US"/>
    </w:rPr>
  </w:style>
  <w:style w:type="paragraph" w:customStyle="1" w:styleId="font6">
    <w:name w:val="font6"/>
    <w:basedOn w:val="Normal"/>
    <w:rsid w:val="00107491"/>
    <w:pPr>
      <w:spacing w:before="100" w:beforeAutospacing="1" w:after="100" w:afterAutospacing="1"/>
    </w:pPr>
    <w:rPr>
      <w:rFonts w:ascii="Calibri" w:hAnsi="Calibri" w:cs="Calibri"/>
      <w:b/>
      <w:bCs/>
      <w:i/>
      <w:iCs/>
      <w:color w:val="000000"/>
      <w:sz w:val="18"/>
      <w:szCs w:val="18"/>
      <w:lang w:val="en-US" w:eastAsia="en-US"/>
    </w:rPr>
  </w:style>
  <w:style w:type="paragraph" w:customStyle="1" w:styleId="xl65">
    <w:name w:val="xl65"/>
    <w:basedOn w:val="Normal"/>
    <w:rsid w:val="00107491"/>
    <w:pPr>
      <w:pBdr>
        <w:top w:val="single" w:sz="8" w:space="0" w:color="auto"/>
        <w:bottom w:val="single" w:sz="8" w:space="0" w:color="auto"/>
        <w:right w:val="single" w:sz="8" w:space="0" w:color="000000"/>
      </w:pBdr>
      <w:spacing w:before="100" w:beforeAutospacing="1" w:after="100" w:afterAutospacing="1"/>
      <w:jc w:val="both"/>
      <w:textAlignment w:val="center"/>
    </w:pPr>
    <w:rPr>
      <w:color w:val="000000"/>
      <w:sz w:val="18"/>
      <w:szCs w:val="18"/>
      <w:lang w:val="en-US" w:eastAsia="en-US"/>
    </w:rPr>
  </w:style>
  <w:style w:type="paragraph" w:customStyle="1" w:styleId="xl66">
    <w:name w:val="xl66"/>
    <w:basedOn w:val="Normal"/>
    <w:rsid w:val="00107491"/>
    <w:pPr>
      <w:pBdr>
        <w:left w:val="single" w:sz="8" w:space="0" w:color="auto"/>
        <w:bottom w:val="single" w:sz="8" w:space="0" w:color="auto"/>
        <w:right w:val="single" w:sz="8" w:space="0" w:color="auto"/>
      </w:pBdr>
      <w:spacing w:before="100" w:beforeAutospacing="1" w:after="100" w:afterAutospacing="1"/>
      <w:jc w:val="both"/>
      <w:textAlignment w:val="center"/>
    </w:pPr>
    <w:rPr>
      <w:color w:val="000000"/>
      <w:sz w:val="18"/>
      <w:szCs w:val="18"/>
      <w:lang w:val="en-US" w:eastAsia="en-US"/>
    </w:rPr>
  </w:style>
  <w:style w:type="paragraph" w:customStyle="1" w:styleId="xl67">
    <w:name w:val="xl67"/>
    <w:basedOn w:val="Normal"/>
    <w:rsid w:val="00107491"/>
    <w:pPr>
      <w:pBdr>
        <w:left w:val="single" w:sz="8" w:space="0" w:color="auto"/>
        <w:bottom w:val="single" w:sz="8" w:space="0" w:color="auto"/>
        <w:right w:val="single" w:sz="8" w:space="0" w:color="auto"/>
      </w:pBdr>
      <w:spacing w:before="100" w:beforeAutospacing="1" w:after="100" w:afterAutospacing="1"/>
      <w:jc w:val="both"/>
      <w:textAlignment w:val="center"/>
    </w:pPr>
    <w:rPr>
      <w:color w:val="000000"/>
      <w:sz w:val="18"/>
      <w:szCs w:val="18"/>
      <w:lang w:val="en-US" w:eastAsia="en-US"/>
    </w:rPr>
  </w:style>
  <w:style w:type="paragraph" w:customStyle="1" w:styleId="xl68">
    <w:name w:val="xl68"/>
    <w:basedOn w:val="Normal"/>
    <w:rsid w:val="00107491"/>
    <w:pPr>
      <w:pBdr>
        <w:left w:val="single" w:sz="8" w:space="0" w:color="auto"/>
        <w:right w:val="single" w:sz="8" w:space="0" w:color="auto"/>
      </w:pBdr>
      <w:spacing w:before="100" w:beforeAutospacing="1" w:after="100" w:afterAutospacing="1"/>
      <w:jc w:val="both"/>
      <w:textAlignment w:val="center"/>
    </w:pPr>
    <w:rPr>
      <w:i/>
      <w:iCs/>
      <w:sz w:val="18"/>
      <w:szCs w:val="18"/>
      <w:lang w:val="en-US" w:eastAsia="en-US"/>
    </w:rPr>
  </w:style>
  <w:style w:type="paragraph" w:customStyle="1" w:styleId="xl69">
    <w:name w:val="xl69"/>
    <w:basedOn w:val="Normal"/>
    <w:rsid w:val="00107491"/>
    <w:pPr>
      <w:pBdr>
        <w:right w:val="single" w:sz="8" w:space="0" w:color="auto"/>
      </w:pBdr>
      <w:spacing w:before="100" w:beforeAutospacing="1" w:after="100" w:afterAutospacing="1"/>
      <w:jc w:val="center"/>
      <w:textAlignment w:val="center"/>
    </w:pPr>
    <w:rPr>
      <w:b/>
      <w:bCs/>
      <w:sz w:val="18"/>
      <w:szCs w:val="18"/>
      <w:lang w:val="en-US" w:eastAsia="en-US"/>
    </w:rPr>
  </w:style>
  <w:style w:type="paragraph" w:customStyle="1" w:styleId="xl70">
    <w:name w:val="xl70"/>
    <w:basedOn w:val="Normal"/>
    <w:rsid w:val="00107491"/>
    <w:pPr>
      <w:pBdr>
        <w:bottom w:val="single" w:sz="8" w:space="0" w:color="auto"/>
        <w:right w:val="single" w:sz="8" w:space="0" w:color="auto"/>
      </w:pBdr>
      <w:spacing w:before="100" w:beforeAutospacing="1" w:after="100" w:afterAutospacing="1"/>
      <w:jc w:val="both"/>
      <w:textAlignment w:val="center"/>
    </w:pPr>
    <w:rPr>
      <w:b/>
      <w:bCs/>
      <w:sz w:val="18"/>
      <w:szCs w:val="18"/>
      <w:lang w:val="en-US" w:eastAsia="en-US"/>
    </w:rPr>
  </w:style>
  <w:style w:type="paragraph" w:customStyle="1" w:styleId="xl71">
    <w:name w:val="xl71"/>
    <w:basedOn w:val="Normal"/>
    <w:rsid w:val="00107491"/>
    <w:pPr>
      <w:pBdr>
        <w:bottom w:val="double" w:sz="6" w:space="0" w:color="auto"/>
        <w:right w:val="single" w:sz="8" w:space="0" w:color="auto"/>
      </w:pBdr>
      <w:spacing w:before="100" w:beforeAutospacing="1" w:after="100" w:afterAutospacing="1"/>
      <w:jc w:val="center"/>
      <w:textAlignment w:val="center"/>
    </w:pPr>
    <w:rPr>
      <w:sz w:val="18"/>
      <w:szCs w:val="18"/>
      <w:lang w:val="en-US" w:eastAsia="en-US"/>
    </w:rPr>
  </w:style>
  <w:style w:type="paragraph" w:customStyle="1" w:styleId="xl72">
    <w:name w:val="xl72"/>
    <w:basedOn w:val="Normal"/>
    <w:rsid w:val="00107491"/>
    <w:pPr>
      <w:pBdr>
        <w:bottom w:val="double" w:sz="6" w:space="0" w:color="auto"/>
        <w:right w:val="single" w:sz="8" w:space="0" w:color="auto"/>
      </w:pBdr>
      <w:spacing w:before="100" w:beforeAutospacing="1" w:after="100" w:afterAutospacing="1"/>
      <w:jc w:val="both"/>
      <w:textAlignment w:val="center"/>
    </w:pPr>
    <w:rPr>
      <w:b/>
      <w:bCs/>
      <w:sz w:val="18"/>
      <w:szCs w:val="18"/>
      <w:lang w:val="en-US" w:eastAsia="en-US"/>
    </w:rPr>
  </w:style>
  <w:style w:type="paragraph" w:customStyle="1" w:styleId="xl73">
    <w:name w:val="xl73"/>
    <w:basedOn w:val="Normal"/>
    <w:rsid w:val="00107491"/>
    <w:pPr>
      <w:pBdr>
        <w:bottom w:val="double" w:sz="6" w:space="0" w:color="auto"/>
        <w:right w:val="single" w:sz="8" w:space="0" w:color="auto"/>
      </w:pBdr>
      <w:spacing w:before="100" w:beforeAutospacing="1" w:after="100" w:afterAutospacing="1"/>
      <w:jc w:val="center"/>
      <w:textAlignment w:val="center"/>
    </w:pPr>
    <w:rPr>
      <w:b/>
      <w:bCs/>
      <w:sz w:val="18"/>
      <w:szCs w:val="18"/>
      <w:lang w:val="en-US" w:eastAsia="en-US"/>
    </w:rPr>
  </w:style>
  <w:style w:type="paragraph" w:customStyle="1" w:styleId="xl74">
    <w:name w:val="xl74"/>
    <w:basedOn w:val="Normal"/>
    <w:rsid w:val="00107491"/>
    <w:pPr>
      <w:pBdr>
        <w:bottom w:val="double" w:sz="6" w:space="0" w:color="auto"/>
        <w:right w:val="single" w:sz="8" w:space="0" w:color="auto"/>
      </w:pBdr>
      <w:spacing w:before="100" w:beforeAutospacing="1" w:after="100" w:afterAutospacing="1"/>
      <w:jc w:val="both"/>
      <w:textAlignment w:val="center"/>
    </w:pPr>
    <w:rPr>
      <w:b/>
      <w:bCs/>
      <w:sz w:val="18"/>
      <w:szCs w:val="18"/>
      <w:lang w:val="en-US" w:eastAsia="en-US"/>
    </w:rPr>
  </w:style>
  <w:style w:type="paragraph" w:customStyle="1" w:styleId="xl75">
    <w:name w:val="xl75"/>
    <w:basedOn w:val="Normal"/>
    <w:rsid w:val="00107491"/>
    <w:pPr>
      <w:pBdr>
        <w:top w:val="single" w:sz="8" w:space="0" w:color="auto"/>
        <w:bottom w:val="double" w:sz="6" w:space="0" w:color="auto"/>
        <w:right w:val="single" w:sz="8" w:space="0" w:color="auto"/>
      </w:pBdr>
      <w:spacing w:before="100" w:beforeAutospacing="1" w:after="100" w:afterAutospacing="1"/>
      <w:jc w:val="center"/>
      <w:textAlignment w:val="center"/>
    </w:pPr>
    <w:rPr>
      <w:sz w:val="18"/>
      <w:szCs w:val="18"/>
      <w:lang w:val="en-US" w:eastAsia="en-US"/>
    </w:rPr>
  </w:style>
  <w:style w:type="paragraph" w:customStyle="1" w:styleId="xl76">
    <w:name w:val="xl76"/>
    <w:basedOn w:val="Normal"/>
    <w:rsid w:val="00107491"/>
    <w:pPr>
      <w:pBdr>
        <w:bottom w:val="double" w:sz="6" w:space="0" w:color="auto"/>
      </w:pBdr>
      <w:spacing w:before="100" w:beforeAutospacing="1" w:after="100" w:afterAutospacing="1"/>
      <w:jc w:val="both"/>
      <w:textAlignment w:val="center"/>
    </w:pPr>
    <w:rPr>
      <w:b/>
      <w:bCs/>
      <w:sz w:val="18"/>
      <w:szCs w:val="18"/>
      <w:lang w:val="en-US" w:eastAsia="en-US"/>
    </w:rPr>
  </w:style>
  <w:style w:type="paragraph" w:customStyle="1" w:styleId="xl77">
    <w:name w:val="xl77"/>
    <w:basedOn w:val="Normal"/>
    <w:rsid w:val="00107491"/>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lang w:val="en-US" w:eastAsia="en-US"/>
    </w:rPr>
  </w:style>
  <w:style w:type="paragraph" w:customStyle="1" w:styleId="xl78">
    <w:name w:val="xl78"/>
    <w:basedOn w:val="Normal"/>
    <w:rsid w:val="00107491"/>
    <w:pPr>
      <w:pBdr>
        <w:top w:val="single" w:sz="8" w:space="0" w:color="auto"/>
        <w:left w:val="single" w:sz="8" w:space="0" w:color="auto"/>
        <w:right w:val="single" w:sz="8" w:space="0" w:color="auto"/>
      </w:pBdr>
      <w:spacing w:before="100" w:beforeAutospacing="1" w:after="100" w:afterAutospacing="1"/>
      <w:textAlignment w:val="center"/>
    </w:pPr>
    <w:rPr>
      <w:sz w:val="18"/>
      <w:szCs w:val="18"/>
      <w:lang w:val="en-US" w:eastAsia="en-US"/>
    </w:rPr>
  </w:style>
  <w:style w:type="paragraph" w:customStyle="1" w:styleId="xl79">
    <w:name w:val="xl79"/>
    <w:basedOn w:val="Normal"/>
    <w:rsid w:val="0010749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18"/>
      <w:szCs w:val="18"/>
      <w:lang w:val="en-US" w:eastAsia="en-US"/>
    </w:rPr>
  </w:style>
  <w:style w:type="paragraph" w:customStyle="1" w:styleId="xl80">
    <w:name w:val="xl80"/>
    <w:basedOn w:val="Normal"/>
    <w:rsid w:val="0010749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18"/>
      <w:szCs w:val="18"/>
      <w:lang w:val="en-US" w:eastAsia="en-US"/>
    </w:rPr>
  </w:style>
  <w:style w:type="paragraph" w:customStyle="1" w:styleId="xl81">
    <w:name w:val="xl81"/>
    <w:basedOn w:val="Normal"/>
    <w:rsid w:val="00107491"/>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center"/>
    </w:pPr>
    <w:rPr>
      <w:b/>
      <w:bCs/>
      <w:sz w:val="18"/>
      <w:szCs w:val="18"/>
      <w:lang w:val="en-US" w:eastAsia="en-US"/>
    </w:rPr>
  </w:style>
  <w:style w:type="paragraph" w:customStyle="1" w:styleId="xl82">
    <w:name w:val="xl82"/>
    <w:basedOn w:val="Normal"/>
    <w:rsid w:val="0010749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8"/>
      <w:szCs w:val="18"/>
      <w:lang w:val="en-US" w:eastAsia="en-US"/>
    </w:rPr>
  </w:style>
  <w:style w:type="paragraph" w:customStyle="1" w:styleId="xl83">
    <w:name w:val="xl83"/>
    <w:basedOn w:val="Normal"/>
    <w:rsid w:val="00107491"/>
    <w:pPr>
      <w:spacing w:before="100" w:beforeAutospacing="1" w:after="100" w:afterAutospacing="1"/>
      <w:jc w:val="center"/>
      <w:textAlignment w:val="center"/>
    </w:pPr>
    <w:rPr>
      <w:b/>
      <w:bCs/>
      <w:sz w:val="18"/>
      <w:szCs w:val="18"/>
      <w:lang w:val="en-US" w:eastAsia="en-US"/>
    </w:rPr>
  </w:style>
  <w:style w:type="paragraph" w:customStyle="1" w:styleId="xl84">
    <w:name w:val="xl84"/>
    <w:basedOn w:val="Normal"/>
    <w:rsid w:val="00107491"/>
    <w:pPr>
      <w:pBdr>
        <w:top w:val="single" w:sz="8" w:space="0" w:color="auto"/>
        <w:right w:val="single" w:sz="8" w:space="0" w:color="auto"/>
      </w:pBdr>
      <w:spacing w:before="100" w:beforeAutospacing="1" w:after="100" w:afterAutospacing="1"/>
      <w:textAlignment w:val="center"/>
    </w:pPr>
    <w:rPr>
      <w:sz w:val="18"/>
      <w:szCs w:val="18"/>
      <w:lang w:val="en-US" w:eastAsia="en-US"/>
    </w:rPr>
  </w:style>
  <w:style w:type="paragraph" w:customStyle="1" w:styleId="xl85">
    <w:name w:val="xl85"/>
    <w:basedOn w:val="Normal"/>
    <w:rsid w:val="00107491"/>
    <w:pPr>
      <w:pBdr>
        <w:bottom w:val="single" w:sz="8" w:space="0" w:color="auto"/>
        <w:right w:val="single" w:sz="8" w:space="0" w:color="auto"/>
      </w:pBdr>
      <w:spacing w:before="100" w:beforeAutospacing="1" w:after="100" w:afterAutospacing="1"/>
      <w:jc w:val="center"/>
      <w:textAlignment w:val="center"/>
    </w:pPr>
    <w:rPr>
      <w:b/>
      <w:bCs/>
      <w:sz w:val="18"/>
      <w:szCs w:val="18"/>
      <w:lang w:val="en-US" w:eastAsia="en-US"/>
    </w:rPr>
  </w:style>
  <w:style w:type="paragraph" w:customStyle="1" w:styleId="xl86">
    <w:name w:val="xl86"/>
    <w:basedOn w:val="Normal"/>
    <w:rsid w:val="00107491"/>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center"/>
    </w:pPr>
    <w:rPr>
      <w:color w:val="0563C1"/>
      <w:sz w:val="18"/>
      <w:szCs w:val="18"/>
      <w:u w:val="single"/>
      <w:lang w:val="en-US" w:eastAsia="en-US"/>
    </w:rPr>
  </w:style>
  <w:style w:type="paragraph" w:customStyle="1" w:styleId="xl87">
    <w:name w:val="xl87"/>
    <w:basedOn w:val="Normal"/>
    <w:rsid w:val="00107491"/>
    <w:pPr>
      <w:spacing w:before="100" w:beforeAutospacing="1" w:after="100" w:afterAutospacing="1"/>
    </w:pPr>
    <w:rPr>
      <w:sz w:val="18"/>
      <w:szCs w:val="18"/>
      <w:lang w:val="en-US" w:eastAsia="en-US"/>
    </w:rPr>
  </w:style>
  <w:style w:type="paragraph" w:customStyle="1" w:styleId="xl88">
    <w:name w:val="xl88"/>
    <w:basedOn w:val="Normal"/>
    <w:rsid w:val="00107491"/>
    <w:pPr>
      <w:pBdr>
        <w:top w:val="single" w:sz="8" w:space="0" w:color="auto"/>
        <w:bottom w:val="single" w:sz="8" w:space="0" w:color="auto"/>
        <w:right w:val="single" w:sz="8" w:space="0" w:color="000000"/>
      </w:pBdr>
      <w:spacing w:before="100" w:beforeAutospacing="1" w:after="100" w:afterAutospacing="1"/>
      <w:jc w:val="both"/>
      <w:textAlignment w:val="center"/>
    </w:pPr>
    <w:rPr>
      <w:sz w:val="18"/>
      <w:szCs w:val="18"/>
      <w:lang w:val="en-US" w:eastAsia="en-US"/>
    </w:rPr>
  </w:style>
  <w:style w:type="paragraph" w:customStyle="1" w:styleId="xl89">
    <w:name w:val="xl89"/>
    <w:basedOn w:val="Normal"/>
    <w:rsid w:val="00107491"/>
    <w:pPr>
      <w:pBdr>
        <w:left w:val="single" w:sz="8" w:space="0" w:color="auto"/>
        <w:right w:val="single" w:sz="8" w:space="0" w:color="auto"/>
      </w:pBdr>
      <w:spacing w:before="100" w:beforeAutospacing="1" w:after="100" w:afterAutospacing="1"/>
      <w:textAlignment w:val="center"/>
    </w:pPr>
    <w:rPr>
      <w:sz w:val="18"/>
      <w:szCs w:val="18"/>
      <w:lang w:val="en-US" w:eastAsia="en-US"/>
    </w:rPr>
  </w:style>
  <w:style w:type="paragraph" w:customStyle="1" w:styleId="xl90">
    <w:name w:val="xl90"/>
    <w:basedOn w:val="Normal"/>
    <w:rsid w:val="00107491"/>
    <w:pPr>
      <w:pBdr>
        <w:bottom w:val="single" w:sz="8" w:space="0" w:color="auto"/>
      </w:pBdr>
      <w:spacing w:before="100" w:beforeAutospacing="1" w:after="100" w:afterAutospacing="1"/>
      <w:textAlignment w:val="center"/>
    </w:pPr>
    <w:rPr>
      <w:sz w:val="18"/>
      <w:szCs w:val="18"/>
      <w:lang w:val="en-US" w:eastAsia="en-US"/>
    </w:rPr>
  </w:style>
  <w:style w:type="paragraph" w:customStyle="1" w:styleId="xl91">
    <w:name w:val="xl91"/>
    <w:basedOn w:val="Normal"/>
    <w:rsid w:val="00107491"/>
    <w:pPr>
      <w:pBdr>
        <w:left w:val="single" w:sz="8" w:space="0" w:color="auto"/>
        <w:bottom w:val="double" w:sz="6" w:space="0" w:color="auto"/>
        <w:right w:val="single" w:sz="8" w:space="0" w:color="auto"/>
      </w:pBdr>
      <w:spacing w:before="100" w:beforeAutospacing="1" w:after="100" w:afterAutospacing="1"/>
      <w:textAlignment w:val="center"/>
    </w:pPr>
    <w:rPr>
      <w:sz w:val="18"/>
      <w:szCs w:val="18"/>
      <w:lang w:val="en-US" w:eastAsia="en-US"/>
    </w:rPr>
  </w:style>
  <w:style w:type="paragraph" w:customStyle="1" w:styleId="xl92">
    <w:name w:val="xl92"/>
    <w:basedOn w:val="Normal"/>
    <w:rsid w:val="00107491"/>
    <w:pPr>
      <w:pBdr>
        <w:right w:val="single" w:sz="8" w:space="0" w:color="auto"/>
      </w:pBdr>
      <w:spacing w:before="100" w:beforeAutospacing="1" w:after="100" w:afterAutospacing="1"/>
      <w:textAlignment w:val="center"/>
    </w:pPr>
    <w:rPr>
      <w:sz w:val="18"/>
      <w:szCs w:val="18"/>
      <w:lang w:val="en-US" w:eastAsia="en-US"/>
    </w:rPr>
  </w:style>
  <w:style w:type="paragraph" w:customStyle="1" w:styleId="xl93">
    <w:name w:val="xl93"/>
    <w:basedOn w:val="Normal"/>
    <w:rsid w:val="00107491"/>
    <w:pPr>
      <w:pBdr>
        <w:top w:val="double" w:sz="6" w:space="0" w:color="auto"/>
        <w:bottom w:val="double" w:sz="6" w:space="0" w:color="auto"/>
      </w:pBdr>
      <w:spacing w:before="100" w:beforeAutospacing="1" w:after="100" w:afterAutospacing="1"/>
      <w:jc w:val="both"/>
      <w:textAlignment w:val="center"/>
    </w:pPr>
    <w:rPr>
      <w:b/>
      <w:bCs/>
      <w:sz w:val="18"/>
      <w:szCs w:val="18"/>
      <w:lang w:val="en-US" w:eastAsia="en-US"/>
    </w:rPr>
  </w:style>
  <w:style w:type="paragraph" w:customStyle="1" w:styleId="xl94">
    <w:name w:val="xl94"/>
    <w:basedOn w:val="Normal"/>
    <w:rsid w:val="00107491"/>
    <w:pPr>
      <w:pBdr>
        <w:bottom w:val="single" w:sz="8" w:space="0" w:color="auto"/>
        <w:right w:val="single" w:sz="8" w:space="0" w:color="auto"/>
      </w:pBdr>
      <w:spacing w:before="100" w:beforeAutospacing="1" w:after="100" w:afterAutospacing="1"/>
      <w:jc w:val="center"/>
      <w:textAlignment w:val="center"/>
    </w:pPr>
    <w:rPr>
      <w:sz w:val="18"/>
      <w:szCs w:val="18"/>
      <w:lang w:val="en-US" w:eastAsia="en-US"/>
    </w:rPr>
  </w:style>
  <w:style w:type="paragraph" w:customStyle="1" w:styleId="xl95">
    <w:name w:val="xl95"/>
    <w:basedOn w:val="Normal"/>
    <w:rsid w:val="00107491"/>
    <w:pPr>
      <w:pBdr>
        <w:bottom w:val="double" w:sz="6" w:space="0" w:color="auto"/>
        <w:right w:val="single" w:sz="8" w:space="0" w:color="auto"/>
      </w:pBdr>
      <w:spacing w:before="100" w:beforeAutospacing="1" w:after="100" w:afterAutospacing="1"/>
      <w:jc w:val="center"/>
      <w:textAlignment w:val="center"/>
    </w:pPr>
    <w:rPr>
      <w:b/>
      <w:bCs/>
      <w:sz w:val="18"/>
      <w:szCs w:val="18"/>
      <w:lang w:val="en-US" w:eastAsia="en-US"/>
    </w:rPr>
  </w:style>
  <w:style w:type="paragraph" w:customStyle="1" w:styleId="xl96">
    <w:name w:val="xl96"/>
    <w:basedOn w:val="Normal"/>
    <w:rsid w:val="00107491"/>
    <w:pPr>
      <w:pBdr>
        <w:bottom w:val="single" w:sz="8" w:space="0" w:color="auto"/>
        <w:right w:val="single" w:sz="8" w:space="0" w:color="auto"/>
      </w:pBdr>
      <w:spacing w:before="100" w:beforeAutospacing="1" w:after="100" w:afterAutospacing="1"/>
      <w:jc w:val="center"/>
      <w:textAlignment w:val="center"/>
    </w:pPr>
    <w:rPr>
      <w:b/>
      <w:bCs/>
      <w:sz w:val="18"/>
      <w:szCs w:val="18"/>
      <w:lang w:val="en-US" w:eastAsia="en-US"/>
    </w:rPr>
  </w:style>
  <w:style w:type="paragraph" w:customStyle="1" w:styleId="xl97">
    <w:name w:val="xl97"/>
    <w:basedOn w:val="Normal"/>
    <w:rsid w:val="00107491"/>
    <w:pPr>
      <w:pBdr>
        <w:bottom w:val="double" w:sz="6" w:space="0" w:color="auto"/>
        <w:right w:val="single" w:sz="8" w:space="0" w:color="auto"/>
      </w:pBdr>
      <w:spacing w:before="100" w:beforeAutospacing="1" w:after="100" w:afterAutospacing="1"/>
      <w:jc w:val="center"/>
      <w:textAlignment w:val="center"/>
    </w:pPr>
    <w:rPr>
      <w:b/>
      <w:bCs/>
      <w:sz w:val="18"/>
      <w:szCs w:val="18"/>
      <w:lang w:val="en-US" w:eastAsia="en-US"/>
    </w:rPr>
  </w:style>
  <w:style w:type="paragraph" w:customStyle="1" w:styleId="xl98">
    <w:name w:val="xl98"/>
    <w:basedOn w:val="Normal"/>
    <w:rsid w:val="00107491"/>
    <w:pPr>
      <w:pBdr>
        <w:left w:val="single" w:sz="8" w:space="0" w:color="auto"/>
      </w:pBdr>
      <w:spacing w:before="100" w:beforeAutospacing="1" w:after="100" w:afterAutospacing="1"/>
      <w:jc w:val="center"/>
      <w:textAlignment w:val="center"/>
    </w:pPr>
    <w:rPr>
      <w:b/>
      <w:bCs/>
      <w:sz w:val="18"/>
      <w:szCs w:val="18"/>
      <w:lang w:val="en-US" w:eastAsia="en-US"/>
    </w:rPr>
  </w:style>
  <w:style w:type="paragraph" w:customStyle="1" w:styleId="xl99">
    <w:name w:val="xl99"/>
    <w:basedOn w:val="Normal"/>
    <w:rsid w:val="00107491"/>
    <w:pPr>
      <w:pBdr>
        <w:left w:val="single" w:sz="8" w:space="0" w:color="auto"/>
      </w:pBdr>
      <w:spacing w:before="100" w:beforeAutospacing="1" w:after="100" w:afterAutospacing="1"/>
      <w:jc w:val="both"/>
      <w:textAlignment w:val="center"/>
    </w:pPr>
    <w:rPr>
      <w:i/>
      <w:iCs/>
      <w:sz w:val="18"/>
      <w:szCs w:val="18"/>
      <w:lang w:val="en-US" w:eastAsia="en-US"/>
    </w:rPr>
  </w:style>
  <w:style w:type="paragraph" w:customStyle="1" w:styleId="xl100">
    <w:name w:val="xl100"/>
    <w:basedOn w:val="Normal"/>
    <w:rsid w:val="00107491"/>
    <w:pPr>
      <w:pBdr>
        <w:left w:val="single" w:sz="8" w:space="0" w:color="auto"/>
      </w:pBdr>
      <w:spacing w:before="100" w:beforeAutospacing="1" w:after="100" w:afterAutospacing="1"/>
      <w:textAlignment w:val="center"/>
    </w:pPr>
    <w:rPr>
      <w:sz w:val="18"/>
      <w:szCs w:val="18"/>
      <w:lang w:val="en-US" w:eastAsia="en-US"/>
    </w:rPr>
  </w:style>
  <w:style w:type="paragraph" w:customStyle="1" w:styleId="xl101">
    <w:name w:val="xl101"/>
    <w:basedOn w:val="Normal"/>
    <w:rsid w:val="00107491"/>
    <w:pPr>
      <w:pBdr>
        <w:left w:val="single" w:sz="8" w:space="0" w:color="auto"/>
        <w:bottom w:val="double" w:sz="6" w:space="0" w:color="auto"/>
      </w:pBdr>
      <w:spacing w:before="100" w:beforeAutospacing="1" w:after="100" w:afterAutospacing="1"/>
      <w:textAlignment w:val="center"/>
    </w:pPr>
    <w:rPr>
      <w:sz w:val="18"/>
      <w:szCs w:val="18"/>
      <w:lang w:val="en-US" w:eastAsia="en-US"/>
    </w:rPr>
  </w:style>
  <w:style w:type="paragraph" w:customStyle="1" w:styleId="xl102">
    <w:name w:val="xl102"/>
    <w:basedOn w:val="Normal"/>
    <w:rsid w:val="00107491"/>
    <w:pPr>
      <w:pBdr>
        <w:top w:val="double" w:sz="6" w:space="0" w:color="auto"/>
        <w:left w:val="single" w:sz="8" w:space="0" w:color="auto"/>
        <w:bottom w:val="double" w:sz="6" w:space="0" w:color="auto"/>
      </w:pBdr>
      <w:spacing w:before="100" w:beforeAutospacing="1" w:after="100" w:afterAutospacing="1"/>
      <w:jc w:val="both"/>
      <w:textAlignment w:val="center"/>
    </w:pPr>
    <w:rPr>
      <w:b/>
      <w:bCs/>
      <w:sz w:val="18"/>
      <w:szCs w:val="18"/>
      <w:lang w:val="en-US" w:eastAsia="en-US"/>
    </w:rPr>
  </w:style>
  <w:style w:type="paragraph" w:customStyle="1" w:styleId="xl103">
    <w:name w:val="xl103"/>
    <w:basedOn w:val="Normal"/>
    <w:rsid w:val="00107491"/>
    <w:pPr>
      <w:pBdr>
        <w:left w:val="single" w:sz="8" w:space="0" w:color="auto"/>
        <w:bottom w:val="double" w:sz="6" w:space="0" w:color="auto"/>
      </w:pBdr>
      <w:spacing w:before="100" w:beforeAutospacing="1" w:after="100" w:afterAutospacing="1"/>
      <w:jc w:val="both"/>
      <w:textAlignment w:val="center"/>
    </w:pPr>
    <w:rPr>
      <w:b/>
      <w:bCs/>
      <w:sz w:val="18"/>
      <w:szCs w:val="18"/>
      <w:lang w:val="en-US" w:eastAsia="en-US"/>
    </w:rPr>
  </w:style>
  <w:style w:type="paragraph" w:customStyle="1" w:styleId="xl104">
    <w:name w:val="xl104"/>
    <w:basedOn w:val="Normal"/>
    <w:rsid w:val="00107491"/>
    <w:pPr>
      <w:pBdr>
        <w:left w:val="single" w:sz="8" w:space="0" w:color="auto"/>
        <w:bottom w:val="single" w:sz="8" w:space="0" w:color="auto"/>
      </w:pBdr>
      <w:spacing w:before="100" w:beforeAutospacing="1" w:after="100" w:afterAutospacing="1"/>
      <w:jc w:val="both"/>
      <w:textAlignment w:val="center"/>
    </w:pPr>
    <w:rPr>
      <w:b/>
      <w:bCs/>
      <w:sz w:val="18"/>
      <w:szCs w:val="18"/>
      <w:lang w:val="en-US" w:eastAsia="en-US"/>
    </w:rPr>
  </w:style>
  <w:style w:type="paragraph" w:customStyle="1" w:styleId="xl105">
    <w:name w:val="xl105"/>
    <w:basedOn w:val="Normal"/>
    <w:rsid w:val="00107491"/>
    <w:pPr>
      <w:pBdr>
        <w:top w:val="double" w:sz="6" w:space="0" w:color="auto"/>
        <w:left w:val="single" w:sz="8" w:space="0" w:color="auto"/>
        <w:bottom w:val="double" w:sz="6" w:space="0" w:color="auto"/>
        <w:right w:val="single" w:sz="8" w:space="0" w:color="auto"/>
      </w:pBdr>
      <w:spacing w:before="100" w:beforeAutospacing="1" w:after="100" w:afterAutospacing="1"/>
      <w:jc w:val="center"/>
      <w:textAlignment w:val="center"/>
    </w:pPr>
    <w:rPr>
      <w:b/>
      <w:bCs/>
      <w:sz w:val="18"/>
      <w:szCs w:val="18"/>
      <w:lang w:val="en-US" w:eastAsia="en-US"/>
    </w:rPr>
  </w:style>
  <w:style w:type="paragraph" w:customStyle="1" w:styleId="xl106">
    <w:name w:val="xl106"/>
    <w:basedOn w:val="Normal"/>
    <w:rsid w:val="00107491"/>
    <w:pPr>
      <w:pBdr>
        <w:top w:val="double" w:sz="6" w:space="0" w:color="auto"/>
        <w:left w:val="single" w:sz="8" w:space="0" w:color="auto"/>
        <w:bottom w:val="double" w:sz="6" w:space="0" w:color="auto"/>
        <w:right w:val="single" w:sz="8" w:space="0" w:color="auto"/>
      </w:pBdr>
      <w:spacing w:before="100" w:beforeAutospacing="1" w:after="100" w:afterAutospacing="1"/>
      <w:jc w:val="center"/>
      <w:textAlignment w:val="center"/>
    </w:pPr>
    <w:rPr>
      <w:sz w:val="18"/>
      <w:szCs w:val="18"/>
      <w:lang w:val="en-US" w:eastAsia="en-US"/>
    </w:rPr>
  </w:style>
  <w:style w:type="paragraph" w:customStyle="1" w:styleId="xl107">
    <w:name w:val="xl107"/>
    <w:basedOn w:val="Normal"/>
    <w:rsid w:val="00107491"/>
    <w:pPr>
      <w:pBdr>
        <w:bottom w:val="single" w:sz="8" w:space="0" w:color="auto"/>
        <w:right w:val="single" w:sz="8" w:space="0" w:color="auto"/>
      </w:pBdr>
      <w:spacing w:before="100" w:beforeAutospacing="1" w:after="100" w:afterAutospacing="1"/>
      <w:jc w:val="center"/>
      <w:textAlignment w:val="center"/>
    </w:pPr>
    <w:rPr>
      <w:i/>
      <w:iCs/>
      <w:sz w:val="18"/>
      <w:szCs w:val="18"/>
      <w:lang w:val="en-US" w:eastAsia="en-US"/>
    </w:rPr>
  </w:style>
  <w:style w:type="paragraph" w:customStyle="1" w:styleId="xl108">
    <w:name w:val="xl108"/>
    <w:basedOn w:val="Normal"/>
    <w:rsid w:val="00107491"/>
    <w:pPr>
      <w:pBdr>
        <w:bottom w:val="double" w:sz="6" w:space="0" w:color="auto"/>
        <w:right w:val="single" w:sz="8" w:space="0" w:color="auto"/>
      </w:pBdr>
      <w:spacing w:before="100" w:beforeAutospacing="1" w:after="100" w:afterAutospacing="1"/>
      <w:jc w:val="center"/>
      <w:textAlignment w:val="center"/>
    </w:pPr>
    <w:rPr>
      <w:i/>
      <w:iCs/>
      <w:sz w:val="18"/>
      <w:szCs w:val="18"/>
      <w:lang w:val="en-US" w:eastAsia="en-US"/>
    </w:rPr>
  </w:style>
  <w:style w:type="paragraph" w:customStyle="1" w:styleId="xl109">
    <w:name w:val="xl109"/>
    <w:basedOn w:val="Normal"/>
    <w:rsid w:val="00107491"/>
    <w:pPr>
      <w:spacing w:before="100" w:beforeAutospacing="1" w:after="100" w:afterAutospacing="1"/>
      <w:jc w:val="center"/>
    </w:pPr>
    <w:rPr>
      <w:i/>
      <w:iCs/>
      <w:sz w:val="18"/>
      <w:szCs w:val="18"/>
      <w:lang w:val="en-US" w:eastAsia="en-US"/>
    </w:rPr>
  </w:style>
  <w:style w:type="paragraph" w:customStyle="1" w:styleId="xl110">
    <w:name w:val="xl110"/>
    <w:basedOn w:val="Normal"/>
    <w:rsid w:val="00107491"/>
    <w:pPr>
      <w:pBdr>
        <w:bottom w:val="single" w:sz="8" w:space="0" w:color="auto"/>
        <w:right w:val="single" w:sz="8" w:space="0" w:color="auto"/>
      </w:pBdr>
      <w:spacing w:before="100" w:beforeAutospacing="1" w:after="100" w:afterAutospacing="1"/>
      <w:jc w:val="center"/>
      <w:textAlignment w:val="center"/>
    </w:pPr>
    <w:rPr>
      <w:i/>
      <w:iCs/>
      <w:sz w:val="18"/>
      <w:szCs w:val="18"/>
      <w:lang w:val="en-US" w:eastAsia="en-US"/>
    </w:rPr>
  </w:style>
  <w:style w:type="paragraph" w:customStyle="1" w:styleId="xl111">
    <w:name w:val="xl111"/>
    <w:basedOn w:val="Normal"/>
    <w:rsid w:val="00107491"/>
    <w:pPr>
      <w:pBdr>
        <w:bottom w:val="single" w:sz="8" w:space="0" w:color="auto"/>
        <w:right w:val="single" w:sz="8" w:space="0" w:color="auto"/>
      </w:pBdr>
      <w:spacing w:before="100" w:beforeAutospacing="1" w:after="100" w:afterAutospacing="1"/>
      <w:jc w:val="center"/>
      <w:textAlignment w:val="center"/>
    </w:pPr>
    <w:rPr>
      <w:b/>
      <w:bCs/>
      <w:i/>
      <w:iCs/>
      <w:sz w:val="18"/>
      <w:szCs w:val="18"/>
      <w:lang w:val="en-US" w:eastAsia="en-US"/>
    </w:rPr>
  </w:style>
  <w:style w:type="paragraph" w:customStyle="1" w:styleId="xl112">
    <w:name w:val="xl112"/>
    <w:basedOn w:val="Normal"/>
    <w:rsid w:val="00107491"/>
    <w:pPr>
      <w:pBdr>
        <w:bottom w:val="double" w:sz="6" w:space="0" w:color="auto"/>
        <w:right w:val="single" w:sz="8" w:space="0" w:color="auto"/>
      </w:pBdr>
      <w:spacing w:before="100" w:beforeAutospacing="1" w:after="100" w:afterAutospacing="1"/>
      <w:jc w:val="center"/>
      <w:textAlignment w:val="center"/>
    </w:pPr>
    <w:rPr>
      <w:b/>
      <w:bCs/>
      <w:i/>
      <w:iCs/>
      <w:sz w:val="18"/>
      <w:szCs w:val="18"/>
      <w:lang w:val="en-US" w:eastAsia="en-US"/>
    </w:rPr>
  </w:style>
  <w:style w:type="paragraph" w:customStyle="1" w:styleId="xl113">
    <w:name w:val="xl113"/>
    <w:basedOn w:val="Normal"/>
    <w:rsid w:val="00107491"/>
    <w:pPr>
      <w:spacing w:before="100" w:beforeAutospacing="1" w:after="100" w:afterAutospacing="1"/>
    </w:pPr>
    <w:rPr>
      <w:i/>
      <w:iCs/>
      <w:sz w:val="18"/>
      <w:szCs w:val="18"/>
      <w:lang w:val="en-US" w:eastAsia="en-US"/>
    </w:rPr>
  </w:style>
  <w:style w:type="paragraph" w:customStyle="1" w:styleId="xl114">
    <w:name w:val="xl114"/>
    <w:basedOn w:val="Normal"/>
    <w:rsid w:val="00107491"/>
    <w:pPr>
      <w:spacing w:before="100" w:beforeAutospacing="1" w:after="100" w:afterAutospacing="1"/>
    </w:pPr>
    <w:rPr>
      <w:color w:val="0563C1"/>
      <w:sz w:val="18"/>
      <w:szCs w:val="18"/>
      <w:u w:val="single"/>
      <w:lang w:val="en-US" w:eastAsia="en-US"/>
    </w:rPr>
  </w:style>
  <w:style w:type="paragraph" w:customStyle="1" w:styleId="xl115">
    <w:name w:val="xl115"/>
    <w:basedOn w:val="Normal"/>
    <w:rsid w:val="00107491"/>
    <w:pPr>
      <w:spacing w:before="100" w:beforeAutospacing="1" w:after="100" w:afterAutospacing="1"/>
      <w:jc w:val="center"/>
    </w:pPr>
    <w:rPr>
      <w:sz w:val="18"/>
      <w:szCs w:val="18"/>
      <w:lang w:val="en-US" w:eastAsia="en-US"/>
    </w:rPr>
  </w:style>
  <w:style w:type="paragraph" w:customStyle="1" w:styleId="xl116">
    <w:name w:val="xl116"/>
    <w:basedOn w:val="Normal"/>
    <w:rsid w:val="00107491"/>
    <w:pPr>
      <w:spacing w:before="100" w:beforeAutospacing="1" w:after="100" w:afterAutospacing="1"/>
      <w:jc w:val="both"/>
      <w:textAlignment w:val="center"/>
    </w:pPr>
    <w:rPr>
      <w:b/>
      <w:bCs/>
      <w:i/>
      <w:iCs/>
      <w:sz w:val="18"/>
      <w:szCs w:val="18"/>
      <w:lang w:val="en-US" w:eastAsia="en-US"/>
    </w:rPr>
  </w:style>
  <w:style w:type="paragraph" w:customStyle="1" w:styleId="xl117">
    <w:name w:val="xl117"/>
    <w:basedOn w:val="Normal"/>
    <w:rsid w:val="00107491"/>
    <w:pPr>
      <w:spacing w:before="100" w:beforeAutospacing="1" w:after="100" w:afterAutospacing="1"/>
      <w:textAlignment w:val="center"/>
    </w:pPr>
    <w:rPr>
      <w:i/>
      <w:iCs/>
      <w:sz w:val="18"/>
      <w:szCs w:val="18"/>
      <w:lang w:val="en-US" w:eastAsia="en-US"/>
    </w:rPr>
  </w:style>
  <w:style w:type="paragraph" w:customStyle="1" w:styleId="xl118">
    <w:name w:val="xl118"/>
    <w:basedOn w:val="Normal"/>
    <w:rsid w:val="00107491"/>
    <w:pPr>
      <w:pBdr>
        <w:left w:val="single" w:sz="8" w:space="0" w:color="auto"/>
        <w:right w:val="single" w:sz="8" w:space="0" w:color="auto"/>
      </w:pBdr>
      <w:spacing w:before="100" w:beforeAutospacing="1" w:after="100" w:afterAutospacing="1"/>
      <w:jc w:val="center"/>
      <w:textAlignment w:val="center"/>
    </w:pPr>
    <w:rPr>
      <w:b/>
      <w:bCs/>
      <w:sz w:val="20"/>
      <w:szCs w:val="20"/>
      <w:lang w:val="en-US" w:eastAsia="en-US"/>
    </w:rPr>
  </w:style>
  <w:style w:type="paragraph" w:customStyle="1" w:styleId="xl119">
    <w:name w:val="xl119"/>
    <w:basedOn w:val="Normal"/>
    <w:rsid w:val="00107491"/>
    <w:pPr>
      <w:spacing w:before="100" w:beforeAutospacing="1" w:after="100" w:afterAutospacing="1"/>
      <w:textAlignment w:val="center"/>
    </w:pPr>
    <w:rPr>
      <w:color w:val="0563C1"/>
      <w:sz w:val="18"/>
      <w:szCs w:val="18"/>
      <w:u w:val="single"/>
      <w:lang w:val="en-US" w:eastAsia="en-US"/>
    </w:rPr>
  </w:style>
  <w:style w:type="paragraph" w:customStyle="1" w:styleId="xl120">
    <w:name w:val="xl120"/>
    <w:basedOn w:val="Normal"/>
    <w:rsid w:val="00107491"/>
    <w:pPr>
      <w:spacing w:before="100" w:beforeAutospacing="1" w:after="100" w:afterAutospacing="1"/>
    </w:pPr>
    <w:rPr>
      <w:sz w:val="18"/>
      <w:szCs w:val="18"/>
      <w:lang w:val="en-US" w:eastAsia="en-US"/>
    </w:rPr>
  </w:style>
  <w:style w:type="paragraph" w:customStyle="1" w:styleId="xl121">
    <w:name w:val="xl121"/>
    <w:basedOn w:val="Normal"/>
    <w:rsid w:val="00107491"/>
    <w:pPr>
      <w:spacing w:before="100" w:beforeAutospacing="1" w:after="100" w:afterAutospacing="1"/>
    </w:pPr>
    <w:rPr>
      <w:i/>
      <w:iCs/>
      <w:sz w:val="18"/>
      <w:szCs w:val="18"/>
      <w:lang w:val="en-US" w:eastAsia="en-US"/>
    </w:rPr>
  </w:style>
  <w:style w:type="paragraph" w:customStyle="1" w:styleId="xl122">
    <w:name w:val="xl122"/>
    <w:basedOn w:val="Normal"/>
    <w:rsid w:val="00107491"/>
    <w:pPr>
      <w:spacing w:before="100" w:beforeAutospacing="1" w:after="100" w:afterAutospacing="1"/>
      <w:ind w:firstLineChars="200" w:firstLine="200"/>
      <w:textAlignment w:val="center"/>
    </w:pPr>
    <w:rPr>
      <w:i/>
      <w:iCs/>
      <w:sz w:val="18"/>
      <w:szCs w:val="18"/>
      <w:lang w:val="en-US" w:eastAsia="en-US"/>
    </w:rPr>
  </w:style>
  <w:style w:type="paragraph" w:customStyle="1" w:styleId="xl123">
    <w:name w:val="xl123"/>
    <w:basedOn w:val="Normal"/>
    <w:rsid w:val="00107491"/>
    <w:pPr>
      <w:pBdr>
        <w:left w:val="single" w:sz="8" w:space="0" w:color="auto"/>
      </w:pBdr>
      <w:spacing w:before="100" w:beforeAutospacing="1" w:after="100" w:afterAutospacing="1"/>
      <w:jc w:val="center"/>
      <w:textAlignment w:val="center"/>
    </w:pPr>
    <w:rPr>
      <w:i/>
      <w:iCs/>
      <w:sz w:val="18"/>
      <w:szCs w:val="18"/>
      <w:lang w:val="en-US" w:eastAsia="en-US"/>
    </w:rPr>
  </w:style>
  <w:style w:type="paragraph" w:customStyle="1" w:styleId="xl124">
    <w:name w:val="xl124"/>
    <w:basedOn w:val="Normal"/>
    <w:rsid w:val="00107491"/>
    <w:pPr>
      <w:spacing w:before="100" w:beforeAutospacing="1" w:after="100" w:afterAutospacing="1"/>
    </w:pPr>
    <w:rPr>
      <w:sz w:val="18"/>
      <w:szCs w:val="18"/>
      <w:lang w:val="en-US" w:eastAsia="en-US"/>
    </w:rPr>
  </w:style>
  <w:style w:type="paragraph" w:customStyle="1" w:styleId="xl125">
    <w:name w:val="xl125"/>
    <w:basedOn w:val="Normal"/>
    <w:rsid w:val="00107491"/>
    <w:pPr>
      <w:pBdr>
        <w:top w:val="single" w:sz="8" w:space="0" w:color="auto"/>
        <w:left w:val="single" w:sz="8" w:space="0" w:color="auto"/>
        <w:right w:val="single" w:sz="8" w:space="0" w:color="auto"/>
      </w:pBdr>
      <w:spacing w:before="100" w:beforeAutospacing="1" w:after="100" w:afterAutospacing="1"/>
      <w:textAlignment w:val="center"/>
    </w:pPr>
    <w:rPr>
      <w:sz w:val="18"/>
      <w:szCs w:val="18"/>
      <w:lang w:val="en-US" w:eastAsia="en-US"/>
    </w:rPr>
  </w:style>
  <w:style w:type="paragraph" w:customStyle="1" w:styleId="xl126">
    <w:name w:val="xl126"/>
    <w:basedOn w:val="Normal"/>
    <w:rsid w:val="00107491"/>
    <w:pPr>
      <w:pBdr>
        <w:left w:val="single" w:sz="8" w:space="0" w:color="auto"/>
        <w:right w:val="single" w:sz="8" w:space="0" w:color="auto"/>
      </w:pBdr>
      <w:spacing w:before="100" w:beforeAutospacing="1" w:after="100" w:afterAutospacing="1"/>
      <w:jc w:val="center"/>
      <w:textAlignment w:val="center"/>
    </w:pPr>
    <w:rPr>
      <w:b/>
      <w:bCs/>
      <w:sz w:val="18"/>
      <w:szCs w:val="18"/>
      <w:lang w:val="en-US" w:eastAsia="en-US"/>
    </w:rPr>
  </w:style>
  <w:style w:type="paragraph" w:customStyle="1" w:styleId="xl127">
    <w:name w:val="xl127"/>
    <w:basedOn w:val="Normal"/>
    <w:rsid w:val="00107491"/>
    <w:pPr>
      <w:pBdr>
        <w:top w:val="single" w:sz="8" w:space="0" w:color="auto"/>
        <w:left w:val="single" w:sz="8" w:space="0" w:color="auto"/>
        <w:right w:val="single" w:sz="8" w:space="0" w:color="auto"/>
      </w:pBdr>
      <w:spacing w:before="100" w:beforeAutospacing="1" w:after="100" w:afterAutospacing="1"/>
      <w:jc w:val="center"/>
      <w:textAlignment w:val="center"/>
    </w:pPr>
    <w:rPr>
      <w:b/>
      <w:bCs/>
      <w:sz w:val="18"/>
      <w:szCs w:val="18"/>
      <w:lang w:val="en-US" w:eastAsia="en-US"/>
    </w:rPr>
  </w:style>
  <w:style w:type="paragraph" w:customStyle="1" w:styleId="xl128">
    <w:name w:val="xl128"/>
    <w:basedOn w:val="Normal"/>
    <w:rsid w:val="00107491"/>
    <w:pPr>
      <w:pBdr>
        <w:top w:val="single" w:sz="8" w:space="0" w:color="auto"/>
        <w:bottom w:val="single" w:sz="8" w:space="0" w:color="auto"/>
        <w:right w:val="single" w:sz="8" w:space="0" w:color="000000"/>
      </w:pBdr>
      <w:spacing w:before="100" w:beforeAutospacing="1" w:after="100" w:afterAutospacing="1"/>
      <w:jc w:val="both"/>
      <w:textAlignment w:val="center"/>
    </w:pPr>
    <w:rPr>
      <w:sz w:val="18"/>
      <w:szCs w:val="18"/>
      <w:lang w:val="en-US" w:eastAsia="en-US"/>
    </w:rPr>
  </w:style>
  <w:style w:type="paragraph" w:customStyle="1" w:styleId="xl129">
    <w:name w:val="xl129"/>
    <w:basedOn w:val="Normal"/>
    <w:rsid w:val="00107491"/>
    <w:pPr>
      <w:pBdr>
        <w:bottom w:val="single" w:sz="8" w:space="0" w:color="auto"/>
        <w:right w:val="single" w:sz="8" w:space="0" w:color="auto"/>
      </w:pBdr>
      <w:spacing w:before="100" w:beforeAutospacing="1" w:after="100" w:afterAutospacing="1"/>
      <w:jc w:val="center"/>
      <w:textAlignment w:val="center"/>
    </w:pPr>
    <w:rPr>
      <w:sz w:val="18"/>
      <w:szCs w:val="18"/>
      <w:lang w:val="en-US" w:eastAsia="en-US"/>
    </w:rPr>
  </w:style>
  <w:style w:type="paragraph" w:customStyle="1" w:styleId="xl130">
    <w:name w:val="xl130"/>
    <w:basedOn w:val="Normal"/>
    <w:rsid w:val="00107491"/>
    <w:pPr>
      <w:pBdr>
        <w:bottom w:val="single" w:sz="8" w:space="0" w:color="auto"/>
      </w:pBdr>
      <w:spacing w:before="100" w:beforeAutospacing="1" w:after="100" w:afterAutospacing="1"/>
      <w:jc w:val="both"/>
      <w:textAlignment w:val="center"/>
    </w:pPr>
    <w:rPr>
      <w:b/>
      <w:bCs/>
      <w:sz w:val="18"/>
      <w:szCs w:val="18"/>
      <w:lang w:val="en-US" w:eastAsia="en-US"/>
    </w:rPr>
  </w:style>
  <w:style w:type="paragraph" w:customStyle="1" w:styleId="xl131">
    <w:name w:val="xl131"/>
    <w:basedOn w:val="Normal"/>
    <w:rsid w:val="00107491"/>
    <w:pPr>
      <w:pBdr>
        <w:top w:val="single" w:sz="8" w:space="0" w:color="auto"/>
        <w:left w:val="single" w:sz="8" w:space="0" w:color="auto"/>
        <w:right w:val="single" w:sz="8" w:space="0" w:color="auto"/>
      </w:pBdr>
      <w:spacing w:before="100" w:beforeAutospacing="1" w:after="100" w:afterAutospacing="1"/>
      <w:jc w:val="center"/>
      <w:textAlignment w:val="center"/>
    </w:pPr>
    <w:rPr>
      <w:sz w:val="18"/>
      <w:szCs w:val="18"/>
      <w:lang w:val="en-US" w:eastAsia="en-US"/>
    </w:rPr>
  </w:style>
  <w:style w:type="paragraph" w:customStyle="1" w:styleId="xl132">
    <w:name w:val="xl132"/>
    <w:basedOn w:val="Normal"/>
    <w:rsid w:val="00107491"/>
    <w:pPr>
      <w:pBdr>
        <w:top w:val="single" w:sz="8" w:space="0" w:color="auto"/>
        <w:left w:val="single" w:sz="8" w:space="0" w:color="auto"/>
        <w:right w:val="single" w:sz="8" w:space="0" w:color="auto"/>
      </w:pBdr>
      <w:spacing w:before="100" w:beforeAutospacing="1" w:after="100" w:afterAutospacing="1"/>
      <w:jc w:val="center"/>
      <w:textAlignment w:val="center"/>
    </w:pPr>
    <w:rPr>
      <w:b/>
      <w:bCs/>
      <w:sz w:val="18"/>
      <w:szCs w:val="18"/>
      <w:lang w:val="en-US" w:eastAsia="en-US"/>
    </w:rPr>
  </w:style>
  <w:style w:type="paragraph" w:customStyle="1" w:styleId="xl133">
    <w:name w:val="xl133"/>
    <w:basedOn w:val="Normal"/>
    <w:rsid w:val="00107491"/>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lang w:val="en-US" w:eastAsia="en-US"/>
    </w:rPr>
  </w:style>
  <w:style w:type="paragraph" w:customStyle="1" w:styleId="xl134">
    <w:name w:val="xl134"/>
    <w:basedOn w:val="Normal"/>
    <w:rsid w:val="00107491"/>
    <w:pPr>
      <w:pBdr>
        <w:left w:val="single" w:sz="8" w:space="0" w:color="auto"/>
        <w:bottom w:val="double" w:sz="6" w:space="0" w:color="auto"/>
        <w:right w:val="single" w:sz="8" w:space="0" w:color="auto"/>
      </w:pBdr>
      <w:spacing w:before="100" w:beforeAutospacing="1" w:after="100" w:afterAutospacing="1"/>
      <w:jc w:val="center"/>
      <w:textAlignment w:val="center"/>
    </w:pPr>
    <w:rPr>
      <w:b/>
      <w:bCs/>
      <w:sz w:val="18"/>
      <w:szCs w:val="18"/>
      <w:lang w:val="en-US" w:eastAsia="en-US"/>
    </w:rPr>
  </w:style>
  <w:style w:type="paragraph" w:customStyle="1" w:styleId="xl135">
    <w:name w:val="xl135"/>
    <w:basedOn w:val="Normal"/>
    <w:rsid w:val="00107491"/>
    <w:pPr>
      <w:pBdr>
        <w:top w:val="single" w:sz="8" w:space="0" w:color="auto"/>
        <w:left w:val="single" w:sz="8" w:space="0" w:color="auto"/>
        <w:bottom w:val="single" w:sz="8" w:space="0" w:color="auto"/>
      </w:pBdr>
      <w:spacing w:before="100" w:beforeAutospacing="1" w:after="100" w:afterAutospacing="1"/>
      <w:jc w:val="center"/>
    </w:pPr>
    <w:rPr>
      <w:b/>
      <w:bCs/>
      <w:sz w:val="18"/>
      <w:szCs w:val="18"/>
      <w:lang w:val="en-US" w:eastAsia="en-US"/>
    </w:rPr>
  </w:style>
  <w:style w:type="paragraph" w:customStyle="1" w:styleId="xl136">
    <w:name w:val="xl136"/>
    <w:basedOn w:val="Normal"/>
    <w:rsid w:val="00107491"/>
    <w:pPr>
      <w:pBdr>
        <w:top w:val="single" w:sz="8" w:space="0" w:color="auto"/>
        <w:bottom w:val="single" w:sz="8" w:space="0" w:color="auto"/>
      </w:pBdr>
      <w:spacing w:before="100" w:beforeAutospacing="1" w:after="100" w:afterAutospacing="1"/>
      <w:jc w:val="center"/>
    </w:pPr>
    <w:rPr>
      <w:b/>
      <w:bCs/>
      <w:sz w:val="18"/>
      <w:szCs w:val="18"/>
      <w:lang w:val="en-US" w:eastAsia="en-US"/>
    </w:rPr>
  </w:style>
  <w:style w:type="paragraph" w:customStyle="1" w:styleId="xl137">
    <w:name w:val="xl137"/>
    <w:basedOn w:val="Normal"/>
    <w:rsid w:val="00107491"/>
    <w:pPr>
      <w:pBdr>
        <w:top w:val="single" w:sz="8" w:space="0" w:color="auto"/>
        <w:bottom w:val="single" w:sz="8" w:space="0" w:color="auto"/>
        <w:right w:val="single" w:sz="8" w:space="0" w:color="auto"/>
      </w:pBdr>
      <w:spacing w:before="100" w:beforeAutospacing="1" w:after="100" w:afterAutospacing="1"/>
      <w:jc w:val="center"/>
    </w:pPr>
    <w:rPr>
      <w:b/>
      <w:bCs/>
      <w:sz w:val="18"/>
      <w:szCs w:val="18"/>
      <w:lang w:val="en-US" w:eastAsia="en-US"/>
    </w:rPr>
  </w:style>
  <w:style w:type="paragraph" w:customStyle="1" w:styleId="xl138">
    <w:name w:val="xl138"/>
    <w:basedOn w:val="Normal"/>
    <w:rsid w:val="00107491"/>
    <w:pPr>
      <w:pBdr>
        <w:top w:val="single" w:sz="8" w:space="0" w:color="auto"/>
        <w:left w:val="single" w:sz="8" w:space="0" w:color="auto"/>
        <w:right w:val="single" w:sz="8" w:space="0" w:color="auto"/>
      </w:pBdr>
      <w:spacing w:before="100" w:beforeAutospacing="1" w:after="100" w:afterAutospacing="1"/>
      <w:jc w:val="center"/>
      <w:textAlignment w:val="center"/>
    </w:pPr>
    <w:rPr>
      <w:b/>
      <w:bCs/>
      <w:sz w:val="18"/>
      <w:szCs w:val="18"/>
      <w:lang w:val="en-US" w:eastAsia="en-US"/>
    </w:rPr>
  </w:style>
  <w:style w:type="paragraph" w:customStyle="1" w:styleId="xl139">
    <w:name w:val="xl139"/>
    <w:basedOn w:val="Normal"/>
    <w:rsid w:val="00107491"/>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lang w:val="en-US" w:eastAsia="en-US"/>
    </w:rPr>
  </w:style>
  <w:style w:type="paragraph" w:customStyle="1" w:styleId="xl140">
    <w:name w:val="xl140"/>
    <w:basedOn w:val="Normal"/>
    <w:rsid w:val="00107491"/>
    <w:pPr>
      <w:pBdr>
        <w:top w:val="single" w:sz="8" w:space="0" w:color="auto"/>
        <w:left w:val="single" w:sz="8" w:space="0" w:color="auto"/>
        <w:bottom w:val="single" w:sz="8" w:space="0" w:color="auto"/>
      </w:pBdr>
      <w:spacing w:before="100" w:beforeAutospacing="1" w:after="100" w:afterAutospacing="1"/>
      <w:jc w:val="both"/>
      <w:textAlignment w:val="center"/>
    </w:pPr>
    <w:rPr>
      <w:sz w:val="18"/>
      <w:szCs w:val="18"/>
      <w:lang w:val="en-US" w:eastAsia="en-US"/>
    </w:rPr>
  </w:style>
  <w:style w:type="paragraph" w:customStyle="1" w:styleId="xl141">
    <w:name w:val="xl141"/>
    <w:basedOn w:val="Normal"/>
    <w:rsid w:val="00107491"/>
    <w:pPr>
      <w:pBdr>
        <w:top w:val="single" w:sz="8" w:space="0" w:color="auto"/>
        <w:bottom w:val="single" w:sz="8" w:space="0" w:color="auto"/>
      </w:pBdr>
      <w:spacing w:before="100" w:beforeAutospacing="1" w:after="100" w:afterAutospacing="1"/>
      <w:jc w:val="both"/>
      <w:textAlignment w:val="center"/>
    </w:pPr>
    <w:rPr>
      <w:sz w:val="18"/>
      <w:szCs w:val="18"/>
      <w:lang w:val="en-US" w:eastAsia="en-US"/>
    </w:rPr>
  </w:style>
  <w:style w:type="paragraph" w:customStyle="1" w:styleId="xl142">
    <w:name w:val="xl142"/>
    <w:basedOn w:val="Normal"/>
    <w:rsid w:val="00107491"/>
    <w:pPr>
      <w:pBdr>
        <w:top w:val="single" w:sz="8" w:space="0" w:color="auto"/>
        <w:left w:val="single" w:sz="8" w:space="0" w:color="auto"/>
        <w:bottom w:val="single" w:sz="8" w:space="0" w:color="auto"/>
      </w:pBdr>
      <w:spacing w:before="100" w:beforeAutospacing="1" w:after="100" w:afterAutospacing="1"/>
      <w:jc w:val="both"/>
      <w:textAlignment w:val="center"/>
    </w:pPr>
    <w:rPr>
      <w:color w:val="000000"/>
      <w:sz w:val="18"/>
      <w:szCs w:val="18"/>
      <w:lang w:val="en-US" w:eastAsia="en-US"/>
    </w:rPr>
  </w:style>
  <w:style w:type="paragraph" w:customStyle="1" w:styleId="xl143">
    <w:name w:val="xl143"/>
    <w:basedOn w:val="Normal"/>
    <w:rsid w:val="00107491"/>
    <w:pPr>
      <w:pBdr>
        <w:top w:val="single" w:sz="8" w:space="0" w:color="auto"/>
        <w:bottom w:val="single" w:sz="8" w:space="0" w:color="auto"/>
      </w:pBdr>
      <w:spacing w:before="100" w:beforeAutospacing="1" w:after="100" w:afterAutospacing="1"/>
      <w:jc w:val="both"/>
      <w:textAlignment w:val="center"/>
    </w:pPr>
    <w:rPr>
      <w:color w:val="000000"/>
      <w:sz w:val="18"/>
      <w:szCs w:val="18"/>
      <w:lang w:val="en-US" w:eastAsia="en-US"/>
    </w:rPr>
  </w:style>
  <w:style w:type="paragraph" w:customStyle="1" w:styleId="xl144">
    <w:name w:val="xl144"/>
    <w:basedOn w:val="Normal"/>
    <w:rsid w:val="00107491"/>
    <w:pPr>
      <w:pBdr>
        <w:top w:val="single" w:sz="8" w:space="0" w:color="auto"/>
        <w:bottom w:val="single" w:sz="8" w:space="0" w:color="auto"/>
        <w:right w:val="single" w:sz="8" w:space="0" w:color="000000"/>
      </w:pBdr>
      <w:spacing w:before="100" w:beforeAutospacing="1" w:after="100" w:afterAutospacing="1"/>
      <w:jc w:val="both"/>
      <w:textAlignment w:val="center"/>
    </w:pPr>
    <w:rPr>
      <w:color w:val="000000"/>
      <w:sz w:val="18"/>
      <w:szCs w:val="18"/>
      <w:lang w:val="en-US" w:eastAsia="en-US"/>
    </w:rPr>
  </w:style>
  <w:style w:type="paragraph" w:customStyle="1" w:styleId="xl145">
    <w:name w:val="xl145"/>
    <w:basedOn w:val="Normal"/>
    <w:rsid w:val="00107491"/>
    <w:pPr>
      <w:pBdr>
        <w:top w:val="single" w:sz="8" w:space="0" w:color="auto"/>
        <w:bottom w:val="single" w:sz="8" w:space="0" w:color="auto"/>
        <w:right w:val="single" w:sz="8" w:space="0" w:color="auto"/>
      </w:pBdr>
      <w:spacing w:before="100" w:beforeAutospacing="1" w:after="100" w:afterAutospacing="1"/>
      <w:jc w:val="both"/>
      <w:textAlignment w:val="center"/>
    </w:pPr>
    <w:rPr>
      <w:color w:val="000000"/>
      <w:sz w:val="18"/>
      <w:szCs w:val="18"/>
      <w:lang w:val="en-US" w:eastAsia="en-US"/>
    </w:rPr>
  </w:style>
  <w:style w:type="paragraph" w:customStyle="1" w:styleId="xl146">
    <w:name w:val="xl146"/>
    <w:basedOn w:val="Normal"/>
    <w:rsid w:val="00107491"/>
    <w:pPr>
      <w:pBdr>
        <w:top w:val="single" w:sz="8" w:space="0" w:color="auto"/>
        <w:left w:val="single" w:sz="8" w:space="0" w:color="auto"/>
        <w:right w:val="single" w:sz="8" w:space="0" w:color="auto"/>
      </w:pBdr>
      <w:spacing w:before="100" w:beforeAutospacing="1" w:after="100" w:afterAutospacing="1"/>
      <w:jc w:val="center"/>
      <w:textAlignment w:val="center"/>
    </w:pPr>
    <w:rPr>
      <w:b/>
      <w:bCs/>
      <w:i/>
      <w:iCs/>
      <w:sz w:val="18"/>
      <w:szCs w:val="18"/>
      <w:lang w:val="en-US" w:eastAsia="en-US"/>
    </w:rPr>
  </w:style>
  <w:style w:type="paragraph" w:customStyle="1" w:styleId="xl147">
    <w:name w:val="xl147"/>
    <w:basedOn w:val="Normal"/>
    <w:rsid w:val="00107491"/>
    <w:pPr>
      <w:pBdr>
        <w:left w:val="single" w:sz="8" w:space="0" w:color="auto"/>
        <w:bottom w:val="single" w:sz="8" w:space="0" w:color="auto"/>
        <w:right w:val="single" w:sz="8" w:space="0" w:color="auto"/>
      </w:pBdr>
      <w:spacing w:before="100" w:beforeAutospacing="1" w:after="100" w:afterAutospacing="1"/>
      <w:jc w:val="center"/>
      <w:textAlignment w:val="center"/>
    </w:pPr>
    <w:rPr>
      <w:b/>
      <w:bCs/>
      <w:i/>
      <w:iCs/>
      <w:sz w:val="18"/>
      <w:szCs w:val="18"/>
      <w:lang w:val="en-US" w:eastAsia="en-US"/>
    </w:rPr>
  </w:style>
  <w:style w:type="paragraph" w:customStyle="1" w:styleId="xl148">
    <w:name w:val="xl148"/>
    <w:basedOn w:val="Normal"/>
    <w:rsid w:val="00107491"/>
    <w:pPr>
      <w:pBdr>
        <w:left w:val="single" w:sz="8" w:space="0" w:color="auto"/>
        <w:right w:val="single" w:sz="8" w:space="0" w:color="auto"/>
      </w:pBdr>
      <w:spacing w:before="100" w:beforeAutospacing="1" w:after="100" w:afterAutospacing="1"/>
      <w:jc w:val="center"/>
      <w:textAlignment w:val="center"/>
    </w:pPr>
    <w:rPr>
      <w:b/>
      <w:bCs/>
      <w:sz w:val="18"/>
      <w:szCs w:val="18"/>
      <w:lang w:val="en-US" w:eastAsia="en-US"/>
    </w:rPr>
  </w:style>
  <w:style w:type="paragraph" w:customStyle="1" w:styleId="xl149">
    <w:name w:val="xl149"/>
    <w:basedOn w:val="Normal"/>
    <w:rsid w:val="00107491"/>
    <w:pPr>
      <w:pBdr>
        <w:top w:val="double" w:sz="6" w:space="0" w:color="auto"/>
        <w:bottom w:val="single" w:sz="8" w:space="0" w:color="auto"/>
      </w:pBdr>
      <w:spacing w:before="100" w:beforeAutospacing="1" w:after="100" w:afterAutospacing="1"/>
      <w:jc w:val="right"/>
      <w:textAlignment w:val="center"/>
    </w:pPr>
    <w:rPr>
      <w:b/>
      <w:bCs/>
      <w:sz w:val="18"/>
      <w:szCs w:val="18"/>
      <w:lang w:val="en-US" w:eastAsia="en-US"/>
    </w:rPr>
  </w:style>
  <w:style w:type="paragraph" w:customStyle="1" w:styleId="xl150">
    <w:name w:val="xl150"/>
    <w:basedOn w:val="Normal"/>
    <w:rsid w:val="00107491"/>
    <w:pPr>
      <w:pBdr>
        <w:top w:val="double" w:sz="6" w:space="0" w:color="auto"/>
        <w:bottom w:val="single" w:sz="8" w:space="0" w:color="auto"/>
        <w:right w:val="single" w:sz="8" w:space="0" w:color="auto"/>
      </w:pBdr>
      <w:spacing w:before="100" w:beforeAutospacing="1" w:after="100" w:afterAutospacing="1"/>
      <w:jc w:val="right"/>
      <w:textAlignment w:val="center"/>
    </w:pPr>
    <w:rPr>
      <w:b/>
      <w:bCs/>
      <w:sz w:val="18"/>
      <w:szCs w:val="18"/>
      <w:lang w:val="en-US" w:eastAsia="en-US"/>
    </w:rPr>
  </w:style>
  <w:style w:type="paragraph" w:customStyle="1" w:styleId="xl151">
    <w:name w:val="xl151"/>
    <w:basedOn w:val="Normal"/>
    <w:rsid w:val="00107491"/>
    <w:pPr>
      <w:pBdr>
        <w:top w:val="double" w:sz="6" w:space="0" w:color="auto"/>
        <w:left w:val="single" w:sz="8" w:space="0" w:color="auto"/>
        <w:right w:val="single" w:sz="8" w:space="0" w:color="auto"/>
      </w:pBdr>
      <w:spacing w:before="100" w:beforeAutospacing="1" w:after="100" w:afterAutospacing="1"/>
      <w:jc w:val="center"/>
      <w:textAlignment w:val="center"/>
    </w:pPr>
    <w:rPr>
      <w:b/>
      <w:bCs/>
      <w:sz w:val="18"/>
      <w:szCs w:val="18"/>
      <w:lang w:val="en-US" w:eastAsia="en-US"/>
    </w:rPr>
  </w:style>
  <w:style w:type="paragraph" w:customStyle="1" w:styleId="xl152">
    <w:name w:val="xl152"/>
    <w:basedOn w:val="Normal"/>
    <w:rsid w:val="00107491"/>
    <w:pPr>
      <w:pBdr>
        <w:top w:val="double" w:sz="6" w:space="0" w:color="auto"/>
        <w:bottom w:val="double" w:sz="6" w:space="0" w:color="auto"/>
      </w:pBdr>
      <w:spacing w:before="100" w:beforeAutospacing="1" w:after="100" w:afterAutospacing="1"/>
      <w:jc w:val="right"/>
      <w:textAlignment w:val="center"/>
    </w:pPr>
    <w:rPr>
      <w:b/>
      <w:bCs/>
      <w:sz w:val="18"/>
      <w:szCs w:val="18"/>
      <w:lang w:val="en-US" w:eastAsia="en-US"/>
    </w:rPr>
  </w:style>
  <w:style w:type="paragraph" w:customStyle="1" w:styleId="xl153">
    <w:name w:val="xl153"/>
    <w:basedOn w:val="Normal"/>
    <w:rsid w:val="00107491"/>
    <w:pPr>
      <w:pBdr>
        <w:top w:val="double" w:sz="6" w:space="0" w:color="auto"/>
        <w:bottom w:val="double" w:sz="6" w:space="0" w:color="auto"/>
        <w:right w:val="single" w:sz="8" w:space="0" w:color="auto"/>
      </w:pBdr>
      <w:spacing w:before="100" w:beforeAutospacing="1" w:after="100" w:afterAutospacing="1"/>
      <w:jc w:val="right"/>
      <w:textAlignment w:val="center"/>
    </w:pPr>
    <w:rPr>
      <w:b/>
      <w:bCs/>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0684646">
      <w:bodyDiv w:val="1"/>
      <w:marLeft w:val="0"/>
      <w:marRight w:val="0"/>
      <w:marTop w:val="0"/>
      <w:marBottom w:val="0"/>
      <w:divBdr>
        <w:top w:val="none" w:sz="0" w:space="0" w:color="auto"/>
        <w:left w:val="none" w:sz="0" w:space="0" w:color="auto"/>
        <w:bottom w:val="none" w:sz="0" w:space="0" w:color="auto"/>
        <w:right w:val="none" w:sz="0" w:space="0" w:color="auto"/>
      </w:divBdr>
    </w:div>
    <w:div w:id="34163184">
      <w:bodyDiv w:val="1"/>
      <w:marLeft w:val="0"/>
      <w:marRight w:val="0"/>
      <w:marTop w:val="0"/>
      <w:marBottom w:val="0"/>
      <w:divBdr>
        <w:top w:val="none" w:sz="0" w:space="0" w:color="auto"/>
        <w:left w:val="none" w:sz="0" w:space="0" w:color="auto"/>
        <w:bottom w:val="none" w:sz="0" w:space="0" w:color="auto"/>
        <w:right w:val="none" w:sz="0" w:space="0" w:color="auto"/>
      </w:divBdr>
    </w:div>
    <w:div w:id="37704355">
      <w:bodyDiv w:val="1"/>
      <w:marLeft w:val="0"/>
      <w:marRight w:val="0"/>
      <w:marTop w:val="0"/>
      <w:marBottom w:val="0"/>
      <w:divBdr>
        <w:top w:val="none" w:sz="0" w:space="0" w:color="auto"/>
        <w:left w:val="none" w:sz="0" w:space="0" w:color="auto"/>
        <w:bottom w:val="none" w:sz="0" w:space="0" w:color="auto"/>
        <w:right w:val="none" w:sz="0" w:space="0" w:color="auto"/>
      </w:divBdr>
    </w:div>
    <w:div w:id="73862000">
      <w:bodyDiv w:val="1"/>
      <w:marLeft w:val="0"/>
      <w:marRight w:val="0"/>
      <w:marTop w:val="0"/>
      <w:marBottom w:val="0"/>
      <w:divBdr>
        <w:top w:val="none" w:sz="0" w:space="0" w:color="auto"/>
        <w:left w:val="none" w:sz="0" w:space="0" w:color="auto"/>
        <w:bottom w:val="none" w:sz="0" w:space="0" w:color="auto"/>
        <w:right w:val="none" w:sz="0" w:space="0" w:color="auto"/>
      </w:divBdr>
    </w:div>
    <w:div w:id="92746878">
      <w:bodyDiv w:val="1"/>
      <w:marLeft w:val="0"/>
      <w:marRight w:val="0"/>
      <w:marTop w:val="0"/>
      <w:marBottom w:val="0"/>
      <w:divBdr>
        <w:top w:val="none" w:sz="0" w:space="0" w:color="auto"/>
        <w:left w:val="none" w:sz="0" w:space="0" w:color="auto"/>
        <w:bottom w:val="none" w:sz="0" w:space="0" w:color="auto"/>
        <w:right w:val="none" w:sz="0" w:space="0" w:color="auto"/>
      </w:divBdr>
    </w:div>
    <w:div w:id="103237673">
      <w:bodyDiv w:val="1"/>
      <w:marLeft w:val="0"/>
      <w:marRight w:val="0"/>
      <w:marTop w:val="0"/>
      <w:marBottom w:val="0"/>
      <w:divBdr>
        <w:top w:val="none" w:sz="0" w:space="0" w:color="auto"/>
        <w:left w:val="none" w:sz="0" w:space="0" w:color="auto"/>
        <w:bottom w:val="none" w:sz="0" w:space="0" w:color="auto"/>
        <w:right w:val="none" w:sz="0" w:space="0" w:color="auto"/>
      </w:divBdr>
    </w:div>
    <w:div w:id="104540175">
      <w:bodyDiv w:val="1"/>
      <w:marLeft w:val="0"/>
      <w:marRight w:val="0"/>
      <w:marTop w:val="0"/>
      <w:marBottom w:val="0"/>
      <w:divBdr>
        <w:top w:val="none" w:sz="0" w:space="0" w:color="auto"/>
        <w:left w:val="none" w:sz="0" w:space="0" w:color="auto"/>
        <w:bottom w:val="none" w:sz="0" w:space="0" w:color="auto"/>
        <w:right w:val="none" w:sz="0" w:space="0" w:color="auto"/>
      </w:divBdr>
      <w:divsChild>
        <w:div w:id="1724863918">
          <w:marLeft w:val="0"/>
          <w:marRight w:val="0"/>
          <w:marTop w:val="0"/>
          <w:marBottom w:val="0"/>
          <w:divBdr>
            <w:top w:val="none" w:sz="0" w:space="0" w:color="auto"/>
            <w:left w:val="none" w:sz="0" w:space="0" w:color="auto"/>
            <w:bottom w:val="none" w:sz="0" w:space="0" w:color="auto"/>
            <w:right w:val="none" w:sz="0" w:space="0" w:color="auto"/>
          </w:divBdr>
          <w:divsChild>
            <w:div w:id="1793597999">
              <w:marLeft w:val="0"/>
              <w:marRight w:val="0"/>
              <w:marTop w:val="0"/>
              <w:marBottom w:val="0"/>
              <w:divBdr>
                <w:top w:val="none" w:sz="0" w:space="0" w:color="auto"/>
                <w:left w:val="none" w:sz="0" w:space="0" w:color="auto"/>
                <w:bottom w:val="none" w:sz="0" w:space="0" w:color="auto"/>
                <w:right w:val="none" w:sz="0" w:space="0" w:color="auto"/>
              </w:divBdr>
              <w:divsChild>
                <w:div w:id="66901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79794">
      <w:bodyDiv w:val="1"/>
      <w:marLeft w:val="0"/>
      <w:marRight w:val="0"/>
      <w:marTop w:val="0"/>
      <w:marBottom w:val="0"/>
      <w:divBdr>
        <w:top w:val="none" w:sz="0" w:space="0" w:color="auto"/>
        <w:left w:val="none" w:sz="0" w:space="0" w:color="auto"/>
        <w:bottom w:val="none" w:sz="0" w:space="0" w:color="auto"/>
        <w:right w:val="none" w:sz="0" w:space="0" w:color="auto"/>
      </w:divBdr>
    </w:div>
    <w:div w:id="159080579">
      <w:bodyDiv w:val="1"/>
      <w:marLeft w:val="0"/>
      <w:marRight w:val="0"/>
      <w:marTop w:val="0"/>
      <w:marBottom w:val="0"/>
      <w:divBdr>
        <w:top w:val="none" w:sz="0" w:space="0" w:color="auto"/>
        <w:left w:val="none" w:sz="0" w:space="0" w:color="auto"/>
        <w:bottom w:val="none" w:sz="0" w:space="0" w:color="auto"/>
        <w:right w:val="none" w:sz="0" w:space="0" w:color="auto"/>
      </w:divBdr>
    </w:div>
    <w:div w:id="165290158">
      <w:bodyDiv w:val="1"/>
      <w:marLeft w:val="0"/>
      <w:marRight w:val="0"/>
      <w:marTop w:val="0"/>
      <w:marBottom w:val="0"/>
      <w:divBdr>
        <w:top w:val="none" w:sz="0" w:space="0" w:color="auto"/>
        <w:left w:val="none" w:sz="0" w:space="0" w:color="auto"/>
        <w:bottom w:val="none" w:sz="0" w:space="0" w:color="auto"/>
        <w:right w:val="none" w:sz="0" w:space="0" w:color="auto"/>
      </w:divBdr>
    </w:div>
    <w:div w:id="219943999">
      <w:bodyDiv w:val="1"/>
      <w:marLeft w:val="0"/>
      <w:marRight w:val="0"/>
      <w:marTop w:val="0"/>
      <w:marBottom w:val="0"/>
      <w:divBdr>
        <w:top w:val="none" w:sz="0" w:space="0" w:color="auto"/>
        <w:left w:val="none" w:sz="0" w:space="0" w:color="auto"/>
        <w:bottom w:val="none" w:sz="0" w:space="0" w:color="auto"/>
        <w:right w:val="none" w:sz="0" w:space="0" w:color="auto"/>
      </w:divBdr>
    </w:div>
    <w:div w:id="226651027">
      <w:bodyDiv w:val="1"/>
      <w:marLeft w:val="0"/>
      <w:marRight w:val="0"/>
      <w:marTop w:val="0"/>
      <w:marBottom w:val="0"/>
      <w:divBdr>
        <w:top w:val="none" w:sz="0" w:space="0" w:color="auto"/>
        <w:left w:val="none" w:sz="0" w:space="0" w:color="auto"/>
        <w:bottom w:val="none" w:sz="0" w:space="0" w:color="auto"/>
        <w:right w:val="none" w:sz="0" w:space="0" w:color="auto"/>
      </w:divBdr>
    </w:div>
    <w:div w:id="235478770">
      <w:bodyDiv w:val="1"/>
      <w:marLeft w:val="0"/>
      <w:marRight w:val="0"/>
      <w:marTop w:val="0"/>
      <w:marBottom w:val="0"/>
      <w:divBdr>
        <w:top w:val="none" w:sz="0" w:space="0" w:color="auto"/>
        <w:left w:val="none" w:sz="0" w:space="0" w:color="auto"/>
        <w:bottom w:val="none" w:sz="0" w:space="0" w:color="auto"/>
        <w:right w:val="none" w:sz="0" w:space="0" w:color="auto"/>
      </w:divBdr>
      <w:divsChild>
        <w:div w:id="720207020">
          <w:marLeft w:val="0"/>
          <w:marRight w:val="0"/>
          <w:marTop w:val="0"/>
          <w:marBottom w:val="326"/>
          <w:divBdr>
            <w:top w:val="none" w:sz="0" w:space="0" w:color="auto"/>
            <w:left w:val="none" w:sz="0" w:space="0" w:color="auto"/>
            <w:bottom w:val="none" w:sz="0" w:space="0" w:color="auto"/>
            <w:right w:val="none" w:sz="0" w:space="0" w:color="auto"/>
          </w:divBdr>
        </w:div>
      </w:divsChild>
    </w:div>
    <w:div w:id="238103554">
      <w:bodyDiv w:val="1"/>
      <w:marLeft w:val="0"/>
      <w:marRight w:val="0"/>
      <w:marTop w:val="0"/>
      <w:marBottom w:val="0"/>
      <w:divBdr>
        <w:top w:val="none" w:sz="0" w:space="0" w:color="auto"/>
        <w:left w:val="none" w:sz="0" w:space="0" w:color="auto"/>
        <w:bottom w:val="none" w:sz="0" w:space="0" w:color="auto"/>
        <w:right w:val="none" w:sz="0" w:space="0" w:color="auto"/>
      </w:divBdr>
    </w:div>
    <w:div w:id="238950778">
      <w:bodyDiv w:val="1"/>
      <w:marLeft w:val="0"/>
      <w:marRight w:val="0"/>
      <w:marTop w:val="0"/>
      <w:marBottom w:val="0"/>
      <w:divBdr>
        <w:top w:val="none" w:sz="0" w:space="0" w:color="auto"/>
        <w:left w:val="none" w:sz="0" w:space="0" w:color="auto"/>
        <w:bottom w:val="none" w:sz="0" w:space="0" w:color="auto"/>
        <w:right w:val="none" w:sz="0" w:space="0" w:color="auto"/>
      </w:divBdr>
    </w:div>
    <w:div w:id="250968570">
      <w:bodyDiv w:val="1"/>
      <w:marLeft w:val="0"/>
      <w:marRight w:val="0"/>
      <w:marTop w:val="0"/>
      <w:marBottom w:val="0"/>
      <w:divBdr>
        <w:top w:val="none" w:sz="0" w:space="0" w:color="auto"/>
        <w:left w:val="none" w:sz="0" w:space="0" w:color="auto"/>
        <w:bottom w:val="none" w:sz="0" w:space="0" w:color="auto"/>
        <w:right w:val="none" w:sz="0" w:space="0" w:color="auto"/>
      </w:divBdr>
    </w:div>
    <w:div w:id="251205500">
      <w:bodyDiv w:val="1"/>
      <w:marLeft w:val="0"/>
      <w:marRight w:val="0"/>
      <w:marTop w:val="0"/>
      <w:marBottom w:val="0"/>
      <w:divBdr>
        <w:top w:val="none" w:sz="0" w:space="0" w:color="auto"/>
        <w:left w:val="none" w:sz="0" w:space="0" w:color="auto"/>
        <w:bottom w:val="none" w:sz="0" w:space="0" w:color="auto"/>
        <w:right w:val="none" w:sz="0" w:space="0" w:color="auto"/>
      </w:divBdr>
    </w:div>
    <w:div w:id="259801023">
      <w:bodyDiv w:val="1"/>
      <w:marLeft w:val="0"/>
      <w:marRight w:val="0"/>
      <w:marTop w:val="0"/>
      <w:marBottom w:val="0"/>
      <w:divBdr>
        <w:top w:val="none" w:sz="0" w:space="0" w:color="auto"/>
        <w:left w:val="none" w:sz="0" w:space="0" w:color="auto"/>
        <w:bottom w:val="none" w:sz="0" w:space="0" w:color="auto"/>
        <w:right w:val="none" w:sz="0" w:space="0" w:color="auto"/>
      </w:divBdr>
    </w:div>
    <w:div w:id="354812833">
      <w:bodyDiv w:val="1"/>
      <w:marLeft w:val="0"/>
      <w:marRight w:val="0"/>
      <w:marTop w:val="0"/>
      <w:marBottom w:val="0"/>
      <w:divBdr>
        <w:top w:val="none" w:sz="0" w:space="0" w:color="auto"/>
        <w:left w:val="none" w:sz="0" w:space="0" w:color="auto"/>
        <w:bottom w:val="none" w:sz="0" w:space="0" w:color="auto"/>
        <w:right w:val="none" w:sz="0" w:space="0" w:color="auto"/>
      </w:divBdr>
    </w:div>
    <w:div w:id="363336824">
      <w:bodyDiv w:val="1"/>
      <w:marLeft w:val="0"/>
      <w:marRight w:val="0"/>
      <w:marTop w:val="0"/>
      <w:marBottom w:val="0"/>
      <w:divBdr>
        <w:top w:val="none" w:sz="0" w:space="0" w:color="auto"/>
        <w:left w:val="none" w:sz="0" w:space="0" w:color="auto"/>
        <w:bottom w:val="none" w:sz="0" w:space="0" w:color="auto"/>
        <w:right w:val="none" w:sz="0" w:space="0" w:color="auto"/>
      </w:divBdr>
      <w:divsChild>
        <w:div w:id="612975257">
          <w:marLeft w:val="0"/>
          <w:marRight w:val="0"/>
          <w:marTop w:val="0"/>
          <w:marBottom w:val="0"/>
          <w:divBdr>
            <w:top w:val="none" w:sz="0" w:space="0" w:color="auto"/>
            <w:left w:val="none" w:sz="0" w:space="0" w:color="auto"/>
            <w:bottom w:val="none" w:sz="0" w:space="0" w:color="auto"/>
            <w:right w:val="none" w:sz="0" w:space="0" w:color="auto"/>
          </w:divBdr>
        </w:div>
      </w:divsChild>
    </w:div>
    <w:div w:id="387413365">
      <w:bodyDiv w:val="1"/>
      <w:marLeft w:val="0"/>
      <w:marRight w:val="0"/>
      <w:marTop w:val="0"/>
      <w:marBottom w:val="0"/>
      <w:divBdr>
        <w:top w:val="none" w:sz="0" w:space="0" w:color="auto"/>
        <w:left w:val="none" w:sz="0" w:space="0" w:color="auto"/>
        <w:bottom w:val="none" w:sz="0" w:space="0" w:color="auto"/>
        <w:right w:val="none" w:sz="0" w:space="0" w:color="auto"/>
      </w:divBdr>
    </w:div>
    <w:div w:id="452408144">
      <w:bodyDiv w:val="1"/>
      <w:marLeft w:val="0"/>
      <w:marRight w:val="0"/>
      <w:marTop w:val="0"/>
      <w:marBottom w:val="0"/>
      <w:divBdr>
        <w:top w:val="none" w:sz="0" w:space="0" w:color="auto"/>
        <w:left w:val="none" w:sz="0" w:space="0" w:color="auto"/>
        <w:bottom w:val="none" w:sz="0" w:space="0" w:color="auto"/>
        <w:right w:val="none" w:sz="0" w:space="0" w:color="auto"/>
      </w:divBdr>
    </w:div>
    <w:div w:id="471141121">
      <w:bodyDiv w:val="1"/>
      <w:marLeft w:val="0"/>
      <w:marRight w:val="0"/>
      <w:marTop w:val="0"/>
      <w:marBottom w:val="0"/>
      <w:divBdr>
        <w:top w:val="none" w:sz="0" w:space="0" w:color="auto"/>
        <w:left w:val="none" w:sz="0" w:space="0" w:color="auto"/>
        <w:bottom w:val="none" w:sz="0" w:space="0" w:color="auto"/>
        <w:right w:val="none" w:sz="0" w:space="0" w:color="auto"/>
      </w:divBdr>
      <w:divsChild>
        <w:div w:id="276106700">
          <w:marLeft w:val="446"/>
          <w:marRight w:val="0"/>
          <w:marTop w:val="0"/>
          <w:marBottom w:val="0"/>
          <w:divBdr>
            <w:top w:val="none" w:sz="0" w:space="0" w:color="auto"/>
            <w:left w:val="none" w:sz="0" w:space="0" w:color="auto"/>
            <w:bottom w:val="none" w:sz="0" w:space="0" w:color="auto"/>
            <w:right w:val="none" w:sz="0" w:space="0" w:color="auto"/>
          </w:divBdr>
        </w:div>
        <w:div w:id="402602391">
          <w:marLeft w:val="446"/>
          <w:marRight w:val="0"/>
          <w:marTop w:val="0"/>
          <w:marBottom w:val="0"/>
          <w:divBdr>
            <w:top w:val="none" w:sz="0" w:space="0" w:color="auto"/>
            <w:left w:val="none" w:sz="0" w:space="0" w:color="auto"/>
            <w:bottom w:val="none" w:sz="0" w:space="0" w:color="auto"/>
            <w:right w:val="none" w:sz="0" w:space="0" w:color="auto"/>
          </w:divBdr>
        </w:div>
        <w:div w:id="980890985">
          <w:marLeft w:val="446"/>
          <w:marRight w:val="0"/>
          <w:marTop w:val="0"/>
          <w:marBottom w:val="0"/>
          <w:divBdr>
            <w:top w:val="none" w:sz="0" w:space="0" w:color="auto"/>
            <w:left w:val="none" w:sz="0" w:space="0" w:color="auto"/>
            <w:bottom w:val="none" w:sz="0" w:space="0" w:color="auto"/>
            <w:right w:val="none" w:sz="0" w:space="0" w:color="auto"/>
          </w:divBdr>
        </w:div>
        <w:div w:id="1566910374">
          <w:marLeft w:val="446"/>
          <w:marRight w:val="0"/>
          <w:marTop w:val="0"/>
          <w:marBottom w:val="0"/>
          <w:divBdr>
            <w:top w:val="none" w:sz="0" w:space="0" w:color="auto"/>
            <w:left w:val="none" w:sz="0" w:space="0" w:color="auto"/>
            <w:bottom w:val="none" w:sz="0" w:space="0" w:color="auto"/>
            <w:right w:val="none" w:sz="0" w:space="0" w:color="auto"/>
          </w:divBdr>
        </w:div>
      </w:divsChild>
    </w:div>
    <w:div w:id="475531819">
      <w:bodyDiv w:val="1"/>
      <w:marLeft w:val="0"/>
      <w:marRight w:val="0"/>
      <w:marTop w:val="0"/>
      <w:marBottom w:val="0"/>
      <w:divBdr>
        <w:top w:val="none" w:sz="0" w:space="0" w:color="auto"/>
        <w:left w:val="none" w:sz="0" w:space="0" w:color="auto"/>
        <w:bottom w:val="none" w:sz="0" w:space="0" w:color="auto"/>
        <w:right w:val="none" w:sz="0" w:space="0" w:color="auto"/>
      </w:divBdr>
    </w:div>
    <w:div w:id="490172939">
      <w:bodyDiv w:val="1"/>
      <w:marLeft w:val="0"/>
      <w:marRight w:val="0"/>
      <w:marTop w:val="0"/>
      <w:marBottom w:val="0"/>
      <w:divBdr>
        <w:top w:val="none" w:sz="0" w:space="0" w:color="auto"/>
        <w:left w:val="none" w:sz="0" w:space="0" w:color="auto"/>
        <w:bottom w:val="none" w:sz="0" w:space="0" w:color="auto"/>
        <w:right w:val="none" w:sz="0" w:space="0" w:color="auto"/>
      </w:divBdr>
    </w:div>
    <w:div w:id="493254710">
      <w:bodyDiv w:val="1"/>
      <w:marLeft w:val="0"/>
      <w:marRight w:val="0"/>
      <w:marTop w:val="0"/>
      <w:marBottom w:val="0"/>
      <w:divBdr>
        <w:top w:val="none" w:sz="0" w:space="0" w:color="auto"/>
        <w:left w:val="none" w:sz="0" w:space="0" w:color="auto"/>
        <w:bottom w:val="none" w:sz="0" w:space="0" w:color="auto"/>
        <w:right w:val="none" w:sz="0" w:space="0" w:color="auto"/>
      </w:divBdr>
    </w:div>
    <w:div w:id="496582801">
      <w:bodyDiv w:val="1"/>
      <w:marLeft w:val="0"/>
      <w:marRight w:val="0"/>
      <w:marTop w:val="0"/>
      <w:marBottom w:val="0"/>
      <w:divBdr>
        <w:top w:val="none" w:sz="0" w:space="0" w:color="auto"/>
        <w:left w:val="none" w:sz="0" w:space="0" w:color="auto"/>
        <w:bottom w:val="none" w:sz="0" w:space="0" w:color="auto"/>
        <w:right w:val="none" w:sz="0" w:space="0" w:color="auto"/>
      </w:divBdr>
      <w:divsChild>
        <w:div w:id="96028367">
          <w:marLeft w:val="0"/>
          <w:marRight w:val="0"/>
          <w:marTop w:val="0"/>
          <w:marBottom w:val="0"/>
          <w:divBdr>
            <w:top w:val="none" w:sz="0" w:space="0" w:color="auto"/>
            <w:left w:val="none" w:sz="0" w:space="0" w:color="auto"/>
            <w:bottom w:val="none" w:sz="0" w:space="0" w:color="auto"/>
            <w:right w:val="none" w:sz="0" w:space="0" w:color="auto"/>
          </w:divBdr>
        </w:div>
        <w:div w:id="910431587">
          <w:marLeft w:val="0"/>
          <w:marRight w:val="0"/>
          <w:marTop w:val="0"/>
          <w:marBottom w:val="0"/>
          <w:divBdr>
            <w:top w:val="none" w:sz="0" w:space="0" w:color="auto"/>
            <w:left w:val="none" w:sz="0" w:space="0" w:color="auto"/>
            <w:bottom w:val="none" w:sz="0" w:space="0" w:color="auto"/>
            <w:right w:val="none" w:sz="0" w:space="0" w:color="auto"/>
          </w:divBdr>
        </w:div>
      </w:divsChild>
    </w:div>
    <w:div w:id="499076296">
      <w:bodyDiv w:val="1"/>
      <w:marLeft w:val="0"/>
      <w:marRight w:val="0"/>
      <w:marTop w:val="0"/>
      <w:marBottom w:val="0"/>
      <w:divBdr>
        <w:top w:val="none" w:sz="0" w:space="0" w:color="auto"/>
        <w:left w:val="none" w:sz="0" w:space="0" w:color="auto"/>
        <w:bottom w:val="none" w:sz="0" w:space="0" w:color="auto"/>
        <w:right w:val="none" w:sz="0" w:space="0" w:color="auto"/>
      </w:divBdr>
      <w:divsChild>
        <w:div w:id="205334594">
          <w:marLeft w:val="806"/>
          <w:marRight w:val="0"/>
          <w:marTop w:val="0"/>
          <w:marBottom w:val="200"/>
          <w:divBdr>
            <w:top w:val="none" w:sz="0" w:space="0" w:color="auto"/>
            <w:left w:val="none" w:sz="0" w:space="0" w:color="auto"/>
            <w:bottom w:val="none" w:sz="0" w:space="0" w:color="auto"/>
            <w:right w:val="none" w:sz="0" w:space="0" w:color="auto"/>
          </w:divBdr>
        </w:div>
        <w:div w:id="912199172">
          <w:marLeft w:val="1166"/>
          <w:marRight w:val="0"/>
          <w:marTop w:val="0"/>
          <w:marBottom w:val="200"/>
          <w:divBdr>
            <w:top w:val="none" w:sz="0" w:space="0" w:color="auto"/>
            <w:left w:val="none" w:sz="0" w:space="0" w:color="auto"/>
            <w:bottom w:val="none" w:sz="0" w:space="0" w:color="auto"/>
            <w:right w:val="none" w:sz="0" w:space="0" w:color="auto"/>
          </w:divBdr>
        </w:div>
        <w:div w:id="739911977">
          <w:marLeft w:val="1166"/>
          <w:marRight w:val="0"/>
          <w:marTop w:val="0"/>
          <w:marBottom w:val="200"/>
          <w:divBdr>
            <w:top w:val="none" w:sz="0" w:space="0" w:color="auto"/>
            <w:left w:val="none" w:sz="0" w:space="0" w:color="auto"/>
            <w:bottom w:val="none" w:sz="0" w:space="0" w:color="auto"/>
            <w:right w:val="none" w:sz="0" w:space="0" w:color="auto"/>
          </w:divBdr>
        </w:div>
        <w:div w:id="143357671">
          <w:marLeft w:val="1166"/>
          <w:marRight w:val="0"/>
          <w:marTop w:val="0"/>
          <w:marBottom w:val="200"/>
          <w:divBdr>
            <w:top w:val="none" w:sz="0" w:space="0" w:color="auto"/>
            <w:left w:val="none" w:sz="0" w:space="0" w:color="auto"/>
            <w:bottom w:val="none" w:sz="0" w:space="0" w:color="auto"/>
            <w:right w:val="none" w:sz="0" w:space="0" w:color="auto"/>
          </w:divBdr>
        </w:div>
      </w:divsChild>
    </w:div>
    <w:div w:id="541595640">
      <w:bodyDiv w:val="1"/>
      <w:marLeft w:val="0"/>
      <w:marRight w:val="0"/>
      <w:marTop w:val="0"/>
      <w:marBottom w:val="0"/>
      <w:divBdr>
        <w:top w:val="none" w:sz="0" w:space="0" w:color="auto"/>
        <w:left w:val="none" w:sz="0" w:space="0" w:color="auto"/>
        <w:bottom w:val="none" w:sz="0" w:space="0" w:color="auto"/>
        <w:right w:val="none" w:sz="0" w:space="0" w:color="auto"/>
      </w:divBdr>
    </w:div>
    <w:div w:id="606427555">
      <w:bodyDiv w:val="1"/>
      <w:marLeft w:val="0"/>
      <w:marRight w:val="0"/>
      <w:marTop w:val="0"/>
      <w:marBottom w:val="0"/>
      <w:divBdr>
        <w:top w:val="none" w:sz="0" w:space="0" w:color="auto"/>
        <w:left w:val="none" w:sz="0" w:space="0" w:color="auto"/>
        <w:bottom w:val="none" w:sz="0" w:space="0" w:color="auto"/>
        <w:right w:val="none" w:sz="0" w:space="0" w:color="auto"/>
      </w:divBdr>
    </w:div>
    <w:div w:id="638337560">
      <w:bodyDiv w:val="1"/>
      <w:marLeft w:val="0"/>
      <w:marRight w:val="0"/>
      <w:marTop w:val="0"/>
      <w:marBottom w:val="0"/>
      <w:divBdr>
        <w:top w:val="none" w:sz="0" w:space="0" w:color="auto"/>
        <w:left w:val="none" w:sz="0" w:space="0" w:color="auto"/>
        <w:bottom w:val="none" w:sz="0" w:space="0" w:color="auto"/>
        <w:right w:val="none" w:sz="0" w:space="0" w:color="auto"/>
      </w:divBdr>
      <w:divsChild>
        <w:div w:id="85272079">
          <w:marLeft w:val="0"/>
          <w:marRight w:val="0"/>
          <w:marTop w:val="0"/>
          <w:marBottom w:val="326"/>
          <w:divBdr>
            <w:top w:val="none" w:sz="0" w:space="0" w:color="auto"/>
            <w:left w:val="none" w:sz="0" w:space="0" w:color="auto"/>
            <w:bottom w:val="none" w:sz="0" w:space="0" w:color="auto"/>
            <w:right w:val="none" w:sz="0" w:space="0" w:color="auto"/>
          </w:divBdr>
        </w:div>
      </w:divsChild>
    </w:div>
    <w:div w:id="640964802">
      <w:bodyDiv w:val="1"/>
      <w:marLeft w:val="0"/>
      <w:marRight w:val="0"/>
      <w:marTop w:val="0"/>
      <w:marBottom w:val="0"/>
      <w:divBdr>
        <w:top w:val="none" w:sz="0" w:space="0" w:color="auto"/>
        <w:left w:val="none" w:sz="0" w:space="0" w:color="auto"/>
        <w:bottom w:val="none" w:sz="0" w:space="0" w:color="auto"/>
        <w:right w:val="none" w:sz="0" w:space="0" w:color="auto"/>
      </w:divBdr>
      <w:divsChild>
        <w:div w:id="1991403131">
          <w:marLeft w:val="0"/>
          <w:marRight w:val="0"/>
          <w:marTop w:val="0"/>
          <w:marBottom w:val="326"/>
          <w:divBdr>
            <w:top w:val="none" w:sz="0" w:space="0" w:color="auto"/>
            <w:left w:val="none" w:sz="0" w:space="0" w:color="auto"/>
            <w:bottom w:val="none" w:sz="0" w:space="0" w:color="auto"/>
            <w:right w:val="none" w:sz="0" w:space="0" w:color="auto"/>
          </w:divBdr>
        </w:div>
      </w:divsChild>
    </w:div>
    <w:div w:id="648873276">
      <w:bodyDiv w:val="1"/>
      <w:marLeft w:val="0"/>
      <w:marRight w:val="0"/>
      <w:marTop w:val="0"/>
      <w:marBottom w:val="0"/>
      <w:divBdr>
        <w:top w:val="none" w:sz="0" w:space="0" w:color="auto"/>
        <w:left w:val="none" w:sz="0" w:space="0" w:color="auto"/>
        <w:bottom w:val="none" w:sz="0" w:space="0" w:color="auto"/>
        <w:right w:val="none" w:sz="0" w:space="0" w:color="auto"/>
      </w:divBdr>
    </w:div>
    <w:div w:id="653723425">
      <w:bodyDiv w:val="1"/>
      <w:marLeft w:val="0"/>
      <w:marRight w:val="0"/>
      <w:marTop w:val="0"/>
      <w:marBottom w:val="0"/>
      <w:divBdr>
        <w:top w:val="none" w:sz="0" w:space="0" w:color="auto"/>
        <w:left w:val="none" w:sz="0" w:space="0" w:color="auto"/>
        <w:bottom w:val="none" w:sz="0" w:space="0" w:color="auto"/>
        <w:right w:val="none" w:sz="0" w:space="0" w:color="auto"/>
      </w:divBdr>
    </w:div>
    <w:div w:id="657080796">
      <w:bodyDiv w:val="1"/>
      <w:marLeft w:val="0"/>
      <w:marRight w:val="0"/>
      <w:marTop w:val="0"/>
      <w:marBottom w:val="0"/>
      <w:divBdr>
        <w:top w:val="none" w:sz="0" w:space="0" w:color="auto"/>
        <w:left w:val="none" w:sz="0" w:space="0" w:color="auto"/>
        <w:bottom w:val="none" w:sz="0" w:space="0" w:color="auto"/>
        <w:right w:val="none" w:sz="0" w:space="0" w:color="auto"/>
      </w:divBdr>
    </w:div>
    <w:div w:id="712388232">
      <w:bodyDiv w:val="1"/>
      <w:marLeft w:val="0"/>
      <w:marRight w:val="0"/>
      <w:marTop w:val="0"/>
      <w:marBottom w:val="0"/>
      <w:divBdr>
        <w:top w:val="none" w:sz="0" w:space="0" w:color="auto"/>
        <w:left w:val="none" w:sz="0" w:space="0" w:color="auto"/>
        <w:bottom w:val="none" w:sz="0" w:space="0" w:color="auto"/>
        <w:right w:val="none" w:sz="0" w:space="0" w:color="auto"/>
      </w:divBdr>
    </w:div>
    <w:div w:id="716973235">
      <w:bodyDiv w:val="1"/>
      <w:marLeft w:val="0"/>
      <w:marRight w:val="0"/>
      <w:marTop w:val="0"/>
      <w:marBottom w:val="0"/>
      <w:divBdr>
        <w:top w:val="none" w:sz="0" w:space="0" w:color="auto"/>
        <w:left w:val="none" w:sz="0" w:space="0" w:color="auto"/>
        <w:bottom w:val="none" w:sz="0" w:space="0" w:color="auto"/>
        <w:right w:val="none" w:sz="0" w:space="0" w:color="auto"/>
      </w:divBdr>
    </w:div>
    <w:div w:id="723600151">
      <w:bodyDiv w:val="1"/>
      <w:marLeft w:val="0"/>
      <w:marRight w:val="0"/>
      <w:marTop w:val="0"/>
      <w:marBottom w:val="0"/>
      <w:divBdr>
        <w:top w:val="none" w:sz="0" w:space="0" w:color="auto"/>
        <w:left w:val="none" w:sz="0" w:space="0" w:color="auto"/>
        <w:bottom w:val="none" w:sz="0" w:space="0" w:color="auto"/>
        <w:right w:val="none" w:sz="0" w:space="0" w:color="auto"/>
      </w:divBdr>
    </w:div>
    <w:div w:id="735129098">
      <w:bodyDiv w:val="1"/>
      <w:marLeft w:val="0"/>
      <w:marRight w:val="0"/>
      <w:marTop w:val="0"/>
      <w:marBottom w:val="0"/>
      <w:divBdr>
        <w:top w:val="none" w:sz="0" w:space="0" w:color="auto"/>
        <w:left w:val="none" w:sz="0" w:space="0" w:color="auto"/>
        <w:bottom w:val="none" w:sz="0" w:space="0" w:color="auto"/>
        <w:right w:val="none" w:sz="0" w:space="0" w:color="auto"/>
      </w:divBdr>
    </w:div>
    <w:div w:id="741829743">
      <w:bodyDiv w:val="1"/>
      <w:marLeft w:val="0"/>
      <w:marRight w:val="0"/>
      <w:marTop w:val="0"/>
      <w:marBottom w:val="0"/>
      <w:divBdr>
        <w:top w:val="none" w:sz="0" w:space="0" w:color="auto"/>
        <w:left w:val="none" w:sz="0" w:space="0" w:color="auto"/>
        <w:bottom w:val="none" w:sz="0" w:space="0" w:color="auto"/>
        <w:right w:val="none" w:sz="0" w:space="0" w:color="auto"/>
      </w:divBdr>
    </w:div>
    <w:div w:id="747310831">
      <w:bodyDiv w:val="1"/>
      <w:marLeft w:val="0"/>
      <w:marRight w:val="0"/>
      <w:marTop w:val="0"/>
      <w:marBottom w:val="0"/>
      <w:divBdr>
        <w:top w:val="none" w:sz="0" w:space="0" w:color="auto"/>
        <w:left w:val="none" w:sz="0" w:space="0" w:color="auto"/>
        <w:bottom w:val="none" w:sz="0" w:space="0" w:color="auto"/>
        <w:right w:val="none" w:sz="0" w:space="0" w:color="auto"/>
      </w:divBdr>
    </w:div>
    <w:div w:id="755905610">
      <w:bodyDiv w:val="1"/>
      <w:marLeft w:val="0"/>
      <w:marRight w:val="0"/>
      <w:marTop w:val="0"/>
      <w:marBottom w:val="0"/>
      <w:divBdr>
        <w:top w:val="none" w:sz="0" w:space="0" w:color="auto"/>
        <w:left w:val="none" w:sz="0" w:space="0" w:color="auto"/>
        <w:bottom w:val="none" w:sz="0" w:space="0" w:color="auto"/>
        <w:right w:val="none" w:sz="0" w:space="0" w:color="auto"/>
      </w:divBdr>
    </w:div>
    <w:div w:id="758404727">
      <w:bodyDiv w:val="1"/>
      <w:marLeft w:val="0"/>
      <w:marRight w:val="0"/>
      <w:marTop w:val="0"/>
      <w:marBottom w:val="0"/>
      <w:divBdr>
        <w:top w:val="none" w:sz="0" w:space="0" w:color="auto"/>
        <w:left w:val="none" w:sz="0" w:space="0" w:color="auto"/>
        <w:bottom w:val="none" w:sz="0" w:space="0" w:color="auto"/>
        <w:right w:val="none" w:sz="0" w:space="0" w:color="auto"/>
      </w:divBdr>
    </w:div>
    <w:div w:id="761871919">
      <w:bodyDiv w:val="1"/>
      <w:marLeft w:val="0"/>
      <w:marRight w:val="0"/>
      <w:marTop w:val="0"/>
      <w:marBottom w:val="0"/>
      <w:divBdr>
        <w:top w:val="none" w:sz="0" w:space="0" w:color="auto"/>
        <w:left w:val="none" w:sz="0" w:space="0" w:color="auto"/>
        <w:bottom w:val="none" w:sz="0" w:space="0" w:color="auto"/>
        <w:right w:val="none" w:sz="0" w:space="0" w:color="auto"/>
      </w:divBdr>
    </w:div>
    <w:div w:id="782767706">
      <w:bodyDiv w:val="1"/>
      <w:marLeft w:val="0"/>
      <w:marRight w:val="0"/>
      <w:marTop w:val="0"/>
      <w:marBottom w:val="0"/>
      <w:divBdr>
        <w:top w:val="none" w:sz="0" w:space="0" w:color="auto"/>
        <w:left w:val="none" w:sz="0" w:space="0" w:color="auto"/>
        <w:bottom w:val="none" w:sz="0" w:space="0" w:color="auto"/>
        <w:right w:val="none" w:sz="0" w:space="0" w:color="auto"/>
      </w:divBdr>
    </w:div>
    <w:div w:id="820462788">
      <w:bodyDiv w:val="1"/>
      <w:marLeft w:val="0"/>
      <w:marRight w:val="0"/>
      <w:marTop w:val="0"/>
      <w:marBottom w:val="0"/>
      <w:divBdr>
        <w:top w:val="none" w:sz="0" w:space="0" w:color="auto"/>
        <w:left w:val="none" w:sz="0" w:space="0" w:color="auto"/>
        <w:bottom w:val="none" w:sz="0" w:space="0" w:color="auto"/>
        <w:right w:val="none" w:sz="0" w:space="0" w:color="auto"/>
      </w:divBdr>
      <w:divsChild>
        <w:div w:id="1862706">
          <w:marLeft w:val="0"/>
          <w:marRight w:val="0"/>
          <w:marTop w:val="77"/>
          <w:marBottom w:val="0"/>
          <w:divBdr>
            <w:top w:val="none" w:sz="0" w:space="0" w:color="auto"/>
            <w:left w:val="none" w:sz="0" w:space="0" w:color="auto"/>
            <w:bottom w:val="none" w:sz="0" w:space="0" w:color="auto"/>
            <w:right w:val="none" w:sz="0" w:space="0" w:color="auto"/>
          </w:divBdr>
        </w:div>
        <w:div w:id="18817870">
          <w:marLeft w:val="0"/>
          <w:marRight w:val="0"/>
          <w:marTop w:val="77"/>
          <w:marBottom w:val="0"/>
          <w:divBdr>
            <w:top w:val="none" w:sz="0" w:space="0" w:color="auto"/>
            <w:left w:val="none" w:sz="0" w:space="0" w:color="auto"/>
            <w:bottom w:val="none" w:sz="0" w:space="0" w:color="auto"/>
            <w:right w:val="none" w:sz="0" w:space="0" w:color="auto"/>
          </w:divBdr>
        </w:div>
        <w:div w:id="42951994">
          <w:marLeft w:val="0"/>
          <w:marRight w:val="0"/>
          <w:marTop w:val="77"/>
          <w:marBottom w:val="0"/>
          <w:divBdr>
            <w:top w:val="none" w:sz="0" w:space="0" w:color="auto"/>
            <w:left w:val="none" w:sz="0" w:space="0" w:color="auto"/>
            <w:bottom w:val="none" w:sz="0" w:space="0" w:color="auto"/>
            <w:right w:val="none" w:sz="0" w:space="0" w:color="auto"/>
          </w:divBdr>
        </w:div>
        <w:div w:id="46269441">
          <w:marLeft w:val="0"/>
          <w:marRight w:val="0"/>
          <w:marTop w:val="77"/>
          <w:marBottom w:val="0"/>
          <w:divBdr>
            <w:top w:val="none" w:sz="0" w:space="0" w:color="auto"/>
            <w:left w:val="none" w:sz="0" w:space="0" w:color="auto"/>
            <w:bottom w:val="none" w:sz="0" w:space="0" w:color="auto"/>
            <w:right w:val="none" w:sz="0" w:space="0" w:color="auto"/>
          </w:divBdr>
        </w:div>
        <w:div w:id="247083944">
          <w:marLeft w:val="0"/>
          <w:marRight w:val="0"/>
          <w:marTop w:val="77"/>
          <w:marBottom w:val="0"/>
          <w:divBdr>
            <w:top w:val="none" w:sz="0" w:space="0" w:color="auto"/>
            <w:left w:val="none" w:sz="0" w:space="0" w:color="auto"/>
            <w:bottom w:val="none" w:sz="0" w:space="0" w:color="auto"/>
            <w:right w:val="none" w:sz="0" w:space="0" w:color="auto"/>
          </w:divBdr>
        </w:div>
        <w:div w:id="253320122">
          <w:marLeft w:val="0"/>
          <w:marRight w:val="0"/>
          <w:marTop w:val="77"/>
          <w:marBottom w:val="0"/>
          <w:divBdr>
            <w:top w:val="none" w:sz="0" w:space="0" w:color="auto"/>
            <w:left w:val="none" w:sz="0" w:space="0" w:color="auto"/>
            <w:bottom w:val="none" w:sz="0" w:space="0" w:color="auto"/>
            <w:right w:val="none" w:sz="0" w:space="0" w:color="auto"/>
          </w:divBdr>
        </w:div>
        <w:div w:id="287398702">
          <w:marLeft w:val="0"/>
          <w:marRight w:val="0"/>
          <w:marTop w:val="77"/>
          <w:marBottom w:val="0"/>
          <w:divBdr>
            <w:top w:val="none" w:sz="0" w:space="0" w:color="auto"/>
            <w:left w:val="none" w:sz="0" w:space="0" w:color="auto"/>
            <w:bottom w:val="none" w:sz="0" w:space="0" w:color="auto"/>
            <w:right w:val="none" w:sz="0" w:space="0" w:color="auto"/>
          </w:divBdr>
        </w:div>
        <w:div w:id="375466505">
          <w:marLeft w:val="0"/>
          <w:marRight w:val="0"/>
          <w:marTop w:val="77"/>
          <w:marBottom w:val="0"/>
          <w:divBdr>
            <w:top w:val="none" w:sz="0" w:space="0" w:color="auto"/>
            <w:left w:val="none" w:sz="0" w:space="0" w:color="auto"/>
            <w:bottom w:val="none" w:sz="0" w:space="0" w:color="auto"/>
            <w:right w:val="none" w:sz="0" w:space="0" w:color="auto"/>
          </w:divBdr>
        </w:div>
        <w:div w:id="545142906">
          <w:marLeft w:val="0"/>
          <w:marRight w:val="0"/>
          <w:marTop w:val="77"/>
          <w:marBottom w:val="0"/>
          <w:divBdr>
            <w:top w:val="none" w:sz="0" w:space="0" w:color="auto"/>
            <w:left w:val="none" w:sz="0" w:space="0" w:color="auto"/>
            <w:bottom w:val="none" w:sz="0" w:space="0" w:color="auto"/>
            <w:right w:val="none" w:sz="0" w:space="0" w:color="auto"/>
          </w:divBdr>
        </w:div>
        <w:div w:id="565996709">
          <w:marLeft w:val="0"/>
          <w:marRight w:val="0"/>
          <w:marTop w:val="77"/>
          <w:marBottom w:val="0"/>
          <w:divBdr>
            <w:top w:val="none" w:sz="0" w:space="0" w:color="auto"/>
            <w:left w:val="none" w:sz="0" w:space="0" w:color="auto"/>
            <w:bottom w:val="none" w:sz="0" w:space="0" w:color="auto"/>
            <w:right w:val="none" w:sz="0" w:space="0" w:color="auto"/>
          </w:divBdr>
        </w:div>
        <w:div w:id="570431907">
          <w:marLeft w:val="0"/>
          <w:marRight w:val="0"/>
          <w:marTop w:val="77"/>
          <w:marBottom w:val="0"/>
          <w:divBdr>
            <w:top w:val="none" w:sz="0" w:space="0" w:color="auto"/>
            <w:left w:val="none" w:sz="0" w:space="0" w:color="auto"/>
            <w:bottom w:val="none" w:sz="0" w:space="0" w:color="auto"/>
            <w:right w:val="none" w:sz="0" w:space="0" w:color="auto"/>
          </w:divBdr>
        </w:div>
        <w:div w:id="591815486">
          <w:marLeft w:val="0"/>
          <w:marRight w:val="0"/>
          <w:marTop w:val="77"/>
          <w:marBottom w:val="0"/>
          <w:divBdr>
            <w:top w:val="none" w:sz="0" w:space="0" w:color="auto"/>
            <w:left w:val="none" w:sz="0" w:space="0" w:color="auto"/>
            <w:bottom w:val="none" w:sz="0" w:space="0" w:color="auto"/>
            <w:right w:val="none" w:sz="0" w:space="0" w:color="auto"/>
          </w:divBdr>
        </w:div>
        <w:div w:id="706760376">
          <w:marLeft w:val="0"/>
          <w:marRight w:val="0"/>
          <w:marTop w:val="77"/>
          <w:marBottom w:val="0"/>
          <w:divBdr>
            <w:top w:val="none" w:sz="0" w:space="0" w:color="auto"/>
            <w:left w:val="none" w:sz="0" w:space="0" w:color="auto"/>
            <w:bottom w:val="none" w:sz="0" w:space="0" w:color="auto"/>
            <w:right w:val="none" w:sz="0" w:space="0" w:color="auto"/>
          </w:divBdr>
        </w:div>
        <w:div w:id="814565160">
          <w:marLeft w:val="0"/>
          <w:marRight w:val="0"/>
          <w:marTop w:val="77"/>
          <w:marBottom w:val="0"/>
          <w:divBdr>
            <w:top w:val="none" w:sz="0" w:space="0" w:color="auto"/>
            <w:left w:val="none" w:sz="0" w:space="0" w:color="auto"/>
            <w:bottom w:val="none" w:sz="0" w:space="0" w:color="auto"/>
            <w:right w:val="none" w:sz="0" w:space="0" w:color="auto"/>
          </w:divBdr>
        </w:div>
        <w:div w:id="964509765">
          <w:marLeft w:val="0"/>
          <w:marRight w:val="0"/>
          <w:marTop w:val="77"/>
          <w:marBottom w:val="0"/>
          <w:divBdr>
            <w:top w:val="none" w:sz="0" w:space="0" w:color="auto"/>
            <w:left w:val="none" w:sz="0" w:space="0" w:color="auto"/>
            <w:bottom w:val="none" w:sz="0" w:space="0" w:color="auto"/>
            <w:right w:val="none" w:sz="0" w:space="0" w:color="auto"/>
          </w:divBdr>
        </w:div>
        <w:div w:id="1066342660">
          <w:marLeft w:val="0"/>
          <w:marRight w:val="0"/>
          <w:marTop w:val="77"/>
          <w:marBottom w:val="0"/>
          <w:divBdr>
            <w:top w:val="none" w:sz="0" w:space="0" w:color="auto"/>
            <w:left w:val="none" w:sz="0" w:space="0" w:color="auto"/>
            <w:bottom w:val="none" w:sz="0" w:space="0" w:color="auto"/>
            <w:right w:val="none" w:sz="0" w:space="0" w:color="auto"/>
          </w:divBdr>
        </w:div>
        <w:div w:id="1210607413">
          <w:marLeft w:val="0"/>
          <w:marRight w:val="0"/>
          <w:marTop w:val="77"/>
          <w:marBottom w:val="0"/>
          <w:divBdr>
            <w:top w:val="none" w:sz="0" w:space="0" w:color="auto"/>
            <w:left w:val="none" w:sz="0" w:space="0" w:color="auto"/>
            <w:bottom w:val="none" w:sz="0" w:space="0" w:color="auto"/>
            <w:right w:val="none" w:sz="0" w:space="0" w:color="auto"/>
          </w:divBdr>
        </w:div>
        <w:div w:id="1250695589">
          <w:marLeft w:val="0"/>
          <w:marRight w:val="0"/>
          <w:marTop w:val="77"/>
          <w:marBottom w:val="0"/>
          <w:divBdr>
            <w:top w:val="none" w:sz="0" w:space="0" w:color="auto"/>
            <w:left w:val="none" w:sz="0" w:space="0" w:color="auto"/>
            <w:bottom w:val="none" w:sz="0" w:space="0" w:color="auto"/>
            <w:right w:val="none" w:sz="0" w:space="0" w:color="auto"/>
          </w:divBdr>
        </w:div>
        <w:div w:id="1399130559">
          <w:marLeft w:val="0"/>
          <w:marRight w:val="0"/>
          <w:marTop w:val="77"/>
          <w:marBottom w:val="0"/>
          <w:divBdr>
            <w:top w:val="none" w:sz="0" w:space="0" w:color="auto"/>
            <w:left w:val="none" w:sz="0" w:space="0" w:color="auto"/>
            <w:bottom w:val="none" w:sz="0" w:space="0" w:color="auto"/>
            <w:right w:val="none" w:sz="0" w:space="0" w:color="auto"/>
          </w:divBdr>
        </w:div>
        <w:div w:id="1460414549">
          <w:marLeft w:val="0"/>
          <w:marRight w:val="0"/>
          <w:marTop w:val="77"/>
          <w:marBottom w:val="0"/>
          <w:divBdr>
            <w:top w:val="none" w:sz="0" w:space="0" w:color="auto"/>
            <w:left w:val="none" w:sz="0" w:space="0" w:color="auto"/>
            <w:bottom w:val="none" w:sz="0" w:space="0" w:color="auto"/>
            <w:right w:val="none" w:sz="0" w:space="0" w:color="auto"/>
          </w:divBdr>
        </w:div>
        <w:div w:id="1461069198">
          <w:marLeft w:val="0"/>
          <w:marRight w:val="0"/>
          <w:marTop w:val="77"/>
          <w:marBottom w:val="0"/>
          <w:divBdr>
            <w:top w:val="none" w:sz="0" w:space="0" w:color="auto"/>
            <w:left w:val="none" w:sz="0" w:space="0" w:color="auto"/>
            <w:bottom w:val="none" w:sz="0" w:space="0" w:color="auto"/>
            <w:right w:val="none" w:sz="0" w:space="0" w:color="auto"/>
          </w:divBdr>
        </w:div>
        <w:div w:id="1595700393">
          <w:marLeft w:val="0"/>
          <w:marRight w:val="0"/>
          <w:marTop w:val="77"/>
          <w:marBottom w:val="0"/>
          <w:divBdr>
            <w:top w:val="none" w:sz="0" w:space="0" w:color="auto"/>
            <w:left w:val="none" w:sz="0" w:space="0" w:color="auto"/>
            <w:bottom w:val="none" w:sz="0" w:space="0" w:color="auto"/>
            <w:right w:val="none" w:sz="0" w:space="0" w:color="auto"/>
          </w:divBdr>
        </w:div>
        <w:div w:id="1600479340">
          <w:marLeft w:val="0"/>
          <w:marRight w:val="0"/>
          <w:marTop w:val="77"/>
          <w:marBottom w:val="0"/>
          <w:divBdr>
            <w:top w:val="none" w:sz="0" w:space="0" w:color="auto"/>
            <w:left w:val="none" w:sz="0" w:space="0" w:color="auto"/>
            <w:bottom w:val="none" w:sz="0" w:space="0" w:color="auto"/>
            <w:right w:val="none" w:sz="0" w:space="0" w:color="auto"/>
          </w:divBdr>
        </w:div>
        <w:div w:id="1642733307">
          <w:marLeft w:val="0"/>
          <w:marRight w:val="0"/>
          <w:marTop w:val="77"/>
          <w:marBottom w:val="0"/>
          <w:divBdr>
            <w:top w:val="none" w:sz="0" w:space="0" w:color="auto"/>
            <w:left w:val="none" w:sz="0" w:space="0" w:color="auto"/>
            <w:bottom w:val="none" w:sz="0" w:space="0" w:color="auto"/>
            <w:right w:val="none" w:sz="0" w:space="0" w:color="auto"/>
          </w:divBdr>
        </w:div>
        <w:div w:id="1801799363">
          <w:marLeft w:val="0"/>
          <w:marRight w:val="0"/>
          <w:marTop w:val="77"/>
          <w:marBottom w:val="0"/>
          <w:divBdr>
            <w:top w:val="none" w:sz="0" w:space="0" w:color="auto"/>
            <w:left w:val="none" w:sz="0" w:space="0" w:color="auto"/>
            <w:bottom w:val="none" w:sz="0" w:space="0" w:color="auto"/>
            <w:right w:val="none" w:sz="0" w:space="0" w:color="auto"/>
          </w:divBdr>
        </w:div>
        <w:div w:id="1821270670">
          <w:marLeft w:val="0"/>
          <w:marRight w:val="0"/>
          <w:marTop w:val="77"/>
          <w:marBottom w:val="0"/>
          <w:divBdr>
            <w:top w:val="none" w:sz="0" w:space="0" w:color="auto"/>
            <w:left w:val="none" w:sz="0" w:space="0" w:color="auto"/>
            <w:bottom w:val="none" w:sz="0" w:space="0" w:color="auto"/>
            <w:right w:val="none" w:sz="0" w:space="0" w:color="auto"/>
          </w:divBdr>
        </w:div>
        <w:div w:id="1947233439">
          <w:marLeft w:val="0"/>
          <w:marRight w:val="0"/>
          <w:marTop w:val="77"/>
          <w:marBottom w:val="0"/>
          <w:divBdr>
            <w:top w:val="none" w:sz="0" w:space="0" w:color="auto"/>
            <w:left w:val="none" w:sz="0" w:space="0" w:color="auto"/>
            <w:bottom w:val="none" w:sz="0" w:space="0" w:color="auto"/>
            <w:right w:val="none" w:sz="0" w:space="0" w:color="auto"/>
          </w:divBdr>
        </w:div>
        <w:div w:id="1995716799">
          <w:marLeft w:val="0"/>
          <w:marRight w:val="0"/>
          <w:marTop w:val="77"/>
          <w:marBottom w:val="0"/>
          <w:divBdr>
            <w:top w:val="none" w:sz="0" w:space="0" w:color="auto"/>
            <w:left w:val="none" w:sz="0" w:space="0" w:color="auto"/>
            <w:bottom w:val="none" w:sz="0" w:space="0" w:color="auto"/>
            <w:right w:val="none" w:sz="0" w:space="0" w:color="auto"/>
          </w:divBdr>
        </w:div>
      </w:divsChild>
    </w:div>
    <w:div w:id="830221940">
      <w:bodyDiv w:val="1"/>
      <w:marLeft w:val="0"/>
      <w:marRight w:val="0"/>
      <w:marTop w:val="0"/>
      <w:marBottom w:val="0"/>
      <w:divBdr>
        <w:top w:val="none" w:sz="0" w:space="0" w:color="auto"/>
        <w:left w:val="none" w:sz="0" w:space="0" w:color="auto"/>
        <w:bottom w:val="none" w:sz="0" w:space="0" w:color="auto"/>
        <w:right w:val="none" w:sz="0" w:space="0" w:color="auto"/>
      </w:divBdr>
      <w:divsChild>
        <w:div w:id="39012371">
          <w:marLeft w:val="0"/>
          <w:marRight w:val="0"/>
          <w:marTop w:val="77"/>
          <w:marBottom w:val="0"/>
          <w:divBdr>
            <w:top w:val="none" w:sz="0" w:space="0" w:color="auto"/>
            <w:left w:val="none" w:sz="0" w:space="0" w:color="auto"/>
            <w:bottom w:val="none" w:sz="0" w:space="0" w:color="auto"/>
            <w:right w:val="none" w:sz="0" w:space="0" w:color="auto"/>
          </w:divBdr>
        </w:div>
        <w:div w:id="205531433">
          <w:marLeft w:val="0"/>
          <w:marRight w:val="0"/>
          <w:marTop w:val="77"/>
          <w:marBottom w:val="0"/>
          <w:divBdr>
            <w:top w:val="none" w:sz="0" w:space="0" w:color="auto"/>
            <w:left w:val="none" w:sz="0" w:space="0" w:color="auto"/>
            <w:bottom w:val="none" w:sz="0" w:space="0" w:color="auto"/>
            <w:right w:val="none" w:sz="0" w:space="0" w:color="auto"/>
          </w:divBdr>
        </w:div>
        <w:div w:id="239413552">
          <w:marLeft w:val="0"/>
          <w:marRight w:val="0"/>
          <w:marTop w:val="77"/>
          <w:marBottom w:val="0"/>
          <w:divBdr>
            <w:top w:val="none" w:sz="0" w:space="0" w:color="auto"/>
            <w:left w:val="none" w:sz="0" w:space="0" w:color="auto"/>
            <w:bottom w:val="none" w:sz="0" w:space="0" w:color="auto"/>
            <w:right w:val="none" w:sz="0" w:space="0" w:color="auto"/>
          </w:divBdr>
        </w:div>
        <w:div w:id="338387469">
          <w:marLeft w:val="0"/>
          <w:marRight w:val="0"/>
          <w:marTop w:val="77"/>
          <w:marBottom w:val="0"/>
          <w:divBdr>
            <w:top w:val="none" w:sz="0" w:space="0" w:color="auto"/>
            <w:left w:val="none" w:sz="0" w:space="0" w:color="auto"/>
            <w:bottom w:val="none" w:sz="0" w:space="0" w:color="auto"/>
            <w:right w:val="none" w:sz="0" w:space="0" w:color="auto"/>
          </w:divBdr>
        </w:div>
        <w:div w:id="413937195">
          <w:marLeft w:val="0"/>
          <w:marRight w:val="0"/>
          <w:marTop w:val="77"/>
          <w:marBottom w:val="0"/>
          <w:divBdr>
            <w:top w:val="none" w:sz="0" w:space="0" w:color="auto"/>
            <w:left w:val="none" w:sz="0" w:space="0" w:color="auto"/>
            <w:bottom w:val="none" w:sz="0" w:space="0" w:color="auto"/>
            <w:right w:val="none" w:sz="0" w:space="0" w:color="auto"/>
          </w:divBdr>
        </w:div>
        <w:div w:id="454560537">
          <w:marLeft w:val="0"/>
          <w:marRight w:val="0"/>
          <w:marTop w:val="77"/>
          <w:marBottom w:val="0"/>
          <w:divBdr>
            <w:top w:val="none" w:sz="0" w:space="0" w:color="auto"/>
            <w:left w:val="none" w:sz="0" w:space="0" w:color="auto"/>
            <w:bottom w:val="none" w:sz="0" w:space="0" w:color="auto"/>
            <w:right w:val="none" w:sz="0" w:space="0" w:color="auto"/>
          </w:divBdr>
        </w:div>
        <w:div w:id="595407014">
          <w:marLeft w:val="0"/>
          <w:marRight w:val="0"/>
          <w:marTop w:val="77"/>
          <w:marBottom w:val="0"/>
          <w:divBdr>
            <w:top w:val="none" w:sz="0" w:space="0" w:color="auto"/>
            <w:left w:val="none" w:sz="0" w:space="0" w:color="auto"/>
            <w:bottom w:val="none" w:sz="0" w:space="0" w:color="auto"/>
            <w:right w:val="none" w:sz="0" w:space="0" w:color="auto"/>
          </w:divBdr>
        </w:div>
        <w:div w:id="611673165">
          <w:marLeft w:val="0"/>
          <w:marRight w:val="0"/>
          <w:marTop w:val="77"/>
          <w:marBottom w:val="0"/>
          <w:divBdr>
            <w:top w:val="none" w:sz="0" w:space="0" w:color="auto"/>
            <w:left w:val="none" w:sz="0" w:space="0" w:color="auto"/>
            <w:bottom w:val="none" w:sz="0" w:space="0" w:color="auto"/>
            <w:right w:val="none" w:sz="0" w:space="0" w:color="auto"/>
          </w:divBdr>
        </w:div>
        <w:div w:id="622227635">
          <w:marLeft w:val="0"/>
          <w:marRight w:val="0"/>
          <w:marTop w:val="77"/>
          <w:marBottom w:val="0"/>
          <w:divBdr>
            <w:top w:val="none" w:sz="0" w:space="0" w:color="auto"/>
            <w:left w:val="none" w:sz="0" w:space="0" w:color="auto"/>
            <w:bottom w:val="none" w:sz="0" w:space="0" w:color="auto"/>
            <w:right w:val="none" w:sz="0" w:space="0" w:color="auto"/>
          </w:divBdr>
        </w:div>
        <w:div w:id="711080371">
          <w:marLeft w:val="0"/>
          <w:marRight w:val="0"/>
          <w:marTop w:val="77"/>
          <w:marBottom w:val="0"/>
          <w:divBdr>
            <w:top w:val="none" w:sz="0" w:space="0" w:color="auto"/>
            <w:left w:val="none" w:sz="0" w:space="0" w:color="auto"/>
            <w:bottom w:val="none" w:sz="0" w:space="0" w:color="auto"/>
            <w:right w:val="none" w:sz="0" w:space="0" w:color="auto"/>
          </w:divBdr>
        </w:div>
        <w:div w:id="800540430">
          <w:marLeft w:val="0"/>
          <w:marRight w:val="0"/>
          <w:marTop w:val="77"/>
          <w:marBottom w:val="0"/>
          <w:divBdr>
            <w:top w:val="none" w:sz="0" w:space="0" w:color="auto"/>
            <w:left w:val="none" w:sz="0" w:space="0" w:color="auto"/>
            <w:bottom w:val="none" w:sz="0" w:space="0" w:color="auto"/>
            <w:right w:val="none" w:sz="0" w:space="0" w:color="auto"/>
          </w:divBdr>
        </w:div>
        <w:div w:id="828860800">
          <w:marLeft w:val="0"/>
          <w:marRight w:val="0"/>
          <w:marTop w:val="77"/>
          <w:marBottom w:val="0"/>
          <w:divBdr>
            <w:top w:val="none" w:sz="0" w:space="0" w:color="auto"/>
            <w:left w:val="none" w:sz="0" w:space="0" w:color="auto"/>
            <w:bottom w:val="none" w:sz="0" w:space="0" w:color="auto"/>
            <w:right w:val="none" w:sz="0" w:space="0" w:color="auto"/>
          </w:divBdr>
        </w:div>
        <w:div w:id="858860078">
          <w:marLeft w:val="0"/>
          <w:marRight w:val="0"/>
          <w:marTop w:val="77"/>
          <w:marBottom w:val="0"/>
          <w:divBdr>
            <w:top w:val="none" w:sz="0" w:space="0" w:color="auto"/>
            <w:left w:val="none" w:sz="0" w:space="0" w:color="auto"/>
            <w:bottom w:val="none" w:sz="0" w:space="0" w:color="auto"/>
            <w:right w:val="none" w:sz="0" w:space="0" w:color="auto"/>
          </w:divBdr>
        </w:div>
        <w:div w:id="868294985">
          <w:marLeft w:val="0"/>
          <w:marRight w:val="0"/>
          <w:marTop w:val="77"/>
          <w:marBottom w:val="0"/>
          <w:divBdr>
            <w:top w:val="none" w:sz="0" w:space="0" w:color="auto"/>
            <w:left w:val="none" w:sz="0" w:space="0" w:color="auto"/>
            <w:bottom w:val="none" w:sz="0" w:space="0" w:color="auto"/>
            <w:right w:val="none" w:sz="0" w:space="0" w:color="auto"/>
          </w:divBdr>
        </w:div>
        <w:div w:id="912423555">
          <w:marLeft w:val="0"/>
          <w:marRight w:val="0"/>
          <w:marTop w:val="77"/>
          <w:marBottom w:val="0"/>
          <w:divBdr>
            <w:top w:val="none" w:sz="0" w:space="0" w:color="auto"/>
            <w:left w:val="none" w:sz="0" w:space="0" w:color="auto"/>
            <w:bottom w:val="none" w:sz="0" w:space="0" w:color="auto"/>
            <w:right w:val="none" w:sz="0" w:space="0" w:color="auto"/>
          </w:divBdr>
        </w:div>
        <w:div w:id="924415192">
          <w:marLeft w:val="0"/>
          <w:marRight w:val="0"/>
          <w:marTop w:val="77"/>
          <w:marBottom w:val="0"/>
          <w:divBdr>
            <w:top w:val="none" w:sz="0" w:space="0" w:color="auto"/>
            <w:left w:val="none" w:sz="0" w:space="0" w:color="auto"/>
            <w:bottom w:val="none" w:sz="0" w:space="0" w:color="auto"/>
            <w:right w:val="none" w:sz="0" w:space="0" w:color="auto"/>
          </w:divBdr>
        </w:div>
        <w:div w:id="992369512">
          <w:marLeft w:val="0"/>
          <w:marRight w:val="0"/>
          <w:marTop w:val="77"/>
          <w:marBottom w:val="0"/>
          <w:divBdr>
            <w:top w:val="none" w:sz="0" w:space="0" w:color="auto"/>
            <w:left w:val="none" w:sz="0" w:space="0" w:color="auto"/>
            <w:bottom w:val="none" w:sz="0" w:space="0" w:color="auto"/>
            <w:right w:val="none" w:sz="0" w:space="0" w:color="auto"/>
          </w:divBdr>
        </w:div>
        <w:div w:id="1000811561">
          <w:marLeft w:val="0"/>
          <w:marRight w:val="0"/>
          <w:marTop w:val="77"/>
          <w:marBottom w:val="0"/>
          <w:divBdr>
            <w:top w:val="none" w:sz="0" w:space="0" w:color="auto"/>
            <w:left w:val="none" w:sz="0" w:space="0" w:color="auto"/>
            <w:bottom w:val="none" w:sz="0" w:space="0" w:color="auto"/>
            <w:right w:val="none" w:sz="0" w:space="0" w:color="auto"/>
          </w:divBdr>
        </w:div>
        <w:div w:id="1046299460">
          <w:marLeft w:val="0"/>
          <w:marRight w:val="0"/>
          <w:marTop w:val="77"/>
          <w:marBottom w:val="0"/>
          <w:divBdr>
            <w:top w:val="none" w:sz="0" w:space="0" w:color="auto"/>
            <w:left w:val="none" w:sz="0" w:space="0" w:color="auto"/>
            <w:bottom w:val="none" w:sz="0" w:space="0" w:color="auto"/>
            <w:right w:val="none" w:sz="0" w:space="0" w:color="auto"/>
          </w:divBdr>
        </w:div>
        <w:div w:id="1065253494">
          <w:marLeft w:val="0"/>
          <w:marRight w:val="0"/>
          <w:marTop w:val="77"/>
          <w:marBottom w:val="0"/>
          <w:divBdr>
            <w:top w:val="none" w:sz="0" w:space="0" w:color="auto"/>
            <w:left w:val="none" w:sz="0" w:space="0" w:color="auto"/>
            <w:bottom w:val="none" w:sz="0" w:space="0" w:color="auto"/>
            <w:right w:val="none" w:sz="0" w:space="0" w:color="auto"/>
          </w:divBdr>
        </w:div>
        <w:div w:id="1136336305">
          <w:marLeft w:val="0"/>
          <w:marRight w:val="0"/>
          <w:marTop w:val="77"/>
          <w:marBottom w:val="0"/>
          <w:divBdr>
            <w:top w:val="none" w:sz="0" w:space="0" w:color="auto"/>
            <w:left w:val="none" w:sz="0" w:space="0" w:color="auto"/>
            <w:bottom w:val="none" w:sz="0" w:space="0" w:color="auto"/>
            <w:right w:val="none" w:sz="0" w:space="0" w:color="auto"/>
          </w:divBdr>
        </w:div>
        <w:div w:id="1155296362">
          <w:marLeft w:val="0"/>
          <w:marRight w:val="0"/>
          <w:marTop w:val="77"/>
          <w:marBottom w:val="0"/>
          <w:divBdr>
            <w:top w:val="none" w:sz="0" w:space="0" w:color="auto"/>
            <w:left w:val="none" w:sz="0" w:space="0" w:color="auto"/>
            <w:bottom w:val="none" w:sz="0" w:space="0" w:color="auto"/>
            <w:right w:val="none" w:sz="0" w:space="0" w:color="auto"/>
          </w:divBdr>
        </w:div>
        <w:div w:id="1398283160">
          <w:marLeft w:val="0"/>
          <w:marRight w:val="0"/>
          <w:marTop w:val="77"/>
          <w:marBottom w:val="0"/>
          <w:divBdr>
            <w:top w:val="none" w:sz="0" w:space="0" w:color="auto"/>
            <w:left w:val="none" w:sz="0" w:space="0" w:color="auto"/>
            <w:bottom w:val="none" w:sz="0" w:space="0" w:color="auto"/>
            <w:right w:val="none" w:sz="0" w:space="0" w:color="auto"/>
          </w:divBdr>
        </w:div>
        <w:div w:id="1444612794">
          <w:marLeft w:val="0"/>
          <w:marRight w:val="0"/>
          <w:marTop w:val="77"/>
          <w:marBottom w:val="0"/>
          <w:divBdr>
            <w:top w:val="none" w:sz="0" w:space="0" w:color="auto"/>
            <w:left w:val="none" w:sz="0" w:space="0" w:color="auto"/>
            <w:bottom w:val="none" w:sz="0" w:space="0" w:color="auto"/>
            <w:right w:val="none" w:sz="0" w:space="0" w:color="auto"/>
          </w:divBdr>
        </w:div>
        <w:div w:id="1511291965">
          <w:marLeft w:val="0"/>
          <w:marRight w:val="0"/>
          <w:marTop w:val="77"/>
          <w:marBottom w:val="0"/>
          <w:divBdr>
            <w:top w:val="none" w:sz="0" w:space="0" w:color="auto"/>
            <w:left w:val="none" w:sz="0" w:space="0" w:color="auto"/>
            <w:bottom w:val="none" w:sz="0" w:space="0" w:color="auto"/>
            <w:right w:val="none" w:sz="0" w:space="0" w:color="auto"/>
          </w:divBdr>
        </w:div>
        <w:div w:id="1694306683">
          <w:marLeft w:val="0"/>
          <w:marRight w:val="0"/>
          <w:marTop w:val="77"/>
          <w:marBottom w:val="0"/>
          <w:divBdr>
            <w:top w:val="none" w:sz="0" w:space="0" w:color="auto"/>
            <w:left w:val="none" w:sz="0" w:space="0" w:color="auto"/>
            <w:bottom w:val="none" w:sz="0" w:space="0" w:color="auto"/>
            <w:right w:val="none" w:sz="0" w:space="0" w:color="auto"/>
          </w:divBdr>
        </w:div>
        <w:div w:id="1773548902">
          <w:marLeft w:val="0"/>
          <w:marRight w:val="0"/>
          <w:marTop w:val="77"/>
          <w:marBottom w:val="0"/>
          <w:divBdr>
            <w:top w:val="none" w:sz="0" w:space="0" w:color="auto"/>
            <w:left w:val="none" w:sz="0" w:space="0" w:color="auto"/>
            <w:bottom w:val="none" w:sz="0" w:space="0" w:color="auto"/>
            <w:right w:val="none" w:sz="0" w:space="0" w:color="auto"/>
          </w:divBdr>
        </w:div>
        <w:div w:id="2104370774">
          <w:marLeft w:val="0"/>
          <w:marRight w:val="0"/>
          <w:marTop w:val="77"/>
          <w:marBottom w:val="0"/>
          <w:divBdr>
            <w:top w:val="none" w:sz="0" w:space="0" w:color="auto"/>
            <w:left w:val="none" w:sz="0" w:space="0" w:color="auto"/>
            <w:bottom w:val="none" w:sz="0" w:space="0" w:color="auto"/>
            <w:right w:val="none" w:sz="0" w:space="0" w:color="auto"/>
          </w:divBdr>
        </w:div>
      </w:divsChild>
    </w:div>
    <w:div w:id="834144831">
      <w:bodyDiv w:val="1"/>
      <w:marLeft w:val="0"/>
      <w:marRight w:val="0"/>
      <w:marTop w:val="0"/>
      <w:marBottom w:val="0"/>
      <w:divBdr>
        <w:top w:val="none" w:sz="0" w:space="0" w:color="auto"/>
        <w:left w:val="none" w:sz="0" w:space="0" w:color="auto"/>
        <w:bottom w:val="none" w:sz="0" w:space="0" w:color="auto"/>
        <w:right w:val="none" w:sz="0" w:space="0" w:color="auto"/>
      </w:divBdr>
    </w:div>
    <w:div w:id="862859895">
      <w:bodyDiv w:val="1"/>
      <w:marLeft w:val="0"/>
      <w:marRight w:val="0"/>
      <w:marTop w:val="0"/>
      <w:marBottom w:val="0"/>
      <w:divBdr>
        <w:top w:val="none" w:sz="0" w:space="0" w:color="auto"/>
        <w:left w:val="none" w:sz="0" w:space="0" w:color="auto"/>
        <w:bottom w:val="none" w:sz="0" w:space="0" w:color="auto"/>
        <w:right w:val="none" w:sz="0" w:space="0" w:color="auto"/>
      </w:divBdr>
    </w:div>
    <w:div w:id="873931428">
      <w:bodyDiv w:val="1"/>
      <w:marLeft w:val="0"/>
      <w:marRight w:val="0"/>
      <w:marTop w:val="0"/>
      <w:marBottom w:val="0"/>
      <w:divBdr>
        <w:top w:val="none" w:sz="0" w:space="0" w:color="auto"/>
        <w:left w:val="none" w:sz="0" w:space="0" w:color="auto"/>
        <w:bottom w:val="none" w:sz="0" w:space="0" w:color="auto"/>
        <w:right w:val="none" w:sz="0" w:space="0" w:color="auto"/>
      </w:divBdr>
    </w:div>
    <w:div w:id="911424087">
      <w:bodyDiv w:val="1"/>
      <w:marLeft w:val="0"/>
      <w:marRight w:val="0"/>
      <w:marTop w:val="0"/>
      <w:marBottom w:val="0"/>
      <w:divBdr>
        <w:top w:val="none" w:sz="0" w:space="0" w:color="auto"/>
        <w:left w:val="none" w:sz="0" w:space="0" w:color="auto"/>
        <w:bottom w:val="none" w:sz="0" w:space="0" w:color="auto"/>
        <w:right w:val="none" w:sz="0" w:space="0" w:color="auto"/>
      </w:divBdr>
    </w:div>
    <w:div w:id="912810161">
      <w:bodyDiv w:val="1"/>
      <w:marLeft w:val="0"/>
      <w:marRight w:val="0"/>
      <w:marTop w:val="0"/>
      <w:marBottom w:val="0"/>
      <w:divBdr>
        <w:top w:val="none" w:sz="0" w:space="0" w:color="auto"/>
        <w:left w:val="none" w:sz="0" w:space="0" w:color="auto"/>
        <w:bottom w:val="none" w:sz="0" w:space="0" w:color="auto"/>
        <w:right w:val="none" w:sz="0" w:space="0" w:color="auto"/>
      </w:divBdr>
    </w:div>
    <w:div w:id="916787646">
      <w:bodyDiv w:val="1"/>
      <w:marLeft w:val="0"/>
      <w:marRight w:val="0"/>
      <w:marTop w:val="0"/>
      <w:marBottom w:val="0"/>
      <w:divBdr>
        <w:top w:val="none" w:sz="0" w:space="0" w:color="auto"/>
        <w:left w:val="none" w:sz="0" w:space="0" w:color="auto"/>
        <w:bottom w:val="none" w:sz="0" w:space="0" w:color="auto"/>
        <w:right w:val="none" w:sz="0" w:space="0" w:color="auto"/>
      </w:divBdr>
      <w:divsChild>
        <w:div w:id="1708093796">
          <w:marLeft w:val="0"/>
          <w:marRight w:val="0"/>
          <w:marTop w:val="0"/>
          <w:marBottom w:val="326"/>
          <w:divBdr>
            <w:top w:val="none" w:sz="0" w:space="0" w:color="auto"/>
            <w:left w:val="none" w:sz="0" w:space="0" w:color="auto"/>
            <w:bottom w:val="none" w:sz="0" w:space="0" w:color="auto"/>
            <w:right w:val="none" w:sz="0" w:space="0" w:color="auto"/>
          </w:divBdr>
        </w:div>
      </w:divsChild>
    </w:div>
    <w:div w:id="934558066">
      <w:bodyDiv w:val="1"/>
      <w:marLeft w:val="0"/>
      <w:marRight w:val="0"/>
      <w:marTop w:val="0"/>
      <w:marBottom w:val="0"/>
      <w:divBdr>
        <w:top w:val="none" w:sz="0" w:space="0" w:color="auto"/>
        <w:left w:val="none" w:sz="0" w:space="0" w:color="auto"/>
        <w:bottom w:val="none" w:sz="0" w:space="0" w:color="auto"/>
        <w:right w:val="none" w:sz="0" w:space="0" w:color="auto"/>
      </w:divBdr>
    </w:div>
    <w:div w:id="942112759">
      <w:bodyDiv w:val="1"/>
      <w:marLeft w:val="0"/>
      <w:marRight w:val="0"/>
      <w:marTop w:val="0"/>
      <w:marBottom w:val="0"/>
      <w:divBdr>
        <w:top w:val="none" w:sz="0" w:space="0" w:color="auto"/>
        <w:left w:val="none" w:sz="0" w:space="0" w:color="auto"/>
        <w:bottom w:val="none" w:sz="0" w:space="0" w:color="auto"/>
        <w:right w:val="none" w:sz="0" w:space="0" w:color="auto"/>
      </w:divBdr>
    </w:div>
    <w:div w:id="970667850">
      <w:bodyDiv w:val="1"/>
      <w:marLeft w:val="0"/>
      <w:marRight w:val="0"/>
      <w:marTop w:val="0"/>
      <w:marBottom w:val="0"/>
      <w:divBdr>
        <w:top w:val="none" w:sz="0" w:space="0" w:color="auto"/>
        <w:left w:val="none" w:sz="0" w:space="0" w:color="auto"/>
        <w:bottom w:val="none" w:sz="0" w:space="0" w:color="auto"/>
        <w:right w:val="none" w:sz="0" w:space="0" w:color="auto"/>
      </w:divBdr>
    </w:div>
    <w:div w:id="977222725">
      <w:bodyDiv w:val="1"/>
      <w:marLeft w:val="0"/>
      <w:marRight w:val="0"/>
      <w:marTop w:val="0"/>
      <w:marBottom w:val="0"/>
      <w:divBdr>
        <w:top w:val="none" w:sz="0" w:space="0" w:color="auto"/>
        <w:left w:val="none" w:sz="0" w:space="0" w:color="auto"/>
        <w:bottom w:val="none" w:sz="0" w:space="0" w:color="auto"/>
        <w:right w:val="none" w:sz="0" w:space="0" w:color="auto"/>
      </w:divBdr>
    </w:div>
    <w:div w:id="993533996">
      <w:bodyDiv w:val="1"/>
      <w:marLeft w:val="0"/>
      <w:marRight w:val="0"/>
      <w:marTop w:val="0"/>
      <w:marBottom w:val="0"/>
      <w:divBdr>
        <w:top w:val="none" w:sz="0" w:space="0" w:color="auto"/>
        <w:left w:val="none" w:sz="0" w:space="0" w:color="auto"/>
        <w:bottom w:val="none" w:sz="0" w:space="0" w:color="auto"/>
        <w:right w:val="none" w:sz="0" w:space="0" w:color="auto"/>
      </w:divBdr>
      <w:divsChild>
        <w:div w:id="1574974848">
          <w:marLeft w:val="677"/>
          <w:marRight w:val="0"/>
          <w:marTop w:val="0"/>
          <w:marBottom w:val="0"/>
          <w:divBdr>
            <w:top w:val="none" w:sz="0" w:space="0" w:color="auto"/>
            <w:left w:val="none" w:sz="0" w:space="0" w:color="auto"/>
            <w:bottom w:val="none" w:sz="0" w:space="0" w:color="auto"/>
            <w:right w:val="none" w:sz="0" w:space="0" w:color="auto"/>
          </w:divBdr>
        </w:div>
        <w:div w:id="1707874878">
          <w:marLeft w:val="677"/>
          <w:marRight w:val="0"/>
          <w:marTop w:val="0"/>
          <w:marBottom w:val="0"/>
          <w:divBdr>
            <w:top w:val="none" w:sz="0" w:space="0" w:color="auto"/>
            <w:left w:val="none" w:sz="0" w:space="0" w:color="auto"/>
            <w:bottom w:val="none" w:sz="0" w:space="0" w:color="auto"/>
            <w:right w:val="none" w:sz="0" w:space="0" w:color="auto"/>
          </w:divBdr>
        </w:div>
        <w:div w:id="2131196604">
          <w:marLeft w:val="677"/>
          <w:marRight w:val="0"/>
          <w:marTop w:val="0"/>
          <w:marBottom w:val="0"/>
          <w:divBdr>
            <w:top w:val="none" w:sz="0" w:space="0" w:color="auto"/>
            <w:left w:val="none" w:sz="0" w:space="0" w:color="auto"/>
            <w:bottom w:val="none" w:sz="0" w:space="0" w:color="auto"/>
            <w:right w:val="none" w:sz="0" w:space="0" w:color="auto"/>
          </w:divBdr>
        </w:div>
      </w:divsChild>
    </w:div>
    <w:div w:id="999849443">
      <w:bodyDiv w:val="1"/>
      <w:marLeft w:val="0"/>
      <w:marRight w:val="0"/>
      <w:marTop w:val="0"/>
      <w:marBottom w:val="0"/>
      <w:divBdr>
        <w:top w:val="none" w:sz="0" w:space="0" w:color="auto"/>
        <w:left w:val="none" w:sz="0" w:space="0" w:color="auto"/>
        <w:bottom w:val="none" w:sz="0" w:space="0" w:color="auto"/>
        <w:right w:val="none" w:sz="0" w:space="0" w:color="auto"/>
      </w:divBdr>
    </w:div>
    <w:div w:id="1012488060">
      <w:bodyDiv w:val="1"/>
      <w:marLeft w:val="0"/>
      <w:marRight w:val="0"/>
      <w:marTop w:val="0"/>
      <w:marBottom w:val="0"/>
      <w:divBdr>
        <w:top w:val="none" w:sz="0" w:space="0" w:color="auto"/>
        <w:left w:val="none" w:sz="0" w:space="0" w:color="auto"/>
        <w:bottom w:val="none" w:sz="0" w:space="0" w:color="auto"/>
        <w:right w:val="none" w:sz="0" w:space="0" w:color="auto"/>
      </w:divBdr>
    </w:div>
    <w:div w:id="1047223707">
      <w:bodyDiv w:val="1"/>
      <w:marLeft w:val="0"/>
      <w:marRight w:val="0"/>
      <w:marTop w:val="0"/>
      <w:marBottom w:val="0"/>
      <w:divBdr>
        <w:top w:val="none" w:sz="0" w:space="0" w:color="auto"/>
        <w:left w:val="none" w:sz="0" w:space="0" w:color="auto"/>
        <w:bottom w:val="none" w:sz="0" w:space="0" w:color="auto"/>
        <w:right w:val="none" w:sz="0" w:space="0" w:color="auto"/>
      </w:divBdr>
    </w:div>
    <w:div w:id="1049918986">
      <w:bodyDiv w:val="1"/>
      <w:marLeft w:val="0"/>
      <w:marRight w:val="0"/>
      <w:marTop w:val="0"/>
      <w:marBottom w:val="0"/>
      <w:divBdr>
        <w:top w:val="none" w:sz="0" w:space="0" w:color="auto"/>
        <w:left w:val="none" w:sz="0" w:space="0" w:color="auto"/>
        <w:bottom w:val="none" w:sz="0" w:space="0" w:color="auto"/>
        <w:right w:val="none" w:sz="0" w:space="0" w:color="auto"/>
      </w:divBdr>
    </w:div>
    <w:div w:id="1066757831">
      <w:bodyDiv w:val="1"/>
      <w:marLeft w:val="0"/>
      <w:marRight w:val="0"/>
      <w:marTop w:val="0"/>
      <w:marBottom w:val="0"/>
      <w:divBdr>
        <w:top w:val="none" w:sz="0" w:space="0" w:color="auto"/>
        <w:left w:val="none" w:sz="0" w:space="0" w:color="auto"/>
        <w:bottom w:val="none" w:sz="0" w:space="0" w:color="auto"/>
        <w:right w:val="none" w:sz="0" w:space="0" w:color="auto"/>
      </w:divBdr>
    </w:div>
    <w:div w:id="1077939224">
      <w:bodyDiv w:val="1"/>
      <w:marLeft w:val="0"/>
      <w:marRight w:val="0"/>
      <w:marTop w:val="0"/>
      <w:marBottom w:val="0"/>
      <w:divBdr>
        <w:top w:val="none" w:sz="0" w:space="0" w:color="auto"/>
        <w:left w:val="none" w:sz="0" w:space="0" w:color="auto"/>
        <w:bottom w:val="none" w:sz="0" w:space="0" w:color="auto"/>
        <w:right w:val="none" w:sz="0" w:space="0" w:color="auto"/>
      </w:divBdr>
    </w:div>
    <w:div w:id="1124812609">
      <w:bodyDiv w:val="1"/>
      <w:marLeft w:val="0"/>
      <w:marRight w:val="0"/>
      <w:marTop w:val="0"/>
      <w:marBottom w:val="0"/>
      <w:divBdr>
        <w:top w:val="none" w:sz="0" w:space="0" w:color="auto"/>
        <w:left w:val="none" w:sz="0" w:space="0" w:color="auto"/>
        <w:bottom w:val="none" w:sz="0" w:space="0" w:color="auto"/>
        <w:right w:val="none" w:sz="0" w:space="0" w:color="auto"/>
      </w:divBdr>
    </w:div>
    <w:div w:id="1159687010">
      <w:bodyDiv w:val="1"/>
      <w:marLeft w:val="0"/>
      <w:marRight w:val="0"/>
      <w:marTop w:val="0"/>
      <w:marBottom w:val="0"/>
      <w:divBdr>
        <w:top w:val="none" w:sz="0" w:space="0" w:color="auto"/>
        <w:left w:val="none" w:sz="0" w:space="0" w:color="auto"/>
        <w:bottom w:val="none" w:sz="0" w:space="0" w:color="auto"/>
        <w:right w:val="none" w:sz="0" w:space="0" w:color="auto"/>
      </w:divBdr>
    </w:div>
    <w:div w:id="1171144443">
      <w:bodyDiv w:val="1"/>
      <w:marLeft w:val="0"/>
      <w:marRight w:val="0"/>
      <w:marTop w:val="0"/>
      <w:marBottom w:val="0"/>
      <w:divBdr>
        <w:top w:val="none" w:sz="0" w:space="0" w:color="auto"/>
        <w:left w:val="none" w:sz="0" w:space="0" w:color="auto"/>
        <w:bottom w:val="none" w:sz="0" w:space="0" w:color="auto"/>
        <w:right w:val="none" w:sz="0" w:space="0" w:color="auto"/>
      </w:divBdr>
      <w:divsChild>
        <w:div w:id="366609737">
          <w:marLeft w:val="0"/>
          <w:marRight w:val="0"/>
          <w:marTop w:val="0"/>
          <w:marBottom w:val="0"/>
          <w:divBdr>
            <w:top w:val="none" w:sz="0" w:space="0" w:color="auto"/>
            <w:left w:val="none" w:sz="0" w:space="0" w:color="auto"/>
            <w:bottom w:val="none" w:sz="0" w:space="0" w:color="auto"/>
            <w:right w:val="none" w:sz="0" w:space="0" w:color="auto"/>
          </w:divBdr>
          <w:divsChild>
            <w:div w:id="139152097">
              <w:marLeft w:val="0"/>
              <w:marRight w:val="0"/>
              <w:marTop w:val="0"/>
              <w:marBottom w:val="0"/>
              <w:divBdr>
                <w:top w:val="none" w:sz="0" w:space="0" w:color="auto"/>
                <w:left w:val="none" w:sz="0" w:space="0" w:color="auto"/>
                <w:bottom w:val="none" w:sz="0" w:space="0" w:color="auto"/>
                <w:right w:val="none" w:sz="0" w:space="0" w:color="auto"/>
              </w:divBdr>
            </w:div>
            <w:div w:id="198592198">
              <w:marLeft w:val="0"/>
              <w:marRight w:val="0"/>
              <w:marTop w:val="0"/>
              <w:marBottom w:val="0"/>
              <w:divBdr>
                <w:top w:val="none" w:sz="0" w:space="0" w:color="auto"/>
                <w:left w:val="none" w:sz="0" w:space="0" w:color="auto"/>
                <w:bottom w:val="none" w:sz="0" w:space="0" w:color="auto"/>
                <w:right w:val="none" w:sz="0" w:space="0" w:color="auto"/>
              </w:divBdr>
            </w:div>
            <w:div w:id="214858676">
              <w:marLeft w:val="0"/>
              <w:marRight w:val="0"/>
              <w:marTop w:val="0"/>
              <w:marBottom w:val="0"/>
              <w:divBdr>
                <w:top w:val="none" w:sz="0" w:space="0" w:color="auto"/>
                <w:left w:val="none" w:sz="0" w:space="0" w:color="auto"/>
                <w:bottom w:val="none" w:sz="0" w:space="0" w:color="auto"/>
                <w:right w:val="none" w:sz="0" w:space="0" w:color="auto"/>
              </w:divBdr>
            </w:div>
            <w:div w:id="1139154884">
              <w:marLeft w:val="0"/>
              <w:marRight w:val="0"/>
              <w:marTop w:val="0"/>
              <w:marBottom w:val="0"/>
              <w:divBdr>
                <w:top w:val="none" w:sz="0" w:space="0" w:color="auto"/>
                <w:left w:val="none" w:sz="0" w:space="0" w:color="auto"/>
                <w:bottom w:val="none" w:sz="0" w:space="0" w:color="auto"/>
                <w:right w:val="none" w:sz="0" w:space="0" w:color="auto"/>
              </w:divBdr>
            </w:div>
            <w:div w:id="1440443583">
              <w:marLeft w:val="0"/>
              <w:marRight w:val="0"/>
              <w:marTop w:val="0"/>
              <w:marBottom w:val="0"/>
              <w:divBdr>
                <w:top w:val="none" w:sz="0" w:space="0" w:color="auto"/>
                <w:left w:val="none" w:sz="0" w:space="0" w:color="auto"/>
                <w:bottom w:val="none" w:sz="0" w:space="0" w:color="auto"/>
                <w:right w:val="none" w:sz="0" w:space="0" w:color="auto"/>
              </w:divBdr>
            </w:div>
            <w:div w:id="1479686707">
              <w:marLeft w:val="0"/>
              <w:marRight w:val="0"/>
              <w:marTop w:val="0"/>
              <w:marBottom w:val="0"/>
              <w:divBdr>
                <w:top w:val="none" w:sz="0" w:space="0" w:color="auto"/>
                <w:left w:val="none" w:sz="0" w:space="0" w:color="auto"/>
                <w:bottom w:val="none" w:sz="0" w:space="0" w:color="auto"/>
                <w:right w:val="none" w:sz="0" w:space="0" w:color="auto"/>
              </w:divBdr>
            </w:div>
            <w:div w:id="1562328638">
              <w:marLeft w:val="0"/>
              <w:marRight w:val="0"/>
              <w:marTop w:val="0"/>
              <w:marBottom w:val="0"/>
              <w:divBdr>
                <w:top w:val="none" w:sz="0" w:space="0" w:color="auto"/>
                <w:left w:val="none" w:sz="0" w:space="0" w:color="auto"/>
                <w:bottom w:val="none" w:sz="0" w:space="0" w:color="auto"/>
                <w:right w:val="none" w:sz="0" w:space="0" w:color="auto"/>
              </w:divBdr>
            </w:div>
            <w:div w:id="1683773467">
              <w:marLeft w:val="0"/>
              <w:marRight w:val="0"/>
              <w:marTop w:val="0"/>
              <w:marBottom w:val="0"/>
              <w:divBdr>
                <w:top w:val="none" w:sz="0" w:space="0" w:color="auto"/>
                <w:left w:val="none" w:sz="0" w:space="0" w:color="auto"/>
                <w:bottom w:val="none" w:sz="0" w:space="0" w:color="auto"/>
                <w:right w:val="none" w:sz="0" w:space="0" w:color="auto"/>
              </w:divBdr>
            </w:div>
            <w:div w:id="205226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151822">
      <w:bodyDiv w:val="1"/>
      <w:marLeft w:val="0"/>
      <w:marRight w:val="0"/>
      <w:marTop w:val="0"/>
      <w:marBottom w:val="0"/>
      <w:divBdr>
        <w:top w:val="none" w:sz="0" w:space="0" w:color="auto"/>
        <w:left w:val="none" w:sz="0" w:space="0" w:color="auto"/>
        <w:bottom w:val="none" w:sz="0" w:space="0" w:color="auto"/>
        <w:right w:val="none" w:sz="0" w:space="0" w:color="auto"/>
      </w:divBdr>
      <w:divsChild>
        <w:div w:id="1860701443">
          <w:marLeft w:val="0"/>
          <w:marRight w:val="0"/>
          <w:marTop w:val="0"/>
          <w:marBottom w:val="326"/>
          <w:divBdr>
            <w:top w:val="none" w:sz="0" w:space="0" w:color="auto"/>
            <w:left w:val="none" w:sz="0" w:space="0" w:color="auto"/>
            <w:bottom w:val="none" w:sz="0" w:space="0" w:color="auto"/>
            <w:right w:val="none" w:sz="0" w:space="0" w:color="auto"/>
          </w:divBdr>
        </w:div>
      </w:divsChild>
    </w:div>
    <w:div w:id="1225330629">
      <w:bodyDiv w:val="1"/>
      <w:marLeft w:val="0"/>
      <w:marRight w:val="0"/>
      <w:marTop w:val="0"/>
      <w:marBottom w:val="0"/>
      <w:divBdr>
        <w:top w:val="none" w:sz="0" w:space="0" w:color="auto"/>
        <w:left w:val="none" w:sz="0" w:space="0" w:color="auto"/>
        <w:bottom w:val="none" w:sz="0" w:space="0" w:color="auto"/>
        <w:right w:val="none" w:sz="0" w:space="0" w:color="auto"/>
      </w:divBdr>
    </w:div>
    <w:div w:id="1237400681">
      <w:bodyDiv w:val="1"/>
      <w:marLeft w:val="0"/>
      <w:marRight w:val="0"/>
      <w:marTop w:val="0"/>
      <w:marBottom w:val="0"/>
      <w:divBdr>
        <w:top w:val="none" w:sz="0" w:space="0" w:color="auto"/>
        <w:left w:val="none" w:sz="0" w:space="0" w:color="auto"/>
        <w:bottom w:val="none" w:sz="0" w:space="0" w:color="auto"/>
        <w:right w:val="none" w:sz="0" w:space="0" w:color="auto"/>
      </w:divBdr>
    </w:div>
    <w:div w:id="1268854466">
      <w:bodyDiv w:val="1"/>
      <w:marLeft w:val="0"/>
      <w:marRight w:val="0"/>
      <w:marTop w:val="0"/>
      <w:marBottom w:val="0"/>
      <w:divBdr>
        <w:top w:val="none" w:sz="0" w:space="0" w:color="auto"/>
        <w:left w:val="none" w:sz="0" w:space="0" w:color="auto"/>
        <w:bottom w:val="none" w:sz="0" w:space="0" w:color="auto"/>
        <w:right w:val="none" w:sz="0" w:space="0" w:color="auto"/>
      </w:divBdr>
    </w:div>
    <w:div w:id="1294680514">
      <w:bodyDiv w:val="1"/>
      <w:marLeft w:val="0"/>
      <w:marRight w:val="0"/>
      <w:marTop w:val="0"/>
      <w:marBottom w:val="0"/>
      <w:divBdr>
        <w:top w:val="none" w:sz="0" w:space="0" w:color="auto"/>
        <w:left w:val="none" w:sz="0" w:space="0" w:color="auto"/>
        <w:bottom w:val="none" w:sz="0" w:space="0" w:color="auto"/>
        <w:right w:val="none" w:sz="0" w:space="0" w:color="auto"/>
      </w:divBdr>
    </w:div>
    <w:div w:id="1314797885">
      <w:bodyDiv w:val="1"/>
      <w:marLeft w:val="0"/>
      <w:marRight w:val="0"/>
      <w:marTop w:val="0"/>
      <w:marBottom w:val="0"/>
      <w:divBdr>
        <w:top w:val="none" w:sz="0" w:space="0" w:color="auto"/>
        <w:left w:val="none" w:sz="0" w:space="0" w:color="auto"/>
        <w:bottom w:val="none" w:sz="0" w:space="0" w:color="auto"/>
        <w:right w:val="none" w:sz="0" w:space="0" w:color="auto"/>
      </w:divBdr>
      <w:divsChild>
        <w:div w:id="1181504747">
          <w:marLeft w:val="0"/>
          <w:marRight w:val="0"/>
          <w:marTop w:val="0"/>
          <w:marBottom w:val="326"/>
          <w:divBdr>
            <w:top w:val="none" w:sz="0" w:space="0" w:color="auto"/>
            <w:left w:val="none" w:sz="0" w:space="0" w:color="auto"/>
            <w:bottom w:val="none" w:sz="0" w:space="0" w:color="auto"/>
            <w:right w:val="none" w:sz="0" w:space="0" w:color="auto"/>
          </w:divBdr>
        </w:div>
      </w:divsChild>
    </w:div>
    <w:div w:id="1322150846">
      <w:bodyDiv w:val="1"/>
      <w:marLeft w:val="0"/>
      <w:marRight w:val="0"/>
      <w:marTop w:val="0"/>
      <w:marBottom w:val="0"/>
      <w:divBdr>
        <w:top w:val="none" w:sz="0" w:space="0" w:color="auto"/>
        <w:left w:val="none" w:sz="0" w:space="0" w:color="auto"/>
        <w:bottom w:val="none" w:sz="0" w:space="0" w:color="auto"/>
        <w:right w:val="none" w:sz="0" w:space="0" w:color="auto"/>
      </w:divBdr>
    </w:div>
    <w:div w:id="1322270829">
      <w:bodyDiv w:val="1"/>
      <w:marLeft w:val="0"/>
      <w:marRight w:val="0"/>
      <w:marTop w:val="0"/>
      <w:marBottom w:val="0"/>
      <w:divBdr>
        <w:top w:val="none" w:sz="0" w:space="0" w:color="auto"/>
        <w:left w:val="none" w:sz="0" w:space="0" w:color="auto"/>
        <w:bottom w:val="none" w:sz="0" w:space="0" w:color="auto"/>
        <w:right w:val="none" w:sz="0" w:space="0" w:color="auto"/>
      </w:divBdr>
    </w:div>
    <w:div w:id="1346207338">
      <w:bodyDiv w:val="1"/>
      <w:marLeft w:val="0"/>
      <w:marRight w:val="0"/>
      <w:marTop w:val="0"/>
      <w:marBottom w:val="0"/>
      <w:divBdr>
        <w:top w:val="none" w:sz="0" w:space="0" w:color="auto"/>
        <w:left w:val="none" w:sz="0" w:space="0" w:color="auto"/>
        <w:bottom w:val="none" w:sz="0" w:space="0" w:color="auto"/>
        <w:right w:val="none" w:sz="0" w:space="0" w:color="auto"/>
      </w:divBdr>
      <w:divsChild>
        <w:div w:id="592518505">
          <w:marLeft w:val="0"/>
          <w:marRight w:val="0"/>
          <w:marTop w:val="0"/>
          <w:marBottom w:val="326"/>
          <w:divBdr>
            <w:top w:val="none" w:sz="0" w:space="0" w:color="auto"/>
            <w:left w:val="none" w:sz="0" w:space="0" w:color="auto"/>
            <w:bottom w:val="none" w:sz="0" w:space="0" w:color="auto"/>
            <w:right w:val="none" w:sz="0" w:space="0" w:color="auto"/>
          </w:divBdr>
        </w:div>
      </w:divsChild>
    </w:div>
    <w:div w:id="1349213658">
      <w:bodyDiv w:val="1"/>
      <w:marLeft w:val="0"/>
      <w:marRight w:val="0"/>
      <w:marTop w:val="0"/>
      <w:marBottom w:val="0"/>
      <w:divBdr>
        <w:top w:val="none" w:sz="0" w:space="0" w:color="auto"/>
        <w:left w:val="none" w:sz="0" w:space="0" w:color="auto"/>
        <w:bottom w:val="none" w:sz="0" w:space="0" w:color="auto"/>
        <w:right w:val="none" w:sz="0" w:space="0" w:color="auto"/>
      </w:divBdr>
      <w:divsChild>
        <w:div w:id="864637056">
          <w:marLeft w:val="0"/>
          <w:marRight w:val="0"/>
          <w:marTop w:val="0"/>
          <w:marBottom w:val="326"/>
          <w:divBdr>
            <w:top w:val="none" w:sz="0" w:space="0" w:color="auto"/>
            <w:left w:val="none" w:sz="0" w:space="0" w:color="auto"/>
            <w:bottom w:val="none" w:sz="0" w:space="0" w:color="auto"/>
            <w:right w:val="none" w:sz="0" w:space="0" w:color="auto"/>
          </w:divBdr>
        </w:div>
      </w:divsChild>
    </w:div>
    <w:div w:id="1393118061">
      <w:bodyDiv w:val="1"/>
      <w:marLeft w:val="204"/>
      <w:marRight w:val="204"/>
      <w:marTop w:val="204"/>
      <w:marBottom w:val="204"/>
      <w:divBdr>
        <w:top w:val="none" w:sz="0" w:space="0" w:color="auto"/>
        <w:left w:val="none" w:sz="0" w:space="0" w:color="auto"/>
        <w:bottom w:val="none" w:sz="0" w:space="0" w:color="auto"/>
        <w:right w:val="none" w:sz="0" w:space="0" w:color="auto"/>
      </w:divBdr>
      <w:divsChild>
        <w:div w:id="1215579280">
          <w:marLeft w:val="0"/>
          <w:marRight w:val="0"/>
          <w:marTop w:val="0"/>
          <w:marBottom w:val="326"/>
          <w:divBdr>
            <w:top w:val="none" w:sz="0" w:space="0" w:color="auto"/>
            <w:left w:val="none" w:sz="0" w:space="0" w:color="auto"/>
            <w:bottom w:val="none" w:sz="0" w:space="0" w:color="auto"/>
            <w:right w:val="none" w:sz="0" w:space="0" w:color="auto"/>
          </w:divBdr>
        </w:div>
      </w:divsChild>
    </w:div>
    <w:div w:id="1404329505">
      <w:bodyDiv w:val="1"/>
      <w:marLeft w:val="0"/>
      <w:marRight w:val="0"/>
      <w:marTop w:val="0"/>
      <w:marBottom w:val="0"/>
      <w:divBdr>
        <w:top w:val="none" w:sz="0" w:space="0" w:color="auto"/>
        <w:left w:val="none" w:sz="0" w:space="0" w:color="auto"/>
        <w:bottom w:val="none" w:sz="0" w:space="0" w:color="auto"/>
        <w:right w:val="none" w:sz="0" w:space="0" w:color="auto"/>
      </w:divBdr>
    </w:div>
    <w:div w:id="1417284991">
      <w:bodyDiv w:val="1"/>
      <w:marLeft w:val="0"/>
      <w:marRight w:val="0"/>
      <w:marTop w:val="0"/>
      <w:marBottom w:val="0"/>
      <w:divBdr>
        <w:top w:val="none" w:sz="0" w:space="0" w:color="auto"/>
        <w:left w:val="none" w:sz="0" w:space="0" w:color="auto"/>
        <w:bottom w:val="none" w:sz="0" w:space="0" w:color="auto"/>
        <w:right w:val="none" w:sz="0" w:space="0" w:color="auto"/>
      </w:divBdr>
    </w:div>
    <w:div w:id="1431699516">
      <w:bodyDiv w:val="1"/>
      <w:marLeft w:val="0"/>
      <w:marRight w:val="0"/>
      <w:marTop w:val="0"/>
      <w:marBottom w:val="0"/>
      <w:divBdr>
        <w:top w:val="none" w:sz="0" w:space="0" w:color="auto"/>
        <w:left w:val="none" w:sz="0" w:space="0" w:color="auto"/>
        <w:bottom w:val="none" w:sz="0" w:space="0" w:color="auto"/>
        <w:right w:val="none" w:sz="0" w:space="0" w:color="auto"/>
      </w:divBdr>
      <w:divsChild>
        <w:div w:id="1893997048">
          <w:marLeft w:val="0"/>
          <w:marRight w:val="0"/>
          <w:marTop w:val="0"/>
          <w:marBottom w:val="326"/>
          <w:divBdr>
            <w:top w:val="none" w:sz="0" w:space="0" w:color="auto"/>
            <w:left w:val="none" w:sz="0" w:space="0" w:color="auto"/>
            <w:bottom w:val="none" w:sz="0" w:space="0" w:color="auto"/>
            <w:right w:val="none" w:sz="0" w:space="0" w:color="auto"/>
          </w:divBdr>
        </w:div>
      </w:divsChild>
    </w:div>
    <w:div w:id="1449616587">
      <w:bodyDiv w:val="1"/>
      <w:marLeft w:val="0"/>
      <w:marRight w:val="0"/>
      <w:marTop w:val="0"/>
      <w:marBottom w:val="0"/>
      <w:divBdr>
        <w:top w:val="none" w:sz="0" w:space="0" w:color="auto"/>
        <w:left w:val="none" w:sz="0" w:space="0" w:color="auto"/>
        <w:bottom w:val="none" w:sz="0" w:space="0" w:color="auto"/>
        <w:right w:val="none" w:sz="0" w:space="0" w:color="auto"/>
      </w:divBdr>
      <w:divsChild>
        <w:div w:id="31199749">
          <w:marLeft w:val="0"/>
          <w:marRight w:val="0"/>
          <w:marTop w:val="0"/>
          <w:marBottom w:val="0"/>
          <w:divBdr>
            <w:top w:val="none" w:sz="0" w:space="0" w:color="auto"/>
            <w:left w:val="none" w:sz="0" w:space="0" w:color="auto"/>
            <w:bottom w:val="none" w:sz="0" w:space="0" w:color="auto"/>
            <w:right w:val="none" w:sz="0" w:space="0" w:color="auto"/>
          </w:divBdr>
        </w:div>
      </w:divsChild>
    </w:div>
    <w:div w:id="1453594000">
      <w:bodyDiv w:val="1"/>
      <w:marLeft w:val="0"/>
      <w:marRight w:val="0"/>
      <w:marTop w:val="0"/>
      <w:marBottom w:val="0"/>
      <w:divBdr>
        <w:top w:val="none" w:sz="0" w:space="0" w:color="auto"/>
        <w:left w:val="none" w:sz="0" w:space="0" w:color="auto"/>
        <w:bottom w:val="none" w:sz="0" w:space="0" w:color="auto"/>
        <w:right w:val="none" w:sz="0" w:space="0" w:color="auto"/>
      </w:divBdr>
    </w:div>
    <w:div w:id="1455640787">
      <w:bodyDiv w:val="1"/>
      <w:marLeft w:val="0"/>
      <w:marRight w:val="0"/>
      <w:marTop w:val="0"/>
      <w:marBottom w:val="0"/>
      <w:divBdr>
        <w:top w:val="none" w:sz="0" w:space="0" w:color="auto"/>
        <w:left w:val="none" w:sz="0" w:space="0" w:color="auto"/>
        <w:bottom w:val="none" w:sz="0" w:space="0" w:color="auto"/>
        <w:right w:val="none" w:sz="0" w:space="0" w:color="auto"/>
      </w:divBdr>
    </w:div>
    <w:div w:id="1461220419">
      <w:bodyDiv w:val="1"/>
      <w:marLeft w:val="0"/>
      <w:marRight w:val="0"/>
      <w:marTop w:val="0"/>
      <w:marBottom w:val="0"/>
      <w:divBdr>
        <w:top w:val="none" w:sz="0" w:space="0" w:color="auto"/>
        <w:left w:val="none" w:sz="0" w:space="0" w:color="auto"/>
        <w:bottom w:val="none" w:sz="0" w:space="0" w:color="auto"/>
        <w:right w:val="none" w:sz="0" w:space="0" w:color="auto"/>
      </w:divBdr>
    </w:div>
    <w:div w:id="1478768646">
      <w:bodyDiv w:val="1"/>
      <w:marLeft w:val="0"/>
      <w:marRight w:val="0"/>
      <w:marTop w:val="0"/>
      <w:marBottom w:val="0"/>
      <w:divBdr>
        <w:top w:val="none" w:sz="0" w:space="0" w:color="auto"/>
        <w:left w:val="none" w:sz="0" w:space="0" w:color="auto"/>
        <w:bottom w:val="none" w:sz="0" w:space="0" w:color="auto"/>
        <w:right w:val="none" w:sz="0" w:space="0" w:color="auto"/>
      </w:divBdr>
      <w:divsChild>
        <w:div w:id="1953974016">
          <w:marLeft w:val="0"/>
          <w:marRight w:val="0"/>
          <w:marTop w:val="0"/>
          <w:marBottom w:val="326"/>
          <w:divBdr>
            <w:top w:val="none" w:sz="0" w:space="0" w:color="auto"/>
            <w:left w:val="none" w:sz="0" w:space="0" w:color="auto"/>
            <w:bottom w:val="none" w:sz="0" w:space="0" w:color="auto"/>
            <w:right w:val="none" w:sz="0" w:space="0" w:color="auto"/>
          </w:divBdr>
        </w:div>
      </w:divsChild>
    </w:div>
    <w:div w:id="1515463200">
      <w:bodyDiv w:val="1"/>
      <w:marLeft w:val="0"/>
      <w:marRight w:val="0"/>
      <w:marTop w:val="0"/>
      <w:marBottom w:val="0"/>
      <w:divBdr>
        <w:top w:val="none" w:sz="0" w:space="0" w:color="auto"/>
        <w:left w:val="none" w:sz="0" w:space="0" w:color="auto"/>
        <w:bottom w:val="none" w:sz="0" w:space="0" w:color="auto"/>
        <w:right w:val="none" w:sz="0" w:space="0" w:color="auto"/>
      </w:divBdr>
    </w:div>
    <w:div w:id="1530221022">
      <w:bodyDiv w:val="1"/>
      <w:marLeft w:val="0"/>
      <w:marRight w:val="0"/>
      <w:marTop w:val="0"/>
      <w:marBottom w:val="0"/>
      <w:divBdr>
        <w:top w:val="none" w:sz="0" w:space="0" w:color="auto"/>
        <w:left w:val="none" w:sz="0" w:space="0" w:color="auto"/>
        <w:bottom w:val="none" w:sz="0" w:space="0" w:color="auto"/>
        <w:right w:val="none" w:sz="0" w:space="0" w:color="auto"/>
      </w:divBdr>
      <w:divsChild>
        <w:div w:id="1295915232">
          <w:marLeft w:val="0"/>
          <w:marRight w:val="0"/>
          <w:marTop w:val="0"/>
          <w:marBottom w:val="326"/>
          <w:divBdr>
            <w:top w:val="none" w:sz="0" w:space="0" w:color="auto"/>
            <w:left w:val="none" w:sz="0" w:space="0" w:color="auto"/>
            <w:bottom w:val="none" w:sz="0" w:space="0" w:color="auto"/>
            <w:right w:val="none" w:sz="0" w:space="0" w:color="auto"/>
          </w:divBdr>
        </w:div>
      </w:divsChild>
    </w:div>
    <w:div w:id="1558122405">
      <w:bodyDiv w:val="1"/>
      <w:marLeft w:val="0"/>
      <w:marRight w:val="0"/>
      <w:marTop w:val="0"/>
      <w:marBottom w:val="0"/>
      <w:divBdr>
        <w:top w:val="none" w:sz="0" w:space="0" w:color="auto"/>
        <w:left w:val="none" w:sz="0" w:space="0" w:color="auto"/>
        <w:bottom w:val="none" w:sz="0" w:space="0" w:color="auto"/>
        <w:right w:val="none" w:sz="0" w:space="0" w:color="auto"/>
      </w:divBdr>
      <w:divsChild>
        <w:div w:id="1414281262">
          <w:marLeft w:val="0"/>
          <w:marRight w:val="0"/>
          <w:marTop w:val="0"/>
          <w:marBottom w:val="0"/>
          <w:divBdr>
            <w:top w:val="none" w:sz="0" w:space="0" w:color="auto"/>
            <w:left w:val="none" w:sz="0" w:space="0" w:color="auto"/>
            <w:bottom w:val="none" w:sz="0" w:space="0" w:color="auto"/>
            <w:right w:val="none" w:sz="0" w:space="0" w:color="auto"/>
          </w:divBdr>
        </w:div>
      </w:divsChild>
    </w:div>
    <w:div w:id="1564684182">
      <w:bodyDiv w:val="1"/>
      <w:marLeft w:val="0"/>
      <w:marRight w:val="0"/>
      <w:marTop w:val="0"/>
      <w:marBottom w:val="0"/>
      <w:divBdr>
        <w:top w:val="none" w:sz="0" w:space="0" w:color="auto"/>
        <w:left w:val="none" w:sz="0" w:space="0" w:color="auto"/>
        <w:bottom w:val="none" w:sz="0" w:space="0" w:color="auto"/>
        <w:right w:val="none" w:sz="0" w:space="0" w:color="auto"/>
      </w:divBdr>
    </w:div>
    <w:div w:id="1581914691">
      <w:bodyDiv w:val="1"/>
      <w:marLeft w:val="0"/>
      <w:marRight w:val="0"/>
      <w:marTop w:val="0"/>
      <w:marBottom w:val="0"/>
      <w:divBdr>
        <w:top w:val="none" w:sz="0" w:space="0" w:color="auto"/>
        <w:left w:val="none" w:sz="0" w:space="0" w:color="auto"/>
        <w:bottom w:val="none" w:sz="0" w:space="0" w:color="auto"/>
        <w:right w:val="none" w:sz="0" w:space="0" w:color="auto"/>
      </w:divBdr>
    </w:div>
    <w:div w:id="1603807236">
      <w:bodyDiv w:val="1"/>
      <w:marLeft w:val="0"/>
      <w:marRight w:val="0"/>
      <w:marTop w:val="0"/>
      <w:marBottom w:val="0"/>
      <w:divBdr>
        <w:top w:val="none" w:sz="0" w:space="0" w:color="auto"/>
        <w:left w:val="none" w:sz="0" w:space="0" w:color="auto"/>
        <w:bottom w:val="none" w:sz="0" w:space="0" w:color="auto"/>
        <w:right w:val="none" w:sz="0" w:space="0" w:color="auto"/>
      </w:divBdr>
    </w:div>
    <w:div w:id="1610158108">
      <w:bodyDiv w:val="1"/>
      <w:marLeft w:val="0"/>
      <w:marRight w:val="0"/>
      <w:marTop w:val="0"/>
      <w:marBottom w:val="0"/>
      <w:divBdr>
        <w:top w:val="none" w:sz="0" w:space="0" w:color="auto"/>
        <w:left w:val="none" w:sz="0" w:space="0" w:color="auto"/>
        <w:bottom w:val="none" w:sz="0" w:space="0" w:color="auto"/>
        <w:right w:val="none" w:sz="0" w:space="0" w:color="auto"/>
      </w:divBdr>
      <w:divsChild>
        <w:div w:id="1745830899">
          <w:marLeft w:val="0"/>
          <w:marRight w:val="0"/>
          <w:marTop w:val="0"/>
          <w:marBottom w:val="326"/>
          <w:divBdr>
            <w:top w:val="none" w:sz="0" w:space="0" w:color="auto"/>
            <w:left w:val="none" w:sz="0" w:space="0" w:color="auto"/>
            <w:bottom w:val="none" w:sz="0" w:space="0" w:color="auto"/>
            <w:right w:val="none" w:sz="0" w:space="0" w:color="auto"/>
          </w:divBdr>
        </w:div>
      </w:divsChild>
    </w:div>
    <w:div w:id="1618677159">
      <w:bodyDiv w:val="1"/>
      <w:marLeft w:val="0"/>
      <w:marRight w:val="0"/>
      <w:marTop w:val="0"/>
      <w:marBottom w:val="0"/>
      <w:divBdr>
        <w:top w:val="none" w:sz="0" w:space="0" w:color="auto"/>
        <w:left w:val="none" w:sz="0" w:space="0" w:color="auto"/>
        <w:bottom w:val="none" w:sz="0" w:space="0" w:color="auto"/>
        <w:right w:val="none" w:sz="0" w:space="0" w:color="auto"/>
      </w:divBdr>
    </w:div>
    <w:div w:id="1633515365">
      <w:bodyDiv w:val="1"/>
      <w:marLeft w:val="0"/>
      <w:marRight w:val="0"/>
      <w:marTop w:val="0"/>
      <w:marBottom w:val="0"/>
      <w:divBdr>
        <w:top w:val="none" w:sz="0" w:space="0" w:color="auto"/>
        <w:left w:val="none" w:sz="0" w:space="0" w:color="auto"/>
        <w:bottom w:val="none" w:sz="0" w:space="0" w:color="auto"/>
        <w:right w:val="none" w:sz="0" w:space="0" w:color="auto"/>
      </w:divBdr>
    </w:div>
    <w:div w:id="1640577304">
      <w:bodyDiv w:val="1"/>
      <w:marLeft w:val="0"/>
      <w:marRight w:val="0"/>
      <w:marTop w:val="0"/>
      <w:marBottom w:val="0"/>
      <w:divBdr>
        <w:top w:val="none" w:sz="0" w:space="0" w:color="auto"/>
        <w:left w:val="none" w:sz="0" w:space="0" w:color="auto"/>
        <w:bottom w:val="none" w:sz="0" w:space="0" w:color="auto"/>
        <w:right w:val="none" w:sz="0" w:space="0" w:color="auto"/>
      </w:divBdr>
    </w:div>
    <w:div w:id="1665477790">
      <w:bodyDiv w:val="1"/>
      <w:marLeft w:val="0"/>
      <w:marRight w:val="0"/>
      <w:marTop w:val="0"/>
      <w:marBottom w:val="0"/>
      <w:divBdr>
        <w:top w:val="none" w:sz="0" w:space="0" w:color="auto"/>
        <w:left w:val="none" w:sz="0" w:space="0" w:color="auto"/>
        <w:bottom w:val="none" w:sz="0" w:space="0" w:color="auto"/>
        <w:right w:val="none" w:sz="0" w:space="0" w:color="auto"/>
      </w:divBdr>
    </w:div>
    <w:div w:id="1666589668">
      <w:bodyDiv w:val="1"/>
      <w:marLeft w:val="0"/>
      <w:marRight w:val="0"/>
      <w:marTop w:val="0"/>
      <w:marBottom w:val="0"/>
      <w:divBdr>
        <w:top w:val="none" w:sz="0" w:space="0" w:color="auto"/>
        <w:left w:val="none" w:sz="0" w:space="0" w:color="auto"/>
        <w:bottom w:val="none" w:sz="0" w:space="0" w:color="auto"/>
        <w:right w:val="none" w:sz="0" w:space="0" w:color="auto"/>
      </w:divBdr>
    </w:div>
    <w:div w:id="1679766790">
      <w:bodyDiv w:val="1"/>
      <w:marLeft w:val="0"/>
      <w:marRight w:val="0"/>
      <w:marTop w:val="0"/>
      <w:marBottom w:val="0"/>
      <w:divBdr>
        <w:top w:val="none" w:sz="0" w:space="0" w:color="auto"/>
        <w:left w:val="none" w:sz="0" w:space="0" w:color="auto"/>
        <w:bottom w:val="none" w:sz="0" w:space="0" w:color="auto"/>
        <w:right w:val="none" w:sz="0" w:space="0" w:color="auto"/>
      </w:divBdr>
    </w:div>
    <w:div w:id="1680429390">
      <w:bodyDiv w:val="1"/>
      <w:marLeft w:val="0"/>
      <w:marRight w:val="0"/>
      <w:marTop w:val="0"/>
      <w:marBottom w:val="0"/>
      <w:divBdr>
        <w:top w:val="none" w:sz="0" w:space="0" w:color="auto"/>
        <w:left w:val="none" w:sz="0" w:space="0" w:color="auto"/>
        <w:bottom w:val="none" w:sz="0" w:space="0" w:color="auto"/>
        <w:right w:val="none" w:sz="0" w:space="0" w:color="auto"/>
      </w:divBdr>
    </w:div>
    <w:div w:id="1698851759">
      <w:bodyDiv w:val="1"/>
      <w:marLeft w:val="0"/>
      <w:marRight w:val="0"/>
      <w:marTop w:val="0"/>
      <w:marBottom w:val="0"/>
      <w:divBdr>
        <w:top w:val="none" w:sz="0" w:space="0" w:color="auto"/>
        <w:left w:val="none" w:sz="0" w:space="0" w:color="auto"/>
        <w:bottom w:val="none" w:sz="0" w:space="0" w:color="auto"/>
        <w:right w:val="none" w:sz="0" w:space="0" w:color="auto"/>
      </w:divBdr>
    </w:div>
    <w:div w:id="1703286832">
      <w:bodyDiv w:val="1"/>
      <w:marLeft w:val="0"/>
      <w:marRight w:val="0"/>
      <w:marTop w:val="0"/>
      <w:marBottom w:val="0"/>
      <w:divBdr>
        <w:top w:val="none" w:sz="0" w:space="0" w:color="auto"/>
        <w:left w:val="none" w:sz="0" w:space="0" w:color="auto"/>
        <w:bottom w:val="none" w:sz="0" w:space="0" w:color="auto"/>
        <w:right w:val="none" w:sz="0" w:space="0" w:color="auto"/>
      </w:divBdr>
      <w:divsChild>
        <w:div w:id="199166534">
          <w:marLeft w:val="547"/>
          <w:marRight w:val="0"/>
          <w:marTop w:val="0"/>
          <w:marBottom w:val="0"/>
          <w:divBdr>
            <w:top w:val="none" w:sz="0" w:space="0" w:color="auto"/>
            <w:left w:val="none" w:sz="0" w:space="0" w:color="auto"/>
            <w:bottom w:val="none" w:sz="0" w:space="0" w:color="auto"/>
            <w:right w:val="none" w:sz="0" w:space="0" w:color="auto"/>
          </w:divBdr>
        </w:div>
        <w:div w:id="541751993">
          <w:marLeft w:val="547"/>
          <w:marRight w:val="0"/>
          <w:marTop w:val="0"/>
          <w:marBottom w:val="0"/>
          <w:divBdr>
            <w:top w:val="none" w:sz="0" w:space="0" w:color="auto"/>
            <w:left w:val="none" w:sz="0" w:space="0" w:color="auto"/>
            <w:bottom w:val="none" w:sz="0" w:space="0" w:color="auto"/>
            <w:right w:val="none" w:sz="0" w:space="0" w:color="auto"/>
          </w:divBdr>
        </w:div>
        <w:div w:id="751393917">
          <w:marLeft w:val="547"/>
          <w:marRight w:val="0"/>
          <w:marTop w:val="0"/>
          <w:marBottom w:val="0"/>
          <w:divBdr>
            <w:top w:val="none" w:sz="0" w:space="0" w:color="auto"/>
            <w:left w:val="none" w:sz="0" w:space="0" w:color="auto"/>
            <w:bottom w:val="none" w:sz="0" w:space="0" w:color="auto"/>
            <w:right w:val="none" w:sz="0" w:space="0" w:color="auto"/>
          </w:divBdr>
        </w:div>
        <w:div w:id="1254044808">
          <w:marLeft w:val="547"/>
          <w:marRight w:val="0"/>
          <w:marTop w:val="0"/>
          <w:marBottom w:val="0"/>
          <w:divBdr>
            <w:top w:val="none" w:sz="0" w:space="0" w:color="auto"/>
            <w:left w:val="none" w:sz="0" w:space="0" w:color="auto"/>
            <w:bottom w:val="none" w:sz="0" w:space="0" w:color="auto"/>
            <w:right w:val="none" w:sz="0" w:space="0" w:color="auto"/>
          </w:divBdr>
        </w:div>
        <w:div w:id="1476334152">
          <w:marLeft w:val="547"/>
          <w:marRight w:val="0"/>
          <w:marTop w:val="0"/>
          <w:marBottom w:val="0"/>
          <w:divBdr>
            <w:top w:val="none" w:sz="0" w:space="0" w:color="auto"/>
            <w:left w:val="none" w:sz="0" w:space="0" w:color="auto"/>
            <w:bottom w:val="none" w:sz="0" w:space="0" w:color="auto"/>
            <w:right w:val="none" w:sz="0" w:space="0" w:color="auto"/>
          </w:divBdr>
        </w:div>
        <w:div w:id="1630359685">
          <w:marLeft w:val="547"/>
          <w:marRight w:val="0"/>
          <w:marTop w:val="0"/>
          <w:marBottom w:val="0"/>
          <w:divBdr>
            <w:top w:val="none" w:sz="0" w:space="0" w:color="auto"/>
            <w:left w:val="none" w:sz="0" w:space="0" w:color="auto"/>
            <w:bottom w:val="none" w:sz="0" w:space="0" w:color="auto"/>
            <w:right w:val="none" w:sz="0" w:space="0" w:color="auto"/>
          </w:divBdr>
        </w:div>
      </w:divsChild>
    </w:div>
    <w:div w:id="1727949751">
      <w:bodyDiv w:val="1"/>
      <w:marLeft w:val="0"/>
      <w:marRight w:val="0"/>
      <w:marTop w:val="0"/>
      <w:marBottom w:val="0"/>
      <w:divBdr>
        <w:top w:val="none" w:sz="0" w:space="0" w:color="auto"/>
        <w:left w:val="none" w:sz="0" w:space="0" w:color="auto"/>
        <w:bottom w:val="none" w:sz="0" w:space="0" w:color="auto"/>
        <w:right w:val="none" w:sz="0" w:space="0" w:color="auto"/>
      </w:divBdr>
    </w:div>
    <w:div w:id="1734162452">
      <w:bodyDiv w:val="1"/>
      <w:marLeft w:val="0"/>
      <w:marRight w:val="0"/>
      <w:marTop w:val="0"/>
      <w:marBottom w:val="0"/>
      <w:divBdr>
        <w:top w:val="none" w:sz="0" w:space="0" w:color="auto"/>
        <w:left w:val="none" w:sz="0" w:space="0" w:color="auto"/>
        <w:bottom w:val="none" w:sz="0" w:space="0" w:color="auto"/>
        <w:right w:val="none" w:sz="0" w:space="0" w:color="auto"/>
      </w:divBdr>
    </w:div>
    <w:div w:id="1734890787">
      <w:bodyDiv w:val="1"/>
      <w:marLeft w:val="0"/>
      <w:marRight w:val="0"/>
      <w:marTop w:val="0"/>
      <w:marBottom w:val="0"/>
      <w:divBdr>
        <w:top w:val="none" w:sz="0" w:space="0" w:color="auto"/>
        <w:left w:val="none" w:sz="0" w:space="0" w:color="auto"/>
        <w:bottom w:val="none" w:sz="0" w:space="0" w:color="auto"/>
        <w:right w:val="none" w:sz="0" w:space="0" w:color="auto"/>
      </w:divBdr>
    </w:div>
    <w:div w:id="1746415178">
      <w:bodyDiv w:val="1"/>
      <w:marLeft w:val="0"/>
      <w:marRight w:val="0"/>
      <w:marTop w:val="0"/>
      <w:marBottom w:val="0"/>
      <w:divBdr>
        <w:top w:val="none" w:sz="0" w:space="0" w:color="auto"/>
        <w:left w:val="none" w:sz="0" w:space="0" w:color="auto"/>
        <w:bottom w:val="none" w:sz="0" w:space="0" w:color="auto"/>
        <w:right w:val="none" w:sz="0" w:space="0" w:color="auto"/>
      </w:divBdr>
      <w:divsChild>
        <w:div w:id="2017613302">
          <w:marLeft w:val="0"/>
          <w:marRight w:val="0"/>
          <w:marTop w:val="0"/>
          <w:marBottom w:val="0"/>
          <w:divBdr>
            <w:top w:val="none" w:sz="0" w:space="0" w:color="auto"/>
            <w:left w:val="none" w:sz="0" w:space="0" w:color="auto"/>
            <w:bottom w:val="none" w:sz="0" w:space="0" w:color="auto"/>
            <w:right w:val="none" w:sz="0" w:space="0" w:color="auto"/>
          </w:divBdr>
        </w:div>
      </w:divsChild>
    </w:div>
    <w:div w:id="1748304789">
      <w:bodyDiv w:val="1"/>
      <w:marLeft w:val="0"/>
      <w:marRight w:val="0"/>
      <w:marTop w:val="0"/>
      <w:marBottom w:val="0"/>
      <w:divBdr>
        <w:top w:val="none" w:sz="0" w:space="0" w:color="auto"/>
        <w:left w:val="none" w:sz="0" w:space="0" w:color="auto"/>
        <w:bottom w:val="none" w:sz="0" w:space="0" w:color="auto"/>
        <w:right w:val="none" w:sz="0" w:space="0" w:color="auto"/>
      </w:divBdr>
      <w:divsChild>
        <w:div w:id="170605561">
          <w:marLeft w:val="0"/>
          <w:marRight w:val="0"/>
          <w:marTop w:val="0"/>
          <w:marBottom w:val="0"/>
          <w:divBdr>
            <w:top w:val="none" w:sz="0" w:space="0" w:color="auto"/>
            <w:left w:val="none" w:sz="0" w:space="0" w:color="auto"/>
            <w:bottom w:val="none" w:sz="0" w:space="0" w:color="auto"/>
            <w:right w:val="none" w:sz="0" w:space="0" w:color="auto"/>
          </w:divBdr>
          <w:divsChild>
            <w:div w:id="1652902053">
              <w:marLeft w:val="0"/>
              <w:marRight w:val="0"/>
              <w:marTop w:val="0"/>
              <w:marBottom w:val="0"/>
              <w:divBdr>
                <w:top w:val="single" w:sz="6" w:space="0" w:color="C0C0C0"/>
                <w:left w:val="single" w:sz="6" w:space="0" w:color="C0C0C0"/>
                <w:bottom w:val="single" w:sz="6" w:space="0" w:color="C0C0C0"/>
                <w:right w:val="single" w:sz="6" w:space="0" w:color="C0C0C0"/>
              </w:divBdr>
            </w:div>
          </w:divsChild>
        </w:div>
      </w:divsChild>
    </w:div>
    <w:div w:id="1757752072">
      <w:bodyDiv w:val="1"/>
      <w:marLeft w:val="0"/>
      <w:marRight w:val="0"/>
      <w:marTop w:val="0"/>
      <w:marBottom w:val="0"/>
      <w:divBdr>
        <w:top w:val="none" w:sz="0" w:space="0" w:color="auto"/>
        <w:left w:val="none" w:sz="0" w:space="0" w:color="auto"/>
        <w:bottom w:val="none" w:sz="0" w:space="0" w:color="auto"/>
        <w:right w:val="none" w:sz="0" w:space="0" w:color="auto"/>
      </w:divBdr>
    </w:div>
    <w:div w:id="1764641833">
      <w:bodyDiv w:val="1"/>
      <w:marLeft w:val="0"/>
      <w:marRight w:val="0"/>
      <w:marTop w:val="0"/>
      <w:marBottom w:val="0"/>
      <w:divBdr>
        <w:top w:val="none" w:sz="0" w:space="0" w:color="auto"/>
        <w:left w:val="none" w:sz="0" w:space="0" w:color="auto"/>
        <w:bottom w:val="none" w:sz="0" w:space="0" w:color="auto"/>
        <w:right w:val="none" w:sz="0" w:space="0" w:color="auto"/>
      </w:divBdr>
      <w:divsChild>
        <w:div w:id="33847110">
          <w:marLeft w:val="0"/>
          <w:marRight w:val="0"/>
          <w:marTop w:val="0"/>
          <w:marBottom w:val="0"/>
          <w:divBdr>
            <w:top w:val="none" w:sz="0" w:space="0" w:color="auto"/>
            <w:left w:val="none" w:sz="0" w:space="0" w:color="auto"/>
            <w:bottom w:val="none" w:sz="0" w:space="0" w:color="auto"/>
            <w:right w:val="none" w:sz="0" w:space="0" w:color="auto"/>
          </w:divBdr>
        </w:div>
      </w:divsChild>
    </w:div>
    <w:div w:id="1773233987">
      <w:bodyDiv w:val="1"/>
      <w:marLeft w:val="0"/>
      <w:marRight w:val="0"/>
      <w:marTop w:val="0"/>
      <w:marBottom w:val="0"/>
      <w:divBdr>
        <w:top w:val="none" w:sz="0" w:space="0" w:color="auto"/>
        <w:left w:val="none" w:sz="0" w:space="0" w:color="auto"/>
        <w:bottom w:val="none" w:sz="0" w:space="0" w:color="auto"/>
        <w:right w:val="none" w:sz="0" w:space="0" w:color="auto"/>
      </w:divBdr>
      <w:divsChild>
        <w:div w:id="951866070">
          <w:marLeft w:val="0"/>
          <w:marRight w:val="0"/>
          <w:marTop w:val="0"/>
          <w:marBottom w:val="326"/>
          <w:divBdr>
            <w:top w:val="none" w:sz="0" w:space="0" w:color="auto"/>
            <w:left w:val="none" w:sz="0" w:space="0" w:color="auto"/>
            <w:bottom w:val="none" w:sz="0" w:space="0" w:color="auto"/>
            <w:right w:val="none" w:sz="0" w:space="0" w:color="auto"/>
          </w:divBdr>
          <w:divsChild>
            <w:div w:id="70084646">
              <w:blockQuote w:val="1"/>
              <w:marLeft w:val="720"/>
              <w:marRight w:val="720"/>
              <w:marTop w:val="100"/>
              <w:marBottom w:val="100"/>
              <w:divBdr>
                <w:top w:val="none" w:sz="0" w:space="0" w:color="auto"/>
                <w:left w:val="none" w:sz="0" w:space="0" w:color="auto"/>
                <w:bottom w:val="none" w:sz="0" w:space="0" w:color="auto"/>
                <w:right w:val="none" w:sz="0" w:space="0" w:color="auto"/>
              </w:divBdr>
            </w:div>
            <w:div w:id="128323559">
              <w:blockQuote w:val="1"/>
              <w:marLeft w:val="720"/>
              <w:marRight w:val="720"/>
              <w:marTop w:val="100"/>
              <w:marBottom w:val="100"/>
              <w:divBdr>
                <w:top w:val="none" w:sz="0" w:space="0" w:color="auto"/>
                <w:left w:val="none" w:sz="0" w:space="0" w:color="auto"/>
                <w:bottom w:val="none" w:sz="0" w:space="0" w:color="auto"/>
                <w:right w:val="none" w:sz="0" w:space="0" w:color="auto"/>
              </w:divBdr>
            </w:div>
            <w:div w:id="9972717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74667389">
      <w:bodyDiv w:val="1"/>
      <w:marLeft w:val="0"/>
      <w:marRight w:val="0"/>
      <w:marTop w:val="0"/>
      <w:marBottom w:val="0"/>
      <w:divBdr>
        <w:top w:val="none" w:sz="0" w:space="0" w:color="auto"/>
        <w:left w:val="none" w:sz="0" w:space="0" w:color="auto"/>
        <w:bottom w:val="none" w:sz="0" w:space="0" w:color="auto"/>
        <w:right w:val="none" w:sz="0" w:space="0" w:color="auto"/>
      </w:divBdr>
    </w:div>
    <w:div w:id="1778717030">
      <w:bodyDiv w:val="1"/>
      <w:marLeft w:val="0"/>
      <w:marRight w:val="0"/>
      <w:marTop w:val="0"/>
      <w:marBottom w:val="0"/>
      <w:divBdr>
        <w:top w:val="none" w:sz="0" w:space="0" w:color="auto"/>
        <w:left w:val="none" w:sz="0" w:space="0" w:color="auto"/>
        <w:bottom w:val="none" w:sz="0" w:space="0" w:color="auto"/>
        <w:right w:val="none" w:sz="0" w:space="0" w:color="auto"/>
      </w:divBdr>
    </w:div>
    <w:div w:id="1799177773">
      <w:bodyDiv w:val="1"/>
      <w:marLeft w:val="0"/>
      <w:marRight w:val="0"/>
      <w:marTop w:val="0"/>
      <w:marBottom w:val="0"/>
      <w:divBdr>
        <w:top w:val="none" w:sz="0" w:space="0" w:color="auto"/>
        <w:left w:val="none" w:sz="0" w:space="0" w:color="auto"/>
        <w:bottom w:val="none" w:sz="0" w:space="0" w:color="auto"/>
        <w:right w:val="none" w:sz="0" w:space="0" w:color="auto"/>
      </w:divBdr>
    </w:div>
    <w:div w:id="1810974027">
      <w:bodyDiv w:val="1"/>
      <w:marLeft w:val="0"/>
      <w:marRight w:val="0"/>
      <w:marTop w:val="0"/>
      <w:marBottom w:val="0"/>
      <w:divBdr>
        <w:top w:val="none" w:sz="0" w:space="0" w:color="auto"/>
        <w:left w:val="none" w:sz="0" w:space="0" w:color="auto"/>
        <w:bottom w:val="none" w:sz="0" w:space="0" w:color="auto"/>
        <w:right w:val="none" w:sz="0" w:space="0" w:color="auto"/>
      </w:divBdr>
    </w:div>
    <w:div w:id="1811899637">
      <w:bodyDiv w:val="1"/>
      <w:marLeft w:val="0"/>
      <w:marRight w:val="0"/>
      <w:marTop w:val="0"/>
      <w:marBottom w:val="0"/>
      <w:divBdr>
        <w:top w:val="none" w:sz="0" w:space="0" w:color="auto"/>
        <w:left w:val="none" w:sz="0" w:space="0" w:color="auto"/>
        <w:bottom w:val="none" w:sz="0" w:space="0" w:color="auto"/>
        <w:right w:val="none" w:sz="0" w:space="0" w:color="auto"/>
      </w:divBdr>
    </w:div>
    <w:div w:id="1835073939">
      <w:bodyDiv w:val="1"/>
      <w:marLeft w:val="0"/>
      <w:marRight w:val="0"/>
      <w:marTop w:val="0"/>
      <w:marBottom w:val="0"/>
      <w:divBdr>
        <w:top w:val="none" w:sz="0" w:space="0" w:color="auto"/>
        <w:left w:val="none" w:sz="0" w:space="0" w:color="auto"/>
        <w:bottom w:val="none" w:sz="0" w:space="0" w:color="auto"/>
        <w:right w:val="none" w:sz="0" w:space="0" w:color="auto"/>
      </w:divBdr>
    </w:div>
    <w:div w:id="1855420535">
      <w:bodyDiv w:val="1"/>
      <w:marLeft w:val="0"/>
      <w:marRight w:val="0"/>
      <w:marTop w:val="0"/>
      <w:marBottom w:val="0"/>
      <w:divBdr>
        <w:top w:val="none" w:sz="0" w:space="0" w:color="auto"/>
        <w:left w:val="none" w:sz="0" w:space="0" w:color="auto"/>
        <w:bottom w:val="none" w:sz="0" w:space="0" w:color="auto"/>
        <w:right w:val="none" w:sz="0" w:space="0" w:color="auto"/>
      </w:divBdr>
    </w:div>
    <w:div w:id="1867138687">
      <w:bodyDiv w:val="1"/>
      <w:marLeft w:val="0"/>
      <w:marRight w:val="0"/>
      <w:marTop w:val="0"/>
      <w:marBottom w:val="0"/>
      <w:divBdr>
        <w:top w:val="none" w:sz="0" w:space="0" w:color="auto"/>
        <w:left w:val="none" w:sz="0" w:space="0" w:color="auto"/>
        <w:bottom w:val="none" w:sz="0" w:space="0" w:color="auto"/>
        <w:right w:val="none" w:sz="0" w:space="0" w:color="auto"/>
      </w:divBdr>
    </w:div>
    <w:div w:id="1870141628">
      <w:bodyDiv w:val="1"/>
      <w:marLeft w:val="0"/>
      <w:marRight w:val="0"/>
      <w:marTop w:val="0"/>
      <w:marBottom w:val="0"/>
      <w:divBdr>
        <w:top w:val="none" w:sz="0" w:space="0" w:color="auto"/>
        <w:left w:val="none" w:sz="0" w:space="0" w:color="auto"/>
        <w:bottom w:val="none" w:sz="0" w:space="0" w:color="auto"/>
        <w:right w:val="none" w:sz="0" w:space="0" w:color="auto"/>
      </w:divBdr>
      <w:divsChild>
        <w:div w:id="180045999">
          <w:marLeft w:val="0"/>
          <w:marRight w:val="0"/>
          <w:marTop w:val="0"/>
          <w:marBottom w:val="326"/>
          <w:divBdr>
            <w:top w:val="none" w:sz="0" w:space="0" w:color="auto"/>
            <w:left w:val="none" w:sz="0" w:space="0" w:color="auto"/>
            <w:bottom w:val="none" w:sz="0" w:space="0" w:color="auto"/>
            <w:right w:val="none" w:sz="0" w:space="0" w:color="auto"/>
          </w:divBdr>
        </w:div>
      </w:divsChild>
    </w:div>
    <w:div w:id="1893152811">
      <w:bodyDiv w:val="1"/>
      <w:marLeft w:val="0"/>
      <w:marRight w:val="0"/>
      <w:marTop w:val="0"/>
      <w:marBottom w:val="0"/>
      <w:divBdr>
        <w:top w:val="none" w:sz="0" w:space="0" w:color="auto"/>
        <w:left w:val="none" w:sz="0" w:space="0" w:color="auto"/>
        <w:bottom w:val="none" w:sz="0" w:space="0" w:color="auto"/>
        <w:right w:val="none" w:sz="0" w:space="0" w:color="auto"/>
      </w:divBdr>
    </w:div>
    <w:div w:id="1900045067">
      <w:bodyDiv w:val="1"/>
      <w:marLeft w:val="0"/>
      <w:marRight w:val="0"/>
      <w:marTop w:val="0"/>
      <w:marBottom w:val="0"/>
      <w:divBdr>
        <w:top w:val="none" w:sz="0" w:space="0" w:color="auto"/>
        <w:left w:val="none" w:sz="0" w:space="0" w:color="auto"/>
        <w:bottom w:val="none" w:sz="0" w:space="0" w:color="auto"/>
        <w:right w:val="none" w:sz="0" w:space="0" w:color="auto"/>
      </w:divBdr>
    </w:div>
    <w:div w:id="1913808346">
      <w:bodyDiv w:val="1"/>
      <w:marLeft w:val="0"/>
      <w:marRight w:val="0"/>
      <w:marTop w:val="0"/>
      <w:marBottom w:val="0"/>
      <w:divBdr>
        <w:top w:val="none" w:sz="0" w:space="0" w:color="auto"/>
        <w:left w:val="none" w:sz="0" w:space="0" w:color="auto"/>
        <w:bottom w:val="none" w:sz="0" w:space="0" w:color="auto"/>
        <w:right w:val="none" w:sz="0" w:space="0" w:color="auto"/>
      </w:divBdr>
    </w:div>
    <w:div w:id="1929270291">
      <w:bodyDiv w:val="1"/>
      <w:marLeft w:val="0"/>
      <w:marRight w:val="0"/>
      <w:marTop w:val="0"/>
      <w:marBottom w:val="0"/>
      <w:divBdr>
        <w:top w:val="none" w:sz="0" w:space="0" w:color="auto"/>
        <w:left w:val="none" w:sz="0" w:space="0" w:color="auto"/>
        <w:bottom w:val="none" w:sz="0" w:space="0" w:color="auto"/>
        <w:right w:val="none" w:sz="0" w:space="0" w:color="auto"/>
      </w:divBdr>
    </w:div>
    <w:div w:id="1957634333">
      <w:bodyDiv w:val="1"/>
      <w:marLeft w:val="0"/>
      <w:marRight w:val="0"/>
      <w:marTop w:val="0"/>
      <w:marBottom w:val="0"/>
      <w:divBdr>
        <w:top w:val="none" w:sz="0" w:space="0" w:color="auto"/>
        <w:left w:val="none" w:sz="0" w:space="0" w:color="auto"/>
        <w:bottom w:val="none" w:sz="0" w:space="0" w:color="auto"/>
        <w:right w:val="none" w:sz="0" w:space="0" w:color="auto"/>
      </w:divBdr>
    </w:div>
    <w:div w:id="1961036242">
      <w:bodyDiv w:val="1"/>
      <w:marLeft w:val="0"/>
      <w:marRight w:val="0"/>
      <w:marTop w:val="0"/>
      <w:marBottom w:val="0"/>
      <w:divBdr>
        <w:top w:val="none" w:sz="0" w:space="0" w:color="auto"/>
        <w:left w:val="none" w:sz="0" w:space="0" w:color="auto"/>
        <w:bottom w:val="none" w:sz="0" w:space="0" w:color="auto"/>
        <w:right w:val="none" w:sz="0" w:space="0" w:color="auto"/>
      </w:divBdr>
      <w:divsChild>
        <w:div w:id="1065178494">
          <w:marLeft w:val="0"/>
          <w:marRight w:val="0"/>
          <w:marTop w:val="0"/>
          <w:marBottom w:val="326"/>
          <w:divBdr>
            <w:top w:val="none" w:sz="0" w:space="0" w:color="auto"/>
            <w:left w:val="none" w:sz="0" w:space="0" w:color="auto"/>
            <w:bottom w:val="none" w:sz="0" w:space="0" w:color="auto"/>
            <w:right w:val="none" w:sz="0" w:space="0" w:color="auto"/>
          </w:divBdr>
        </w:div>
      </w:divsChild>
    </w:div>
    <w:div w:id="1962958257">
      <w:bodyDiv w:val="1"/>
      <w:marLeft w:val="0"/>
      <w:marRight w:val="0"/>
      <w:marTop w:val="0"/>
      <w:marBottom w:val="0"/>
      <w:divBdr>
        <w:top w:val="none" w:sz="0" w:space="0" w:color="auto"/>
        <w:left w:val="none" w:sz="0" w:space="0" w:color="auto"/>
        <w:bottom w:val="none" w:sz="0" w:space="0" w:color="auto"/>
        <w:right w:val="none" w:sz="0" w:space="0" w:color="auto"/>
      </w:divBdr>
    </w:div>
    <w:div w:id="2027904812">
      <w:bodyDiv w:val="1"/>
      <w:marLeft w:val="0"/>
      <w:marRight w:val="0"/>
      <w:marTop w:val="0"/>
      <w:marBottom w:val="0"/>
      <w:divBdr>
        <w:top w:val="none" w:sz="0" w:space="0" w:color="auto"/>
        <w:left w:val="none" w:sz="0" w:space="0" w:color="auto"/>
        <w:bottom w:val="none" w:sz="0" w:space="0" w:color="auto"/>
        <w:right w:val="none" w:sz="0" w:space="0" w:color="auto"/>
      </w:divBdr>
    </w:div>
    <w:div w:id="2062365202">
      <w:bodyDiv w:val="1"/>
      <w:marLeft w:val="0"/>
      <w:marRight w:val="0"/>
      <w:marTop w:val="0"/>
      <w:marBottom w:val="0"/>
      <w:divBdr>
        <w:top w:val="none" w:sz="0" w:space="0" w:color="auto"/>
        <w:left w:val="none" w:sz="0" w:space="0" w:color="auto"/>
        <w:bottom w:val="none" w:sz="0" w:space="0" w:color="auto"/>
        <w:right w:val="none" w:sz="0" w:space="0" w:color="auto"/>
      </w:divBdr>
      <w:divsChild>
        <w:div w:id="1390032749">
          <w:marLeft w:val="0"/>
          <w:marRight w:val="0"/>
          <w:marTop w:val="0"/>
          <w:marBottom w:val="0"/>
          <w:divBdr>
            <w:top w:val="none" w:sz="0" w:space="0" w:color="auto"/>
            <w:left w:val="none" w:sz="0" w:space="0" w:color="auto"/>
            <w:bottom w:val="none" w:sz="0" w:space="0" w:color="auto"/>
            <w:right w:val="none" w:sz="0" w:space="0" w:color="auto"/>
          </w:divBdr>
          <w:divsChild>
            <w:div w:id="1283540849">
              <w:marLeft w:val="0"/>
              <w:marRight w:val="0"/>
              <w:marTop w:val="0"/>
              <w:marBottom w:val="0"/>
              <w:divBdr>
                <w:top w:val="none" w:sz="0" w:space="0" w:color="auto"/>
                <w:left w:val="none" w:sz="0" w:space="0" w:color="auto"/>
                <w:bottom w:val="none" w:sz="0" w:space="0" w:color="auto"/>
                <w:right w:val="none" w:sz="0" w:space="0" w:color="auto"/>
              </w:divBdr>
              <w:divsChild>
                <w:div w:id="504782336">
                  <w:marLeft w:val="0"/>
                  <w:marRight w:val="0"/>
                  <w:marTop w:val="0"/>
                  <w:marBottom w:val="0"/>
                  <w:divBdr>
                    <w:top w:val="none" w:sz="0" w:space="0" w:color="auto"/>
                    <w:left w:val="none" w:sz="0" w:space="0" w:color="auto"/>
                    <w:bottom w:val="none" w:sz="0" w:space="0" w:color="auto"/>
                    <w:right w:val="none" w:sz="0" w:space="0" w:color="auto"/>
                  </w:divBdr>
                  <w:divsChild>
                    <w:div w:id="1749379914">
                      <w:marLeft w:val="0"/>
                      <w:marRight w:val="0"/>
                      <w:marTop w:val="0"/>
                      <w:marBottom w:val="0"/>
                      <w:divBdr>
                        <w:top w:val="none" w:sz="0" w:space="0" w:color="auto"/>
                        <w:left w:val="none" w:sz="0" w:space="0" w:color="auto"/>
                        <w:bottom w:val="none" w:sz="0" w:space="0" w:color="auto"/>
                        <w:right w:val="none" w:sz="0" w:space="0" w:color="auto"/>
                      </w:divBdr>
                      <w:divsChild>
                        <w:div w:id="1587575669">
                          <w:marLeft w:val="0"/>
                          <w:marRight w:val="0"/>
                          <w:marTop w:val="0"/>
                          <w:marBottom w:val="0"/>
                          <w:divBdr>
                            <w:top w:val="none" w:sz="0" w:space="0" w:color="auto"/>
                            <w:left w:val="none" w:sz="0" w:space="0" w:color="auto"/>
                            <w:bottom w:val="none" w:sz="0" w:space="0" w:color="auto"/>
                            <w:right w:val="none" w:sz="0" w:space="0" w:color="auto"/>
                          </w:divBdr>
                          <w:divsChild>
                            <w:div w:id="294064575">
                              <w:marLeft w:val="0"/>
                              <w:marRight w:val="0"/>
                              <w:marTop w:val="0"/>
                              <w:marBottom w:val="225"/>
                              <w:divBdr>
                                <w:top w:val="none" w:sz="0" w:space="0" w:color="auto"/>
                                <w:left w:val="none" w:sz="0" w:space="0" w:color="auto"/>
                                <w:bottom w:val="none" w:sz="0" w:space="0" w:color="auto"/>
                                <w:right w:val="none" w:sz="0" w:space="0" w:color="auto"/>
                              </w:divBdr>
                              <w:divsChild>
                                <w:div w:id="117364002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6103718">
      <w:bodyDiv w:val="1"/>
      <w:marLeft w:val="0"/>
      <w:marRight w:val="0"/>
      <w:marTop w:val="0"/>
      <w:marBottom w:val="0"/>
      <w:divBdr>
        <w:top w:val="none" w:sz="0" w:space="0" w:color="auto"/>
        <w:left w:val="none" w:sz="0" w:space="0" w:color="auto"/>
        <w:bottom w:val="none" w:sz="0" w:space="0" w:color="auto"/>
        <w:right w:val="none" w:sz="0" w:space="0" w:color="auto"/>
      </w:divBdr>
    </w:div>
    <w:div w:id="2119250741">
      <w:bodyDiv w:val="1"/>
      <w:marLeft w:val="0"/>
      <w:marRight w:val="0"/>
      <w:marTop w:val="0"/>
      <w:marBottom w:val="0"/>
      <w:divBdr>
        <w:top w:val="none" w:sz="0" w:space="0" w:color="auto"/>
        <w:left w:val="none" w:sz="0" w:space="0" w:color="auto"/>
        <w:bottom w:val="none" w:sz="0" w:space="0" w:color="auto"/>
        <w:right w:val="none" w:sz="0" w:space="0" w:color="auto"/>
      </w:divBdr>
    </w:div>
    <w:div w:id="2135361587">
      <w:bodyDiv w:val="1"/>
      <w:marLeft w:val="0"/>
      <w:marRight w:val="0"/>
      <w:marTop w:val="0"/>
      <w:marBottom w:val="0"/>
      <w:divBdr>
        <w:top w:val="none" w:sz="0" w:space="0" w:color="auto"/>
        <w:left w:val="none" w:sz="0" w:space="0" w:color="auto"/>
        <w:bottom w:val="none" w:sz="0" w:space="0" w:color="auto"/>
        <w:right w:val="none" w:sz="0" w:space="0" w:color="auto"/>
      </w:divBdr>
      <w:divsChild>
        <w:div w:id="2129083656">
          <w:marLeft w:val="0"/>
          <w:marRight w:val="0"/>
          <w:marTop w:val="0"/>
          <w:marBottom w:val="326"/>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3.png"/><Relationship Id="rId26" Type="http://schemas.openxmlformats.org/officeDocument/2006/relationships/hyperlink" Target="https://www.thegef.org/sites/default/files/council-meeting-documents/GEF-C.56-03%2C%20Policy%20on%20Monitoring.pdf" TargetMode="External"/><Relationship Id="rId39" Type="http://schemas.openxmlformats.org/officeDocument/2006/relationships/hyperlink" Target="https://intranet.undp.org/global/documents/ppm/Supplemental.pdf" TargetMode="External"/><Relationship Id="rId21" Type="http://schemas.openxmlformats.org/officeDocument/2006/relationships/footer" Target="footer2.xml"/><Relationship Id="rId34" Type="http://schemas.openxmlformats.org/officeDocument/2006/relationships/hyperlink" Target="http://web.undp.org/evaluation/guidance.shtml" TargetMode="External"/><Relationship Id="rId42" Type="http://schemas.openxmlformats.org/officeDocument/2006/relationships/hyperlink" Target="http://www.thegef.org" TargetMode="External"/><Relationship Id="rId47" Type="http://schemas.openxmlformats.org/officeDocument/2006/relationships/hyperlink" Target="https://www.thegef.org/documents/gef-7-biodiversity-protected-area-tracking-tool" TargetMode="External"/><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microsoft.com/office/2011/relationships/commentsExtended" Target="commentsExtended.xml"/><Relationship Id="rId29" Type="http://schemas.openxmlformats.org/officeDocument/2006/relationships/hyperlink" Target="https://www.thegef.org/documents/policies-guidelines" TargetMode="External"/><Relationship Id="rId11" Type="http://schemas.openxmlformats.org/officeDocument/2006/relationships/endnotes" Target="endnotes.xml"/><Relationship Id="rId24" Type="http://schemas.openxmlformats.org/officeDocument/2006/relationships/hyperlink" Target="http://www.undp.org/content/undp/en/home/operations/accountability/programme_and_operationspoliciesandprocedures.html" TargetMode="External"/><Relationship Id="rId32" Type="http://schemas.openxmlformats.org/officeDocument/2006/relationships/hyperlink" Target="http://web.undp.org/evaluation/guidance.shtml" TargetMode="External"/><Relationship Id="rId37" Type="http://schemas.openxmlformats.org/officeDocument/2006/relationships/hyperlink" Target="http://intra.undp.org/bdp/archive-programming-manual/docs/reference-centre/chapter6/sbaa.pdf" TargetMode="External"/><Relationship Id="rId40" Type="http://schemas.openxmlformats.org/officeDocument/2006/relationships/hyperlink" Target="https://intranet.undp.org/global/documents/ppm/Supplemental.pdf" TargetMode="External"/><Relationship Id="rId45" Type="http://schemas.openxmlformats.org/officeDocument/2006/relationships/hyperlink" Target="https://www.thegef.org/sites/default/files/documents/Stakeholder_Engagement_Guidelines.pdf" TargetMode="Externa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hyperlink" Target="https://info.undp.org/sites/bpps/SES_Toolkit/SES%20Document%20Library/Uploaded%20October%202016/Final%20UNDP%20SES%20Stakeholder%20Engagement%20GN_Oct2017.pdf" TargetMode="External"/><Relationship Id="rId28" Type="http://schemas.openxmlformats.org/officeDocument/2006/relationships/hyperlink" Target="https://www.thegef.org/sites/default/files/council-meeting-documents/GEF-C.56-03%2C%20Policy%20on%20Monitoring.pdf" TargetMode="External"/><Relationship Id="rId36" Type="http://schemas.openxmlformats.org/officeDocument/2006/relationships/footer" Target="footer3.xml"/><Relationship Id="rId49"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hyperlink" Target="https://www.thegef.org/sites/default/files/documents/Results_Guidelines.pdf" TargetMode="External"/><Relationship Id="rId44" Type="http://schemas.openxmlformats.org/officeDocument/2006/relationships/hyperlink" Target="https://www.un.org/Depts/Cartographic/english/htmain.ht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ntranet.undp.org/unit/bpps/sdev/gef/default.aspx" TargetMode="External"/><Relationship Id="rId22" Type="http://schemas.openxmlformats.org/officeDocument/2006/relationships/hyperlink" Target="https://info.undp.org/sites/bpps/SES_Toolkit/SES%20Document%20Library/Uploaded%20October%202016/Final%20UNDP%20SES%20Stakeholder%20Engagement%20GN_Oct2017.pdf" TargetMode="External"/><Relationship Id="rId27" Type="http://schemas.openxmlformats.org/officeDocument/2006/relationships/hyperlink" Target="https://www.thegef.org/sites/default/files/council-meeting-documents/EN_GEF.ME_C56_02_GEF_Evaluation_Policy_May_2019_0.pdf" TargetMode="External"/><Relationship Id="rId30" Type="http://schemas.openxmlformats.org/officeDocument/2006/relationships/hyperlink" Target="https://www.thegef.org/documents/policies-guidelines" TargetMode="External"/><Relationship Id="rId35" Type="http://schemas.openxmlformats.org/officeDocument/2006/relationships/header" Target="header2.xml"/><Relationship Id="rId43" Type="http://schemas.openxmlformats.org/officeDocument/2006/relationships/hyperlink" Target="https://popp.undp.org/SitePages/POPPSubject.aspx?SBJID=452&amp;Menu=BusinessUnit&amp;Beta=0" TargetMode="External"/><Relationship Id="rId48"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eg"/><Relationship Id="rId17" Type="http://schemas.microsoft.com/office/2016/09/relationships/commentsIds" Target="commentsIds.xml"/><Relationship Id="rId25" Type="http://schemas.openxmlformats.org/officeDocument/2006/relationships/hyperlink" Target="http://www.undp.org/content/undp/en/home/operations/accountability/evaluation/evaluation_policyofundp.html" TargetMode="External"/><Relationship Id="rId33" Type="http://schemas.openxmlformats.org/officeDocument/2006/relationships/hyperlink" Target="http://web.undp.org/evaluation/guidance.shtml" TargetMode="External"/><Relationship Id="rId38" Type="http://schemas.openxmlformats.org/officeDocument/2006/relationships/hyperlink" Target="http://intra.undp.org/bdp/archive-programming-manual/docs/reference-centre/chapter6/sbaa.pdf" TargetMode="External"/><Relationship Id="rId46" Type="http://schemas.openxmlformats.org/officeDocument/2006/relationships/hyperlink" Target="https://info.undp.org/sites/bpps/SES_Toolkit/SES%20Document%20Library/Uploaded%20October%202016/Final%20UNDP%20SES%20Stakeholder%20Engagement%20GN_Oct2017.pdf" TargetMode="External"/><Relationship Id="rId20" Type="http://schemas.openxmlformats.org/officeDocument/2006/relationships/footer" Target="footer1.xml"/><Relationship Id="rId41" Type="http://schemas.openxmlformats.org/officeDocument/2006/relationships/hyperlink" Target="http://www.undp.org"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footnotes.xml.rels><?xml version="1.0" encoding="UTF-8" standalone="yes"?>
<Relationships xmlns="http://schemas.openxmlformats.org/package/2006/relationships"><Relationship Id="rId8" Type="http://schemas.openxmlformats.org/officeDocument/2006/relationships/hyperlink" Target="https://docs.wfp.org/api/documents/WFP-0000115729/download/?_ga=2.40742690.1066946240.1589756894-757245637.1578047770" TargetMode="External"/><Relationship Id="rId13" Type="http://schemas.openxmlformats.org/officeDocument/2006/relationships/hyperlink" Target="https://www.usaid.gov/sites/default/files/documents/1866/USAID_PDG_Creative_PSR_Fachsteet_Oct_18_Final.pdf" TargetMode="External"/><Relationship Id="rId18" Type="http://schemas.openxmlformats.org/officeDocument/2006/relationships/hyperlink" Target="https://www.alliance-sahel.org/en/projects/regional-sahel-pastoralism-support-project-praps/" TargetMode="External"/><Relationship Id="rId3" Type="http://schemas.openxmlformats.org/officeDocument/2006/relationships/hyperlink" Target="https://nation.africa/kenya/news/africa/african-union-lifts-post-coup-suspension-of-mali-2461408" TargetMode="External"/><Relationship Id="rId21" Type="http://schemas.openxmlformats.org/officeDocument/2006/relationships/hyperlink" Target="https://www.thegef.org/gef/policies_guidelines" TargetMode="External"/><Relationship Id="rId7" Type="http://schemas.openxmlformats.org/officeDocument/2006/relationships/hyperlink" Target="https://www.aljazeera.com/news/2020/10/8/mali-coup-leaders-free-former-prime-minister-generals" TargetMode="External"/><Relationship Id="rId12" Type="http://schemas.openxmlformats.org/officeDocument/2006/relationships/hyperlink" Target="http://www.accord.org.za/downloads/brief/policy_practice14.pdf" TargetMode="External"/><Relationship Id="rId17" Type="http://schemas.openxmlformats.org/officeDocument/2006/relationships/hyperlink" Target="https://www.alliance-sahel.org/wp-content/uploads/2020/04/Factsheet-PDU_REG_UE_M%C3%A9diation-agro-pastorale-June-2021-EN.pdf" TargetMode="External"/><Relationship Id="rId2" Type="http://schemas.openxmlformats.org/officeDocument/2006/relationships/hyperlink" Target="https://nation.africa/kenya/news/africa/african-union-lifts-post-coup-suspension-of-mali-2461408" TargetMode="External"/><Relationship Id="rId16" Type="http://schemas.openxmlformats.org/officeDocument/2006/relationships/hyperlink" Target="https://minusma.unmissions.org/sites/default/files/2013-2020_qips_overview_en_0.pdf" TargetMode="External"/><Relationship Id="rId20" Type="http://schemas.openxmlformats.org/officeDocument/2006/relationships/hyperlink" Target="https://trends.earth/docs/en/" TargetMode="External"/><Relationship Id="rId1" Type="http://schemas.openxmlformats.org/officeDocument/2006/relationships/hyperlink" Target="https://www.theeastafrican.co.ke/tea/rest-of-africa/ecowas-lifts-post-coup-sanctions-on-mali--2459018" TargetMode="External"/><Relationship Id="rId6" Type="http://schemas.openxmlformats.org/officeDocument/2006/relationships/hyperlink" Target="https://www.aljazeera.com/news/2020/10/8/mali-coup-leaders-free-former-prime-minister-generals" TargetMode="External"/><Relationship Id="rId11" Type="http://schemas.openxmlformats.org/officeDocument/2006/relationships/hyperlink" Target="http://www.accord.org.za/downloads/brief/policy_practice14.pdf" TargetMode="External"/><Relationship Id="rId5" Type="http://schemas.openxmlformats.org/officeDocument/2006/relationships/hyperlink" Target="https://www.aljazeera.com/news/2020/9/27/former-mali-fm-moctar-ouane-named-transitional-premier" TargetMode="External"/><Relationship Id="rId15" Type="http://schemas.openxmlformats.org/officeDocument/2006/relationships/hyperlink" Target="https://www.greenclimate.fund/sites/default/files/document/funding-proposal-fp092-afdb-multiple-countries.pdf" TargetMode="External"/><Relationship Id="rId10" Type="http://schemas.openxmlformats.org/officeDocument/2006/relationships/hyperlink" Target="https://www.unfpa.org/data/ML" TargetMode="External"/><Relationship Id="rId19" Type="http://schemas.openxmlformats.org/officeDocument/2006/relationships/hyperlink" Target="file:///C:\Users\noemi\Dropbox\I1166_UNDP_Design_Mali_Baastel\08_Documents\Projets%20to%20coordinate%20with\Burkina-Faso-Niger-Mali-and-the-States-of-Liptako-Gourma-Integrated-Development-Authority-Community-Based-Recovery-and-Stabilization-Project.pdf" TargetMode="External"/><Relationship Id="rId4" Type="http://schemas.openxmlformats.org/officeDocument/2006/relationships/hyperlink" Target="https://www.france24.com/en/20201005-military-appointed-to-key-posts-in-mali-s-interim-govt" TargetMode="External"/><Relationship Id="rId9" Type="http://schemas.openxmlformats.org/officeDocument/2006/relationships/hyperlink" Target="https://docs.wfp.org/api/documents/WFP-0000115729/download/?_ga=2.40742690.1066946240.1589756894-757245637.1578047770" TargetMode="External"/><Relationship Id="rId14" Type="http://schemas.openxmlformats.org/officeDocument/2006/relationships/hyperlink" Target="file:///C:\Users\noemi\AppData\Local\Temp\activity-appraisal-document-4000003551.pdf" TargetMode="External"/><Relationship Id="rId22" Type="http://schemas.openxmlformats.org/officeDocument/2006/relationships/hyperlink" Target="https://popp.undp.org/_layouts/15/WopiFrame.aspx?sourcedoc=/UNDP_POPP_DOCUMENT_LIBRARY/Public/PPM_Project%20Management_Closing.docx&amp;action=defa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B9A12EA0BF66E46A07DC44DFB01771E" ma:contentTypeVersion="6" ma:contentTypeDescription="Crée un document." ma:contentTypeScope="" ma:versionID="8ced4bfbad6d0af78adc0a1e005dd697">
  <xsd:schema xmlns:xsd="http://www.w3.org/2001/XMLSchema" xmlns:xs="http://www.w3.org/2001/XMLSchema" xmlns:p="http://schemas.microsoft.com/office/2006/metadata/properties" xmlns:ns2="01be4506-ab1a-4258-918d-e832ad100744" xmlns:ns3="f6c73fe8-c465-4759-924b-72b2872d0724" targetNamespace="http://schemas.microsoft.com/office/2006/metadata/properties" ma:root="true" ma:fieldsID="b36fc395e4bfc983743e37e9798fd1ec" ns2:_="" ns3:_="">
    <xsd:import namespace="01be4506-ab1a-4258-918d-e832ad100744"/>
    <xsd:import namespace="f6c73fe8-c465-4759-924b-72b2872d07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506-ab1a-4258-918d-e832ad1007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c73fe8-c465-4759-924b-72b2872d0724"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064EF3-4CD3-4BF1-A9FF-63FFD01E1887}">
  <ds:schemaRefs>
    <ds:schemaRef ds:uri="http://schemas.microsoft.com/office/2006/metadata/longProperties"/>
  </ds:schemaRefs>
</ds:datastoreItem>
</file>

<file path=customXml/itemProps2.xml><?xml version="1.0" encoding="utf-8"?>
<ds:datastoreItem xmlns:ds="http://schemas.openxmlformats.org/officeDocument/2006/customXml" ds:itemID="{1264F902-CADA-440C-A5C9-8BAD000787A7}">
  <ds:schemaRefs>
    <ds:schemaRef ds:uri="http://schemas.openxmlformats.org/officeDocument/2006/bibliography"/>
  </ds:schemaRefs>
</ds:datastoreItem>
</file>

<file path=customXml/itemProps3.xml><?xml version="1.0" encoding="utf-8"?>
<ds:datastoreItem xmlns:ds="http://schemas.openxmlformats.org/officeDocument/2006/customXml" ds:itemID="{0E7CB953-4BBD-4B78-BD76-050C868AE80F}">
  <ds:schemaRefs>
    <ds:schemaRef ds:uri="http://schemas.microsoft.com/sharepoint/v3/contenttype/forms"/>
  </ds:schemaRefs>
</ds:datastoreItem>
</file>

<file path=customXml/itemProps4.xml><?xml version="1.0" encoding="utf-8"?>
<ds:datastoreItem xmlns:ds="http://schemas.openxmlformats.org/officeDocument/2006/customXml" ds:itemID="{BA2A93A5-6807-45B9-8F63-DB321E1A99C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181FA0A-05F1-4F50-977E-C0523551B6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506-ab1a-4258-918d-e832ad100744"/>
    <ds:schemaRef ds:uri="f6c73fe8-c465-4759-924b-72b2872d0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124</Pages>
  <Words>58112</Words>
  <Characters>319619</Characters>
  <Application>Microsoft Office Word</Application>
  <DocSecurity>0</DocSecurity>
  <Lines>2663</Lines>
  <Paragraphs>753</Paragraphs>
  <ScaleCrop>false</ScaleCrop>
  <HeadingPairs>
    <vt:vector size="2" baseType="variant">
      <vt:variant>
        <vt:lpstr>Title</vt:lpstr>
      </vt:variant>
      <vt:variant>
        <vt:i4>1</vt:i4>
      </vt:variant>
    </vt:vector>
  </HeadingPairs>
  <TitlesOfParts>
    <vt:vector size="1" baseType="lpstr">
      <vt:lpstr>ProDoc template for all vertical funds - CLEAN version</vt:lpstr>
    </vt:vector>
  </TitlesOfParts>
  <Company>Microsoft</Company>
  <LinksUpToDate>false</LinksUpToDate>
  <CharactersWithSpaces>376978</CharactersWithSpaces>
  <SharedDoc>false</SharedDoc>
  <HLinks>
    <vt:vector size="480" baseType="variant">
      <vt:variant>
        <vt:i4>2883633</vt:i4>
      </vt:variant>
      <vt:variant>
        <vt:i4>318</vt:i4>
      </vt:variant>
      <vt:variant>
        <vt:i4>0</vt:i4>
      </vt:variant>
      <vt:variant>
        <vt:i4>5</vt:i4>
      </vt:variant>
      <vt:variant>
        <vt:lpwstr>http://www.thegef.org/</vt:lpwstr>
      </vt:variant>
      <vt:variant>
        <vt:lpwstr/>
      </vt:variant>
      <vt:variant>
        <vt:i4>2883633</vt:i4>
      </vt:variant>
      <vt:variant>
        <vt:i4>315</vt:i4>
      </vt:variant>
      <vt:variant>
        <vt:i4>0</vt:i4>
      </vt:variant>
      <vt:variant>
        <vt:i4>5</vt:i4>
      </vt:variant>
      <vt:variant>
        <vt:lpwstr>http://www.thegef.org/</vt:lpwstr>
      </vt:variant>
      <vt:variant>
        <vt:lpwstr/>
      </vt:variant>
      <vt:variant>
        <vt:i4>4784198</vt:i4>
      </vt:variant>
      <vt:variant>
        <vt:i4>312</vt:i4>
      </vt:variant>
      <vt:variant>
        <vt:i4>0</vt:i4>
      </vt:variant>
      <vt:variant>
        <vt:i4>5</vt:i4>
      </vt:variant>
      <vt:variant>
        <vt:lpwstr>http://www.undp.org/</vt:lpwstr>
      </vt:variant>
      <vt:variant>
        <vt:lpwstr/>
      </vt:variant>
      <vt:variant>
        <vt:i4>18</vt:i4>
      </vt:variant>
      <vt:variant>
        <vt:i4>309</vt:i4>
      </vt:variant>
      <vt:variant>
        <vt:i4>0</vt:i4>
      </vt:variant>
      <vt:variant>
        <vt:i4>5</vt:i4>
      </vt:variant>
      <vt:variant>
        <vt:lpwstr>http://www.un.org/sc/committees/1267/aq_sanctions_list.shtml</vt:lpwstr>
      </vt:variant>
      <vt:variant>
        <vt:lpwstr/>
      </vt:variant>
      <vt:variant>
        <vt:i4>18</vt:i4>
      </vt:variant>
      <vt:variant>
        <vt:i4>306</vt:i4>
      </vt:variant>
      <vt:variant>
        <vt:i4>0</vt:i4>
      </vt:variant>
      <vt:variant>
        <vt:i4>5</vt:i4>
      </vt:variant>
      <vt:variant>
        <vt:lpwstr>http://www.un.org/sc/committees/1267/aq_sanctions_list.shtml</vt:lpwstr>
      </vt:variant>
      <vt:variant>
        <vt:lpwstr/>
      </vt:variant>
      <vt:variant>
        <vt:i4>18</vt:i4>
      </vt:variant>
      <vt:variant>
        <vt:i4>303</vt:i4>
      </vt:variant>
      <vt:variant>
        <vt:i4>0</vt:i4>
      </vt:variant>
      <vt:variant>
        <vt:i4>5</vt:i4>
      </vt:variant>
      <vt:variant>
        <vt:lpwstr>http://www.un.org/sc/committees/1267/aq_sanctions_list.shtml</vt:lpwstr>
      </vt:variant>
      <vt:variant>
        <vt:lpwstr/>
      </vt:variant>
      <vt:variant>
        <vt:i4>18</vt:i4>
      </vt:variant>
      <vt:variant>
        <vt:i4>300</vt:i4>
      </vt:variant>
      <vt:variant>
        <vt:i4>0</vt:i4>
      </vt:variant>
      <vt:variant>
        <vt:i4>5</vt:i4>
      </vt:variant>
      <vt:variant>
        <vt:lpwstr>http://www.un.org/sc/committees/1267/aq_sanctions_list.shtml</vt:lpwstr>
      </vt:variant>
      <vt:variant>
        <vt:lpwstr/>
      </vt:variant>
      <vt:variant>
        <vt:i4>3801137</vt:i4>
      </vt:variant>
      <vt:variant>
        <vt:i4>297</vt:i4>
      </vt:variant>
      <vt:variant>
        <vt:i4>0</vt:i4>
      </vt:variant>
      <vt:variant>
        <vt:i4>5</vt:i4>
      </vt:variant>
      <vt:variant>
        <vt:lpwstr>https://intranet.undp.org/global/documents/ppm/Supplemental.pdf</vt:lpwstr>
      </vt:variant>
      <vt:variant>
        <vt:lpwstr/>
      </vt:variant>
      <vt:variant>
        <vt:i4>3801137</vt:i4>
      </vt:variant>
      <vt:variant>
        <vt:i4>294</vt:i4>
      </vt:variant>
      <vt:variant>
        <vt:i4>0</vt:i4>
      </vt:variant>
      <vt:variant>
        <vt:i4>5</vt:i4>
      </vt:variant>
      <vt:variant>
        <vt:lpwstr>https://intranet.undp.org/global/documents/ppm/Supplemental.pdf</vt:lpwstr>
      </vt:variant>
      <vt:variant>
        <vt:lpwstr/>
      </vt:variant>
      <vt:variant>
        <vt:i4>5505088</vt:i4>
      </vt:variant>
      <vt:variant>
        <vt:i4>291</vt:i4>
      </vt:variant>
      <vt:variant>
        <vt:i4>0</vt:i4>
      </vt:variant>
      <vt:variant>
        <vt:i4>5</vt:i4>
      </vt:variant>
      <vt:variant>
        <vt:lpwstr>http://intra.undp.org/bdp/archive-programming-manual/docs/reference-centre/chapter6/sbaa.pdf</vt:lpwstr>
      </vt:variant>
      <vt:variant>
        <vt:lpwstr/>
      </vt:variant>
      <vt:variant>
        <vt:i4>5505088</vt:i4>
      </vt:variant>
      <vt:variant>
        <vt:i4>288</vt:i4>
      </vt:variant>
      <vt:variant>
        <vt:i4>0</vt:i4>
      </vt:variant>
      <vt:variant>
        <vt:i4>5</vt:i4>
      </vt:variant>
      <vt:variant>
        <vt:lpwstr>http://intra.undp.org/bdp/archive-programming-manual/docs/reference-centre/chapter6/sbaa.pdf</vt:lpwstr>
      </vt:variant>
      <vt:variant>
        <vt:lpwstr/>
      </vt:variant>
      <vt:variant>
        <vt:i4>393246</vt:i4>
      </vt:variant>
      <vt:variant>
        <vt:i4>279</vt:i4>
      </vt:variant>
      <vt:variant>
        <vt:i4>0</vt:i4>
      </vt:variant>
      <vt:variant>
        <vt:i4>5</vt:i4>
      </vt:variant>
      <vt:variant>
        <vt:lpwstr>https://popp.undp.org/_layouts/15/WopiFrame.aspx?sourcedoc=/UNDP_POPP_DOCUMENT_LIBRARY/Public/PPM_Project%20Management_Standard%20LOA%20between%20UNDP%20and%20the%20Government%20for%20the%20Provision%20of%20Support%20Services.docx&amp;action=default</vt:lpwstr>
      </vt:variant>
      <vt:variant>
        <vt:lpwstr/>
      </vt:variant>
      <vt:variant>
        <vt:i4>7536690</vt:i4>
      </vt:variant>
      <vt:variant>
        <vt:i4>276</vt:i4>
      </vt:variant>
      <vt:variant>
        <vt:i4>0</vt:i4>
      </vt:variant>
      <vt:variant>
        <vt:i4>5</vt:i4>
      </vt:variant>
      <vt:variant>
        <vt:lpwstr>https://popp.undp.org/SitePages/POPPSubject.aspx?SBJID=452&amp;Menu=BusinessUnit&amp;Beta=0</vt:lpwstr>
      </vt:variant>
      <vt:variant>
        <vt:lpwstr/>
      </vt:variant>
      <vt:variant>
        <vt:i4>6422635</vt:i4>
      </vt:variant>
      <vt:variant>
        <vt:i4>258</vt:i4>
      </vt:variant>
      <vt:variant>
        <vt:i4>0</vt:i4>
      </vt:variant>
      <vt:variant>
        <vt:i4>5</vt:i4>
      </vt:variant>
      <vt:variant>
        <vt:lpwstr>http://web.undp.org/evaluation/guidance.shtml</vt:lpwstr>
      </vt:variant>
      <vt:variant>
        <vt:lpwstr>gef</vt:lpwstr>
      </vt:variant>
      <vt:variant>
        <vt:i4>6422635</vt:i4>
      </vt:variant>
      <vt:variant>
        <vt:i4>255</vt:i4>
      </vt:variant>
      <vt:variant>
        <vt:i4>0</vt:i4>
      </vt:variant>
      <vt:variant>
        <vt:i4>5</vt:i4>
      </vt:variant>
      <vt:variant>
        <vt:lpwstr>http://web.undp.org/evaluation/guidance.shtml</vt:lpwstr>
      </vt:variant>
      <vt:variant>
        <vt:lpwstr>gef</vt:lpwstr>
      </vt:variant>
      <vt:variant>
        <vt:i4>6488079</vt:i4>
      </vt:variant>
      <vt:variant>
        <vt:i4>252</vt:i4>
      </vt:variant>
      <vt:variant>
        <vt:i4>0</vt:i4>
      </vt:variant>
      <vt:variant>
        <vt:i4>5</vt:i4>
      </vt:variant>
      <vt:variant>
        <vt:lpwstr>https://www.thegef.org/sites/default/files/documents/Results_Guidelines.pdf</vt:lpwstr>
      </vt:variant>
      <vt:variant>
        <vt:lpwstr/>
      </vt:variant>
      <vt:variant>
        <vt:i4>589848</vt:i4>
      </vt:variant>
      <vt:variant>
        <vt:i4>249</vt:i4>
      </vt:variant>
      <vt:variant>
        <vt:i4>0</vt:i4>
      </vt:variant>
      <vt:variant>
        <vt:i4>5</vt:i4>
      </vt:variant>
      <vt:variant>
        <vt:lpwstr>https://www.thegef.org/documents/policies-guidelines</vt:lpwstr>
      </vt:variant>
      <vt:variant>
        <vt:lpwstr/>
      </vt:variant>
      <vt:variant>
        <vt:i4>1441919</vt:i4>
      </vt:variant>
      <vt:variant>
        <vt:i4>246</vt:i4>
      </vt:variant>
      <vt:variant>
        <vt:i4>0</vt:i4>
      </vt:variant>
      <vt:variant>
        <vt:i4>5</vt:i4>
      </vt:variant>
      <vt:variant>
        <vt:lpwstr>https://www.thegef.org/sites/default/files/council-meeting-documents/EN_GEF.ME_C56_02_GEF_Evaluation_Policy_May_2019_0.pdf</vt:lpwstr>
      </vt:variant>
      <vt:variant>
        <vt:lpwstr/>
      </vt:variant>
      <vt:variant>
        <vt:i4>5570565</vt:i4>
      </vt:variant>
      <vt:variant>
        <vt:i4>243</vt:i4>
      </vt:variant>
      <vt:variant>
        <vt:i4>0</vt:i4>
      </vt:variant>
      <vt:variant>
        <vt:i4>5</vt:i4>
      </vt:variant>
      <vt:variant>
        <vt:lpwstr>https://www.thegef.org/sites/default/files/council-meeting-documents/GEF-C.56-03%2C Policy on Monitoring.pdf</vt:lpwstr>
      </vt:variant>
      <vt:variant>
        <vt:lpwstr/>
      </vt:variant>
      <vt:variant>
        <vt:i4>7995479</vt:i4>
      </vt:variant>
      <vt:variant>
        <vt:i4>240</vt:i4>
      </vt:variant>
      <vt:variant>
        <vt:i4>0</vt:i4>
      </vt:variant>
      <vt:variant>
        <vt:i4>5</vt:i4>
      </vt:variant>
      <vt:variant>
        <vt:lpwstr>http://www.undp.org/content/undp/en/home/operations/accountability/evaluation/evaluation_policyofundp.html</vt:lpwstr>
      </vt:variant>
      <vt:variant>
        <vt:lpwstr/>
      </vt:variant>
      <vt:variant>
        <vt:i4>1441859</vt:i4>
      </vt:variant>
      <vt:variant>
        <vt:i4>237</vt:i4>
      </vt:variant>
      <vt:variant>
        <vt:i4>0</vt:i4>
      </vt:variant>
      <vt:variant>
        <vt:i4>5</vt:i4>
      </vt:variant>
      <vt:variant>
        <vt:lpwstr>http://www.undp.org/content/undp/en/home/operations/accountability/programme_and_operationspoliciesandprocedures.html</vt:lpwstr>
      </vt:variant>
      <vt:variant>
        <vt:lpwstr/>
      </vt:variant>
      <vt:variant>
        <vt:i4>6488079</vt:i4>
      </vt:variant>
      <vt:variant>
        <vt:i4>234</vt:i4>
      </vt:variant>
      <vt:variant>
        <vt:i4>0</vt:i4>
      </vt:variant>
      <vt:variant>
        <vt:i4>5</vt:i4>
      </vt:variant>
      <vt:variant>
        <vt:lpwstr>https://www.thegef.org/sites/default/files/documents/Results_Guidelines.pdf</vt:lpwstr>
      </vt:variant>
      <vt:variant>
        <vt:lpwstr/>
      </vt:variant>
      <vt:variant>
        <vt:i4>6160460</vt:i4>
      </vt:variant>
      <vt:variant>
        <vt:i4>231</vt:i4>
      </vt:variant>
      <vt:variant>
        <vt:i4>0</vt:i4>
      </vt:variant>
      <vt:variant>
        <vt:i4>5</vt:i4>
      </vt:variant>
      <vt:variant>
        <vt:lpwstr>http://www.undp.org/content/undp/en/home/ourwork/development-impact/south-south-cooperation.html</vt:lpwstr>
      </vt:variant>
      <vt:variant>
        <vt:lpwstr/>
      </vt:variant>
      <vt:variant>
        <vt:i4>2097162</vt:i4>
      </vt:variant>
      <vt:variant>
        <vt:i4>224</vt:i4>
      </vt:variant>
      <vt:variant>
        <vt:i4>0</vt:i4>
      </vt:variant>
      <vt:variant>
        <vt:i4>5</vt:i4>
      </vt:variant>
      <vt:variant>
        <vt:lpwstr/>
      </vt:variant>
      <vt:variant>
        <vt:lpwstr>_Toc9344703</vt:lpwstr>
      </vt:variant>
      <vt:variant>
        <vt:i4>2097162</vt:i4>
      </vt:variant>
      <vt:variant>
        <vt:i4>218</vt:i4>
      </vt:variant>
      <vt:variant>
        <vt:i4>0</vt:i4>
      </vt:variant>
      <vt:variant>
        <vt:i4>5</vt:i4>
      </vt:variant>
      <vt:variant>
        <vt:lpwstr/>
      </vt:variant>
      <vt:variant>
        <vt:lpwstr>_Toc9344702</vt:lpwstr>
      </vt:variant>
      <vt:variant>
        <vt:i4>2097162</vt:i4>
      </vt:variant>
      <vt:variant>
        <vt:i4>212</vt:i4>
      </vt:variant>
      <vt:variant>
        <vt:i4>0</vt:i4>
      </vt:variant>
      <vt:variant>
        <vt:i4>5</vt:i4>
      </vt:variant>
      <vt:variant>
        <vt:lpwstr/>
      </vt:variant>
      <vt:variant>
        <vt:lpwstr>_Toc9344701</vt:lpwstr>
      </vt:variant>
      <vt:variant>
        <vt:i4>2097162</vt:i4>
      </vt:variant>
      <vt:variant>
        <vt:i4>206</vt:i4>
      </vt:variant>
      <vt:variant>
        <vt:i4>0</vt:i4>
      </vt:variant>
      <vt:variant>
        <vt:i4>5</vt:i4>
      </vt:variant>
      <vt:variant>
        <vt:lpwstr/>
      </vt:variant>
      <vt:variant>
        <vt:lpwstr>_Toc9344700</vt:lpwstr>
      </vt:variant>
      <vt:variant>
        <vt:i4>2686987</vt:i4>
      </vt:variant>
      <vt:variant>
        <vt:i4>200</vt:i4>
      </vt:variant>
      <vt:variant>
        <vt:i4>0</vt:i4>
      </vt:variant>
      <vt:variant>
        <vt:i4>5</vt:i4>
      </vt:variant>
      <vt:variant>
        <vt:lpwstr/>
      </vt:variant>
      <vt:variant>
        <vt:lpwstr>_Toc9344699</vt:lpwstr>
      </vt:variant>
      <vt:variant>
        <vt:i4>2686987</vt:i4>
      </vt:variant>
      <vt:variant>
        <vt:i4>194</vt:i4>
      </vt:variant>
      <vt:variant>
        <vt:i4>0</vt:i4>
      </vt:variant>
      <vt:variant>
        <vt:i4>5</vt:i4>
      </vt:variant>
      <vt:variant>
        <vt:lpwstr/>
      </vt:variant>
      <vt:variant>
        <vt:lpwstr>_Toc9344698</vt:lpwstr>
      </vt:variant>
      <vt:variant>
        <vt:i4>2686987</vt:i4>
      </vt:variant>
      <vt:variant>
        <vt:i4>188</vt:i4>
      </vt:variant>
      <vt:variant>
        <vt:i4>0</vt:i4>
      </vt:variant>
      <vt:variant>
        <vt:i4>5</vt:i4>
      </vt:variant>
      <vt:variant>
        <vt:lpwstr/>
      </vt:variant>
      <vt:variant>
        <vt:lpwstr>_Toc9344697</vt:lpwstr>
      </vt:variant>
      <vt:variant>
        <vt:i4>2686987</vt:i4>
      </vt:variant>
      <vt:variant>
        <vt:i4>182</vt:i4>
      </vt:variant>
      <vt:variant>
        <vt:i4>0</vt:i4>
      </vt:variant>
      <vt:variant>
        <vt:i4>5</vt:i4>
      </vt:variant>
      <vt:variant>
        <vt:lpwstr/>
      </vt:variant>
      <vt:variant>
        <vt:lpwstr>_Toc9344696</vt:lpwstr>
      </vt:variant>
      <vt:variant>
        <vt:i4>2686987</vt:i4>
      </vt:variant>
      <vt:variant>
        <vt:i4>176</vt:i4>
      </vt:variant>
      <vt:variant>
        <vt:i4>0</vt:i4>
      </vt:variant>
      <vt:variant>
        <vt:i4>5</vt:i4>
      </vt:variant>
      <vt:variant>
        <vt:lpwstr/>
      </vt:variant>
      <vt:variant>
        <vt:lpwstr>_Toc9344695</vt:lpwstr>
      </vt:variant>
      <vt:variant>
        <vt:i4>2686987</vt:i4>
      </vt:variant>
      <vt:variant>
        <vt:i4>170</vt:i4>
      </vt:variant>
      <vt:variant>
        <vt:i4>0</vt:i4>
      </vt:variant>
      <vt:variant>
        <vt:i4>5</vt:i4>
      </vt:variant>
      <vt:variant>
        <vt:lpwstr/>
      </vt:variant>
      <vt:variant>
        <vt:lpwstr>_Toc9344694</vt:lpwstr>
      </vt:variant>
      <vt:variant>
        <vt:i4>2686987</vt:i4>
      </vt:variant>
      <vt:variant>
        <vt:i4>164</vt:i4>
      </vt:variant>
      <vt:variant>
        <vt:i4>0</vt:i4>
      </vt:variant>
      <vt:variant>
        <vt:i4>5</vt:i4>
      </vt:variant>
      <vt:variant>
        <vt:lpwstr/>
      </vt:variant>
      <vt:variant>
        <vt:lpwstr>_Toc9344693</vt:lpwstr>
      </vt:variant>
      <vt:variant>
        <vt:i4>2686987</vt:i4>
      </vt:variant>
      <vt:variant>
        <vt:i4>158</vt:i4>
      </vt:variant>
      <vt:variant>
        <vt:i4>0</vt:i4>
      </vt:variant>
      <vt:variant>
        <vt:i4>5</vt:i4>
      </vt:variant>
      <vt:variant>
        <vt:lpwstr/>
      </vt:variant>
      <vt:variant>
        <vt:lpwstr>_Toc9344692</vt:lpwstr>
      </vt:variant>
      <vt:variant>
        <vt:i4>2686987</vt:i4>
      </vt:variant>
      <vt:variant>
        <vt:i4>152</vt:i4>
      </vt:variant>
      <vt:variant>
        <vt:i4>0</vt:i4>
      </vt:variant>
      <vt:variant>
        <vt:i4>5</vt:i4>
      </vt:variant>
      <vt:variant>
        <vt:lpwstr/>
      </vt:variant>
      <vt:variant>
        <vt:lpwstr>_Toc9344691</vt:lpwstr>
      </vt:variant>
      <vt:variant>
        <vt:i4>2686987</vt:i4>
      </vt:variant>
      <vt:variant>
        <vt:i4>146</vt:i4>
      </vt:variant>
      <vt:variant>
        <vt:i4>0</vt:i4>
      </vt:variant>
      <vt:variant>
        <vt:i4>5</vt:i4>
      </vt:variant>
      <vt:variant>
        <vt:lpwstr/>
      </vt:variant>
      <vt:variant>
        <vt:lpwstr>_Toc9344690</vt:lpwstr>
      </vt:variant>
      <vt:variant>
        <vt:i4>2621451</vt:i4>
      </vt:variant>
      <vt:variant>
        <vt:i4>140</vt:i4>
      </vt:variant>
      <vt:variant>
        <vt:i4>0</vt:i4>
      </vt:variant>
      <vt:variant>
        <vt:i4>5</vt:i4>
      </vt:variant>
      <vt:variant>
        <vt:lpwstr/>
      </vt:variant>
      <vt:variant>
        <vt:lpwstr>_Toc9344689</vt:lpwstr>
      </vt:variant>
      <vt:variant>
        <vt:i4>2621451</vt:i4>
      </vt:variant>
      <vt:variant>
        <vt:i4>134</vt:i4>
      </vt:variant>
      <vt:variant>
        <vt:i4>0</vt:i4>
      </vt:variant>
      <vt:variant>
        <vt:i4>5</vt:i4>
      </vt:variant>
      <vt:variant>
        <vt:lpwstr/>
      </vt:variant>
      <vt:variant>
        <vt:lpwstr>_Toc9344688</vt:lpwstr>
      </vt:variant>
      <vt:variant>
        <vt:i4>2621451</vt:i4>
      </vt:variant>
      <vt:variant>
        <vt:i4>128</vt:i4>
      </vt:variant>
      <vt:variant>
        <vt:i4>0</vt:i4>
      </vt:variant>
      <vt:variant>
        <vt:i4>5</vt:i4>
      </vt:variant>
      <vt:variant>
        <vt:lpwstr/>
      </vt:variant>
      <vt:variant>
        <vt:lpwstr>_Toc9344687</vt:lpwstr>
      </vt:variant>
      <vt:variant>
        <vt:i4>2621451</vt:i4>
      </vt:variant>
      <vt:variant>
        <vt:i4>122</vt:i4>
      </vt:variant>
      <vt:variant>
        <vt:i4>0</vt:i4>
      </vt:variant>
      <vt:variant>
        <vt:i4>5</vt:i4>
      </vt:variant>
      <vt:variant>
        <vt:lpwstr/>
      </vt:variant>
      <vt:variant>
        <vt:lpwstr>_Toc9344686</vt:lpwstr>
      </vt:variant>
      <vt:variant>
        <vt:i4>2621451</vt:i4>
      </vt:variant>
      <vt:variant>
        <vt:i4>116</vt:i4>
      </vt:variant>
      <vt:variant>
        <vt:i4>0</vt:i4>
      </vt:variant>
      <vt:variant>
        <vt:i4>5</vt:i4>
      </vt:variant>
      <vt:variant>
        <vt:lpwstr/>
      </vt:variant>
      <vt:variant>
        <vt:lpwstr>_Toc9344685</vt:lpwstr>
      </vt:variant>
      <vt:variant>
        <vt:i4>2621451</vt:i4>
      </vt:variant>
      <vt:variant>
        <vt:i4>110</vt:i4>
      </vt:variant>
      <vt:variant>
        <vt:i4>0</vt:i4>
      </vt:variant>
      <vt:variant>
        <vt:i4>5</vt:i4>
      </vt:variant>
      <vt:variant>
        <vt:lpwstr/>
      </vt:variant>
      <vt:variant>
        <vt:lpwstr>_Toc9344684</vt:lpwstr>
      </vt:variant>
      <vt:variant>
        <vt:i4>2621451</vt:i4>
      </vt:variant>
      <vt:variant>
        <vt:i4>104</vt:i4>
      </vt:variant>
      <vt:variant>
        <vt:i4>0</vt:i4>
      </vt:variant>
      <vt:variant>
        <vt:i4>5</vt:i4>
      </vt:variant>
      <vt:variant>
        <vt:lpwstr/>
      </vt:variant>
      <vt:variant>
        <vt:lpwstr>_Toc9344683</vt:lpwstr>
      </vt:variant>
      <vt:variant>
        <vt:i4>2621451</vt:i4>
      </vt:variant>
      <vt:variant>
        <vt:i4>98</vt:i4>
      </vt:variant>
      <vt:variant>
        <vt:i4>0</vt:i4>
      </vt:variant>
      <vt:variant>
        <vt:i4>5</vt:i4>
      </vt:variant>
      <vt:variant>
        <vt:lpwstr/>
      </vt:variant>
      <vt:variant>
        <vt:lpwstr>_Toc9344682</vt:lpwstr>
      </vt:variant>
      <vt:variant>
        <vt:i4>2621451</vt:i4>
      </vt:variant>
      <vt:variant>
        <vt:i4>92</vt:i4>
      </vt:variant>
      <vt:variant>
        <vt:i4>0</vt:i4>
      </vt:variant>
      <vt:variant>
        <vt:i4>5</vt:i4>
      </vt:variant>
      <vt:variant>
        <vt:lpwstr/>
      </vt:variant>
      <vt:variant>
        <vt:lpwstr>_Toc9344681</vt:lpwstr>
      </vt:variant>
      <vt:variant>
        <vt:i4>5439511</vt:i4>
      </vt:variant>
      <vt:variant>
        <vt:i4>87</vt:i4>
      </vt:variant>
      <vt:variant>
        <vt:i4>0</vt:i4>
      </vt:variant>
      <vt:variant>
        <vt:i4>5</vt:i4>
      </vt:variant>
      <vt:variant>
        <vt:lpwstr>https://intranet.undp.org/unit/bpps/sdev/gef/default.aspx</vt:lpwstr>
      </vt:variant>
      <vt:variant>
        <vt:lpwstr/>
      </vt:variant>
      <vt:variant>
        <vt:i4>4718685</vt:i4>
      </vt:variant>
      <vt:variant>
        <vt:i4>84</vt:i4>
      </vt:variant>
      <vt:variant>
        <vt:i4>0</vt:i4>
      </vt:variant>
      <vt:variant>
        <vt:i4>5</vt:i4>
      </vt:variant>
      <vt:variant>
        <vt:lpwstr>http://www.undp.org/content/undp/en/home/operations/social-and-environmental-sustainability-in-undp/SES.html</vt:lpwstr>
      </vt:variant>
      <vt:variant>
        <vt:lpwstr/>
      </vt:variant>
      <vt:variant>
        <vt:i4>3604595</vt:i4>
      </vt:variant>
      <vt:variant>
        <vt:i4>81</vt:i4>
      </vt:variant>
      <vt:variant>
        <vt:i4>0</vt:i4>
      </vt:variant>
      <vt:variant>
        <vt:i4>5</vt:i4>
      </vt:variant>
      <vt:variant>
        <vt:lpwstr>https://info.undp.org/global/popp/ppm/Pages/Defining-a-Project.aspx</vt:lpwstr>
      </vt:variant>
      <vt:variant>
        <vt:lpwstr/>
      </vt:variant>
      <vt:variant>
        <vt:i4>5046281</vt:i4>
      </vt:variant>
      <vt:variant>
        <vt:i4>78</vt:i4>
      </vt:variant>
      <vt:variant>
        <vt:i4>0</vt:i4>
      </vt:variant>
      <vt:variant>
        <vt:i4>5</vt:i4>
      </vt:variant>
      <vt:variant>
        <vt:lpwstr>https://info.undp.org/global/popp/frm/Pages/Direct-Project-Costs.aspx</vt:lpwstr>
      </vt:variant>
      <vt:variant>
        <vt:lpwstr/>
      </vt:variant>
      <vt:variant>
        <vt:i4>8060979</vt:i4>
      </vt:variant>
      <vt:variant>
        <vt:i4>75</vt:i4>
      </vt:variant>
      <vt:variant>
        <vt:i4>0</vt:i4>
      </vt:variant>
      <vt:variant>
        <vt:i4>5</vt:i4>
      </vt:variant>
      <vt:variant>
        <vt:lpwstr>https://intranet.undp.org/unit/office/exo/IRRF/default.aspx</vt:lpwstr>
      </vt:variant>
      <vt:variant>
        <vt:lpwstr/>
      </vt:variant>
      <vt:variant>
        <vt:i4>6553609</vt:i4>
      </vt:variant>
      <vt:variant>
        <vt:i4>72</vt:i4>
      </vt:variant>
      <vt:variant>
        <vt:i4>0</vt:i4>
      </vt:variant>
      <vt:variant>
        <vt:i4>5</vt:i4>
      </vt:variant>
      <vt:variant>
        <vt:lpwstr>https://www.thegef.org/gef/tracking_tools</vt:lpwstr>
      </vt:variant>
      <vt:variant>
        <vt:lpwstr/>
      </vt:variant>
      <vt:variant>
        <vt:i4>65644</vt:i4>
      </vt:variant>
      <vt:variant>
        <vt:i4>69</vt:i4>
      </vt:variant>
      <vt:variant>
        <vt:i4>0</vt:i4>
      </vt:variant>
      <vt:variant>
        <vt:i4>5</vt:i4>
      </vt:variant>
      <vt:variant>
        <vt:lpwstr>https://www.thegef.org/gef/guidelines_templates</vt:lpwstr>
      </vt:variant>
      <vt:variant>
        <vt:lpwstr/>
      </vt:variant>
      <vt:variant>
        <vt:i4>5177411</vt:i4>
      </vt:variant>
      <vt:variant>
        <vt:i4>66</vt:i4>
      </vt:variant>
      <vt:variant>
        <vt:i4>0</vt:i4>
      </vt:variant>
      <vt:variant>
        <vt:i4>5</vt:i4>
      </vt:variant>
      <vt:variant>
        <vt:lpwstr>http://erc.undp.org/</vt:lpwstr>
      </vt:variant>
      <vt:variant>
        <vt:lpwstr/>
      </vt:variant>
      <vt:variant>
        <vt:i4>3604595</vt:i4>
      </vt:variant>
      <vt:variant>
        <vt:i4>63</vt:i4>
      </vt:variant>
      <vt:variant>
        <vt:i4>0</vt:i4>
      </vt:variant>
      <vt:variant>
        <vt:i4>5</vt:i4>
      </vt:variant>
      <vt:variant>
        <vt:lpwstr>https://info.undp.org/global/popp/ppm/Pages/Defining-a-Project.aspx</vt:lpwstr>
      </vt:variant>
      <vt:variant>
        <vt:lpwstr/>
      </vt:variant>
      <vt:variant>
        <vt:i4>917570</vt:i4>
      </vt:variant>
      <vt:variant>
        <vt:i4>60</vt:i4>
      </vt:variant>
      <vt:variant>
        <vt:i4>0</vt:i4>
      </vt:variant>
      <vt:variant>
        <vt:i4>5</vt:i4>
      </vt:variant>
      <vt:variant>
        <vt:lpwstr>https://info.undp.org/global/popp/frm/Pages/direct-agency-implementation.aspx</vt:lpwstr>
      </vt:variant>
      <vt:variant>
        <vt:lpwstr/>
      </vt:variant>
      <vt:variant>
        <vt:i4>852086</vt:i4>
      </vt:variant>
      <vt:variant>
        <vt:i4>57</vt:i4>
      </vt:variant>
      <vt:variant>
        <vt:i4>0</vt:i4>
      </vt:variant>
      <vt:variant>
        <vt:i4>5</vt:i4>
      </vt:variant>
      <vt:variant>
        <vt:lpwstr>https://www.thegef.org/gef/policies_guidelines</vt:lpwstr>
      </vt:variant>
      <vt:variant>
        <vt:lpwstr/>
      </vt:variant>
      <vt:variant>
        <vt:i4>5505096</vt:i4>
      </vt:variant>
      <vt:variant>
        <vt:i4>54</vt:i4>
      </vt:variant>
      <vt:variant>
        <vt:i4>0</vt:i4>
      </vt:variant>
      <vt:variant>
        <vt:i4>5</vt:i4>
      </vt:variant>
      <vt:variant>
        <vt:lpwstr>https://www.thegef.org/gef/sites/thegef.org/files/Gender_Mainstreaming_Policy.pdf</vt:lpwstr>
      </vt:variant>
      <vt:variant>
        <vt:lpwstr/>
      </vt:variant>
      <vt:variant>
        <vt:i4>3866736</vt:i4>
      </vt:variant>
      <vt:variant>
        <vt:i4>51</vt:i4>
      </vt:variant>
      <vt:variant>
        <vt:i4>0</vt:i4>
      </vt:variant>
      <vt:variant>
        <vt:i4>5</vt:i4>
      </vt:variant>
      <vt:variant>
        <vt:lpwstr>http://www.undp.org/content/undp/en/home/librarypage/womens-empowerment/gender-equality-strategy-2014-2017/</vt:lpwstr>
      </vt:variant>
      <vt:variant>
        <vt:lpwstr/>
      </vt:variant>
      <vt:variant>
        <vt:i4>3539014</vt:i4>
      </vt:variant>
      <vt:variant>
        <vt:i4>48</vt:i4>
      </vt:variant>
      <vt:variant>
        <vt:i4>0</vt:i4>
      </vt:variant>
      <vt:variant>
        <vt:i4>5</vt:i4>
      </vt:variant>
      <vt:variant>
        <vt:lpwstr>http://www.undp.org/content/undp/en/home/operations/transparency/information_disclosurepolicy/</vt:lpwstr>
      </vt:variant>
      <vt:variant>
        <vt:lpwstr/>
      </vt:variant>
      <vt:variant>
        <vt:i4>4456564</vt:i4>
      </vt:variant>
      <vt:variant>
        <vt:i4>45</vt:i4>
      </vt:variant>
      <vt:variant>
        <vt:i4>0</vt:i4>
      </vt:variant>
      <vt:variant>
        <vt:i4>5</vt:i4>
      </vt:variant>
      <vt:variant>
        <vt:lpwstr>https://info.undp.org/sites/bpps/SES_Toolkit/default.aspx</vt:lpwstr>
      </vt:variant>
      <vt:variant>
        <vt:lpwstr/>
      </vt:variant>
      <vt:variant>
        <vt:i4>1769560</vt:i4>
      </vt:variant>
      <vt:variant>
        <vt:i4>42</vt:i4>
      </vt:variant>
      <vt:variant>
        <vt:i4>0</vt:i4>
      </vt:variant>
      <vt:variant>
        <vt:i4>5</vt:i4>
      </vt:variant>
      <vt:variant>
        <vt:lpwstr>http://www.undp.org/content/undp/en/home/operations/social-and-environmental-sustainability-in-undp/</vt:lpwstr>
      </vt:variant>
      <vt:variant>
        <vt:lpwstr/>
      </vt:variant>
      <vt:variant>
        <vt:i4>6488153</vt:i4>
      </vt:variant>
      <vt:variant>
        <vt:i4>39</vt:i4>
      </vt:variant>
      <vt:variant>
        <vt:i4>0</vt:i4>
      </vt:variant>
      <vt:variant>
        <vt:i4>5</vt:i4>
      </vt:variant>
      <vt:variant>
        <vt:lpwstr>https://www.thegef.org/gef/sites/thegef.org/files/documents/document/GEF6 Results Framework for GEFTF and LDCF.SCCF_.pdf</vt:lpwstr>
      </vt:variant>
      <vt:variant>
        <vt:lpwstr/>
      </vt:variant>
      <vt:variant>
        <vt:i4>4128875</vt:i4>
      </vt:variant>
      <vt:variant>
        <vt:i4>36</vt:i4>
      </vt:variant>
      <vt:variant>
        <vt:i4>0</vt:i4>
      </vt:variant>
      <vt:variant>
        <vt:i4>5</vt:i4>
      </vt:variant>
      <vt:variant>
        <vt:lpwstr>http://www.undp.org/content/undp/en/home/mdgoverview/post-2015-development-agenda.html</vt:lpwstr>
      </vt:variant>
      <vt:variant>
        <vt:lpwstr/>
      </vt:variant>
      <vt:variant>
        <vt:i4>7995450</vt:i4>
      </vt:variant>
      <vt:variant>
        <vt:i4>33</vt:i4>
      </vt:variant>
      <vt:variant>
        <vt:i4>0</vt:i4>
      </vt:variant>
      <vt:variant>
        <vt:i4>5</vt:i4>
      </vt:variant>
      <vt:variant>
        <vt:lpwstr>http://www.undp.org/content/dam/undp/library/corporate/UNDP_strategic-plan_14-17_v9_web.pdf</vt:lpwstr>
      </vt:variant>
      <vt:variant>
        <vt:lpwstr/>
      </vt:variant>
      <vt:variant>
        <vt:i4>1376269</vt:i4>
      </vt:variant>
      <vt:variant>
        <vt:i4>30</vt:i4>
      </vt:variant>
      <vt:variant>
        <vt:i4>0</vt:i4>
      </vt:variant>
      <vt:variant>
        <vt:i4>5</vt:i4>
      </vt:variant>
      <vt:variant>
        <vt:lpwstr>http://www.adb.org/documents/guidelines-preparing-design-and-monitoring-framework</vt:lpwstr>
      </vt:variant>
      <vt:variant>
        <vt:lpwstr/>
      </vt:variant>
      <vt:variant>
        <vt:i4>2031703</vt:i4>
      </vt:variant>
      <vt:variant>
        <vt:i4>27</vt:i4>
      </vt:variant>
      <vt:variant>
        <vt:i4>0</vt:i4>
      </vt:variant>
      <vt:variant>
        <vt:i4>5</vt:i4>
      </vt:variant>
      <vt:variant>
        <vt:lpwstr>http://siteresources.worldbank.org/EXTEVACAPDEV/Resources/designing_results_framework.pdf</vt:lpwstr>
      </vt:variant>
      <vt:variant>
        <vt:lpwstr/>
      </vt:variant>
      <vt:variant>
        <vt:i4>7209076</vt:i4>
      </vt:variant>
      <vt:variant>
        <vt:i4>24</vt:i4>
      </vt:variant>
      <vt:variant>
        <vt:i4>0</vt:i4>
      </vt:variant>
      <vt:variant>
        <vt:i4>5</vt:i4>
      </vt:variant>
      <vt:variant>
        <vt:lpwstr>http://wbi.worldbank.org/wbi/document/designing-multi-stakeholder-results-framework</vt:lpwstr>
      </vt:variant>
      <vt:variant>
        <vt:lpwstr/>
      </vt:variant>
      <vt:variant>
        <vt:i4>5701655</vt:i4>
      </vt:variant>
      <vt:variant>
        <vt:i4>21</vt:i4>
      </vt:variant>
      <vt:variant>
        <vt:i4>0</vt:i4>
      </vt:variant>
      <vt:variant>
        <vt:i4>5</vt:i4>
      </vt:variant>
      <vt:variant>
        <vt:lpwstr>http://www.undg.org/docs/12316/UNDG-RBM Handbook-2012.pdf</vt:lpwstr>
      </vt:variant>
      <vt:variant>
        <vt:lpwstr/>
      </vt:variant>
      <vt:variant>
        <vt:i4>3145837</vt:i4>
      </vt:variant>
      <vt:variant>
        <vt:i4>18</vt:i4>
      </vt:variant>
      <vt:variant>
        <vt:i4>0</vt:i4>
      </vt:variant>
      <vt:variant>
        <vt:i4>5</vt:i4>
      </vt:variant>
      <vt:variant>
        <vt:lpwstr>http://www.stapgef.org/</vt:lpwstr>
      </vt:variant>
      <vt:variant>
        <vt:lpwstr/>
      </vt:variant>
      <vt:variant>
        <vt:i4>4063291</vt:i4>
      </vt:variant>
      <vt:variant>
        <vt:i4>15</vt:i4>
      </vt:variant>
      <vt:variant>
        <vt:i4>0</vt:i4>
      </vt:variant>
      <vt:variant>
        <vt:i4>5</vt:i4>
      </vt:variant>
      <vt:variant>
        <vt:lpwstr>http://www.gefieo.org/ops/ops-6</vt:lpwstr>
      </vt:variant>
      <vt:variant>
        <vt:lpwstr/>
      </vt:variant>
      <vt:variant>
        <vt:i4>2293804</vt:i4>
      </vt:variant>
      <vt:variant>
        <vt:i4>12</vt:i4>
      </vt:variant>
      <vt:variant>
        <vt:i4>0</vt:i4>
      </vt:variant>
      <vt:variant>
        <vt:i4>5</vt:i4>
      </vt:variant>
      <vt:variant>
        <vt:lpwstr>http://www.thegef.org/gef/OPS5</vt:lpwstr>
      </vt:variant>
      <vt:variant>
        <vt:lpwstr/>
      </vt:variant>
      <vt:variant>
        <vt:i4>7536690</vt:i4>
      </vt:variant>
      <vt:variant>
        <vt:i4>9</vt:i4>
      </vt:variant>
      <vt:variant>
        <vt:i4>0</vt:i4>
      </vt:variant>
      <vt:variant>
        <vt:i4>5</vt:i4>
      </vt:variant>
      <vt:variant>
        <vt:lpwstr>https://popp.undp.org/SitePages/POPPSubject.aspx?SBJID=452&amp;Menu=BusinessUnit&amp;Beta=0</vt:lpwstr>
      </vt:variant>
      <vt:variant>
        <vt:lpwstr/>
      </vt:variant>
      <vt:variant>
        <vt:i4>2818130</vt:i4>
      </vt:variant>
      <vt:variant>
        <vt:i4>6</vt:i4>
      </vt:variant>
      <vt:variant>
        <vt:i4>0</vt:i4>
      </vt:variant>
      <vt:variant>
        <vt:i4>5</vt:i4>
      </vt:variant>
      <vt:variant>
        <vt:lpwstr>https://www.thegef.org/sites/default/files/documents/Project_Cancellation_Policy_20181220.pdf</vt:lpwstr>
      </vt:variant>
      <vt:variant>
        <vt:lpwstr/>
      </vt:variant>
      <vt:variant>
        <vt:i4>7864419</vt:i4>
      </vt:variant>
      <vt:variant>
        <vt:i4>3</vt:i4>
      </vt:variant>
      <vt:variant>
        <vt:i4>0</vt:i4>
      </vt:variant>
      <vt:variant>
        <vt:i4>5</vt:i4>
      </vt:variant>
      <vt:variant>
        <vt:lpwstr>https://info.undp.org/global/popp/ppm/Pages/Project-Management.aspx</vt:lpwstr>
      </vt:variant>
      <vt:variant>
        <vt:lpwstr/>
      </vt:variant>
      <vt:variant>
        <vt:i4>5570560</vt:i4>
      </vt:variant>
      <vt:variant>
        <vt:i4>0</vt:i4>
      </vt:variant>
      <vt:variant>
        <vt:i4>0</vt:i4>
      </vt:variant>
      <vt:variant>
        <vt:i4>5</vt:i4>
      </vt:variant>
      <vt:variant>
        <vt:lpwstr>https://www.thegef.org/about/funding</vt:lpwstr>
      </vt:variant>
      <vt:variant>
        <vt:lpwstr/>
      </vt:variant>
      <vt:variant>
        <vt:i4>6881390</vt:i4>
      </vt:variant>
      <vt:variant>
        <vt:i4>9</vt:i4>
      </vt:variant>
      <vt:variant>
        <vt:i4>0</vt:i4>
      </vt:variant>
      <vt:variant>
        <vt:i4>5</vt:i4>
      </vt:variant>
      <vt:variant>
        <vt:lpwstr>https://popp.undp.org/_layouts/15/WopiFrame.aspx?sourcedoc=/UNDP_POPP_DOCUMENT_LIBRARY/Public/PPM_Project%20Management_Closing.docx&amp;action=default</vt:lpwstr>
      </vt:variant>
      <vt:variant>
        <vt:lpwstr/>
      </vt:variant>
      <vt:variant>
        <vt:i4>6553643</vt:i4>
      </vt:variant>
      <vt:variant>
        <vt:i4>6</vt:i4>
      </vt:variant>
      <vt:variant>
        <vt:i4>0</vt:i4>
      </vt:variant>
      <vt:variant>
        <vt:i4>5</vt:i4>
      </vt:variant>
      <vt:variant>
        <vt:lpwstr>https://info.undp.org/global/popp/ppm/Pages/Closing-a-Project.aspx</vt:lpwstr>
      </vt:variant>
      <vt:variant>
        <vt:lpwstr/>
      </vt:variant>
      <vt:variant>
        <vt:i4>852086</vt:i4>
      </vt:variant>
      <vt:variant>
        <vt:i4>3</vt:i4>
      </vt:variant>
      <vt:variant>
        <vt:i4>0</vt:i4>
      </vt:variant>
      <vt:variant>
        <vt:i4>5</vt:i4>
      </vt:variant>
      <vt:variant>
        <vt:lpwstr>https://www.thegef.org/gef/policies_guidelines</vt:lpwstr>
      </vt:variant>
      <vt:variant>
        <vt:lpwstr/>
      </vt:variant>
      <vt:variant>
        <vt:i4>5</vt:i4>
      </vt:variant>
      <vt:variant>
        <vt:i4>0</vt:i4>
      </vt:variant>
      <vt:variant>
        <vt:i4>0</vt:i4>
      </vt:variant>
      <vt:variant>
        <vt:i4>5</vt:i4>
      </vt:variant>
      <vt:variant>
        <vt:lpwstr>https://www.thegef.org/council-meeting-documents/guidelines-project-and-program-cycle-policy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ProDoc template for all vertical funds - CLEAN version</dc:title>
  <dc:subject>Project Management</dc:subject>
  <dc:creator>nancy.bennet@undp.org</dc:creator>
  <cp:keywords/>
  <dc:description/>
  <cp:lastModifiedBy>Safia Guindo</cp:lastModifiedBy>
  <cp:revision>2</cp:revision>
  <cp:lastPrinted>2019-12-30T22:21:00Z</cp:lastPrinted>
  <dcterms:created xsi:type="dcterms:W3CDTF">2021-09-27T12:30:00Z</dcterms:created>
  <dcterms:modified xsi:type="dcterms:W3CDTF">2021-09-27T12:30:00Z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0x010100FB9A12EA0BF66E46A07DC44DFB01771E</vt:lpwstr>
  </property>
  <property fmtid="{D5CDD505-2E9C-101B-9397-08002B2CF9AE}" pid="3" name="_dlc_DocIdItemGuid">
    <vt:lpwstr>d9ef4e57-5706-42c5-b4ed-8ac099445ce5</vt:lpwstr>
  </property>
  <property fmtid="{D5CDD505-2E9C-101B-9397-08002B2CF9AE}" pid="4" name="_dlc_DocId">
    <vt:lpwstr>KKKATZMDSDUY-340-120</vt:lpwstr>
  </property>
  <property fmtid="{D5CDD505-2E9C-101B-9397-08002B2CF9AE}" pid="5" name="_dlc_DocIdUrl">
    <vt:lpwstr>https://intranet.undp.org/unit/bpps/sdev/gef/_layouts/15/DocIdRedir.aspx?ID=KKKATZMDSDUY-340-120, KKKATZMDSDUY-340-120</vt:lpwstr>
  </property>
  <property fmtid="{D5CDD505-2E9C-101B-9397-08002B2CF9AE}" pid="6" name="Description0">
    <vt:lpwstr/>
  </property>
  <property fmtid="{D5CDD505-2E9C-101B-9397-08002B2CF9AE}" pid="7" name="Category">
    <vt:lpwstr>Concept Design Phase</vt:lpwstr>
  </property>
</Properties>
</file>