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50.xml" ContentType="application/vnd.openxmlformats-officedocument.drawingml.chart+xml"/>
  <Override PartName="/word/theme/themeOverride10.xml" ContentType="application/vnd.openxmlformats-officedocument.themeOverride+xml"/>
  <Override PartName="/word/charts/colors50.xml" ContentType="application/vnd.ms-office.chartcolorstyle+xml"/>
  <Override PartName="/word/charts/style5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41C72" w14:textId="0149C36A" w:rsidR="0086672D" w:rsidRPr="0086672D" w:rsidRDefault="00921F18" w:rsidP="0086672D">
      <w:pPr>
        <w:tabs>
          <w:tab w:val="center" w:pos="4536"/>
          <w:tab w:val="right" w:pos="9072"/>
        </w:tabs>
        <w:rPr>
          <w:rFonts w:ascii="Calibri" w:eastAsia="Calibri" w:hAnsi="Calibri" w:cs="Times New Roman"/>
        </w:rPr>
      </w:pPr>
      <w:bookmarkStart w:id="0" w:name="_Hlk139377949"/>
      <w:bookmarkEnd w:id="0"/>
      <w:r>
        <w:rPr>
          <w:rFonts w:ascii="Calibri" w:eastAsia="Calibri" w:hAnsi="Calibri" w:cs="Times New Roman"/>
          <w:noProof/>
        </w:rPr>
        <w:drawing>
          <wp:anchor distT="0" distB="0" distL="114300" distR="114300" simplePos="0" relativeHeight="251667456" behindDoc="1" locked="0" layoutInCell="1" allowOverlap="1" wp14:anchorId="14A822B5" wp14:editId="2B3F7FB9">
            <wp:simplePos x="0" y="0"/>
            <wp:positionH relativeFrom="margin">
              <wp:posOffset>-777875</wp:posOffset>
            </wp:positionH>
            <wp:positionV relativeFrom="margin">
              <wp:posOffset>-579755</wp:posOffset>
            </wp:positionV>
            <wp:extent cx="7307580" cy="10279380"/>
            <wp:effectExtent l="0" t="0" r="762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r="882" b="4613"/>
                    <a:stretch/>
                  </pic:blipFill>
                  <pic:spPr bwMode="auto">
                    <a:xfrm>
                      <a:off x="0" y="0"/>
                      <a:ext cx="7307913" cy="102798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72D" w:rsidRPr="0086672D">
        <w:rPr>
          <w:rFonts w:ascii="Calibri" w:eastAsia="Calibri" w:hAnsi="Calibri" w:cs="Times New Roman"/>
          <w:noProof/>
        </w:rPr>
        <mc:AlternateContent>
          <mc:Choice Requires="wps">
            <w:drawing>
              <wp:anchor distT="0" distB="0" distL="114300" distR="114300" simplePos="0" relativeHeight="251660288" behindDoc="0" locked="0" layoutInCell="1" allowOverlap="0" wp14:anchorId="4E345668" wp14:editId="77E0474D">
                <wp:simplePos x="0" y="0"/>
                <wp:positionH relativeFrom="column">
                  <wp:posOffset>5127625</wp:posOffset>
                </wp:positionH>
                <wp:positionV relativeFrom="page">
                  <wp:posOffset>990600</wp:posOffset>
                </wp:positionV>
                <wp:extent cx="621030" cy="1219200"/>
                <wp:effectExtent l="0" t="0" r="0" b="0"/>
                <wp:wrapTight wrapText="bothSides">
                  <wp:wrapPolygon edited="0">
                    <wp:start x="1090" y="0"/>
                    <wp:lineTo x="1090" y="21290"/>
                    <wp:lineTo x="19620" y="21290"/>
                    <wp:lineTo x="19620" y="0"/>
                    <wp:lineTo x="1090" y="0"/>
                  </wp:wrapPolygon>
                </wp:wrapTight>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EBAC6" w14:textId="647F1681" w:rsidR="0086672D" w:rsidRPr="00CE1C73" w:rsidRDefault="0086672D" w:rsidP="0086672D"/>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45668" id="_x0000_t202" coordsize="21600,21600" o:spt="202" path="m,l,21600r21600,l21600,xe">
                <v:stroke joinstyle="miter"/>
                <v:path gradientshapeok="t" o:connecttype="rect"/>
              </v:shapetype>
              <v:shape id="Zone de texte 4" o:spid="_x0000_s1026" type="#_x0000_t202" style="position:absolute;margin-left:403.75pt;margin-top:78pt;width:48.9pt;height:9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U3QEAAJ8DAAAOAAAAZHJzL2Uyb0RvYy54bWysU8tu2zAQvBfoPxC813rUTRvBcpAmSFEg&#10;fQBpPoCiSImoxCWWtCX367ukHMdtb0EvBMmlZmdmR5ureRzYXqE3YGterHLOlJXQGtvV/PHH3ZsP&#10;nPkgbCsGsKrmB+X51fb1q83kKlVCD0OrkBGI9dXkat6H4Kos87JXo/ArcMpSUQOOItARu6xFMRH6&#10;OGRlnl9kE2DrEKTynm5vlyLfJnytlQzftPYqsKHmxC2kFdPaxDXbbkTVoXC9kUca4gUsRmEsNT1B&#10;3Yog2A7NP1CjkQgedFhJGDPQ2kiVNJCaIv9LzUMvnEpayBzvTjb5/wcrv+4f3HdkYf4IMw0wifDu&#10;HuRPzyzc9MJ26hoRpl6JlhoX0bJscr46fhqt9pWPIM30BVoastgFSECzxjG6QjoZodMADifT1RyY&#10;pMuLssjfUkVSqSiLS5pqaiGqp68d+vBJwcjipuZIQ03oYn/vQ2QjqqcnsZmFOzMMabCD/eOCHsab&#10;xD4SXqiHuZnpdVTRQHsgHQhLTijXtOkBf3E2UUZqbinEnA2fLTlxWazXMVLpsH73vqQDnlea84qw&#10;koBqHjhbtjdhieHOoel66rN4b+Ga3NMmCXvmdGRNKUh6j4mNMTs/p1fP/9X2NwAAAP//AwBQSwME&#10;FAAGAAgAAAAhACfUYVriAAAACwEAAA8AAABkcnMvZG93bnJldi54bWxMj8FOwzAQRO9I/IO1SFwQ&#10;tZuQEkKcCoHgQlVE4cDRiU0SiNeR7aaBr2c5wXE1T7NvyvVsBzYZH3qHEpYLAcxg43SPrYTXl/vz&#10;HFiICrUaHBoJXybAujo+KlWh3QGfzbSLLaMSDIWS0MU4FpyHpjNWhYUbDVL27rxVkU7fcu3Vgcrt&#10;wBMhVtyqHulDp0Zz25nmc7e3Er6f/MYlyeZhWb+l/RTvzj62j1spT0/mm2tg0czxD4ZffVKHipxq&#10;t0cd2CAhF5cZoRRkKxpFxJXIUmC1hPQiF8Crkv/fUP0AAAD//wMAUEsBAi0AFAAGAAgAAAAhALaD&#10;OJL+AAAA4QEAABMAAAAAAAAAAAAAAAAAAAAAAFtDb250ZW50X1R5cGVzXS54bWxQSwECLQAUAAYA&#10;CAAAACEAOP0h/9YAAACUAQAACwAAAAAAAAAAAAAAAAAvAQAAX3JlbHMvLnJlbHNQSwECLQAUAAYA&#10;CAAAACEA4+/nlN0BAACfAwAADgAAAAAAAAAAAAAAAAAuAgAAZHJzL2Uyb0RvYy54bWxQSwECLQAU&#10;AAYACAAAACEAJ9RhWuIAAAALAQAADwAAAAAAAAAAAAAAAAA3BAAAZHJzL2Rvd25yZXYueG1sUEsF&#10;BgAAAAAEAAQA8wAAAEYFAAAAAA==&#10;" o:allowoverlap="f" filled="f" stroked="f">
                <v:textbox>
                  <w:txbxContent>
                    <w:p w14:paraId="197EBAC6" w14:textId="647F1681" w:rsidR="0086672D" w:rsidRPr="00CE1C73" w:rsidRDefault="0086672D" w:rsidP="0086672D"/>
                  </w:txbxContent>
                </v:textbox>
                <w10:wrap type="tight" anchory="page"/>
              </v:shape>
            </w:pict>
          </mc:Fallback>
        </mc:AlternateContent>
      </w:r>
    </w:p>
    <w:p w14:paraId="246414F6" w14:textId="5FF6272D" w:rsidR="0086672D" w:rsidRPr="0086672D" w:rsidRDefault="0086672D" w:rsidP="0086672D">
      <w:pPr>
        <w:rPr>
          <w:rFonts w:ascii="Calibri" w:eastAsia="Calibri" w:hAnsi="Calibri" w:cs="Arial"/>
          <w:sz w:val="26"/>
          <w:szCs w:val="26"/>
          <w:lang w:val="fr-FR"/>
        </w:rPr>
      </w:pPr>
    </w:p>
    <w:p w14:paraId="2E84E926" w14:textId="3E9BCBE4" w:rsidR="0086672D" w:rsidRPr="0086672D" w:rsidRDefault="0086672D" w:rsidP="0086672D">
      <w:pPr>
        <w:jc w:val="center"/>
        <w:rPr>
          <w:rFonts w:ascii="Calibri" w:eastAsia="Calibri" w:hAnsi="Calibri" w:cs="Times New Roman"/>
          <w:b/>
          <w:sz w:val="72"/>
          <w:szCs w:val="72"/>
        </w:rPr>
      </w:pPr>
    </w:p>
    <w:p w14:paraId="3BF13118" w14:textId="77777777" w:rsidR="0086672D" w:rsidRPr="0086672D" w:rsidRDefault="0086672D" w:rsidP="0086672D">
      <w:pPr>
        <w:jc w:val="center"/>
        <w:rPr>
          <w:rFonts w:ascii="Calibri" w:eastAsia="Calibri" w:hAnsi="Calibri" w:cs="Times New Roman"/>
          <w:b/>
          <w:caps/>
          <w:sz w:val="48"/>
          <w:szCs w:val="48"/>
        </w:rPr>
      </w:pPr>
    </w:p>
    <w:p w14:paraId="10DF0AC6" w14:textId="16EEDC1E" w:rsidR="0086672D" w:rsidRPr="0086672D" w:rsidRDefault="0086672D" w:rsidP="006C5A4F">
      <w:pPr>
        <w:rPr>
          <w:rFonts w:ascii="Calibri" w:eastAsia="Calibri" w:hAnsi="Calibri" w:cs="Times New Roman"/>
          <w:b/>
          <w:caps/>
          <w:sz w:val="48"/>
          <w:szCs w:val="48"/>
        </w:rPr>
      </w:pPr>
    </w:p>
    <w:p w14:paraId="22EABB33" w14:textId="77777777" w:rsidR="0086672D" w:rsidRPr="0086672D" w:rsidRDefault="0086672D" w:rsidP="0086672D">
      <w:pPr>
        <w:rPr>
          <w:rFonts w:ascii="Calibri" w:eastAsia="Calibri" w:hAnsi="Calibri" w:cs="Times New Roman"/>
          <w:b/>
          <w:sz w:val="44"/>
          <w:szCs w:val="44"/>
        </w:rPr>
      </w:pPr>
    </w:p>
    <w:p w14:paraId="349A237B" w14:textId="77777777" w:rsidR="0086672D" w:rsidRPr="0086672D" w:rsidRDefault="0086672D" w:rsidP="0086672D">
      <w:pPr>
        <w:spacing w:after="0" w:line="240" w:lineRule="auto"/>
        <w:rPr>
          <w:rFonts w:ascii="Times New Roman" w:eastAsia="Times New Roman" w:hAnsi="Times New Roman" w:cs="Times New Roman"/>
          <w:lang w:val="fr-FR" w:eastAsia="fr-FR"/>
        </w:rPr>
      </w:pPr>
    </w:p>
    <w:p w14:paraId="184FF6FC" w14:textId="77777777" w:rsidR="0086672D" w:rsidRPr="0086672D" w:rsidRDefault="0086672D" w:rsidP="0086672D">
      <w:pPr>
        <w:spacing w:after="0" w:line="240" w:lineRule="auto"/>
        <w:jc w:val="center"/>
        <w:rPr>
          <w:rFonts w:ascii="Roman 12cpi" w:eastAsia="Times New Roman" w:hAnsi="Roman 12cpi" w:cs="Times New Roman"/>
          <w:lang w:val="fr-FR" w:eastAsia="fr-FR"/>
        </w:rPr>
      </w:pPr>
      <w:r w:rsidRPr="0086672D">
        <w:rPr>
          <w:rFonts w:ascii="Arial" w:eastAsia="Calibri" w:hAnsi="Arial" w:cs="Arial"/>
          <w:b/>
          <w:color w:val="FF0000"/>
          <w:sz w:val="28"/>
          <w:szCs w:val="28"/>
        </w:rPr>
        <w:t xml:space="preserve">      </w:t>
      </w:r>
    </w:p>
    <w:p w14:paraId="4EC2D818" w14:textId="77777777" w:rsidR="0086672D" w:rsidRPr="0086672D" w:rsidRDefault="0086672D" w:rsidP="0086672D">
      <w:pPr>
        <w:spacing w:after="0" w:line="240" w:lineRule="auto"/>
        <w:rPr>
          <w:rFonts w:ascii="Times New Roman" w:eastAsia="Times New Roman" w:hAnsi="Times New Roman" w:cs="Times New Roman"/>
          <w:lang w:val="fr-FR" w:eastAsia="fr-FR"/>
        </w:rPr>
      </w:pPr>
    </w:p>
    <w:p w14:paraId="3AD4321A" w14:textId="77777777" w:rsidR="0086672D" w:rsidRPr="0086672D" w:rsidRDefault="0086672D" w:rsidP="0086672D">
      <w:pPr>
        <w:spacing w:after="0" w:line="240" w:lineRule="auto"/>
        <w:rPr>
          <w:rFonts w:ascii="Times New Roman" w:eastAsia="Times New Roman" w:hAnsi="Times New Roman" w:cs="Times New Roman"/>
          <w:lang w:val="fr-FR" w:eastAsia="fr-FR"/>
        </w:rPr>
      </w:pPr>
    </w:p>
    <w:p w14:paraId="7992ED07" w14:textId="77777777" w:rsidR="0086672D" w:rsidRPr="0086672D" w:rsidRDefault="0086672D" w:rsidP="0086672D">
      <w:pPr>
        <w:spacing w:after="0" w:line="240" w:lineRule="auto"/>
        <w:rPr>
          <w:rFonts w:ascii="Times New Roman" w:eastAsia="Times New Roman" w:hAnsi="Times New Roman" w:cs="Times New Roman"/>
          <w:lang w:val="fr-FR" w:eastAsia="fr-FR"/>
        </w:rPr>
      </w:pPr>
    </w:p>
    <w:p w14:paraId="149C20BA" w14:textId="77777777" w:rsidR="0086672D" w:rsidRPr="0086672D" w:rsidRDefault="0086672D" w:rsidP="0086672D">
      <w:pPr>
        <w:spacing w:after="0" w:line="240" w:lineRule="auto"/>
        <w:rPr>
          <w:rFonts w:ascii="Times New Roman" w:eastAsia="Times New Roman" w:hAnsi="Times New Roman" w:cs="Times New Roman"/>
          <w:lang w:val="fr-FR" w:eastAsia="fr-FR"/>
        </w:rPr>
      </w:pPr>
    </w:p>
    <w:p w14:paraId="6E2B32BE" w14:textId="77777777" w:rsidR="0086672D" w:rsidRPr="0086672D" w:rsidRDefault="0086672D" w:rsidP="004B7F51">
      <w:pPr>
        <w:rPr>
          <w:rFonts w:ascii="Calibri" w:eastAsia="Calibri" w:hAnsi="Calibri" w:cs="Times New Roman"/>
          <w:b/>
          <w:sz w:val="16"/>
          <w:szCs w:val="16"/>
        </w:rPr>
      </w:pPr>
    </w:p>
    <w:p w14:paraId="48B6F226" w14:textId="5FE46D89" w:rsidR="00C03405" w:rsidRDefault="0086672D" w:rsidP="0086672D">
      <w:pPr>
        <w:rPr>
          <w:rFonts w:ascii="Calibri" w:eastAsia="Calibri" w:hAnsi="Calibri" w:cs="Times New Roman"/>
          <w:b/>
          <w:sz w:val="40"/>
          <w:szCs w:val="40"/>
        </w:rPr>
      </w:pPr>
      <w:r w:rsidRPr="0086672D">
        <w:rPr>
          <w:rFonts w:ascii="Calibri" w:eastAsia="Calibri" w:hAnsi="Calibri" w:cs="Times New Roman"/>
          <w:b/>
          <w:sz w:val="40"/>
          <w:szCs w:val="40"/>
        </w:rPr>
        <w:br w:type="page"/>
      </w:r>
    </w:p>
    <w:p w14:paraId="2E5C3F9F" w14:textId="7A283776" w:rsidR="00906C05" w:rsidRPr="00906C05" w:rsidRDefault="00C138EB" w:rsidP="0086672D">
      <w:pPr>
        <w:rPr>
          <w:rFonts w:ascii="Calibri" w:eastAsia="Calibri" w:hAnsi="Calibri" w:cs="Times New Roman"/>
          <w:b/>
          <w:color w:val="1F3864" w:themeColor="accent1" w:themeShade="80"/>
          <w:sz w:val="32"/>
          <w:szCs w:val="32"/>
        </w:rPr>
      </w:pPr>
      <w:r w:rsidRPr="00C138EB">
        <w:rPr>
          <w:rFonts w:ascii="Calibri" w:eastAsia="Calibri" w:hAnsi="Calibri" w:cs="Times New Roman"/>
          <w:b/>
          <w:color w:val="1F3864" w:themeColor="accent1" w:themeShade="80"/>
          <w:sz w:val="32"/>
          <w:szCs w:val="32"/>
        </w:rPr>
        <w:lastRenderedPageBreak/>
        <w:t>Sigles et Abréviations</w:t>
      </w:r>
    </w:p>
    <w:tbl>
      <w:tblPr>
        <w:tblW w:w="0" w:type="auto"/>
        <w:tblLook w:val="04A0" w:firstRow="1" w:lastRow="0" w:firstColumn="1" w:lastColumn="0" w:noHBand="0" w:noVBand="1"/>
      </w:tblPr>
      <w:tblGrid>
        <w:gridCol w:w="1795"/>
        <w:gridCol w:w="7277"/>
      </w:tblGrid>
      <w:tr w:rsidR="00906C05" w:rsidRPr="00906C05" w14:paraId="00D32AC4" w14:textId="77777777" w:rsidTr="00567519">
        <w:tc>
          <w:tcPr>
            <w:tcW w:w="1809" w:type="dxa"/>
            <w:shd w:val="clear" w:color="auto" w:fill="auto"/>
          </w:tcPr>
          <w:p w14:paraId="24017CBF"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AFD</w:t>
            </w:r>
          </w:p>
        </w:tc>
        <w:tc>
          <w:tcPr>
            <w:tcW w:w="7403" w:type="dxa"/>
            <w:shd w:val="clear" w:color="auto" w:fill="auto"/>
          </w:tcPr>
          <w:p w14:paraId="681B77E3"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Agence française de développement</w:t>
            </w:r>
          </w:p>
        </w:tc>
      </w:tr>
      <w:tr w:rsidR="00906C05" w:rsidRPr="00906C05" w14:paraId="49D0B4D5" w14:textId="77777777" w:rsidTr="00567519">
        <w:tc>
          <w:tcPr>
            <w:tcW w:w="1809" w:type="dxa"/>
            <w:shd w:val="clear" w:color="auto" w:fill="auto"/>
          </w:tcPr>
          <w:p w14:paraId="401C58E0"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APD</w:t>
            </w:r>
          </w:p>
        </w:tc>
        <w:tc>
          <w:tcPr>
            <w:tcW w:w="7403" w:type="dxa"/>
            <w:shd w:val="clear" w:color="auto" w:fill="auto"/>
          </w:tcPr>
          <w:p w14:paraId="1A8A61A5"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Aide publique au développement</w:t>
            </w:r>
          </w:p>
        </w:tc>
      </w:tr>
      <w:tr w:rsidR="00906C05" w:rsidRPr="00906C05" w14:paraId="1104B3E1" w14:textId="77777777" w:rsidTr="00567519">
        <w:tc>
          <w:tcPr>
            <w:tcW w:w="1809" w:type="dxa"/>
            <w:shd w:val="clear" w:color="auto" w:fill="auto"/>
          </w:tcPr>
          <w:p w14:paraId="66B62A91"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BAD</w:t>
            </w:r>
          </w:p>
        </w:tc>
        <w:tc>
          <w:tcPr>
            <w:tcW w:w="7403" w:type="dxa"/>
            <w:shd w:val="clear" w:color="auto" w:fill="auto"/>
          </w:tcPr>
          <w:p w14:paraId="758BD8AF"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Banque africaine de développement</w:t>
            </w:r>
          </w:p>
        </w:tc>
      </w:tr>
      <w:tr w:rsidR="00906C05" w:rsidRPr="00906C05" w14:paraId="7BCC5C34" w14:textId="77777777" w:rsidTr="00567519">
        <w:tc>
          <w:tcPr>
            <w:tcW w:w="1809" w:type="dxa"/>
            <w:shd w:val="clear" w:color="auto" w:fill="auto"/>
          </w:tcPr>
          <w:p w14:paraId="7C756D6A"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BEI</w:t>
            </w:r>
          </w:p>
        </w:tc>
        <w:tc>
          <w:tcPr>
            <w:tcW w:w="7403" w:type="dxa"/>
            <w:shd w:val="clear" w:color="auto" w:fill="auto"/>
          </w:tcPr>
          <w:p w14:paraId="3FF381EE"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Banque européenne d’investissement</w:t>
            </w:r>
          </w:p>
        </w:tc>
      </w:tr>
      <w:tr w:rsidR="00906C05" w:rsidRPr="00906C05" w14:paraId="5B66BC0E" w14:textId="77777777" w:rsidTr="00567519">
        <w:tc>
          <w:tcPr>
            <w:tcW w:w="1809" w:type="dxa"/>
            <w:shd w:val="clear" w:color="auto" w:fill="auto"/>
          </w:tcPr>
          <w:p w14:paraId="69FA2170"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BOAD</w:t>
            </w:r>
          </w:p>
        </w:tc>
        <w:tc>
          <w:tcPr>
            <w:tcW w:w="7403" w:type="dxa"/>
            <w:shd w:val="clear" w:color="auto" w:fill="auto"/>
          </w:tcPr>
          <w:p w14:paraId="3BE1AAEB"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Banque ouest africaine de développement</w:t>
            </w:r>
          </w:p>
        </w:tc>
      </w:tr>
      <w:tr w:rsidR="00906C05" w:rsidRPr="00906C05" w14:paraId="1696BD01" w14:textId="77777777" w:rsidTr="00567519">
        <w:tc>
          <w:tcPr>
            <w:tcW w:w="1809" w:type="dxa"/>
            <w:shd w:val="clear" w:color="auto" w:fill="auto"/>
          </w:tcPr>
          <w:p w14:paraId="79E14BC0" w14:textId="77777777" w:rsid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CAD</w:t>
            </w:r>
          </w:p>
          <w:p w14:paraId="0F495841" w14:textId="266FA8BA" w:rsidR="00C33174" w:rsidRPr="00906C05" w:rsidRDefault="00C33174" w:rsidP="00C33174">
            <w:pPr>
              <w:spacing w:before="40" w:after="0" w:line="240" w:lineRule="auto"/>
              <w:rPr>
                <w:rFonts w:ascii="Calibri" w:eastAsia="Calibri" w:hAnsi="Calibri" w:cs="Times New Roman"/>
              </w:rPr>
            </w:pPr>
            <w:r>
              <w:rPr>
                <w:rFonts w:ascii="Calibri" w:eastAsia="Calibri" w:hAnsi="Calibri" w:cs="Times New Roman"/>
              </w:rPr>
              <w:t>CCDD</w:t>
            </w:r>
          </w:p>
        </w:tc>
        <w:tc>
          <w:tcPr>
            <w:tcW w:w="7403" w:type="dxa"/>
            <w:shd w:val="clear" w:color="auto" w:fill="auto"/>
          </w:tcPr>
          <w:p w14:paraId="785E72D5" w14:textId="77777777" w:rsid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Comité d’aide au développement</w:t>
            </w:r>
          </w:p>
          <w:p w14:paraId="0BCB7010" w14:textId="7D959E51" w:rsidR="00C33174" w:rsidRPr="00906C05" w:rsidRDefault="00C33174" w:rsidP="00C33174">
            <w:pPr>
              <w:spacing w:before="40" w:after="0" w:line="240" w:lineRule="auto"/>
              <w:rPr>
                <w:rFonts w:ascii="Calibri" w:eastAsia="Calibri" w:hAnsi="Calibri" w:cs="Times New Roman"/>
              </w:rPr>
            </w:pPr>
            <w:r>
              <w:rPr>
                <w:rFonts w:ascii="Calibri" w:eastAsia="Calibri" w:hAnsi="Calibri" w:cs="Times New Roman"/>
              </w:rPr>
              <w:t>Cadre de Coopération du Développement Durable</w:t>
            </w:r>
          </w:p>
        </w:tc>
      </w:tr>
      <w:tr w:rsidR="00906C05" w:rsidRPr="00906C05" w14:paraId="577B98CA" w14:textId="77777777" w:rsidTr="00567519">
        <w:tc>
          <w:tcPr>
            <w:tcW w:w="1809" w:type="dxa"/>
            <w:shd w:val="clear" w:color="auto" w:fill="auto"/>
          </w:tcPr>
          <w:p w14:paraId="0BB5C758" w14:textId="77777777" w:rsid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COMOREX</w:t>
            </w:r>
          </w:p>
          <w:p w14:paraId="6D4D5C92" w14:textId="77777777" w:rsidR="00C33174" w:rsidRDefault="00C33174" w:rsidP="00C33174">
            <w:pPr>
              <w:spacing w:before="40" w:after="0" w:line="240" w:lineRule="auto"/>
              <w:rPr>
                <w:rFonts w:ascii="Calibri" w:eastAsia="Calibri" w:hAnsi="Calibri" w:cs="Times New Roman"/>
              </w:rPr>
            </w:pPr>
            <w:r>
              <w:rPr>
                <w:rFonts w:ascii="Calibri" w:eastAsia="Calibri" w:hAnsi="Calibri" w:cs="Times New Roman"/>
              </w:rPr>
              <w:t>CPD</w:t>
            </w:r>
          </w:p>
          <w:p w14:paraId="2FDD82C4" w14:textId="1828C12D" w:rsidR="00C33174" w:rsidRPr="00906C05" w:rsidRDefault="00C33174" w:rsidP="00C33174">
            <w:pPr>
              <w:spacing w:before="40" w:after="0" w:line="240" w:lineRule="auto"/>
              <w:rPr>
                <w:rFonts w:ascii="Calibri" w:eastAsia="Calibri" w:hAnsi="Calibri" w:cs="Times New Roman"/>
              </w:rPr>
            </w:pPr>
            <w:r>
              <w:rPr>
                <w:rFonts w:ascii="Calibri" w:eastAsia="Calibri" w:hAnsi="Calibri" w:cs="Times New Roman"/>
              </w:rPr>
              <w:t>C2D</w:t>
            </w:r>
          </w:p>
        </w:tc>
        <w:tc>
          <w:tcPr>
            <w:tcW w:w="7403" w:type="dxa"/>
            <w:shd w:val="clear" w:color="auto" w:fill="auto"/>
          </w:tcPr>
          <w:p w14:paraId="41823D2D" w14:textId="77777777" w:rsidR="00C33174" w:rsidRDefault="00906C05" w:rsidP="00C33174">
            <w:pPr>
              <w:spacing w:before="40" w:after="0" w:line="240" w:lineRule="auto"/>
              <w:rPr>
                <w:rFonts w:ascii="Calibri" w:eastAsia="Calibri" w:hAnsi="Calibri" w:cs="Times New Roman"/>
              </w:rPr>
            </w:pPr>
            <w:r w:rsidRPr="00906C05">
              <w:rPr>
                <w:rFonts w:ascii="Calibri" w:eastAsia="Calibri" w:hAnsi="Calibri" w:cs="Times New Roman"/>
              </w:rPr>
              <w:t>Comité de mobilisation des ressources extérieures</w:t>
            </w:r>
          </w:p>
          <w:p w14:paraId="2DFA6947" w14:textId="77777777" w:rsidR="00C33174" w:rsidRDefault="00C33174" w:rsidP="00C33174">
            <w:pPr>
              <w:spacing w:before="40" w:after="0" w:line="240" w:lineRule="auto"/>
              <w:rPr>
                <w:rFonts w:ascii="Calibri" w:eastAsia="Calibri" w:hAnsi="Calibri" w:cs="Times New Roman"/>
              </w:rPr>
            </w:pPr>
            <w:r>
              <w:rPr>
                <w:rFonts w:ascii="Calibri" w:eastAsia="Calibri" w:hAnsi="Calibri" w:cs="Times New Roman"/>
              </w:rPr>
              <w:t>Document de Programme Pays</w:t>
            </w:r>
          </w:p>
          <w:p w14:paraId="5FEE63E8" w14:textId="00DEBC0E" w:rsidR="00C33174" w:rsidRPr="00906C05" w:rsidRDefault="00C33174" w:rsidP="00C33174">
            <w:pPr>
              <w:spacing w:before="40" w:after="0" w:line="240" w:lineRule="auto"/>
              <w:rPr>
                <w:rFonts w:ascii="Calibri" w:eastAsia="Calibri" w:hAnsi="Calibri" w:cs="Times New Roman"/>
              </w:rPr>
            </w:pPr>
            <w:r>
              <w:rPr>
                <w:rFonts w:ascii="Calibri" w:eastAsia="Calibri" w:hAnsi="Calibri" w:cs="Times New Roman"/>
              </w:rPr>
              <w:t>Contrat de désendettement et de développement</w:t>
            </w:r>
          </w:p>
        </w:tc>
      </w:tr>
      <w:tr w:rsidR="00906C05" w:rsidRPr="00DF6E7F" w14:paraId="163FB725" w14:textId="77777777" w:rsidTr="00567519">
        <w:tc>
          <w:tcPr>
            <w:tcW w:w="1809" w:type="dxa"/>
            <w:shd w:val="clear" w:color="auto" w:fill="auto"/>
          </w:tcPr>
          <w:p w14:paraId="10A053BD" w14:textId="77777777" w:rsidR="00906C05" w:rsidRDefault="00906C05" w:rsidP="00906C05">
            <w:pPr>
              <w:spacing w:before="40" w:after="0" w:line="240" w:lineRule="auto"/>
              <w:rPr>
                <w:rFonts w:ascii="Calibri" w:eastAsia="Calibri" w:hAnsi="Calibri" w:cs="Times New Roman"/>
              </w:rPr>
            </w:pPr>
            <w:proofErr w:type="spellStart"/>
            <w:r w:rsidRPr="00906C05">
              <w:rPr>
                <w:rFonts w:ascii="Calibri" w:eastAsia="Calibri" w:hAnsi="Calibri" w:cs="Times New Roman"/>
              </w:rPr>
              <w:t>DaO</w:t>
            </w:r>
            <w:proofErr w:type="spellEnd"/>
          </w:p>
          <w:p w14:paraId="3BA17199" w14:textId="61C39351" w:rsidR="00C33174" w:rsidRPr="00906C05" w:rsidRDefault="00C33174" w:rsidP="00C33174">
            <w:pPr>
              <w:spacing w:before="40" w:after="0" w:line="240" w:lineRule="auto"/>
              <w:rPr>
                <w:rFonts w:ascii="Calibri" w:eastAsia="Calibri" w:hAnsi="Calibri" w:cs="Times New Roman"/>
              </w:rPr>
            </w:pPr>
            <w:r>
              <w:rPr>
                <w:rFonts w:ascii="Calibri" w:eastAsia="Calibri" w:hAnsi="Calibri" w:cs="Times New Roman"/>
              </w:rPr>
              <w:t>FMI</w:t>
            </w:r>
          </w:p>
        </w:tc>
        <w:tc>
          <w:tcPr>
            <w:tcW w:w="7403" w:type="dxa"/>
            <w:shd w:val="clear" w:color="auto" w:fill="auto"/>
          </w:tcPr>
          <w:p w14:paraId="606552FF" w14:textId="77777777" w:rsidR="00906C05" w:rsidRPr="00C33174" w:rsidRDefault="00906C05" w:rsidP="00906C05">
            <w:pPr>
              <w:spacing w:before="40" w:after="0" w:line="240" w:lineRule="auto"/>
              <w:rPr>
                <w:rFonts w:ascii="Calibri" w:eastAsia="Calibri" w:hAnsi="Calibri" w:cs="Times New Roman"/>
                <w:lang w:val="en-GB"/>
              </w:rPr>
            </w:pPr>
            <w:r w:rsidRPr="00906C05">
              <w:rPr>
                <w:rFonts w:ascii="Calibri" w:eastAsia="Calibri" w:hAnsi="Calibri" w:cs="Times New Roman"/>
                <w:lang w:val="en-GB"/>
              </w:rPr>
              <w:t>Delivery as One</w:t>
            </w:r>
          </w:p>
          <w:p w14:paraId="3B8FC9DB" w14:textId="20ECDF5F" w:rsidR="00C33174" w:rsidRPr="00906C05" w:rsidRDefault="00C33174" w:rsidP="00C33174">
            <w:pPr>
              <w:spacing w:before="40" w:after="0" w:line="240" w:lineRule="auto"/>
              <w:rPr>
                <w:rFonts w:ascii="Calibri" w:eastAsia="Calibri" w:hAnsi="Calibri" w:cs="Times New Roman"/>
                <w:lang w:val="en-GB"/>
              </w:rPr>
            </w:pPr>
            <w:r w:rsidRPr="00C33174">
              <w:rPr>
                <w:rFonts w:ascii="Calibri" w:eastAsia="Calibri" w:hAnsi="Calibri" w:cs="Times New Roman"/>
                <w:lang w:val="en-GB"/>
              </w:rPr>
              <w:t xml:space="preserve">Fonds </w:t>
            </w:r>
            <w:proofErr w:type="spellStart"/>
            <w:r w:rsidRPr="00C33174">
              <w:rPr>
                <w:rFonts w:ascii="Calibri" w:eastAsia="Calibri" w:hAnsi="Calibri" w:cs="Times New Roman"/>
                <w:lang w:val="en-GB"/>
              </w:rPr>
              <w:t>Monétaire</w:t>
            </w:r>
            <w:proofErr w:type="spellEnd"/>
            <w:r w:rsidRPr="00C33174">
              <w:rPr>
                <w:rFonts w:ascii="Calibri" w:eastAsia="Calibri" w:hAnsi="Calibri" w:cs="Times New Roman"/>
                <w:lang w:val="en-GB"/>
              </w:rPr>
              <w:t xml:space="preserve"> International</w:t>
            </w:r>
          </w:p>
        </w:tc>
      </w:tr>
      <w:tr w:rsidR="00906C05" w:rsidRPr="00906C05" w14:paraId="5C218FD7" w14:textId="77777777" w:rsidTr="00567519">
        <w:tc>
          <w:tcPr>
            <w:tcW w:w="1809" w:type="dxa"/>
            <w:shd w:val="clear" w:color="auto" w:fill="auto"/>
          </w:tcPr>
          <w:p w14:paraId="2561BF17"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ODD</w:t>
            </w:r>
          </w:p>
        </w:tc>
        <w:tc>
          <w:tcPr>
            <w:tcW w:w="7403" w:type="dxa"/>
            <w:shd w:val="clear" w:color="auto" w:fill="auto"/>
          </w:tcPr>
          <w:p w14:paraId="31EC951F"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Objectif de développement durable</w:t>
            </w:r>
          </w:p>
        </w:tc>
      </w:tr>
      <w:tr w:rsidR="00906C05" w:rsidRPr="00906C05" w14:paraId="49A7B01B" w14:textId="77777777" w:rsidTr="00567519">
        <w:tc>
          <w:tcPr>
            <w:tcW w:w="1809" w:type="dxa"/>
            <w:shd w:val="clear" w:color="auto" w:fill="auto"/>
          </w:tcPr>
          <w:p w14:paraId="0E98132F"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OSC</w:t>
            </w:r>
          </w:p>
        </w:tc>
        <w:tc>
          <w:tcPr>
            <w:tcW w:w="7403" w:type="dxa"/>
            <w:shd w:val="clear" w:color="auto" w:fill="auto"/>
          </w:tcPr>
          <w:p w14:paraId="7B24B103"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Organisation de la société civile</w:t>
            </w:r>
          </w:p>
        </w:tc>
      </w:tr>
      <w:tr w:rsidR="00906C05" w:rsidRPr="00906C05" w14:paraId="7C625328" w14:textId="77777777" w:rsidTr="00567519">
        <w:tc>
          <w:tcPr>
            <w:tcW w:w="1809" w:type="dxa"/>
            <w:shd w:val="clear" w:color="auto" w:fill="auto"/>
          </w:tcPr>
          <w:p w14:paraId="411BEAED"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PAD</w:t>
            </w:r>
          </w:p>
        </w:tc>
        <w:tc>
          <w:tcPr>
            <w:tcW w:w="7403" w:type="dxa"/>
            <w:shd w:val="clear" w:color="auto" w:fill="auto"/>
          </w:tcPr>
          <w:p w14:paraId="67106E3F"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Partenaires au développement</w:t>
            </w:r>
          </w:p>
        </w:tc>
      </w:tr>
      <w:tr w:rsidR="00906C05" w:rsidRPr="00906C05" w14:paraId="434CE11D" w14:textId="77777777" w:rsidTr="00567519">
        <w:tc>
          <w:tcPr>
            <w:tcW w:w="1809" w:type="dxa"/>
            <w:shd w:val="clear" w:color="auto" w:fill="auto"/>
          </w:tcPr>
          <w:p w14:paraId="3506950A" w14:textId="77777777" w:rsid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PND</w:t>
            </w:r>
          </w:p>
          <w:p w14:paraId="631D116D" w14:textId="07A56AE7" w:rsidR="00C33174" w:rsidRPr="00906C05" w:rsidRDefault="00C33174" w:rsidP="00C33174">
            <w:pPr>
              <w:spacing w:before="40" w:after="0" w:line="240" w:lineRule="auto"/>
              <w:rPr>
                <w:rFonts w:ascii="Calibri" w:eastAsia="Calibri" w:hAnsi="Calibri" w:cs="Times New Roman"/>
              </w:rPr>
            </w:pPr>
            <w:r>
              <w:rPr>
                <w:rFonts w:ascii="Calibri" w:eastAsia="Calibri" w:hAnsi="Calibri" w:cs="Times New Roman"/>
              </w:rPr>
              <w:t>PSGOUV</w:t>
            </w:r>
          </w:p>
        </w:tc>
        <w:tc>
          <w:tcPr>
            <w:tcW w:w="7403" w:type="dxa"/>
            <w:shd w:val="clear" w:color="auto" w:fill="auto"/>
          </w:tcPr>
          <w:p w14:paraId="5CF7CC9A" w14:textId="77777777" w:rsid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Plan national de développement</w:t>
            </w:r>
          </w:p>
          <w:p w14:paraId="6D327203" w14:textId="29710F08" w:rsidR="00C33174" w:rsidRPr="00906C05" w:rsidRDefault="00C33174" w:rsidP="00C33174">
            <w:pPr>
              <w:spacing w:before="40" w:after="0" w:line="240" w:lineRule="auto"/>
              <w:rPr>
                <w:rFonts w:ascii="Calibri" w:eastAsia="Calibri" w:hAnsi="Calibri" w:cs="Times New Roman"/>
              </w:rPr>
            </w:pPr>
            <w:r w:rsidRPr="00E57AE4">
              <w:rPr>
                <w:rFonts w:ascii="Times New Roman" w:eastAsia="Times New Roman" w:hAnsi="Times New Roman" w:cs="Times New Roman"/>
                <w:sz w:val="24"/>
                <w:szCs w:val="24"/>
              </w:rPr>
              <w:t>Programme Social du Gouvernement</w:t>
            </w:r>
          </w:p>
        </w:tc>
      </w:tr>
      <w:tr w:rsidR="00906C05" w:rsidRPr="00906C05" w14:paraId="2121F457" w14:textId="77777777" w:rsidTr="00567519">
        <w:tc>
          <w:tcPr>
            <w:tcW w:w="1809" w:type="dxa"/>
            <w:shd w:val="clear" w:color="auto" w:fill="auto"/>
          </w:tcPr>
          <w:p w14:paraId="7764F178"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PNUD</w:t>
            </w:r>
          </w:p>
        </w:tc>
        <w:tc>
          <w:tcPr>
            <w:tcW w:w="7403" w:type="dxa"/>
            <w:shd w:val="clear" w:color="auto" w:fill="auto"/>
          </w:tcPr>
          <w:p w14:paraId="769083EC"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Programme des nations unies pour le développement</w:t>
            </w:r>
          </w:p>
        </w:tc>
      </w:tr>
      <w:tr w:rsidR="00906C05" w:rsidRPr="00906C05" w14:paraId="78E66C8E" w14:textId="77777777" w:rsidTr="00567519">
        <w:tc>
          <w:tcPr>
            <w:tcW w:w="1809" w:type="dxa"/>
            <w:shd w:val="clear" w:color="auto" w:fill="auto"/>
          </w:tcPr>
          <w:p w14:paraId="2EA76DF8"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SNU</w:t>
            </w:r>
          </w:p>
        </w:tc>
        <w:tc>
          <w:tcPr>
            <w:tcW w:w="7403" w:type="dxa"/>
            <w:shd w:val="clear" w:color="auto" w:fill="auto"/>
          </w:tcPr>
          <w:p w14:paraId="68329E0E"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Système des nations unies</w:t>
            </w:r>
          </w:p>
        </w:tc>
      </w:tr>
      <w:tr w:rsidR="00906C05" w:rsidRPr="00906C05" w14:paraId="28F2CFBB" w14:textId="77777777" w:rsidTr="00567519">
        <w:tc>
          <w:tcPr>
            <w:tcW w:w="1809" w:type="dxa"/>
            <w:shd w:val="clear" w:color="auto" w:fill="auto"/>
          </w:tcPr>
          <w:p w14:paraId="16E6ADDE" w14:textId="77777777" w:rsidR="00906C05" w:rsidRPr="00906C05" w:rsidRDefault="00906C05" w:rsidP="00906C05">
            <w:pPr>
              <w:spacing w:before="40" w:after="0" w:line="240" w:lineRule="auto"/>
              <w:rPr>
                <w:rFonts w:ascii="Calibri" w:eastAsia="Calibri" w:hAnsi="Calibri" w:cs="Calibri"/>
              </w:rPr>
            </w:pPr>
            <w:r w:rsidRPr="00906C05">
              <w:rPr>
                <w:rFonts w:ascii="Calibri" w:eastAsia="Calibri" w:hAnsi="Calibri" w:cs="Calibri"/>
              </w:rPr>
              <w:t>UNICEF</w:t>
            </w:r>
          </w:p>
        </w:tc>
        <w:tc>
          <w:tcPr>
            <w:tcW w:w="7403" w:type="dxa"/>
            <w:shd w:val="clear" w:color="auto" w:fill="auto"/>
          </w:tcPr>
          <w:p w14:paraId="2AA8CDFB"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Fonds des nations unies pour l’enfance</w:t>
            </w:r>
          </w:p>
        </w:tc>
      </w:tr>
      <w:tr w:rsidR="00906C05" w:rsidRPr="00DF6E7F" w14:paraId="7DE79452" w14:textId="77777777" w:rsidTr="00567519">
        <w:tc>
          <w:tcPr>
            <w:tcW w:w="1809" w:type="dxa"/>
            <w:shd w:val="clear" w:color="auto" w:fill="auto"/>
          </w:tcPr>
          <w:p w14:paraId="0617FF98"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Calibri"/>
              </w:rPr>
              <w:t>USAID</w:t>
            </w:r>
          </w:p>
        </w:tc>
        <w:tc>
          <w:tcPr>
            <w:tcW w:w="7403" w:type="dxa"/>
            <w:shd w:val="clear" w:color="auto" w:fill="auto"/>
          </w:tcPr>
          <w:p w14:paraId="61B528B5" w14:textId="77777777" w:rsidR="00906C05" w:rsidRPr="00906C05" w:rsidRDefault="00906C05" w:rsidP="00906C05">
            <w:pPr>
              <w:spacing w:before="40" w:after="0" w:line="240" w:lineRule="auto"/>
              <w:rPr>
                <w:rFonts w:ascii="Calibri" w:eastAsia="Calibri" w:hAnsi="Calibri" w:cs="Times New Roman"/>
                <w:lang w:val="en-US"/>
              </w:rPr>
            </w:pPr>
            <w:r w:rsidRPr="00906C05">
              <w:rPr>
                <w:rFonts w:ascii="Calibri" w:eastAsia="Calibri" w:hAnsi="Calibri" w:cs="Times New Roman"/>
                <w:lang w:val="en-US"/>
              </w:rPr>
              <w:t>United States Agency for International Development</w:t>
            </w:r>
          </w:p>
        </w:tc>
      </w:tr>
      <w:tr w:rsidR="00906C05" w:rsidRPr="00906C05" w14:paraId="51BFD642" w14:textId="77777777" w:rsidTr="00567519">
        <w:tc>
          <w:tcPr>
            <w:tcW w:w="1809" w:type="dxa"/>
            <w:shd w:val="clear" w:color="auto" w:fill="auto"/>
          </w:tcPr>
          <w:p w14:paraId="3832158F"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Calibri"/>
              </w:rPr>
              <w:t>USA</w:t>
            </w:r>
          </w:p>
        </w:tc>
        <w:tc>
          <w:tcPr>
            <w:tcW w:w="7403" w:type="dxa"/>
            <w:shd w:val="clear" w:color="auto" w:fill="auto"/>
          </w:tcPr>
          <w:p w14:paraId="7471EDE1" w14:textId="77777777" w:rsidR="00906C05" w:rsidRPr="00906C05" w:rsidRDefault="00906C05" w:rsidP="00906C05">
            <w:pPr>
              <w:spacing w:before="40" w:after="0" w:line="240" w:lineRule="auto"/>
              <w:rPr>
                <w:rFonts w:ascii="Calibri" w:eastAsia="Calibri" w:hAnsi="Calibri" w:cs="Times New Roman"/>
              </w:rPr>
            </w:pPr>
            <w:r w:rsidRPr="00906C05">
              <w:rPr>
                <w:rFonts w:ascii="Calibri" w:eastAsia="Calibri" w:hAnsi="Calibri" w:cs="Times New Roman"/>
              </w:rPr>
              <w:t>United States of America</w:t>
            </w:r>
          </w:p>
        </w:tc>
      </w:tr>
      <w:tr w:rsidR="00906C05" w:rsidRPr="00906C05" w14:paraId="1382AA7D" w14:textId="77777777" w:rsidTr="00567519">
        <w:tc>
          <w:tcPr>
            <w:tcW w:w="1809" w:type="dxa"/>
            <w:shd w:val="clear" w:color="auto" w:fill="auto"/>
          </w:tcPr>
          <w:p w14:paraId="478B9631" w14:textId="77777777" w:rsidR="00906C05" w:rsidRPr="00906C05" w:rsidRDefault="00906C05" w:rsidP="00906C05">
            <w:pPr>
              <w:spacing w:before="40" w:after="0" w:line="240" w:lineRule="auto"/>
              <w:rPr>
                <w:rFonts w:ascii="Calibri" w:eastAsia="Calibri" w:hAnsi="Calibri" w:cs="Times New Roman"/>
              </w:rPr>
            </w:pPr>
          </w:p>
        </w:tc>
        <w:tc>
          <w:tcPr>
            <w:tcW w:w="7403" w:type="dxa"/>
            <w:shd w:val="clear" w:color="auto" w:fill="auto"/>
          </w:tcPr>
          <w:p w14:paraId="510DA513" w14:textId="77777777" w:rsidR="00906C05" w:rsidRPr="00906C05" w:rsidRDefault="00906C05" w:rsidP="00906C05">
            <w:pPr>
              <w:spacing w:before="40" w:after="0" w:line="240" w:lineRule="auto"/>
              <w:rPr>
                <w:rFonts w:ascii="Calibri" w:eastAsia="Calibri" w:hAnsi="Calibri" w:cs="Times New Roman"/>
              </w:rPr>
            </w:pPr>
          </w:p>
        </w:tc>
      </w:tr>
    </w:tbl>
    <w:p w14:paraId="312A0DD2" w14:textId="65133EC7" w:rsidR="00C138EB" w:rsidRDefault="00C138EB" w:rsidP="0086672D">
      <w:pPr>
        <w:rPr>
          <w:rFonts w:ascii="Calibri" w:eastAsia="Calibri" w:hAnsi="Calibri" w:cs="Times New Roman"/>
          <w:b/>
          <w:sz w:val="40"/>
          <w:szCs w:val="40"/>
        </w:rPr>
      </w:pPr>
    </w:p>
    <w:p w14:paraId="2ECA49D5" w14:textId="217F48F2" w:rsidR="00B1402A" w:rsidRDefault="00B1402A" w:rsidP="0086672D">
      <w:pPr>
        <w:rPr>
          <w:rFonts w:ascii="Calibri" w:eastAsia="Calibri" w:hAnsi="Calibri" w:cs="Times New Roman"/>
          <w:b/>
          <w:sz w:val="40"/>
          <w:szCs w:val="40"/>
        </w:rPr>
      </w:pPr>
    </w:p>
    <w:p w14:paraId="2B1E3A37" w14:textId="41AC22B4" w:rsidR="00B1402A" w:rsidRDefault="00B1402A" w:rsidP="0086672D">
      <w:pPr>
        <w:rPr>
          <w:rFonts w:ascii="Calibri" w:eastAsia="Calibri" w:hAnsi="Calibri" w:cs="Times New Roman"/>
          <w:b/>
          <w:sz w:val="40"/>
          <w:szCs w:val="40"/>
        </w:rPr>
      </w:pPr>
    </w:p>
    <w:p w14:paraId="03BC1B40" w14:textId="626E2124" w:rsidR="00B1402A" w:rsidRDefault="00B1402A" w:rsidP="0086672D">
      <w:pPr>
        <w:rPr>
          <w:rFonts w:ascii="Calibri" w:eastAsia="Calibri" w:hAnsi="Calibri" w:cs="Times New Roman"/>
          <w:b/>
          <w:sz w:val="40"/>
          <w:szCs w:val="40"/>
        </w:rPr>
      </w:pPr>
    </w:p>
    <w:p w14:paraId="35FA5971" w14:textId="60460516" w:rsidR="00B1402A" w:rsidRDefault="00B1402A" w:rsidP="0086672D">
      <w:pPr>
        <w:rPr>
          <w:rFonts w:ascii="Calibri" w:eastAsia="Calibri" w:hAnsi="Calibri" w:cs="Times New Roman"/>
          <w:b/>
          <w:sz w:val="40"/>
          <w:szCs w:val="40"/>
        </w:rPr>
      </w:pPr>
    </w:p>
    <w:p w14:paraId="793E104E" w14:textId="5D046F14" w:rsidR="00B1402A" w:rsidRDefault="00B1402A" w:rsidP="0086672D">
      <w:pPr>
        <w:rPr>
          <w:rFonts w:ascii="Calibri" w:eastAsia="Calibri" w:hAnsi="Calibri" w:cs="Times New Roman"/>
          <w:b/>
          <w:sz w:val="40"/>
          <w:szCs w:val="40"/>
        </w:rPr>
      </w:pPr>
    </w:p>
    <w:p w14:paraId="0E263E17" w14:textId="6C28BA71" w:rsidR="00B1402A" w:rsidRDefault="00B1402A" w:rsidP="0086672D">
      <w:pPr>
        <w:rPr>
          <w:rFonts w:ascii="Calibri" w:eastAsia="Calibri" w:hAnsi="Calibri" w:cs="Times New Roman"/>
          <w:b/>
          <w:sz w:val="40"/>
          <w:szCs w:val="40"/>
        </w:rPr>
      </w:pPr>
    </w:p>
    <w:p w14:paraId="718562D4" w14:textId="252D60DE" w:rsidR="00B1402A" w:rsidRDefault="00B1402A" w:rsidP="0086672D">
      <w:pPr>
        <w:rPr>
          <w:rFonts w:ascii="Calibri" w:eastAsia="Calibri" w:hAnsi="Calibri" w:cs="Times New Roman"/>
          <w:b/>
          <w:sz w:val="40"/>
          <w:szCs w:val="40"/>
        </w:rPr>
      </w:pPr>
    </w:p>
    <w:p w14:paraId="2EC05803" w14:textId="7BE106F3" w:rsidR="00E94A1E" w:rsidRDefault="00FF466F" w:rsidP="00C33174">
      <w:pPr>
        <w:tabs>
          <w:tab w:val="left" w:pos="6080"/>
        </w:tabs>
        <w:rPr>
          <w:rFonts w:ascii="Calibri" w:eastAsia="Calibri" w:hAnsi="Calibri" w:cs="Times New Roman"/>
          <w:b/>
          <w:sz w:val="40"/>
          <w:szCs w:val="40"/>
        </w:rPr>
      </w:pPr>
      <w:r>
        <w:rPr>
          <w:rFonts w:ascii="Calibri" w:eastAsia="Calibri" w:hAnsi="Calibri" w:cs="Times New Roman"/>
          <w:b/>
          <w:sz w:val="40"/>
          <w:szCs w:val="40"/>
        </w:rPr>
        <w:tab/>
      </w:r>
    </w:p>
    <w:sdt>
      <w:sdtPr>
        <w:rPr>
          <w:rFonts w:asciiTheme="minorHAnsi" w:eastAsiaTheme="minorHAnsi" w:hAnsiTheme="minorHAnsi" w:cstheme="minorBidi"/>
          <w:color w:val="auto"/>
          <w:sz w:val="22"/>
          <w:szCs w:val="22"/>
          <w:lang w:val="fr-FR" w:eastAsia="en-US"/>
        </w:rPr>
        <w:id w:val="-1865820155"/>
        <w:docPartObj>
          <w:docPartGallery w:val="Table of Contents"/>
          <w:docPartUnique/>
        </w:docPartObj>
      </w:sdtPr>
      <w:sdtEndPr>
        <w:rPr>
          <w:b/>
          <w:bCs/>
        </w:rPr>
      </w:sdtEndPr>
      <w:sdtContent>
        <w:p w14:paraId="73380EA3" w14:textId="25D3C624" w:rsidR="00B1402A" w:rsidRDefault="00B1402A">
          <w:pPr>
            <w:pStyle w:val="En-ttedetabledesmatires"/>
          </w:pPr>
          <w:r>
            <w:rPr>
              <w:lang w:val="fr-FR"/>
            </w:rPr>
            <w:t>Table des matières</w:t>
          </w:r>
        </w:p>
        <w:p w14:paraId="6FF29918" w14:textId="30D7D715" w:rsidR="00BB4B6B" w:rsidRDefault="00653E7B">
          <w:pPr>
            <w:pStyle w:val="TM1"/>
            <w:rPr>
              <w:rFonts w:eastAsiaTheme="minorEastAsia"/>
              <w:b w:val="0"/>
              <w:bCs w:val="0"/>
              <w:kern w:val="2"/>
              <w:lang w:eastAsia="fr-CI"/>
              <w14:ligatures w14:val="standardContextual"/>
            </w:rPr>
          </w:pPr>
          <w:r>
            <w:rPr>
              <w:b w:val="0"/>
              <w:bCs w:val="0"/>
            </w:rPr>
            <w:fldChar w:fldCharType="begin"/>
          </w:r>
          <w:r>
            <w:rPr>
              <w:b w:val="0"/>
              <w:bCs w:val="0"/>
            </w:rPr>
            <w:instrText xml:space="preserve"> TOC \o "1-4" \h \z \u </w:instrText>
          </w:r>
          <w:r>
            <w:rPr>
              <w:b w:val="0"/>
              <w:bCs w:val="0"/>
            </w:rPr>
            <w:fldChar w:fldCharType="separate"/>
          </w:r>
          <w:hyperlink w:anchor="_Toc139363434" w:history="1">
            <w:r w:rsidR="00BB4B6B" w:rsidRPr="00967093">
              <w:rPr>
                <w:rStyle w:val="Lienhypertexte"/>
              </w:rPr>
              <w:t>Introduction et Contexte</w:t>
            </w:r>
            <w:r w:rsidR="00BB4B6B">
              <w:rPr>
                <w:webHidden/>
              </w:rPr>
              <w:tab/>
            </w:r>
            <w:r w:rsidR="00BB4B6B">
              <w:rPr>
                <w:webHidden/>
              </w:rPr>
              <w:fldChar w:fldCharType="begin"/>
            </w:r>
            <w:r w:rsidR="00BB4B6B">
              <w:rPr>
                <w:webHidden/>
              </w:rPr>
              <w:instrText xml:space="preserve"> PAGEREF _Toc139363434 \h </w:instrText>
            </w:r>
            <w:r w:rsidR="00BB4B6B">
              <w:rPr>
                <w:webHidden/>
              </w:rPr>
            </w:r>
            <w:r w:rsidR="00BB4B6B">
              <w:rPr>
                <w:webHidden/>
              </w:rPr>
              <w:fldChar w:fldCharType="separate"/>
            </w:r>
            <w:r w:rsidR="00BB4B6B">
              <w:rPr>
                <w:webHidden/>
              </w:rPr>
              <w:t>4</w:t>
            </w:r>
            <w:r w:rsidR="00BB4B6B">
              <w:rPr>
                <w:webHidden/>
              </w:rPr>
              <w:fldChar w:fldCharType="end"/>
            </w:r>
          </w:hyperlink>
        </w:p>
        <w:p w14:paraId="48E8332A" w14:textId="564106BE" w:rsidR="00BB4B6B" w:rsidRDefault="00000000">
          <w:pPr>
            <w:pStyle w:val="TM2"/>
            <w:tabs>
              <w:tab w:val="right" w:leader="dot" w:pos="9062"/>
            </w:tabs>
            <w:rPr>
              <w:rFonts w:eastAsiaTheme="minorEastAsia"/>
              <w:noProof/>
              <w:kern w:val="2"/>
              <w:lang w:eastAsia="fr-CI"/>
              <w14:ligatures w14:val="standardContextual"/>
            </w:rPr>
          </w:pPr>
          <w:hyperlink w:anchor="_Toc139363435" w:history="1">
            <w:r w:rsidR="00BB4B6B" w:rsidRPr="00967093">
              <w:rPr>
                <w:rStyle w:val="Lienhypertexte"/>
                <w:b/>
                <w:bCs/>
                <w:noProof/>
              </w:rPr>
              <w:t>1.Introduction</w:t>
            </w:r>
            <w:r w:rsidR="00BB4B6B">
              <w:rPr>
                <w:noProof/>
                <w:webHidden/>
              </w:rPr>
              <w:tab/>
            </w:r>
            <w:r w:rsidR="00BB4B6B">
              <w:rPr>
                <w:noProof/>
                <w:webHidden/>
              </w:rPr>
              <w:fldChar w:fldCharType="begin"/>
            </w:r>
            <w:r w:rsidR="00BB4B6B">
              <w:rPr>
                <w:noProof/>
                <w:webHidden/>
              </w:rPr>
              <w:instrText xml:space="preserve"> PAGEREF _Toc139363435 \h </w:instrText>
            </w:r>
            <w:r w:rsidR="00BB4B6B">
              <w:rPr>
                <w:noProof/>
                <w:webHidden/>
              </w:rPr>
            </w:r>
            <w:r w:rsidR="00BB4B6B">
              <w:rPr>
                <w:noProof/>
                <w:webHidden/>
              </w:rPr>
              <w:fldChar w:fldCharType="separate"/>
            </w:r>
            <w:r w:rsidR="00BB4B6B">
              <w:rPr>
                <w:noProof/>
                <w:webHidden/>
              </w:rPr>
              <w:t>4</w:t>
            </w:r>
            <w:r w:rsidR="00BB4B6B">
              <w:rPr>
                <w:noProof/>
                <w:webHidden/>
              </w:rPr>
              <w:fldChar w:fldCharType="end"/>
            </w:r>
          </w:hyperlink>
        </w:p>
        <w:p w14:paraId="0EFFBF6F" w14:textId="1E03D6A0" w:rsidR="00BB4B6B" w:rsidRDefault="00000000">
          <w:pPr>
            <w:pStyle w:val="TM2"/>
            <w:tabs>
              <w:tab w:val="right" w:leader="dot" w:pos="9062"/>
            </w:tabs>
            <w:rPr>
              <w:rFonts w:eastAsiaTheme="minorEastAsia"/>
              <w:noProof/>
              <w:kern w:val="2"/>
              <w:lang w:eastAsia="fr-CI"/>
              <w14:ligatures w14:val="standardContextual"/>
            </w:rPr>
          </w:pPr>
          <w:hyperlink w:anchor="_Toc139363436" w:history="1">
            <w:r w:rsidR="00BB4B6B" w:rsidRPr="00967093">
              <w:rPr>
                <w:rStyle w:val="Lienhypertexte"/>
                <w:b/>
                <w:bCs/>
                <w:noProof/>
              </w:rPr>
              <w:t>2. Contexte du Pays</w:t>
            </w:r>
            <w:r w:rsidR="00BB4B6B">
              <w:rPr>
                <w:noProof/>
                <w:webHidden/>
              </w:rPr>
              <w:tab/>
            </w:r>
            <w:r w:rsidR="00BB4B6B">
              <w:rPr>
                <w:noProof/>
                <w:webHidden/>
              </w:rPr>
              <w:fldChar w:fldCharType="begin"/>
            </w:r>
            <w:r w:rsidR="00BB4B6B">
              <w:rPr>
                <w:noProof/>
                <w:webHidden/>
              </w:rPr>
              <w:instrText xml:space="preserve"> PAGEREF _Toc139363436 \h </w:instrText>
            </w:r>
            <w:r w:rsidR="00BB4B6B">
              <w:rPr>
                <w:noProof/>
                <w:webHidden/>
              </w:rPr>
            </w:r>
            <w:r w:rsidR="00BB4B6B">
              <w:rPr>
                <w:noProof/>
                <w:webHidden/>
              </w:rPr>
              <w:fldChar w:fldCharType="separate"/>
            </w:r>
            <w:r w:rsidR="00BB4B6B">
              <w:rPr>
                <w:noProof/>
                <w:webHidden/>
              </w:rPr>
              <w:t>6</w:t>
            </w:r>
            <w:r w:rsidR="00BB4B6B">
              <w:rPr>
                <w:noProof/>
                <w:webHidden/>
              </w:rPr>
              <w:fldChar w:fldCharType="end"/>
            </w:r>
          </w:hyperlink>
        </w:p>
        <w:p w14:paraId="045FAB64" w14:textId="7191EDEC" w:rsidR="00BB4B6B" w:rsidRDefault="00000000">
          <w:pPr>
            <w:pStyle w:val="TM2"/>
            <w:tabs>
              <w:tab w:val="right" w:leader="dot" w:pos="9062"/>
            </w:tabs>
            <w:rPr>
              <w:rFonts w:eastAsiaTheme="minorEastAsia"/>
              <w:noProof/>
              <w:kern w:val="2"/>
              <w:lang w:eastAsia="fr-CI"/>
              <w14:ligatures w14:val="standardContextual"/>
            </w:rPr>
          </w:pPr>
          <w:hyperlink w:anchor="_Toc139363437" w:history="1">
            <w:r w:rsidR="00BB4B6B" w:rsidRPr="00967093">
              <w:rPr>
                <w:rStyle w:val="Lienhypertexte"/>
                <w:b/>
                <w:bCs/>
                <w:noProof/>
              </w:rPr>
              <w:t>2. Appui du PNUD à la mobilisation des ressources par le gouvernement</w:t>
            </w:r>
            <w:r w:rsidR="00BB4B6B">
              <w:rPr>
                <w:noProof/>
                <w:webHidden/>
              </w:rPr>
              <w:tab/>
            </w:r>
            <w:r w:rsidR="00BB4B6B">
              <w:rPr>
                <w:noProof/>
                <w:webHidden/>
              </w:rPr>
              <w:fldChar w:fldCharType="begin"/>
            </w:r>
            <w:r w:rsidR="00BB4B6B">
              <w:rPr>
                <w:noProof/>
                <w:webHidden/>
              </w:rPr>
              <w:instrText xml:space="preserve"> PAGEREF _Toc139363437 \h </w:instrText>
            </w:r>
            <w:r w:rsidR="00BB4B6B">
              <w:rPr>
                <w:noProof/>
                <w:webHidden/>
              </w:rPr>
            </w:r>
            <w:r w:rsidR="00BB4B6B">
              <w:rPr>
                <w:noProof/>
                <w:webHidden/>
              </w:rPr>
              <w:fldChar w:fldCharType="separate"/>
            </w:r>
            <w:r w:rsidR="00BB4B6B">
              <w:rPr>
                <w:noProof/>
                <w:webHidden/>
              </w:rPr>
              <w:t>7</w:t>
            </w:r>
            <w:r w:rsidR="00BB4B6B">
              <w:rPr>
                <w:noProof/>
                <w:webHidden/>
              </w:rPr>
              <w:fldChar w:fldCharType="end"/>
            </w:r>
          </w:hyperlink>
        </w:p>
        <w:p w14:paraId="653ED94B" w14:textId="5877F3A3" w:rsidR="00BB4B6B" w:rsidRDefault="00000000">
          <w:pPr>
            <w:pStyle w:val="TM2"/>
            <w:tabs>
              <w:tab w:val="right" w:leader="dot" w:pos="9062"/>
            </w:tabs>
            <w:rPr>
              <w:rFonts w:eastAsiaTheme="minorEastAsia"/>
              <w:noProof/>
              <w:kern w:val="2"/>
              <w:lang w:eastAsia="fr-CI"/>
              <w14:ligatures w14:val="standardContextual"/>
            </w:rPr>
          </w:pPr>
          <w:hyperlink w:anchor="_Toc139363438" w:history="1">
            <w:r w:rsidR="00BB4B6B" w:rsidRPr="00967093">
              <w:rPr>
                <w:rStyle w:val="Lienhypertexte"/>
                <w:noProof/>
              </w:rPr>
              <w:t>a. Les flux de l'APD en Côte d’Ivoire</w:t>
            </w:r>
            <w:r w:rsidR="00BB4B6B">
              <w:rPr>
                <w:noProof/>
                <w:webHidden/>
              </w:rPr>
              <w:tab/>
            </w:r>
            <w:r w:rsidR="00BB4B6B">
              <w:rPr>
                <w:noProof/>
                <w:webHidden/>
              </w:rPr>
              <w:fldChar w:fldCharType="begin"/>
            </w:r>
            <w:r w:rsidR="00BB4B6B">
              <w:rPr>
                <w:noProof/>
                <w:webHidden/>
              </w:rPr>
              <w:instrText xml:space="preserve"> PAGEREF _Toc139363438 \h </w:instrText>
            </w:r>
            <w:r w:rsidR="00BB4B6B">
              <w:rPr>
                <w:noProof/>
                <w:webHidden/>
              </w:rPr>
            </w:r>
            <w:r w:rsidR="00BB4B6B">
              <w:rPr>
                <w:noProof/>
                <w:webHidden/>
              </w:rPr>
              <w:fldChar w:fldCharType="separate"/>
            </w:r>
            <w:r w:rsidR="00BB4B6B">
              <w:rPr>
                <w:noProof/>
                <w:webHidden/>
              </w:rPr>
              <w:t>8</w:t>
            </w:r>
            <w:r w:rsidR="00BB4B6B">
              <w:rPr>
                <w:noProof/>
                <w:webHidden/>
              </w:rPr>
              <w:fldChar w:fldCharType="end"/>
            </w:r>
          </w:hyperlink>
        </w:p>
        <w:p w14:paraId="3722F467" w14:textId="02E3752F" w:rsidR="00BB4B6B" w:rsidRDefault="00000000">
          <w:pPr>
            <w:pStyle w:val="TM2"/>
            <w:tabs>
              <w:tab w:val="right" w:leader="dot" w:pos="9062"/>
            </w:tabs>
            <w:rPr>
              <w:rFonts w:eastAsiaTheme="minorEastAsia"/>
              <w:noProof/>
              <w:kern w:val="2"/>
              <w:lang w:eastAsia="fr-CI"/>
              <w14:ligatures w14:val="standardContextual"/>
            </w:rPr>
          </w:pPr>
          <w:hyperlink w:anchor="_Toc139363439" w:history="1">
            <w:r w:rsidR="00BB4B6B" w:rsidRPr="00967093">
              <w:rPr>
                <w:rStyle w:val="Lienhypertexte"/>
                <w:rFonts w:asciiTheme="majorHAnsi" w:eastAsiaTheme="majorEastAsia" w:hAnsiTheme="majorHAnsi" w:cstheme="majorBidi"/>
                <w:noProof/>
              </w:rPr>
              <w:t>b. Contribution des Nations Unies au groupe Consultatif pour le financement du PND</w:t>
            </w:r>
            <w:r w:rsidR="00BB4B6B">
              <w:rPr>
                <w:noProof/>
                <w:webHidden/>
              </w:rPr>
              <w:tab/>
            </w:r>
            <w:r w:rsidR="00BB4B6B">
              <w:rPr>
                <w:noProof/>
                <w:webHidden/>
              </w:rPr>
              <w:fldChar w:fldCharType="begin"/>
            </w:r>
            <w:r w:rsidR="00BB4B6B">
              <w:rPr>
                <w:noProof/>
                <w:webHidden/>
              </w:rPr>
              <w:instrText xml:space="preserve"> PAGEREF _Toc139363439 \h </w:instrText>
            </w:r>
            <w:r w:rsidR="00BB4B6B">
              <w:rPr>
                <w:noProof/>
                <w:webHidden/>
              </w:rPr>
            </w:r>
            <w:r w:rsidR="00BB4B6B">
              <w:rPr>
                <w:noProof/>
                <w:webHidden/>
              </w:rPr>
              <w:fldChar w:fldCharType="separate"/>
            </w:r>
            <w:r w:rsidR="00BB4B6B">
              <w:rPr>
                <w:noProof/>
                <w:webHidden/>
              </w:rPr>
              <w:t>13</w:t>
            </w:r>
            <w:r w:rsidR="00BB4B6B">
              <w:rPr>
                <w:noProof/>
                <w:webHidden/>
              </w:rPr>
              <w:fldChar w:fldCharType="end"/>
            </w:r>
          </w:hyperlink>
        </w:p>
        <w:p w14:paraId="5306EB4F" w14:textId="2BECB418" w:rsidR="00BB4B6B" w:rsidRDefault="00000000">
          <w:pPr>
            <w:pStyle w:val="TM2"/>
            <w:tabs>
              <w:tab w:val="left" w:pos="660"/>
              <w:tab w:val="right" w:leader="dot" w:pos="9062"/>
            </w:tabs>
            <w:rPr>
              <w:rFonts w:eastAsiaTheme="minorEastAsia"/>
              <w:noProof/>
              <w:kern w:val="2"/>
              <w:lang w:eastAsia="fr-CI"/>
              <w14:ligatures w14:val="standardContextual"/>
            </w:rPr>
          </w:pPr>
          <w:hyperlink w:anchor="_Toc139363440" w:history="1">
            <w:r w:rsidR="00BB4B6B" w:rsidRPr="00967093">
              <w:rPr>
                <w:rStyle w:val="Lienhypertexte"/>
                <w:noProof/>
              </w:rPr>
              <w:t>a.</w:t>
            </w:r>
            <w:r w:rsidR="00BB4B6B">
              <w:rPr>
                <w:rFonts w:eastAsiaTheme="minorEastAsia"/>
                <w:noProof/>
                <w:kern w:val="2"/>
                <w:lang w:eastAsia="fr-CI"/>
                <w14:ligatures w14:val="standardContextual"/>
              </w:rPr>
              <w:tab/>
            </w:r>
            <w:r w:rsidR="00BB4B6B" w:rsidRPr="00967093">
              <w:rPr>
                <w:rStyle w:val="Lienhypertexte"/>
                <w:noProof/>
              </w:rPr>
              <w:t>Evolution des volumes de financements du PNUD Côte d’Ivoire</w:t>
            </w:r>
            <w:r w:rsidR="00BB4B6B">
              <w:rPr>
                <w:noProof/>
                <w:webHidden/>
              </w:rPr>
              <w:tab/>
            </w:r>
            <w:r w:rsidR="00BB4B6B">
              <w:rPr>
                <w:noProof/>
                <w:webHidden/>
              </w:rPr>
              <w:fldChar w:fldCharType="begin"/>
            </w:r>
            <w:r w:rsidR="00BB4B6B">
              <w:rPr>
                <w:noProof/>
                <w:webHidden/>
              </w:rPr>
              <w:instrText xml:space="preserve"> PAGEREF _Toc139363440 \h </w:instrText>
            </w:r>
            <w:r w:rsidR="00BB4B6B">
              <w:rPr>
                <w:noProof/>
                <w:webHidden/>
              </w:rPr>
            </w:r>
            <w:r w:rsidR="00BB4B6B">
              <w:rPr>
                <w:noProof/>
                <w:webHidden/>
              </w:rPr>
              <w:fldChar w:fldCharType="separate"/>
            </w:r>
            <w:r w:rsidR="00BB4B6B">
              <w:rPr>
                <w:noProof/>
                <w:webHidden/>
              </w:rPr>
              <w:t>15</w:t>
            </w:r>
            <w:r w:rsidR="00BB4B6B">
              <w:rPr>
                <w:noProof/>
                <w:webHidden/>
              </w:rPr>
              <w:fldChar w:fldCharType="end"/>
            </w:r>
          </w:hyperlink>
        </w:p>
        <w:p w14:paraId="4B7E1203" w14:textId="465153E7" w:rsidR="00BB4B6B" w:rsidRDefault="00000000">
          <w:pPr>
            <w:pStyle w:val="TM2"/>
            <w:tabs>
              <w:tab w:val="left" w:pos="660"/>
              <w:tab w:val="right" w:leader="dot" w:pos="9062"/>
            </w:tabs>
            <w:rPr>
              <w:rFonts w:eastAsiaTheme="minorEastAsia"/>
              <w:noProof/>
              <w:kern w:val="2"/>
              <w:lang w:eastAsia="fr-CI"/>
              <w14:ligatures w14:val="standardContextual"/>
            </w:rPr>
          </w:pPr>
          <w:hyperlink w:anchor="_Toc139363441" w:history="1">
            <w:r w:rsidR="00BB4B6B" w:rsidRPr="00967093">
              <w:rPr>
                <w:rStyle w:val="Lienhypertexte"/>
                <w:noProof/>
              </w:rPr>
              <w:t>b.</w:t>
            </w:r>
            <w:r w:rsidR="00BB4B6B">
              <w:rPr>
                <w:rFonts w:eastAsiaTheme="minorEastAsia"/>
                <w:noProof/>
                <w:kern w:val="2"/>
                <w:lang w:eastAsia="fr-CI"/>
                <w14:ligatures w14:val="standardContextual"/>
              </w:rPr>
              <w:tab/>
            </w:r>
            <w:r w:rsidR="00BB4B6B" w:rsidRPr="00967093">
              <w:rPr>
                <w:rStyle w:val="Lienhypertexte"/>
                <w:noProof/>
              </w:rPr>
              <w:t>Cartographie des perspectives de mobilisation de ressources</w:t>
            </w:r>
            <w:r w:rsidR="00BB4B6B">
              <w:rPr>
                <w:noProof/>
                <w:webHidden/>
              </w:rPr>
              <w:tab/>
            </w:r>
            <w:r w:rsidR="00BB4B6B">
              <w:rPr>
                <w:noProof/>
                <w:webHidden/>
              </w:rPr>
              <w:fldChar w:fldCharType="begin"/>
            </w:r>
            <w:r w:rsidR="00BB4B6B">
              <w:rPr>
                <w:noProof/>
                <w:webHidden/>
              </w:rPr>
              <w:instrText xml:space="preserve"> PAGEREF _Toc139363441 \h </w:instrText>
            </w:r>
            <w:r w:rsidR="00BB4B6B">
              <w:rPr>
                <w:noProof/>
                <w:webHidden/>
              </w:rPr>
            </w:r>
            <w:r w:rsidR="00BB4B6B">
              <w:rPr>
                <w:noProof/>
                <w:webHidden/>
              </w:rPr>
              <w:fldChar w:fldCharType="separate"/>
            </w:r>
            <w:r w:rsidR="00BB4B6B">
              <w:rPr>
                <w:noProof/>
                <w:webHidden/>
              </w:rPr>
              <w:t>16</w:t>
            </w:r>
            <w:r w:rsidR="00BB4B6B">
              <w:rPr>
                <w:noProof/>
                <w:webHidden/>
              </w:rPr>
              <w:fldChar w:fldCharType="end"/>
            </w:r>
          </w:hyperlink>
        </w:p>
        <w:p w14:paraId="3E85CE8A" w14:textId="51A724FC" w:rsidR="00BB4B6B" w:rsidRDefault="00000000">
          <w:pPr>
            <w:pStyle w:val="TM2"/>
            <w:tabs>
              <w:tab w:val="left" w:pos="660"/>
              <w:tab w:val="right" w:leader="dot" w:pos="9062"/>
            </w:tabs>
            <w:rPr>
              <w:rFonts w:eastAsiaTheme="minorEastAsia"/>
              <w:noProof/>
              <w:kern w:val="2"/>
              <w:lang w:eastAsia="fr-CI"/>
              <w14:ligatures w14:val="standardContextual"/>
            </w:rPr>
          </w:pPr>
          <w:hyperlink w:anchor="_Toc139363442" w:history="1">
            <w:r w:rsidR="00BB4B6B" w:rsidRPr="00967093">
              <w:rPr>
                <w:rStyle w:val="Lienhypertexte"/>
                <w:noProof/>
              </w:rPr>
              <w:t>c.</w:t>
            </w:r>
            <w:r w:rsidR="00BB4B6B">
              <w:rPr>
                <w:rFonts w:eastAsiaTheme="minorEastAsia"/>
                <w:noProof/>
                <w:kern w:val="2"/>
                <w:lang w:eastAsia="fr-CI"/>
                <w14:ligatures w14:val="standardContextual"/>
              </w:rPr>
              <w:tab/>
            </w:r>
            <w:r w:rsidR="00BB4B6B" w:rsidRPr="00967093">
              <w:rPr>
                <w:rStyle w:val="Lienhypertexte"/>
                <w:noProof/>
              </w:rPr>
              <w:t>Etat des lieux de la Mobilisation des Ressources en 2023 et Perspectives de Mobilisation de Ressources en 2023</w:t>
            </w:r>
            <w:r w:rsidR="00BB4B6B">
              <w:rPr>
                <w:noProof/>
                <w:webHidden/>
              </w:rPr>
              <w:tab/>
            </w:r>
            <w:r w:rsidR="00BB4B6B">
              <w:rPr>
                <w:noProof/>
                <w:webHidden/>
              </w:rPr>
              <w:fldChar w:fldCharType="begin"/>
            </w:r>
            <w:r w:rsidR="00BB4B6B">
              <w:rPr>
                <w:noProof/>
                <w:webHidden/>
              </w:rPr>
              <w:instrText xml:space="preserve"> PAGEREF _Toc139363442 \h </w:instrText>
            </w:r>
            <w:r w:rsidR="00BB4B6B">
              <w:rPr>
                <w:noProof/>
                <w:webHidden/>
              </w:rPr>
            </w:r>
            <w:r w:rsidR="00BB4B6B">
              <w:rPr>
                <w:noProof/>
                <w:webHidden/>
              </w:rPr>
              <w:fldChar w:fldCharType="separate"/>
            </w:r>
            <w:r w:rsidR="00BB4B6B">
              <w:rPr>
                <w:noProof/>
                <w:webHidden/>
              </w:rPr>
              <w:t>17</w:t>
            </w:r>
            <w:r w:rsidR="00BB4B6B">
              <w:rPr>
                <w:noProof/>
                <w:webHidden/>
              </w:rPr>
              <w:fldChar w:fldCharType="end"/>
            </w:r>
          </w:hyperlink>
        </w:p>
        <w:p w14:paraId="2E51489E" w14:textId="138CD479" w:rsidR="00BB4B6B" w:rsidRDefault="00000000">
          <w:pPr>
            <w:pStyle w:val="TM2"/>
            <w:tabs>
              <w:tab w:val="left" w:pos="660"/>
              <w:tab w:val="right" w:leader="dot" w:pos="9062"/>
            </w:tabs>
            <w:rPr>
              <w:rFonts w:eastAsiaTheme="minorEastAsia"/>
              <w:noProof/>
              <w:kern w:val="2"/>
              <w:lang w:eastAsia="fr-CI"/>
              <w14:ligatures w14:val="standardContextual"/>
            </w:rPr>
          </w:pPr>
          <w:hyperlink w:anchor="_Toc139363443" w:history="1">
            <w:r w:rsidR="00BB4B6B" w:rsidRPr="00967093">
              <w:rPr>
                <w:rStyle w:val="Lienhypertexte"/>
                <w:noProof/>
              </w:rPr>
              <w:t>d.</w:t>
            </w:r>
            <w:r w:rsidR="00BB4B6B">
              <w:rPr>
                <w:rFonts w:eastAsiaTheme="minorEastAsia"/>
                <w:noProof/>
                <w:kern w:val="2"/>
                <w:lang w:eastAsia="fr-CI"/>
                <w14:ligatures w14:val="standardContextual"/>
              </w:rPr>
              <w:tab/>
            </w:r>
            <w:r w:rsidR="00BB4B6B" w:rsidRPr="00967093">
              <w:rPr>
                <w:rStyle w:val="Lienhypertexte"/>
                <w:noProof/>
              </w:rPr>
              <w:t>Etat des lieux des Pipelines 2023</w:t>
            </w:r>
            <w:r w:rsidR="00BB4B6B">
              <w:rPr>
                <w:noProof/>
                <w:webHidden/>
              </w:rPr>
              <w:tab/>
            </w:r>
            <w:r w:rsidR="00BB4B6B">
              <w:rPr>
                <w:noProof/>
                <w:webHidden/>
              </w:rPr>
              <w:fldChar w:fldCharType="begin"/>
            </w:r>
            <w:r w:rsidR="00BB4B6B">
              <w:rPr>
                <w:noProof/>
                <w:webHidden/>
              </w:rPr>
              <w:instrText xml:space="preserve"> PAGEREF _Toc139363443 \h </w:instrText>
            </w:r>
            <w:r w:rsidR="00BB4B6B">
              <w:rPr>
                <w:noProof/>
                <w:webHidden/>
              </w:rPr>
            </w:r>
            <w:r w:rsidR="00BB4B6B">
              <w:rPr>
                <w:noProof/>
                <w:webHidden/>
              </w:rPr>
              <w:fldChar w:fldCharType="separate"/>
            </w:r>
            <w:r w:rsidR="00BB4B6B">
              <w:rPr>
                <w:noProof/>
                <w:webHidden/>
              </w:rPr>
              <w:t>19</w:t>
            </w:r>
            <w:r w:rsidR="00BB4B6B">
              <w:rPr>
                <w:noProof/>
                <w:webHidden/>
              </w:rPr>
              <w:fldChar w:fldCharType="end"/>
            </w:r>
          </w:hyperlink>
        </w:p>
        <w:p w14:paraId="7F5BAFFC" w14:textId="31FFE446" w:rsidR="00BB4B6B" w:rsidRDefault="00000000">
          <w:pPr>
            <w:pStyle w:val="TM2"/>
            <w:tabs>
              <w:tab w:val="left" w:pos="660"/>
              <w:tab w:val="right" w:leader="dot" w:pos="9062"/>
            </w:tabs>
            <w:rPr>
              <w:rFonts w:eastAsiaTheme="minorEastAsia"/>
              <w:noProof/>
              <w:kern w:val="2"/>
              <w:lang w:eastAsia="fr-CI"/>
              <w14:ligatures w14:val="standardContextual"/>
            </w:rPr>
          </w:pPr>
          <w:hyperlink w:anchor="_Toc139363444" w:history="1">
            <w:r w:rsidR="00BB4B6B" w:rsidRPr="00967093">
              <w:rPr>
                <w:rStyle w:val="Lienhypertexte"/>
                <w:rFonts w:cstheme="majorHAnsi"/>
                <w:noProof/>
              </w:rPr>
              <w:t>a.</w:t>
            </w:r>
            <w:r w:rsidR="00BB4B6B">
              <w:rPr>
                <w:rFonts w:eastAsiaTheme="minorEastAsia"/>
                <w:noProof/>
                <w:kern w:val="2"/>
                <w:lang w:eastAsia="fr-CI"/>
                <w14:ligatures w14:val="standardContextual"/>
              </w:rPr>
              <w:tab/>
            </w:r>
            <w:r w:rsidR="00BB4B6B" w:rsidRPr="00967093">
              <w:rPr>
                <w:rStyle w:val="Lienhypertexte"/>
                <w:noProof/>
              </w:rPr>
              <w:t>Repositionnement du PNUD à travers la réaffirmation de son mandat et de ses avantages comparatifs</w:t>
            </w:r>
            <w:r w:rsidR="00BB4B6B">
              <w:rPr>
                <w:noProof/>
                <w:webHidden/>
              </w:rPr>
              <w:tab/>
            </w:r>
            <w:r w:rsidR="00BB4B6B">
              <w:rPr>
                <w:noProof/>
                <w:webHidden/>
              </w:rPr>
              <w:fldChar w:fldCharType="begin"/>
            </w:r>
            <w:r w:rsidR="00BB4B6B">
              <w:rPr>
                <w:noProof/>
                <w:webHidden/>
              </w:rPr>
              <w:instrText xml:space="preserve"> PAGEREF _Toc139363444 \h </w:instrText>
            </w:r>
            <w:r w:rsidR="00BB4B6B">
              <w:rPr>
                <w:noProof/>
                <w:webHidden/>
              </w:rPr>
            </w:r>
            <w:r w:rsidR="00BB4B6B">
              <w:rPr>
                <w:noProof/>
                <w:webHidden/>
              </w:rPr>
              <w:fldChar w:fldCharType="separate"/>
            </w:r>
            <w:r w:rsidR="00BB4B6B">
              <w:rPr>
                <w:noProof/>
                <w:webHidden/>
              </w:rPr>
              <w:t>21</w:t>
            </w:r>
            <w:r w:rsidR="00BB4B6B">
              <w:rPr>
                <w:noProof/>
                <w:webHidden/>
              </w:rPr>
              <w:fldChar w:fldCharType="end"/>
            </w:r>
          </w:hyperlink>
        </w:p>
        <w:p w14:paraId="7B7B4789" w14:textId="2A5A7F3F" w:rsidR="00BB4B6B" w:rsidRDefault="00000000">
          <w:pPr>
            <w:pStyle w:val="TM2"/>
            <w:tabs>
              <w:tab w:val="left" w:pos="660"/>
              <w:tab w:val="right" w:leader="dot" w:pos="9062"/>
            </w:tabs>
            <w:rPr>
              <w:rFonts w:eastAsiaTheme="minorEastAsia"/>
              <w:noProof/>
              <w:kern w:val="2"/>
              <w:lang w:eastAsia="fr-CI"/>
              <w14:ligatures w14:val="standardContextual"/>
            </w:rPr>
          </w:pPr>
          <w:hyperlink w:anchor="_Toc139363445" w:history="1">
            <w:r w:rsidR="00BB4B6B" w:rsidRPr="00967093">
              <w:rPr>
                <w:rStyle w:val="Lienhypertexte"/>
                <w:rFonts w:ascii="Symbol" w:hAnsi="Symbol"/>
                <w:noProof/>
              </w:rPr>
              <w:t></w:t>
            </w:r>
            <w:r w:rsidR="00BB4B6B">
              <w:rPr>
                <w:rFonts w:eastAsiaTheme="minorEastAsia"/>
                <w:noProof/>
                <w:kern w:val="2"/>
                <w:lang w:eastAsia="fr-CI"/>
                <w14:ligatures w14:val="standardContextual"/>
              </w:rPr>
              <w:tab/>
            </w:r>
            <w:r w:rsidR="00BB4B6B" w:rsidRPr="00967093">
              <w:rPr>
                <w:rStyle w:val="Lienhypertexte"/>
                <w:noProof/>
              </w:rPr>
              <w:t>Le PNUD après la réforme des Nations Unies</w:t>
            </w:r>
            <w:r w:rsidR="00BB4B6B">
              <w:rPr>
                <w:noProof/>
                <w:webHidden/>
              </w:rPr>
              <w:tab/>
            </w:r>
            <w:r w:rsidR="00BB4B6B">
              <w:rPr>
                <w:noProof/>
                <w:webHidden/>
              </w:rPr>
              <w:fldChar w:fldCharType="begin"/>
            </w:r>
            <w:r w:rsidR="00BB4B6B">
              <w:rPr>
                <w:noProof/>
                <w:webHidden/>
              </w:rPr>
              <w:instrText xml:space="preserve"> PAGEREF _Toc139363445 \h </w:instrText>
            </w:r>
            <w:r w:rsidR="00BB4B6B">
              <w:rPr>
                <w:noProof/>
                <w:webHidden/>
              </w:rPr>
            </w:r>
            <w:r w:rsidR="00BB4B6B">
              <w:rPr>
                <w:noProof/>
                <w:webHidden/>
              </w:rPr>
              <w:fldChar w:fldCharType="separate"/>
            </w:r>
            <w:r w:rsidR="00BB4B6B">
              <w:rPr>
                <w:noProof/>
                <w:webHidden/>
              </w:rPr>
              <w:t>21</w:t>
            </w:r>
            <w:r w:rsidR="00BB4B6B">
              <w:rPr>
                <w:noProof/>
                <w:webHidden/>
              </w:rPr>
              <w:fldChar w:fldCharType="end"/>
            </w:r>
          </w:hyperlink>
        </w:p>
        <w:p w14:paraId="43744FAD" w14:textId="421AA1E0" w:rsidR="00BB4B6B" w:rsidRDefault="00000000">
          <w:pPr>
            <w:pStyle w:val="TM2"/>
            <w:tabs>
              <w:tab w:val="left" w:pos="660"/>
              <w:tab w:val="right" w:leader="dot" w:pos="9062"/>
            </w:tabs>
            <w:rPr>
              <w:rFonts w:eastAsiaTheme="minorEastAsia"/>
              <w:noProof/>
              <w:kern w:val="2"/>
              <w:lang w:eastAsia="fr-CI"/>
              <w14:ligatures w14:val="standardContextual"/>
            </w:rPr>
          </w:pPr>
          <w:hyperlink w:anchor="_Toc139363446" w:history="1">
            <w:r w:rsidR="00BB4B6B" w:rsidRPr="00967093">
              <w:rPr>
                <w:rStyle w:val="Lienhypertexte"/>
                <w:rFonts w:ascii="Symbol" w:hAnsi="Symbol"/>
                <w:noProof/>
              </w:rPr>
              <w:t></w:t>
            </w:r>
            <w:r w:rsidR="00BB4B6B">
              <w:rPr>
                <w:rFonts w:eastAsiaTheme="minorEastAsia"/>
                <w:noProof/>
                <w:kern w:val="2"/>
                <w:lang w:eastAsia="fr-CI"/>
                <w14:ligatures w14:val="standardContextual"/>
              </w:rPr>
              <w:tab/>
            </w:r>
            <w:r w:rsidR="00BB4B6B" w:rsidRPr="00967093">
              <w:rPr>
                <w:rStyle w:val="Lienhypertexte"/>
                <w:noProof/>
              </w:rPr>
              <w:t>Avantage comparatif du PNUD.</w:t>
            </w:r>
            <w:r w:rsidR="00BB4B6B">
              <w:rPr>
                <w:noProof/>
                <w:webHidden/>
              </w:rPr>
              <w:tab/>
            </w:r>
            <w:r w:rsidR="00BB4B6B">
              <w:rPr>
                <w:noProof/>
                <w:webHidden/>
              </w:rPr>
              <w:fldChar w:fldCharType="begin"/>
            </w:r>
            <w:r w:rsidR="00BB4B6B">
              <w:rPr>
                <w:noProof/>
                <w:webHidden/>
              </w:rPr>
              <w:instrText xml:space="preserve"> PAGEREF _Toc139363446 \h </w:instrText>
            </w:r>
            <w:r w:rsidR="00BB4B6B">
              <w:rPr>
                <w:noProof/>
                <w:webHidden/>
              </w:rPr>
            </w:r>
            <w:r w:rsidR="00BB4B6B">
              <w:rPr>
                <w:noProof/>
                <w:webHidden/>
              </w:rPr>
              <w:fldChar w:fldCharType="separate"/>
            </w:r>
            <w:r w:rsidR="00BB4B6B">
              <w:rPr>
                <w:noProof/>
                <w:webHidden/>
              </w:rPr>
              <w:t>21</w:t>
            </w:r>
            <w:r w:rsidR="00BB4B6B">
              <w:rPr>
                <w:noProof/>
                <w:webHidden/>
              </w:rPr>
              <w:fldChar w:fldCharType="end"/>
            </w:r>
          </w:hyperlink>
        </w:p>
        <w:p w14:paraId="602171E4" w14:textId="2EFFF9DC" w:rsidR="00BB4B6B" w:rsidRDefault="00000000">
          <w:pPr>
            <w:pStyle w:val="TM2"/>
            <w:tabs>
              <w:tab w:val="left" w:pos="660"/>
              <w:tab w:val="right" w:leader="dot" w:pos="9062"/>
            </w:tabs>
            <w:rPr>
              <w:rFonts w:eastAsiaTheme="minorEastAsia"/>
              <w:noProof/>
              <w:kern w:val="2"/>
              <w:lang w:eastAsia="fr-CI"/>
              <w14:ligatures w14:val="standardContextual"/>
            </w:rPr>
          </w:pPr>
          <w:hyperlink w:anchor="_Toc139363447" w:history="1">
            <w:r w:rsidR="00BB4B6B" w:rsidRPr="00967093">
              <w:rPr>
                <w:rStyle w:val="Lienhypertexte"/>
                <w:rFonts w:ascii="Symbol" w:hAnsi="Symbol"/>
                <w:noProof/>
              </w:rPr>
              <w:t></w:t>
            </w:r>
            <w:r w:rsidR="00BB4B6B">
              <w:rPr>
                <w:rFonts w:eastAsiaTheme="minorEastAsia"/>
                <w:noProof/>
                <w:kern w:val="2"/>
                <w:lang w:eastAsia="fr-CI"/>
                <w14:ligatures w14:val="standardContextual"/>
              </w:rPr>
              <w:tab/>
            </w:r>
            <w:r w:rsidR="00BB4B6B" w:rsidRPr="00967093">
              <w:rPr>
                <w:rStyle w:val="Lienhypertexte"/>
                <w:noProof/>
              </w:rPr>
              <w:t>Publics cibles.</w:t>
            </w:r>
            <w:r w:rsidR="00BB4B6B">
              <w:rPr>
                <w:noProof/>
                <w:webHidden/>
              </w:rPr>
              <w:tab/>
            </w:r>
            <w:r w:rsidR="00BB4B6B">
              <w:rPr>
                <w:noProof/>
                <w:webHidden/>
              </w:rPr>
              <w:fldChar w:fldCharType="begin"/>
            </w:r>
            <w:r w:rsidR="00BB4B6B">
              <w:rPr>
                <w:noProof/>
                <w:webHidden/>
              </w:rPr>
              <w:instrText xml:space="preserve"> PAGEREF _Toc139363447 \h </w:instrText>
            </w:r>
            <w:r w:rsidR="00BB4B6B">
              <w:rPr>
                <w:noProof/>
                <w:webHidden/>
              </w:rPr>
            </w:r>
            <w:r w:rsidR="00BB4B6B">
              <w:rPr>
                <w:noProof/>
                <w:webHidden/>
              </w:rPr>
              <w:fldChar w:fldCharType="separate"/>
            </w:r>
            <w:r w:rsidR="00BB4B6B">
              <w:rPr>
                <w:noProof/>
                <w:webHidden/>
              </w:rPr>
              <w:t>23</w:t>
            </w:r>
            <w:r w:rsidR="00BB4B6B">
              <w:rPr>
                <w:noProof/>
                <w:webHidden/>
              </w:rPr>
              <w:fldChar w:fldCharType="end"/>
            </w:r>
          </w:hyperlink>
        </w:p>
        <w:p w14:paraId="7E1B340E" w14:textId="0063A7EC" w:rsidR="00BB4B6B" w:rsidRDefault="00000000">
          <w:pPr>
            <w:pStyle w:val="TM2"/>
            <w:tabs>
              <w:tab w:val="left" w:pos="660"/>
              <w:tab w:val="right" w:leader="dot" w:pos="9062"/>
            </w:tabs>
            <w:rPr>
              <w:rFonts w:eastAsiaTheme="minorEastAsia"/>
              <w:noProof/>
              <w:kern w:val="2"/>
              <w:lang w:eastAsia="fr-CI"/>
              <w14:ligatures w14:val="standardContextual"/>
            </w:rPr>
          </w:pPr>
          <w:hyperlink w:anchor="_Toc139363448" w:history="1">
            <w:r w:rsidR="00BB4B6B" w:rsidRPr="00967093">
              <w:rPr>
                <w:rStyle w:val="Lienhypertexte"/>
                <w:rFonts w:ascii="Symbol" w:eastAsia="Calibri" w:hAnsi="Symbol"/>
                <w:noProof/>
              </w:rPr>
              <w:t></w:t>
            </w:r>
            <w:r w:rsidR="00BB4B6B">
              <w:rPr>
                <w:rFonts w:eastAsiaTheme="minorEastAsia"/>
                <w:noProof/>
                <w:kern w:val="2"/>
                <w:lang w:eastAsia="fr-CI"/>
                <w14:ligatures w14:val="standardContextual"/>
              </w:rPr>
              <w:tab/>
            </w:r>
            <w:r w:rsidR="00BB4B6B" w:rsidRPr="00967093">
              <w:rPr>
                <w:rStyle w:val="Lienhypertexte"/>
                <w:rFonts w:eastAsia="Calibri"/>
                <w:noProof/>
              </w:rPr>
              <w:t>Messages clés</w:t>
            </w:r>
            <w:r w:rsidR="00BB4B6B">
              <w:rPr>
                <w:noProof/>
                <w:webHidden/>
              </w:rPr>
              <w:tab/>
            </w:r>
            <w:r w:rsidR="00BB4B6B">
              <w:rPr>
                <w:noProof/>
                <w:webHidden/>
              </w:rPr>
              <w:fldChar w:fldCharType="begin"/>
            </w:r>
            <w:r w:rsidR="00BB4B6B">
              <w:rPr>
                <w:noProof/>
                <w:webHidden/>
              </w:rPr>
              <w:instrText xml:space="preserve"> PAGEREF _Toc139363448 \h </w:instrText>
            </w:r>
            <w:r w:rsidR="00BB4B6B">
              <w:rPr>
                <w:noProof/>
                <w:webHidden/>
              </w:rPr>
            </w:r>
            <w:r w:rsidR="00BB4B6B">
              <w:rPr>
                <w:noProof/>
                <w:webHidden/>
              </w:rPr>
              <w:fldChar w:fldCharType="separate"/>
            </w:r>
            <w:r w:rsidR="00BB4B6B">
              <w:rPr>
                <w:noProof/>
                <w:webHidden/>
              </w:rPr>
              <w:t>25</w:t>
            </w:r>
            <w:r w:rsidR="00BB4B6B">
              <w:rPr>
                <w:noProof/>
                <w:webHidden/>
              </w:rPr>
              <w:fldChar w:fldCharType="end"/>
            </w:r>
          </w:hyperlink>
        </w:p>
        <w:p w14:paraId="74A9036E" w14:textId="0A21752F" w:rsidR="00BB4B6B" w:rsidRDefault="00000000">
          <w:pPr>
            <w:pStyle w:val="TM2"/>
            <w:tabs>
              <w:tab w:val="right" w:leader="dot" w:pos="9062"/>
            </w:tabs>
            <w:rPr>
              <w:rFonts w:eastAsiaTheme="minorEastAsia"/>
              <w:noProof/>
              <w:kern w:val="2"/>
              <w:lang w:eastAsia="fr-CI"/>
              <w14:ligatures w14:val="standardContextual"/>
            </w:rPr>
          </w:pPr>
          <w:hyperlink w:anchor="_Toc139363449" w:history="1">
            <w:r w:rsidR="00BB4B6B" w:rsidRPr="00967093">
              <w:rPr>
                <w:rStyle w:val="Lienhypertexte"/>
                <w:noProof/>
              </w:rPr>
              <w:t>a. Plan d’actions 2022 &amp; 2023 du PNUD côte d’ivoire pour la mobilisation de ressources et le partenariat</w:t>
            </w:r>
            <w:r w:rsidR="00BB4B6B">
              <w:rPr>
                <w:noProof/>
                <w:webHidden/>
              </w:rPr>
              <w:tab/>
            </w:r>
            <w:r w:rsidR="00BB4B6B">
              <w:rPr>
                <w:noProof/>
                <w:webHidden/>
              </w:rPr>
              <w:fldChar w:fldCharType="begin"/>
            </w:r>
            <w:r w:rsidR="00BB4B6B">
              <w:rPr>
                <w:noProof/>
                <w:webHidden/>
              </w:rPr>
              <w:instrText xml:space="preserve"> PAGEREF _Toc139363449 \h </w:instrText>
            </w:r>
            <w:r w:rsidR="00BB4B6B">
              <w:rPr>
                <w:noProof/>
                <w:webHidden/>
              </w:rPr>
            </w:r>
            <w:r w:rsidR="00BB4B6B">
              <w:rPr>
                <w:noProof/>
                <w:webHidden/>
              </w:rPr>
              <w:fldChar w:fldCharType="separate"/>
            </w:r>
            <w:r w:rsidR="00BB4B6B">
              <w:rPr>
                <w:noProof/>
                <w:webHidden/>
              </w:rPr>
              <w:t>25</w:t>
            </w:r>
            <w:r w:rsidR="00BB4B6B">
              <w:rPr>
                <w:noProof/>
                <w:webHidden/>
              </w:rPr>
              <w:fldChar w:fldCharType="end"/>
            </w:r>
          </w:hyperlink>
        </w:p>
        <w:p w14:paraId="12F58707" w14:textId="43A29C69" w:rsidR="00BB4B6B" w:rsidRDefault="00000000">
          <w:pPr>
            <w:pStyle w:val="TM2"/>
            <w:tabs>
              <w:tab w:val="right" w:leader="dot" w:pos="9062"/>
            </w:tabs>
            <w:rPr>
              <w:rFonts w:eastAsiaTheme="minorEastAsia"/>
              <w:noProof/>
              <w:kern w:val="2"/>
              <w:lang w:eastAsia="fr-CI"/>
              <w14:ligatures w14:val="standardContextual"/>
            </w:rPr>
          </w:pPr>
          <w:hyperlink w:anchor="_Toc139363450" w:history="1">
            <w:r w:rsidR="00BB4B6B" w:rsidRPr="00967093">
              <w:rPr>
                <w:rStyle w:val="Lienhypertexte"/>
                <w:noProof/>
              </w:rPr>
              <w:t>b. Partenariat avec le secteur privé.</w:t>
            </w:r>
            <w:r w:rsidR="00BB4B6B">
              <w:rPr>
                <w:noProof/>
                <w:webHidden/>
              </w:rPr>
              <w:tab/>
            </w:r>
            <w:r w:rsidR="00BB4B6B">
              <w:rPr>
                <w:noProof/>
                <w:webHidden/>
              </w:rPr>
              <w:fldChar w:fldCharType="begin"/>
            </w:r>
            <w:r w:rsidR="00BB4B6B">
              <w:rPr>
                <w:noProof/>
                <w:webHidden/>
              </w:rPr>
              <w:instrText xml:space="preserve"> PAGEREF _Toc139363450 \h </w:instrText>
            </w:r>
            <w:r w:rsidR="00BB4B6B">
              <w:rPr>
                <w:noProof/>
                <w:webHidden/>
              </w:rPr>
            </w:r>
            <w:r w:rsidR="00BB4B6B">
              <w:rPr>
                <w:noProof/>
                <w:webHidden/>
              </w:rPr>
              <w:fldChar w:fldCharType="separate"/>
            </w:r>
            <w:r w:rsidR="00BB4B6B">
              <w:rPr>
                <w:noProof/>
                <w:webHidden/>
              </w:rPr>
              <w:t>29</w:t>
            </w:r>
            <w:r w:rsidR="00BB4B6B">
              <w:rPr>
                <w:noProof/>
                <w:webHidden/>
              </w:rPr>
              <w:fldChar w:fldCharType="end"/>
            </w:r>
          </w:hyperlink>
        </w:p>
        <w:p w14:paraId="7049D8F4" w14:textId="76E1471C" w:rsidR="00BB4B6B" w:rsidRDefault="00000000">
          <w:pPr>
            <w:pStyle w:val="TM1"/>
            <w:rPr>
              <w:rFonts w:eastAsiaTheme="minorEastAsia"/>
              <w:b w:val="0"/>
              <w:bCs w:val="0"/>
              <w:kern w:val="2"/>
              <w:lang w:eastAsia="fr-CI"/>
              <w14:ligatures w14:val="standardContextual"/>
            </w:rPr>
          </w:pPr>
          <w:hyperlink w:anchor="_Toc139363451" w:history="1">
            <w:r w:rsidR="00BB4B6B" w:rsidRPr="00967093">
              <w:rPr>
                <w:rStyle w:val="Lienhypertexte"/>
              </w:rPr>
              <w:t>6. Risques et Evaluation du succès.</w:t>
            </w:r>
            <w:r w:rsidR="00BB4B6B">
              <w:rPr>
                <w:webHidden/>
              </w:rPr>
              <w:tab/>
            </w:r>
            <w:r w:rsidR="00BB4B6B">
              <w:rPr>
                <w:webHidden/>
              </w:rPr>
              <w:fldChar w:fldCharType="begin"/>
            </w:r>
            <w:r w:rsidR="00BB4B6B">
              <w:rPr>
                <w:webHidden/>
              </w:rPr>
              <w:instrText xml:space="preserve"> PAGEREF _Toc139363451 \h </w:instrText>
            </w:r>
            <w:r w:rsidR="00BB4B6B">
              <w:rPr>
                <w:webHidden/>
              </w:rPr>
            </w:r>
            <w:r w:rsidR="00BB4B6B">
              <w:rPr>
                <w:webHidden/>
              </w:rPr>
              <w:fldChar w:fldCharType="separate"/>
            </w:r>
            <w:r w:rsidR="00BB4B6B">
              <w:rPr>
                <w:webHidden/>
              </w:rPr>
              <w:t>30</w:t>
            </w:r>
            <w:r w:rsidR="00BB4B6B">
              <w:rPr>
                <w:webHidden/>
              </w:rPr>
              <w:fldChar w:fldCharType="end"/>
            </w:r>
          </w:hyperlink>
        </w:p>
        <w:p w14:paraId="5C14F86F" w14:textId="2498D515" w:rsidR="00BB4B6B" w:rsidRDefault="00000000">
          <w:pPr>
            <w:pStyle w:val="TM2"/>
            <w:tabs>
              <w:tab w:val="right" w:leader="dot" w:pos="9062"/>
            </w:tabs>
            <w:rPr>
              <w:rFonts w:eastAsiaTheme="minorEastAsia"/>
              <w:noProof/>
              <w:kern w:val="2"/>
              <w:lang w:eastAsia="fr-CI"/>
              <w14:ligatures w14:val="standardContextual"/>
            </w:rPr>
          </w:pPr>
          <w:hyperlink w:anchor="_Toc139363452" w:history="1">
            <w:r w:rsidR="00BB4B6B" w:rsidRPr="00967093">
              <w:rPr>
                <w:rStyle w:val="Lienhypertexte"/>
                <w:noProof/>
              </w:rPr>
              <w:t>a. Risques</w:t>
            </w:r>
            <w:r w:rsidR="00BB4B6B">
              <w:rPr>
                <w:noProof/>
                <w:webHidden/>
              </w:rPr>
              <w:tab/>
            </w:r>
            <w:r w:rsidR="00BB4B6B">
              <w:rPr>
                <w:noProof/>
                <w:webHidden/>
              </w:rPr>
              <w:fldChar w:fldCharType="begin"/>
            </w:r>
            <w:r w:rsidR="00BB4B6B">
              <w:rPr>
                <w:noProof/>
                <w:webHidden/>
              </w:rPr>
              <w:instrText xml:space="preserve"> PAGEREF _Toc139363452 \h </w:instrText>
            </w:r>
            <w:r w:rsidR="00BB4B6B">
              <w:rPr>
                <w:noProof/>
                <w:webHidden/>
              </w:rPr>
            </w:r>
            <w:r w:rsidR="00BB4B6B">
              <w:rPr>
                <w:noProof/>
                <w:webHidden/>
              </w:rPr>
              <w:fldChar w:fldCharType="separate"/>
            </w:r>
            <w:r w:rsidR="00BB4B6B">
              <w:rPr>
                <w:noProof/>
                <w:webHidden/>
              </w:rPr>
              <w:t>30</w:t>
            </w:r>
            <w:r w:rsidR="00BB4B6B">
              <w:rPr>
                <w:noProof/>
                <w:webHidden/>
              </w:rPr>
              <w:fldChar w:fldCharType="end"/>
            </w:r>
          </w:hyperlink>
        </w:p>
        <w:p w14:paraId="2B8B9477" w14:textId="005C552F" w:rsidR="00BB4B6B" w:rsidRDefault="00000000">
          <w:pPr>
            <w:pStyle w:val="TM2"/>
            <w:tabs>
              <w:tab w:val="right" w:leader="dot" w:pos="9062"/>
            </w:tabs>
            <w:rPr>
              <w:rFonts w:eastAsiaTheme="minorEastAsia"/>
              <w:noProof/>
              <w:kern w:val="2"/>
              <w:lang w:eastAsia="fr-CI"/>
              <w14:ligatures w14:val="standardContextual"/>
            </w:rPr>
          </w:pPr>
          <w:hyperlink w:anchor="_Toc139363453" w:history="1">
            <w:r w:rsidR="00BB4B6B" w:rsidRPr="00967093">
              <w:rPr>
                <w:rStyle w:val="Lienhypertexte"/>
                <w:noProof/>
              </w:rPr>
              <w:t>b. Evaluation du succès.</w:t>
            </w:r>
            <w:r w:rsidR="00BB4B6B">
              <w:rPr>
                <w:noProof/>
                <w:webHidden/>
              </w:rPr>
              <w:tab/>
            </w:r>
            <w:r w:rsidR="00BB4B6B">
              <w:rPr>
                <w:noProof/>
                <w:webHidden/>
              </w:rPr>
              <w:fldChar w:fldCharType="begin"/>
            </w:r>
            <w:r w:rsidR="00BB4B6B">
              <w:rPr>
                <w:noProof/>
                <w:webHidden/>
              </w:rPr>
              <w:instrText xml:space="preserve"> PAGEREF _Toc139363453 \h </w:instrText>
            </w:r>
            <w:r w:rsidR="00BB4B6B">
              <w:rPr>
                <w:noProof/>
                <w:webHidden/>
              </w:rPr>
            </w:r>
            <w:r w:rsidR="00BB4B6B">
              <w:rPr>
                <w:noProof/>
                <w:webHidden/>
              </w:rPr>
              <w:fldChar w:fldCharType="separate"/>
            </w:r>
            <w:r w:rsidR="00BB4B6B">
              <w:rPr>
                <w:noProof/>
                <w:webHidden/>
              </w:rPr>
              <w:t>30</w:t>
            </w:r>
            <w:r w:rsidR="00BB4B6B">
              <w:rPr>
                <w:noProof/>
                <w:webHidden/>
              </w:rPr>
              <w:fldChar w:fldCharType="end"/>
            </w:r>
          </w:hyperlink>
        </w:p>
        <w:p w14:paraId="24CB606A" w14:textId="0EA3A776" w:rsidR="00BB4B6B" w:rsidRDefault="00000000">
          <w:pPr>
            <w:pStyle w:val="TM1"/>
            <w:rPr>
              <w:rFonts w:eastAsiaTheme="minorEastAsia"/>
              <w:b w:val="0"/>
              <w:bCs w:val="0"/>
              <w:kern w:val="2"/>
              <w:lang w:eastAsia="fr-CI"/>
              <w14:ligatures w14:val="standardContextual"/>
            </w:rPr>
          </w:pPr>
          <w:hyperlink w:anchor="_Toc139363454" w:history="1">
            <w:r w:rsidR="00BB4B6B" w:rsidRPr="00967093">
              <w:rPr>
                <w:rStyle w:val="Lienhypertexte"/>
              </w:rPr>
              <w:t>Annexes : Stratégies de Mobilisation des ressources par piliers</w:t>
            </w:r>
            <w:r w:rsidR="00BB4B6B">
              <w:rPr>
                <w:webHidden/>
              </w:rPr>
              <w:tab/>
            </w:r>
            <w:r w:rsidR="00BB4B6B">
              <w:rPr>
                <w:webHidden/>
              </w:rPr>
              <w:fldChar w:fldCharType="begin"/>
            </w:r>
            <w:r w:rsidR="00BB4B6B">
              <w:rPr>
                <w:webHidden/>
              </w:rPr>
              <w:instrText xml:space="preserve"> PAGEREF _Toc139363454 \h </w:instrText>
            </w:r>
            <w:r w:rsidR="00BB4B6B">
              <w:rPr>
                <w:webHidden/>
              </w:rPr>
            </w:r>
            <w:r w:rsidR="00BB4B6B">
              <w:rPr>
                <w:webHidden/>
              </w:rPr>
              <w:fldChar w:fldCharType="separate"/>
            </w:r>
            <w:r w:rsidR="00BB4B6B">
              <w:rPr>
                <w:webHidden/>
              </w:rPr>
              <w:t>30</w:t>
            </w:r>
            <w:r w:rsidR="00BB4B6B">
              <w:rPr>
                <w:webHidden/>
              </w:rPr>
              <w:fldChar w:fldCharType="end"/>
            </w:r>
          </w:hyperlink>
        </w:p>
        <w:p w14:paraId="293E8B6A" w14:textId="12B2D3DE" w:rsidR="00BB4B6B" w:rsidRDefault="00000000">
          <w:pPr>
            <w:pStyle w:val="TM1"/>
            <w:rPr>
              <w:rFonts w:eastAsiaTheme="minorEastAsia"/>
              <w:b w:val="0"/>
              <w:bCs w:val="0"/>
              <w:kern w:val="2"/>
              <w:lang w:eastAsia="fr-CI"/>
              <w14:ligatures w14:val="standardContextual"/>
            </w:rPr>
          </w:pPr>
          <w:hyperlink w:anchor="_Toc139363455" w:history="1">
            <w:r w:rsidR="00BB4B6B" w:rsidRPr="00967093">
              <w:rPr>
                <w:rStyle w:val="Lienhypertexte"/>
              </w:rPr>
              <w:t>Annexes : PIPELINES</w:t>
            </w:r>
            <w:r w:rsidR="00BB4B6B">
              <w:rPr>
                <w:webHidden/>
              </w:rPr>
              <w:tab/>
            </w:r>
            <w:r w:rsidR="00BB4B6B">
              <w:rPr>
                <w:webHidden/>
              </w:rPr>
              <w:fldChar w:fldCharType="begin"/>
            </w:r>
            <w:r w:rsidR="00BB4B6B">
              <w:rPr>
                <w:webHidden/>
              </w:rPr>
              <w:instrText xml:space="preserve"> PAGEREF _Toc139363455 \h </w:instrText>
            </w:r>
            <w:r w:rsidR="00BB4B6B">
              <w:rPr>
                <w:webHidden/>
              </w:rPr>
            </w:r>
            <w:r w:rsidR="00BB4B6B">
              <w:rPr>
                <w:webHidden/>
              </w:rPr>
              <w:fldChar w:fldCharType="separate"/>
            </w:r>
            <w:r w:rsidR="00BB4B6B">
              <w:rPr>
                <w:webHidden/>
              </w:rPr>
              <w:t>32</w:t>
            </w:r>
            <w:r w:rsidR="00BB4B6B">
              <w:rPr>
                <w:webHidden/>
              </w:rPr>
              <w:fldChar w:fldCharType="end"/>
            </w:r>
          </w:hyperlink>
        </w:p>
        <w:p w14:paraId="7BC42FA2" w14:textId="5F77313B" w:rsidR="00F22CF2" w:rsidRPr="00BA5141" w:rsidRDefault="00653E7B" w:rsidP="0086672D">
          <w:r>
            <w:rPr>
              <w:rFonts w:eastAsia="Calibri"/>
              <w:b/>
              <w:bCs/>
              <w:noProof/>
            </w:rPr>
            <w:fldChar w:fldCharType="end"/>
          </w:r>
        </w:p>
      </w:sdtContent>
    </w:sdt>
    <w:p w14:paraId="5BFF903B" w14:textId="77777777" w:rsidR="0024479B" w:rsidRDefault="0024479B">
      <w:pPr>
        <w:pStyle w:val="Tabledesillustrations"/>
        <w:tabs>
          <w:tab w:val="right" w:leader="dot" w:pos="9771"/>
        </w:tabs>
        <w:rPr>
          <w:color w:val="1F4E79" w:themeColor="accent5" w:themeShade="80"/>
          <w:sz w:val="20"/>
          <w:szCs w:val="20"/>
        </w:rPr>
      </w:pPr>
    </w:p>
    <w:p w14:paraId="0261F5AD" w14:textId="77777777" w:rsidR="0024479B" w:rsidRDefault="0024479B">
      <w:pPr>
        <w:pStyle w:val="Tabledesillustrations"/>
        <w:tabs>
          <w:tab w:val="right" w:leader="dot" w:pos="9771"/>
        </w:tabs>
        <w:rPr>
          <w:color w:val="1F4E79" w:themeColor="accent5" w:themeShade="80"/>
          <w:sz w:val="20"/>
          <w:szCs w:val="20"/>
        </w:rPr>
      </w:pPr>
    </w:p>
    <w:p w14:paraId="2F4FC2F7" w14:textId="77777777" w:rsidR="0024479B" w:rsidRDefault="0024479B">
      <w:pPr>
        <w:pStyle w:val="Tabledesillustrations"/>
        <w:tabs>
          <w:tab w:val="right" w:leader="dot" w:pos="9771"/>
        </w:tabs>
        <w:rPr>
          <w:color w:val="1F4E79" w:themeColor="accent5" w:themeShade="80"/>
          <w:sz w:val="20"/>
          <w:szCs w:val="20"/>
        </w:rPr>
      </w:pPr>
    </w:p>
    <w:p w14:paraId="290C7E07" w14:textId="77777777" w:rsidR="0024479B" w:rsidRDefault="0024479B">
      <w:pPr>
        <w:pStyle w:val="Tabledesillustrations"/>
        <w:tabs>
          <w:tab w:val="right" w:leader="dot" w:pos="9771"/>
        </w:tabs>
        <w:rPr>
          <w:color w:val="1F4E79" w:themeColor="accent5" w:themeShade="80"/>
          <w:sz w:val="20"/>
          <w:szCs w:val="20"/>
        </w:rPr>
      </w:pPr>
    </w:p>
    <w:p w14:paraId="6FC01B38" w14:textId="77777777" w:rsidR="0024479B" w:rsidRDefault="0024479B">
      <w:pPr>
        <w:pStyle w:val="Tabledesillustrations"/>
        <w:tabs>
          <w:tab w:val="right" w:leader="dot" w:pos="9771"/>
        </w:tabs>
        <w:rPr>
          <w:color w:val="1F4E79" w:themeColor="accent5" w:themeShade="80"/>
          <w:sz w:val="20"/>
          <w:szCs w:val="20"/>
        </w:rPr>
      </w:pPr>
    </w:p>
    <w:p w14:paraId="5250188A" w14:textId="77777777" w:rsidR="0024479B" w:rsidRDefault="0024479B">
      <w:pPr>
        <w:pStyle w:val="Tabledesillustrations"/>
        <w:tabs>
          <w:tab w:val="right" w:leader="dot" w:pos="9771"/>
        </w:tabs>
        <w:rPr>
          <w:color w:val="1F4E79" w:themeColor="accent5" w:themeShade="80"/>
          <w:sz w:val="20"/>
          <w:szCs w:val="20"/>
        </w:rPr>
      </w:pPr>
    </w:p>
    <w:p w14:paraId="1AD42754" w14:textId="77777777" w:rsidR="0024479B" w:rsidRDefault="0024479B">
      <w:pPr>
        <w:pStyle w:val="Tabledesillustrations"/>
        <w:tabs>
          <w:tab w:val="right" w:leader="dot" w:pos="9771"/>
        </w:tabs>
        <w:rPr>
          <w:color w:val="1F4E79" w:themeColor="accent5" w:themeShade="80"/>
          <w:sz w:val="20"/>
          <w:szCs w:val="20"/>
        </w:rPr>
      </w:pPr>
    </w:p>
    <w:p w14:paraId="0344B005" w14:textId="77777777" w:rsidR="0024479B" w:rsidRDefault="0024479B">
      <w:pPr>
        <w:pStyle w:val="Tabledesillustrations"/>
        <w:tabs>
          <w:tab w:val="right" w:leader="dot" w:pos="9771"/>
        </w:tabs>
        <w:rPr>
          <w:color w:val="1F4E79" w:themeColor="accent5" w:themeShade="80"/>
          <w:sz w:val="20"/>
          <w:szCs w:val="20"/>
        </w:rPr>
      </w:pPr>
    </w:p>
    <w:p w14:paraId="0607991F" w14:textId="77777777" w:rsidR="0024479B" w:rsidRDefault="0024479B">
      <w:pPr>
        <w:pStyle w:val="Tabledesillustrations"/>
        <w:tabs>
          <w:tab w:val="right" w:leader="dot" w:pos="9771"/>
        </w:tabs>
        <w:rPr>
          <w:color w:val="1F4E79" w:themeColor="accent5" w:themeShade="80"/>
          <w:sz w:val="20"/>
          <w:szCs w:val="20"/>
        </w:rPr>
      </w:pPr>
    </w:p>
    <w:p w14:paraId="022D4071" w14:textId="77777777" w:rsidR="0024479B" w:rsidRDefault="0024479B">
      <w:pPr>
        <w:pStyle w:val="Tabledesillustrations"/>
        <w:tabs>
          <w:tab w:val="right" w:leader="dot" w:pos="9771"/>
        </w:tabs>
        <w:rPr>
          <w:color w:val="1F4E79" w:themeColor="accent5" w:themeShade="80"/>
          <w:sz w:val="20"/>
          <w:szCs w:val="20"/>
        </w:rPr>
      </w:pPr>
    </w:p>
    <w:p w14:paraId="363FC32B" w14:textId="77777777" w:rsidR="0024479B" w:rsidRDefault="0024479B">
      <w:pPr>
        <w:pStyle w:val="Tabledesillustrations"/>
        <w:tabs>
          <w:tab w:val="right" w:leader="dot" w:pos="9771"/>
        </w:tabs>
        <w:rPr>
          <w:color w:val="1F4E79" w:themeColor="accent5" w:themeShade="80"/>
          <w:sz w:val="20"/>
          <w:szCs w:val="20"/>
        </w:rPr>
      </w:pPr>
    </w:p>
    <w:p w14:paraId="778EABEC" w14:textId="77777777" w:rsidR="0024479B" w:rsidRDefault="0024479B">
      <w:pPr>
        <w:pStyle w:val="Tabledesillustrations"/>
        <w:tabs>
          <w:tab w:val="right" w:leader="dot" w:pos="9771"/>
        </w:tabs>
        <w:rPr>
          <w:color w:val="1F4E79" w:themeColor="accent5" w:themeShade="80"/>
          <w:sz w:val="20"/>
          <w:szCs w:val="20"/>
        </w:rPr>
      </w:pPr>
    </w:p>
    <w:p w14:paraId="70F67EF7" w14:textId="77777777" w:rsidR="0024479B" w:rsidRDefault="0024479B">
      <w:pPr>
        <w:pStyle w:val="Tabledesillustrations"/>
        <w:tabs>
          <w:tab w:val="right" w:leader="dot" w:pos="9771"/>
        </w:tabs>
        <w:rPr>
          <w:color w:val="1F4E79" w:themeColor="accent5" w:themeShade="80"/>
          <w:sz w:val="20"/>
          <w:szCs w:val="20"/>
        </w:rPr>
      </w:pPr>
    </w:p>
    <w:p w14:paraId="795FCA83" w14:textId="3766772B" w:rsidR="003A58FF" w:rsidRPr="00970F92" w:rsidRDefault="003A58FF">
      <w:pPr>
        <w:pStyle w:val="Tabledesillustrations"/>
        <w:tabs>
          <w:tab w:val="right" w:leader="dot" w:pos="9771"/>
        </w:tabs>
        <w:rPr>
          <w:color w:val="1F4E79" w:themeColor="accent5" w:themeShade="80"/>
          <w:sz w:val="20"/>
          <w:szCs w:val="20"/>
        </w:rPr>
      </w:pPr>
      <w:r w:rsidRPr="00970F92">
        <w:rPr>
          <w:color w:val="1F4E79" w:themeColor="accent5" w:themeShade="80"/>
          <w:sz w:val="20"/>
          <w:szCs w:val="20"/>
        </w:rPr>
        <w:lastRenderedPageBreak/>
        <w:t>Liste des Graphiques</w:t>
      </w:r>
    </w:p>
    <w:p w14:paraId="3EC9CA9E" w14:textId="4EEECCEB" w:rsidR="008A79F1" w:rsidRPr="00970F92" w:rsidRDefault="008A79F1">
      <w:pPr>
        <w:pStyle w:val="Tabledesillustrations"/>
        <w:tabs>
          <w:tab w:val="right" w:leader="dot" w:pos="9771"/>
        </w:tabs>
        <w:rPr>
          <w:rStyle w:val="Lienhypertexte"/>
          <w:color w:val="1F4E79" w:themeColor="accent5" w:themeShade="80"/>
        </w:rPr>
      </w:pPr>
      <w:r w:rsidRPr="00970F92">
        <w:rPr>
          <w:color w:val="1F4E79" w:themeColor="accent5" w:themeShade="80"/>
        </w:rPr>
        <w:fldChar w:fldCharType="begin"/>
      </w:r>
      <w:r w:rsidRPr="00970F92">
        <w:rPr>
          <w:color w:val="1F4E79" w:themeColor="accent5" w:themeShade="80"/>
        </w:rPr>
        <w:instrText xml:space="preserve"> TOC \h \z \c "Figure" </w:instrText>
      </w:r>
      <w:r w:rsidRPr="00970F92">
        <w:rPr>
          <w:color w:val="1F4E79" w:themeColor="accent5" w:themeShade="80"/>
        </w:rPr>
        <w:fldChar w:fldCharType="separate"/>
      </w:r>
      <w:hyperlink w:anchor="_Toc112407806" w:history="1">
        <w:r w:rsidRPr="00970F92">
          <w:rPr>
            <w:rStyle w:val="Lienhypertexte"/>
            <w:noProof/>
            <w:color w:val="1F4E79" w:themeColor="accent5" w:themeShade="80"/>
            <w:sz w:val="18"/>
            <w:szCs w:val="18"/>
          </w:rPr>
          <w:t>Figure 1: Evolution des taux de croissance en Côte d’Ivoire et en Afrique Subsaharienne de 2015 à 2021</w:t>
        </w:r>
        <w:r w:rsidRPr="00970F92">
          <w:rPr>
            <w:rStyle w:val="Lienhypertexte"/>
            <w:webHidden/>
            <w:color w:val="1F4E79" w:themeColor="accent5" w:themeShade="80"/>
          </w:rPr>
          <w:tab/>
        </w:r>
        <w:r w:rsidRPr="00970F92">
          <w:rPr>
            <w:rStyle w:val="Lienhypertexte"/>
            <w:webHidden/>
            <w:color w:val="1F4E79" w:themeColor="accent5" w:themeShade="80"/>
          </w:rPr>
          <w:fldChar w:fldCharType="begin"/>
        </w:r>
        <w:r w:rsidRPr="00970F92">
          <w:rPr>
            <w:rStyle w:val="Lienhypertexte"/>
            <w:webHidden/>
            <w:color w:val="1F4E79" w:themeColor="accent5" w:themeShade="80"/>
          </w:rPr>
          <w:instrText xml:space="preserve"> PAGEREF _Toc112407806 \h </w:instrText>
        </w:r>
        <w:r w:rsidRPr="00970F92">
          <w:rPr>
            <w:rStyle w:val="Lienhypertexte"/>
            <w:webHidden/>
            <w:color w:val="1F4E79" w:themeColor="accent5" w:themeShade="80"/>
          </w:rPr>
        </w:r>
        <w:r w:rsidRPr="00970F92">
          <w:rPr>
            <w:rStyle w:val="Lienhypertexte"/>
            <w:webHidden/>
            <w:color w:val="1F4E79" w:themeColor="accent5" w:themeShade="80"/>
          </w:rPr>
          <w:fldChar w:fldCharType="separate"/>
        </w:r>
        <w:r w:rsidRPr="00970F92">
          <w:rPr>
            <w:rStyle w:val="Lienhypertexte"/>
            <w:webHidden/>
            <w:color w:val="1F4E79" w:themeColor="accent5" w:themeShade="80"/>
          </w:rPr>
          <w:t>7</w:t>
        </w:r>
        <w:r w:rsidRPr="00970F92">
          <w:rPr>
            <w:rStyle w:val="Lienhypertexte"/>
            <w:webHidden/>
            <w:color w:val="1F4E79" w:themeColor="accent5" w:themeShade="80"/>
          </w:rPr>
          <w:fldChar w:fldCharType="end"/>
        </w:r>
      </w:hyperlink>
    </w:p>
    <w:p w14:paraId="5E6EE14B" w14:textId="1865EEC9" w:rsidR="008A79F1" w:rsidRPr="00970F92" w:rsidRDefault="00000000" w:rsidP="008A79F1">
      <w:pPr>
        <w:pStyle w:val="Tabledesillustrations"/>
        <w:tabs>
          <w:tab w:val="right" w:leader="dot" w:pos="9771"/>
        </w:tabs>
        <w:spacing w:line="240" w:lineRule="auto"/>
        <w:rPr>
          <w:rStyle w:val="Lienhypertexte"/>
          <w:color w:val="1F4E79" w:themeColor="accent5" w:themeShade="80"/>
        </w:rPr>
      </w:pPr>
      <w:hyperlink w:anchor="_Toc112407807" w:history="1">
        <w:r w:rsidR="008A79F1" w:rsidRPr="00970F92">
          <w:rPr>
            <w:rStyle w:val="Lienhypertexte"/>
            <w:noProof/>
            <w:color w:val="1F4E79" w:themeColor="accent5" w:themeShade="80"/>
            <w:sz w:val="18"/>
            <w:szCs w:val="18"/>
          </w:rPr>
          <w:t>Figure 2: Evolution annuelle des financements extérieurs mobilisés de 2016 à 2021</w:t>
        </w:r>
        <w:r w:rsidR="008A79F1" w:rsidRPr="00970F92">
          <w:rPr>
            <w:rStyle w:val="Lienhypertexte"/>
            <w:webHidden/>
            <w:color w:val="1F4E79" w:themeColor="accent5" w:themeShade="80"/>
          </w:rPr>
          <w:tab/>
        </w:r>
        <w:r w:rsidR="008A79F1" w:rsidRPr="00970F92">
          <w:rPr>
            <w:rStyle w:val="Lienhypertexte"/>
            <w:webHidden/>
            <w:color w:val="1F4E79" w:themeColor="accent5" w:themeShade="80"/>
          </w:rPr>
          <w:fldChar w:fldCharType="begin"/>
        </w:r>
        <w:r w:rsidR="008A79F1" w:rsidRPr="00970F92">
          <w:rPr>
            <w:rStyle w:val="Lienhypertexte"/>
            <w:webHidden/>
            <w:color w:val="1F4E79" w:themeColor="accent5" w:themeShade="80"/>
          </w:rPr>
          <w:instrText xml:space="preserve"> PAGEREF _Toc112407807 \h </w:instrText>
        </w:r>
        <w:r w:rsidR="008A79F1" w:rsidRPr="00970F92">
          <w:rPr>
            <w:rStyle w:val="Lienhypertexte"/>
            <w:webHidden/>
            <w:color w:val="1F4E79" w:themeColor="accent5" w:themeShade="80"/>
          </w:rPr>
        </w:r>
        <w:r w:rsidR="008A79F1" w:rsidRPr="00970F92">
          <w:rPr>
            <w:rStyle w:val="Lienhypertexte"/>
            <w:webHidden/>
            <w:color w:val="1F4E79" w:themeColor="accent5" w:themeShade="80"/>
          </w:rPr>
          <w:fldChar w:fldCharType="separate"/>
        </w:r>
        <w:r w:rsidR="008A79F1" w:rsidRPr="00970F92">
          <w:rPr>
            <w:rStyle w:val="Lienhypertexte"/>
            <w:webHidden/>
            <w:color w:val="1F4E79" w:themeColor="accent5" w:themeShade="80"/>
          </w:rPr>
          <w:t>8</w:t>
        </w:r>
        <w:r w:rsidR="008A79F1" w:rsidRPr="00970F92">
          <w:rPr>
            <w:rStyle w:val="Lienhypertexte"/>
            <w:webHidden/>
            <w:color w:val="1F4E79" w:themeColor="accent5" w:themeShade="80"/>
          </w:rPr>
          <w:fldChar w:fldCharType="end"/>
        </w:r>
      </w:hyperlink>
    </w:p>
    <w:p w14:paraId="5EC5E88A" w14:textId="4BE3ECE1" w:rsidR="008A79F1" w:rsidRPr="00970F92" w:rsidRDefault="00000000" w:rsidP="008A79F1">
      <w:pPr>
        <w:pStyle w:val="Tabledesillustrations"/>
        <w:tabs>
          <w:tab w:val="right" w:leader="dot" w:pos="9771"/>
        </w:tabs>
        <w:spacing w:line="240" w:lineRule="auto"/>
        <w:rPr>
          <w:rStyle w:val="Lienhypertexte"/>
          <w:color w:val="1F4E79" w:themeColor="accent5" w:themeShade="80"/>
        </w:rPr>
      </w:pPr>
      <w:hyperlink w:anchor="_Toc112407808" w:history="1">
        <w:r w:rsidR="008A79F1" w:rsidRPr="00970F92">
          <w:rPr>
            <w:rStyle w:val="Lienhypertexte"/>
            <w:noProof/>
            <w:color w:val="1F4E79" w:themeColor="accent5" w:themeShade="80"/>
            <w:sz w:val="18"/>
            <w:szCs w:val="18"/>
          </w:rPr>
          <w:t>Figure 3 : Répartition des appuis des partenaires selon les modalités de financements</w:t>
        </w:r>
        <w:r w:rsidR="008A79F1" w:rsidRPr="00970F92">
          <w:rPr>
            <w:rStyle w:val="Lienhypertexte"/>
            <w:webHidden/>
            <w:color w:val="1F4E79" w:themeColor="accent5" w:themeShade="80"/>
          </w:rPr>
          <w:tab/>
        </w:r>
        <w:r w:rsidR="008A79F1" w:rsidRPr="00970F92">
          <w:rPr>
            <w:rStyle w:val="Lienhypertexte"/>
            <w:webHidden/>
            <w:color w:val="1F4E79" w:themeColor="accent5" w:themeShade="80"/>
          </w:rPr>
          <w:fldChar w:fldCharType="begin"/>
        </w:r>
        <w:r w:rsidR="008A79F1" w:rsidRPr="00970F92">
          <w:rPr>
            <w:rStyle w:val="Lienhypertexte"/>
            <w:webHidden/>
            <w:color w:val="1F4E79" w:themeColor="accent5" w:themeShade="80"/>
          </w:rPr>
          <w:instrText xml:space="preserve"> PAGEREF _Toc112407808 \h </w:instrText>
        </w:r>
        <w:r w:rsidR="008A79F1" w:rsidRPr="00970F92">
          <w:rPr>
            <w:rStyle w:val="Lienhypertexte"/>
            <w:webHidden/>
            <w:color w:val="1F4E79" w:themeColor="accent5" w:themeShade="80"/>
          </w:rPr>
        </w:r>
        <w:r w:rsidR="008A79F1" w:rsidRPr="00970F92">
          <w:rPr>
            <w:rStyle w:val="Lienhypertexte"/>
            <w:webHidden/>
            <w:color w:val="1F4E79" w:themeColor="accent5" w:themeShade="80"/>
          </w:rPr>
          <w:fldChar w:fldCharType="separate"/>
        </w:r>
        <w:r w:rsidR="008A79F1" w:rsidRPr="00970F92">
          <w:rPr>
            <w:rStyle w:val="Lienhypertexte"/>
            <w:webHidden/>
            <w:color w:val="1F4E79" w:themeColor="accent5" w:themeShade="80"/>
          </w:rPr>
          <w:t>9</w:t>
        </w:r>
        <w:r w:rsidR="008A79F1" w:rsidRPr="00970F92">
          <w:rPr>
            <w:rStyle w:val="Lienhypertexte"/>
            <w:webHidden/>
            <w:color w:val="1F4E79" w:themeColor="accent5" w:themeShade="80"/>
          </w:rPr>
          <w:fldChar w:fldCharType="end"/>
        </w:r>
      </w:hyperlink>
    </w:p>
    <w:p w14:paraId="6976DE5B" w14:textId="0F92FE53" w:rsidR="008A79F1" w:rsidRPr="00970F92" w:rsidRDefault="00000000" w:rsidP="008A79F1">
      <w:pPr>
        <w:pStyle w:val="Tabledesillustrations"/>
        <w:tabs>
          <w:tab w:val="right" w:leader="dot" w:pos="9771"/>
        </w:tabs>
        <w:spacing w:line="240" w:lineRule="auto"/>
        <w:rPr>
          <w:rStyle w:val="Lienhypertexte"/>
          <w:color w:val="1F4E79" w:themeColor="accent5" w:themeShade="80"/>
        </w:rPr>
      </w:pPr>
      <w:hyperlink w:anchor="_Toc112407809" w:history="1">
        <w:r w:rsidR="008A79F1" w:rsidRPr="00970F92">
          <w:rPr>
            <w:rStyle w:val="Lienhypertexte"/>
            <w:noProof/>
            <w:color w:val="1F4E79" w:themeColor="accent5" w:themeShade="80"/>
            <w:sz w:val="18"/>
            <w:szCs w:val="18"/>
          </w:rPr>
          <w:t>Figure 4 : Répartition des appuis des partenaires selon les natures de financement</w:t>
        </w:r>
        <w:r w:rsidR="008A79F1" w:rsidRPr="00970F92">
          <w:rPr>
            <w:rStyle w:val="Lienhypertexte"/>
            <w:webHidden/>
            <w:color w:val="1F4E79" w:themeColor="accent5" w:themeShade="80"/>
          </w:rPr>
          <w:tab/>
        </w:r>
        <w:r w:rsidR="008A79F1" w:rsidRPr="00970F92">
          <w:rPr>
            <w:rStyle w:val="Lienhypertexte"/>
            <w:webHidden/>
            <w:color w:val="1F4E79" w:themeColor="accent5" w:themeShade="80"/>
          </w:rPr>
          <w:fldChar w:fldCharType="begin"/>
        </w:r>
        <w:r w:rsidR="008A79F1" w:rsidRPr="00970F92">
          <w:rPr>
            <w:rStyle w:val="Lienhypertexte"/>
            <w:webHidden/>
            <w:color w:val="1F4E79" w:themeColor="accent5" w:themeShade="80"/>
          </w:rPr>
          <w:instrText xml:space="preserve"> PAGEREF _Toc112407809 \h </w:instrText>
        </w:r>
        <w:r w:rsidR="008A79F1" w:rsidRPr="00970F92">
          <w:rPr>
            <w:rStyle w:val="Lienhypertexte"/>
            <w:webHidden/>
            <w:color w:val="1F4E79" w:themeColor="accent5" w:themeShade="80"/>
          </w:rPr>
        </w:r>
        <w:r w:rsidR="008A79F1" w:rsidRPr="00970F92">
          <w:rPr>
            <w:rStyle w:val="Lienhypertexte"/>
            <w:webHidden/>
            <w:color w:val="1F4E79" w:themeColor="accent5" w:themeShade="80"/>
          </w:rPr>
          <w:fldChar w:fldCharType="separate"/>
        </w:r>
        <w:r w:rsidR="008A79F1" w:rsidRPr="00970F92">
          <w:rPr>
            <w:rStyle w:val="Lienhypertexte"/>
            <w:webHidden/>
            <w:color w:val="1F4E79" w:themeColor="accent5" w:themeShade="80"/>
          </w:rPr>
          <w:t>10</w:t>
        </w:r>
        <w:r w:rsidR="008A79F1" w:rsidRPr="00970F92">
          <w:rPr>
            <w:rStyle w:val="Lienhypertexte"/>
            <w:webHidden/>
            <w:color w:val="1F4E79" w:themeColor="accent5" w:themeShade="80"/>
          </w:rPr>
          <w:fldChar w:fldCharType="end"/>
        </w:r>
      </w:hyperlink>
    </w:p>
    <w:p w14:paraId="103D3C4D" w14:textId="141BF133" w:rsidR="008A79F1" w:rsidRPr="00970F92" w:rsidRDefault="00000000" w:rsidP="008A79F1">
      <w:pPr>
        <w:pStyle w:val="Tabledesillustrations"/>
        <w:tabs>
          <w:tab w:val="right" w:leader="dot" w:pos="9771"/>
        </w:tabs>
        <w:spacing w:line="240" w:lineRule="auto"/>
        <w:rPr>
          <w:rStyle w:val="Lienhypertexte"/>
          <w:color w:val="1F4E79" w:themeColor="accent5" w:themeShade="80"/>
        </w:rPr>
      </w:pPr>
      <w:hyperlink w:anchor="_Toc112407810" w:history="1">
        <w:r w:rsidR="008A79F1" w:rsidRPr="00970F92">
          <w:rPr>
            <w:rStyle w:val="Lienhypertexte"/>
            <w:noProof/>
            <w:color w:val="1F4E79" w:themeColor="accent5" w:themeShade="80"/>
            <w:sz w:val="18"/>
            <w:szCs w:val="18"/>
          </w:rPr>
          <w:t>Figure 5 : Répartition des appuis budgétaires selon les modalités de financements (%) de 2012 à 2021</w:t>
        </w:r>
        <w:r w:rsidR="008A79F1" w:rsidRPr="00970F92">
          <w:rPr>
            <w:rStyle w:val="Lienhypertexte"/>
            <w:webHidden/>
            <w:color w:val="1F4E79" w:themeColor="accent5" w:themeShade="80"/>
          </w:rPr>
          <w:tab/>
        </w:r>
        <w:r w:rsidR="008A79F1" w:rsidRPr="00970F92">
          <w:rPr>
            <w:rStyle w:val="Lienhypertexte"/>
            <w:webHidden/>
            <w:color w:val="1F4E79" w:themeColor="accent5" w:themeShade="80"/>
          </w:rPr>
          <w:fldChar w:fldCharType="begin"/>
        </w:r>
        <w:r w:rsidR="008A79F1" w:rsidRPr="00970F92">
          <w:rPr>
            <w:rStyle w:val="Lienhypertexte"/>
            <w:webHidden/>
            <w:color w:val="1F4E79" w:themeColor="accent5" w:themeShade="80"/>
          </w:rPr>
          <w:instrText xml:space="preserve"> PAGEREF _Toc112407810 \h </w:instrText>
        </w:r>
        <w:r w:rsidR="008A79F1" w:rsidRPr="00970F92">
          <w:rPr>
            <w:rStyle w:val="Lienhypertexte"/>
            <w:webHidden/>
            <w:color w:val="1F4E79" w:themeColor="accent5" w:themeShade="80"/>
          </w:rPr>
        </w:r>
        <w:r w:rsidR="008A79F1" w:rsidRPr="00970F92">
          <w:rPr>
            <w:rStyle w:val="Lienhypertexte"/>
            <w:webHidden/>
            <w:color w:val="1F4E79" w:themeColor="accent5" w:themeShade="80"/>
          </w:rPr>
          <w:fldChar w:fldCharType="separate"/>
        </w:r>
        <w:r w:rsidR="008A79F1" w:rsidRPr="00970F92">
          <w:rPr>
            <w:rStyle w:val="Lienhypertexte"/>
            <w:webHidden/>
            <w:color w:val="1F4E79" w:themeColor="accent5" w:themeShade="80"/>
          </w:rPr>
          <w:t>10</w:t>
        </w:r>
        <w:r w:rsidR="008A79F1" w:rsidRPr="00970F92">
          <w:rPr>
            <w:rStyle w:val="Lienhypertexte"/>
            <w:webHidden/>
            <w:color w:val="1F4E79" w:themeColor="accent5" w:themeShade="80"/>
          </w:rPr>
          <w:fldChar w:fldCharType="end"/>
        </w:r>
      </w:hyperlink>
    </w:p>
    <w:p w14:paraId="183F1763" w14:textId="6E55C92A" w:rsidR="008A79F1" w:rsidRPr="00970F92" w:rsidRDefault="00000000" w:rsidP="008A79F1">
      <w:pPr>
        <w:pStyle w:val="Tabledesillustrations"/>
        <w:tabs>
          <w:tab w:val="right" w:leader="dot" w:pos="9771"/>
        </w:tabs>
        <w:spacing w:line="240" w:lineRule="auto"/>
        <w:rPr>
          <w:rStyle w:val="Lienhypertexte"/>
          <w:color w:val="1F4E79" w:themeColor="accent5" w:themeShade="80"/>
        </w:rPr>
      </w:pPr>
      <w:hyperlink w:anchor="_Toc112407811" w:history="1">
        <w:r w:rsidR="008A79F1" w:rsidRPr="00970F92">
          <w:rPr>
            <w:rStyle w:val="Lienhypertexte"/>
            <w:noProof/>
            <w:color w:val="1F4E79" w:themeColor="accent5" w:themeShade="80"/>
            <w:sz w:val="18"/>
            <w:szCs w:val="18"/>
          </w:rPr>
          <w:t>Figure 6 : Prêts octroyés par les Partenaires Multilatéraux (%)   Dons octroyés par les partenaires multilatéraux (%)</w:t>
        </w:r>
        <w:r w:rsidR="008A79F1" w:rsidRPr="00970F92">
          <w:rPr>
            <w:rStyle w:val="Lienhypertexte"/>
            <w:webHidden/>
            <w:color w:val="1F4E79" w:themeColor="accent5" w:themeShade="80"/>
          </w:rPr>
          <w:tab/>
        </w:r>
        <w:r w:rsidR="008A79F1" w:rsidRPr="00970F92">
          <w:rPr>
            <w:rStyle w:val="Lienhypertexte"/>
            <w:webHidden/>
            <w:color w:val="1F4E79" w:themeColor="accent5" w:themeShade="80"/>
          </w:rPr>
          <w:fldChar w:fldCharType="begin"/>
        </w:r>
        <w:r w:rsidR="008A79F1" w:rsidRPr="00970F92">
          <w:rPr>
            <w:rStyle w:val="Lienhypertexte"/>
            <w:webHidden/>
            <w:color w:val="1F4E79" w:themeColor="accent5" w:themeShade="80"/>
          </w:rPr>
          <w:instrText xml:space="preserve"> PAGEREF _Toc112407811 \h </w:instrText>
        </w:r>
        <w:r w:rsidR="008A79F1" w:rsidRPr="00970F92">
          <w:rPr>
            <w:rStyle w:val="Lienhypertexte"/>
            <w:webHidden/>
            <w:color w:val="1F4E79" w:themeColor="accent5" w:themeShade="80"/>
          </w:rPr>
        </w:r>
        <w:r w:rsidR="008A79F1" w:rsidRPr="00970F92">
          <w:rPr>
            <w:rStyle w:val="Lienhypertexte"/>
            <w:webHidden/>
            <w:color w:val="1F4E79" w:themeColor="accent5" w:themeShade="80"/>
          </w:rPr>
          <w:fldChar w:fldCharType="separate"/>
        </w:r>
        <w:r w:rsidR="008A79F1" w:rsidRPr="00970F92">
          <w:rPr>
            <w:rStyle w:val="Lienhypertexte"/>
            <w:webHidden/>
            <w:color w:val="1F4E79" w:themeColor="accent5" w:themeShade="80"/>
          </w:rPr>
          <w:t>11</w:t>
        </w:r>
        <w:r w:rsidR="008A79F1" w:rsidRPr="00970F92">
          <w:rPr>
            <w:rStyle w:val="Lienhypertexte"/>
            <w:webHidden/>
            <w:color w:val="1F4E79" w:themeColor="accent5" w:themeShade="80"/>
          </w:rPr>
          <w:fldChar w:fldCharType="end"/>
        </w:r>
      </w:hyperlink>
    </w:p>
    <w:p w14:paraId="4770FA65" w14:textId="73A2CAE2" w:rsidR="008A79F1" w:rsidRPr="00970F92" w:rsidRDefault="00000000" w:rsidP="008A79F1">
      <w:pPr>
        <w:pStyle w:val="Tabledesillustrations"/>
        <w:tabs>
          <w:tab w:val="right" w:leader="dot" w:pos="9771"/>
        </w:tabs>
        <w:spacing w:line="240" w:lineRule="auto"/>
        <w:rPr>
          <w:rStyle w:val="Lienhypertexte"/>
          <w:color w:val="1F4E79" w:themeColor="accent5" w:themeShade="80"/>
        </w:rPr>
      </w:pPr>
      <w:hyperlink w:anchor="_Toc112407812" w:history="1">
        <w:r w:rsidR="008A79F1" w:rsidRPr="00970F92">
          <w:rPr>
            <w:rStyle w:val="Lienhypertexte"/>
            <w:noProof/>
            <w:color w:val="1F4E79" w:themeColor="accent5" w:themeShade="80"/>
            <w:sz w:val="18"/>
            <w:szCs w:val="18"/>
          </w:rPr>
          <w:t>Figure 7 : Prêts octroyés par les partenaires bilatéraux (%) 2016-2021</w:t>
        </w:r>
        <w:r w:rsidR="008A79F1" w:rsidRPr="00970F92">
          <w:rPr>
            <w:rStyle w:val="Lienhypertexte"/>
            <w:webHidden/>
            <w:color w:val="1F4E79" w:themeColor="accent5" w:themeShade="80"/>
          </w:rPr>
          <w:tab/>
        </w:r>
        <w:r w:rsidR="008A79F1" w:rsidRPr="00970F92">
          <w:rPr>
            <w:rStyle w:val="Lienhypertexte"/>
            <w:webHidden/>
            <w:color w:val="1F4E79" w:themeColor="accent5" w:themeShade="80"/>
          </w:rPr>
          <w:fldChar w:fldCharType="begin"/>
        </w:r>
        <w:r w:rsidR="008A79F1" w:rsidRPr="00970F92">
          <w:rPr>
            <w:rStyle w:val="Lienhypertexte"/>
            <w:webHidden/>
            <w:color w:val="1F4E79" w:themeColor="accent5" w:themeShade="80"/>
          </w:rPr>
          <w:instrText xml:space="preserve"> PAGEREF _Toc112407812 \h </w:instrText>
        </w:r>
        <w:r w:rsidR="008A79F1" w:rsidRPr="00970F92">
          <w:rPr>
            <w:rStyle w:val="Lienhypertexte"/>
            <w:webHidden/>
            <w:color w:val="1F4E79" w:themeColor="accent5" w:themeShade="80"/>
          </w:rPr>
        </w:r>
        <w:r w:rsidR="008A79F1" w:rsidRPr="00970F92">
          <w:rPr>
            <w:rStyle w:val="Lienhypertexte"/>
            <w:webHidden/>
            <w:color w:val="1F4E79" w:themeColor="accent5" w:themeShade="80"/>
          </w:rPr>
          <w:fldChar w:fldCharType="separate"/>
        </w:r>
        <w:r w:rsidR="008A79F1" w:rsidRPr="00970F92">
          <w:rPr>
            <w:rStyle w:val="Lienhypertexte"/>
            <w:webHidden/>
            <w:color w:val="1F4E79" w:themeColor="accent5" w:themeShade="80"/>
          </w:rPr>
          <w:t>12</w:t>
        </w:r>
        <w:r w:rsidR="008A79F1" w:rsidRPr="00970F92">
          <w:rPr>
            <w:rStyle w:val="Lienhypertexte"/>
            <w:webHidden/>
            <w:color w:val="1F4E79" w:themeColor="accent5" w:themeShade="80"/>
          </w:rPr>
          <w:fldChar w:fldCharType="end"/>
        </w:r>
      </w:hyperlink>
    </w:p>
    <w:p w14:paraId="5442CED4" w14:textId="6A6A3DB5" w:rsidR="008A79F1" w:rsidRPr="00970F92" w:rsidRDefault="00000000" w:rsidP="008A79F1">
      <w:pPr>
        <w:pStyle w:val="Tabledesillustrations"/>
        <w:tabs>
          <w:tab w:val="right" w:leader="dot" w:pos="9771"/>
        </w:tabs>
        <w:spacing w:line="240" w:lineRule="auto"/>
        <w:rPr>
          <w:rStyle w:val="Lienhypertexte"/>
          <w:color w:val="1F4E79" w:themeColor="accent5" w:themeShade="80"/>
        </w:rPr>
      </w:pPr>
      <w:hyperlink w:anchor="_Toc112407813" w:history="1">
        <w:r w:rsidR="008A79F1" w:rsidRPr="00970F92">
          <w:rPr>
            <w:rStyle w:val="Lienhypertexte"/>
            <w:noProof/>
            <w:color w:val="1F4E79" w:themeColor="accent5" w:themeShade="80"/>
            <w:sz w:val="18"/>
            <w:szCs w:val="18"/>
          </w:rPr>
          <w:t xml:space="preserve">Figure 8 : </w:t>
        </w:r>
        <w:r w:rsidR="005235E2">
          <w:rPr>
            <w:rStyle w:val="Lienhypertexte"/>
            <w:noProof/>
            <w:color w:val="1F4E79" w:themeColor="accent5" w:themeShade="80"/>
            <w:sz w:val="18"/>
            <w:szCs w:val="18"/>
          </w:rPr>
          <w:t>Evolution des financements du PNUD</w:t>
        </w:r>
        <w:r w:rsidR="008A79F1" w:rsidRPr="00970F92">
          <w:rPr>
            <w:rStyle w:val="Lienhypertexte"/>
            <w:webHidden/>
            <w:color w:val="1F4E79" w:themeColor="accent5" w:themeShade="80"/>
          </w:rPr>
          <w:tab/>
        </w:r>
        <w:r w:rsidR="008A79F1" w:rsidRPr="00970F92">
          <w:rPr>
            <w:rStyle w:val="Lienhypertexte"/>
            <w:webHidden/>
            <w:color w:val="1F4E79" w:themeColor="accent5" w:themeShade="80"/>
          </w:rPr>
          <w:fldChar w:fldCharType="begin"/>
        </w:r>
        <w:r w:rsidR="008A79F1" w:rsidRPr="00970F92">
          <w:rPr>
            <w:rStyle w:val="Lienhypertexte"/>
            <w:webHidden/>
            <w:color w:val="1F4E79" w:themeColor="accent5" w:themeShade="80"/>
          </w:rPr>
          <w:instrText xml:space="preserve"> PAGEREF _Toc112407813 \h </w:instrText>
        </w:r>
        <w:r w:rsidR="008A79F1" w:rsidRPr="00970F92">
          <w:rPr>
            <w:rStyle w:val="Lienhypertexte"/>
            <w:webHidden/>
            <w:color w:val="1F4E79" w:themeColor="accent5" w:themeShade="80"/>
          </w:rPr>
        </w:r>
        <w:r w:rsidR="008A79F1" w:rsidRPr="00970F92">
          <w:rPr>
            <w:rStyle w:val="Lienhypertexte"/>
            <w:webHidden/>
            <w:color w:val="1F4E79" w:themeColor="accent5" w:themeShade="80"/>
          </w:rPr>
          <w:fldChar w:fldCharType="separate"/>
        </w:r>
        <w:r w:rsidR="008A79F1" w:rsidRPr="00970F92">
          <w:rPr>
            <w:rStyle w:val="Lienhypertexte"/>
            <w:webHidden/>
            <w:color w:val="1F4E79" w:themeColor="accent5" w:themeShade="80"/>
          </w:rPr>
          <w:t>12</w:t>
        </w:r>
        <w:r w:rsidR="008A79F1" w:rsidRPr="00970F92">
          <w:rPr>
            <w:rStyle w:val="Lienhypertexte"/>
            <w:webHidden/>
            <w:color w:val="1F4E79" w:themeColor="accent5" w:themeShade="80"/>
          </w:rPr>
          <w:fldChar w:fldCharType="end"/>
        </w:r>
      </w:hyperlink>
    </w:p>
    <w:p w14:paraId="22058890" w14:textId="693B1DA1" w:rsidR="008A79F1" w:rsidRPr="00970F92" w:rsidRDefault="00000000" w:rsidP="008A79F1">
      <w:pPr>
        <w:pStyle w:val="Tabledesillustrations"/>
        <w:tabs>
          <w:tab w:val="right" w:leader="dot" w:pos="9771"/>
        </w:tabs>
        <w:spacing w:line="240" w:lineRule="auto"/>
        <w:rPr>
          <w:rStyle w:val="Lienhypertexte"/>
          <w:color w:val="1F4E79" w:themeColor="accent5" w:themeShade="80"/>
        </w:rPr>
      </w:pPr>
      <w:hyperlink w:anchor="_Toc112407814" w:history="1">
        <w:r w:rsidR="008A79F1" w:rsidRPr="00970F92">
          <w:rPr>
            <w:rStyle w:val="Lienhypertexte"/>
            <w:noProof/>
            <w:color w:val="1F4E79" w:themeColor="accent5" w:themeShade="80"/>
            <w:sz w:val="18"/>
            <w:szCs w:val="18"/>
          </w:rPr>
          <w:t>Figure 9:Répartition des financements extérieurs mobilisés de 2012 à 2020 par type de donateurs (%)</w:t>
        </w:r>
        <w:r w:rsidR="008A79F1" w:rsidRPr="00970F92">
          <w:rPr>
            <w:rStyle w:val="Lienhypertexte"/>
            <w:webHidden/>
            <w:color w:val="1F4E79" w:themeColor="accent5" w:themeShade="80"/>
          </w:rPr>
          <w:tab/>
        </w:r>
        <w:r w:rsidR="008A79F1" w:rsidRPr="00970F92">
          <w:rPr>
            <w:rStyle w:val="Lienhypertexte"/>
            <w:webHidden/>
            <w:color w:val="1F4E79" w:themeColor="accent5" w:themeShade="80"/>
          </w:rPr>
          <w:fldChar w:fldCharType="begin"/>
        </w:r>
        <w:r w:rsidR="008A79F1" w:rsidRPr="00970F92">
          <w:rPr>
            <w:rStyle w:val="Lienhypertexte"/>
            <w:webHidden/>
            <w:color w:val="1F4E79" w:themeColor="accent5" w:themeShade="80"/>
          </w:rPr>
          <w:instrText xml:space="preserve"> PAGEREF _Toc112407814 \h </w:instrText>
        </w:r>
        <w:r w:rsidR="008A79F1" w:rsidRPr="00970F92">
          <w:rPr>
            <w:rStyle w:val="Lienhypertexte"/>
            <w:webHidden/>
            <w:color w:val="1F4E79" w:themeColor="accent5" w:themeShade="80"/>
          </w:rPr>
        </w:r>
        <w:r w:rsidR="008A79F1" w:rsidRPr="00970F92">
          <w:rPr>
            <w:rStyle w:val="Lienhypertexte"/>
            <w:webHidden/>
            <w:color w:val="1F4E79" w:themeColor="accent5" w:themeShade="80"/>
          </w:rPr>
          <w:fldChar w:fldCharType="separate"/>
        </w:r>
        <w:r w:rsidR="008A79F1" w:rsidRPr="00970F92">
          <w:rPr>
            <w:rStyle w:val="Lienhypertexte"/>
            <w:webHidden/>
            <w:color w:val="1F4E79" w:themeColor="accent5" w:themeShade="80"/>
          </w:rPr>
          <w:t>15</w:t>
        </w:r>
        <w:r w:rsidR="008A79F1" w:rsidRPr="00970F92">
          <w:rPr>
            <w:rStyle w:val="Lienhypertexte"/>
            <w:webHidden/>
            <w:color w:val="1F4E79" w:themeColor="accent5" w:themeShade="80"/>
          </w:rPr>
          <w:fldChar w:fldCharType="end"/>
        </w:r>
      </w:hyperlink>
    </w:p>
    <w:p w14:paraId="4954C538" w14:textId="1A8A5C3B" w:rsidR="008A79F1" w:rsidRPr="00970F92" w:rsidRDefault="00000000" w:rsidP="008A79F1">
      <w:pPr>
        <w:pStyle w:val="Tabledesillustrations"/>
        <w:tabs>
          <w:tab w:val="right" w:leader="dot" w:pos="9771"/>
        </w:tabs>
        <w:spacing w:line="240" w:lineRule="auto"/>
        <w:rPr>
          <w:rStyle w:val="Lienhypertexte"/>
          <w:color w:val="1F4E79" w:themeColor="accent5" w:themeShade="80"/>
        </w:rPr>
      </w:pPr>
      <w:hyperlink w:anchor="_Toc112407815" w:history="1">
        <w:r w:rsidR="008A79F1" w:rsidRPr="00970F92">
          <w:rPr>
            <w:rStyle w:val="Lienhypertexte"/>
            <w:noProof/>
            <w:color w:val="1F4E79" w:themeColor="accent5" w:themeShade="80"/>
            <w:sz w:val="18"/>
            <w:szCs w:val="18"/>
          </w:rPr>
          <w:t>Figure 10: Evolution annuelle des appuis budgétaires (APD) en milliards de FCFA</w:t>
        </w:r>
        <w:r w:rsidR="008A79F1" w:rsidRPr="00970F92">
          <w:rPr>
            <w:rStyle w:val="Lienhypertexte"/>
            <w:webHidden/>
            <w:color w:val="1F4E79" w:themeColor="accent5" w:themeShade="80"/>
          </w:rPr>
          <w:tab/>
        </w:r>
        <w:r w:rsidR="008A79F1" w:rsidRPr="00970F92">
          <w:rPr>
            <w:rStyle w:val="Lienhypertexte"/>
            <w:webHidden/>
            <w:color w:val="1F4E79" w:themeColor="accent5" w:themeShade="80"/>
          </w:rPr>
          <w:fldChar w:fldCharType="begin"/>
        </w:r>
        <w:r w:rsidR="008A79F1" w:rsidRPr="00970F92">
          <w:rPr>
            <w:rStyle w:val="Lienhypertexte"/>
            <w:webHidden/>
            <w:color w:val="1F4E79" w:themeColor="accent5" w:themeShade="80"/>
          </w:rPr>
          <w:instrText xml:space="preserve"> PAGEREF _Toc112407815 \h </w:instrText>
        </w:r>
        <w:r w:rsidR="008A79F1" w:rsidRPr="00970F92">
          <w:rPr>
            <w:rStyle w:val="Lienhypertexte"/>
            <w:webHidden/>
            <w:color w:val="1F4E79" w:themeColor="accent5" w:themeShade="80"/>
          </w:rPr>
        </w:r>
        <w:r w:rsidR="008A79F1" w:rsidRPr="00970F92">
          <w:rPr>
            <w:rStyle w:val="Lienhypertexte"/>
            <w:webHidden/>
            <w:color w:val="1F4E79" w:themeColor="accent5" w:themeShade="80"/>
          </w:rPr>
          <w:fldChar w:fldCharType="separate"/>
        </w:r>
        <w:r w:rsidR="008A79F1" w:rsidRPr="00970F92">
          <w:rPr>
            <w:rStyle w:val="Lienhypertexte"/>
            <w:webHidden/>
            <w:color w:val="1F4E79" w:themeColor="accent5" w:themeShade="80"/>
          </w:rPr>
          <w:t>16</w:t>
        </w:r>
        <w:r w:rsidR="008A79F1" w:rsidRPr="00970F92">
          <w:rPr>
            <w:rStyle w:val="Lienhypertexte"/>
            <w:webHidden/>
            <w:color w:val="1F4E79" w:themeColor="accent5" w:themeShade="80"/>
          </w:rPr>
          <w:fldChar w:fldCharType="end"/>
        </w:r>
      </w:hyperlink>
    </w:p>
    <w:p w14:paraId="541EC511" w14:textId="5C4A8A3B" w:rsidR="008A79F1" w:rsidRPr="00970F92" w:rsidRDefault="00000000" w:rsidP="008A79F1">
      <w:pPr>
        <w:pStyle w:val="Tabledesillustrations"/>
        <w:tabs>
          <w:tab w:val="right" w:leader="dot" w:pos="9771"/>
        </w:tabs>
        <w:spacing w:line="240" w:lineRule="auto"/>
        <w:rPr>
          <w:rStyle w:val="Lienhypertexte"/>
          <w:color w:val="1F4E79" w:themeColor="accent5" w:themeShade="80"/>
        </w:rPr>
      </w:pPr>
      <w:hyperlink w:anchor="_Toc112407816" w:history="1">
        <w:r w:rsidR="008A79F1" w:rsidRPr="00970F92">
          <w:rPr>
            <w:rStyle w:val="Lienhypertexte"/>
            <w:noProof/>
            <w:color w:val="1F4E79" w:themeColor="accent5" w:themeShade="80"/>
            <w:sz w:val="18"/>
            <w:szCs w:val="18"/>
          </w:rPr>
          <w:t>Figure 11 : Evolution  annuelle des appuis budgétaires (APD) en milliards de FCFA selon le type d’appui.</w:t>
        </w:r>
        <w:r w:rsidR="008A79F1" w:rsidRPr="00970F92">
          <w:rPr>
            <w:rStyle w:val="Lienhypertexte"/>
            <w:webHidden/>
            <w:color w:val="1F4E79" w:themeColor="accent5" w:themeShade="80"/>
          </w:rPr>
          <w:tab/>
        </w:r>
        <w:r w:rsidR="008A79F1" w:rsidRPr="00970F92">
          <w:rPr>
            <w:rStyle w:val="Lienhypertexte"/>
            <w:webHidden/>
            <w:color w:val="1F4E79" w:themeColor="accent5" w:themeShade="80"/>
          </w:rPr>
          <w:fldChar w:fldCharType="begin"/>
        </w:r>
        <w:r w:rsidR="008A79F1" w:rsidRPr="00970F92">
          <w:rPr>
            <w:rStyle w:val="Lienhypertexte"/>
            <w:webHidden/>
            <w:color w:val="1F4E79" w:themeColor="accent5" w:themeShade="80"/>
          </w:rPr>
          <w:instrText xml:space="preserve"> PAGEREF _Toc112407816 \h </w:instrText>
        </w:r>
        <w:r w:rsidR="008A79F1" w:rsidRPr="00970F92">
          <w:rPr>
            <w:rStyle w:val="Lienhypertexte"/>
            <w:webHidden/>
            <w:color w:val="1F4E79" w:themeColor="accent5" w:themeShade="80"/>
          </w:rPr>
        </w:r>
        <w:r w:rsidR="008A79F1" w:rsidRPr="00970F92">
          <w:rPr>
            <w:rStyle w:val="Lienhypertexte"/>
            <w:webHidden/>
            <w:color w:val="1F4E79" w:themeColor="accent5" w:themeShade="80"/>
          </w:rPr>
          <w:fldChar w:fldCharType="separate"/>
        </w:r>
        <w:r w:rsidR="008A79F1" w:rsidRPr="00970F92">
          <w:rPr>
            <w:rStyle w:val="Lienhypertexte"/>
            <w:webHidden/>
            <w:color w:val="1F4E79" w:themeColor="accent5" w:themeShade="80"/>
          </w:rPr>
          <w:t>17</w:t>
        </w:r>
        <w:r w:rsidR="008A79F1" w:rsidRPr="00970F92">
          <w:rPr>
            <w:rStyle w:val="Lienhypertexte"/>
            <w:webHidden/>
            <w:color w:val="1F4E79" w:themeColor="accent5" w:themeShade="80"/>
          </w:rPr>
          <w:fldChar w:fldCharType="end"/>
        </w:r>
      </w:hyperlink>
    </w:p>
    <w:p w14:paraId="3B7B0135" w14:textId="5CEC9C97" w:rsidR="008A79F1" w:rsidRPr="00970F92" w:rsidRDefault="00000000" w:rsidP="008A79F1">
      <w:pPr>
        <w:pStyle w:val="Tabledesillustrations"/>
        <w:tabs>
          <w:tab w:val="right" w:leader="dot" w:pos="9771"/>
        </w:tabs>
        <w:spacing w:line="240" w:lineRule="auto"/>
        <w:rPr>
          <w:rStyle w:val="Lienhypertexte"/>
          <w:color w:val="1F4E79" w:themeColor="accent5" w:themeShade="80"/>
        </w:rPr>
      </w:pPr>
      <w:hyperlink w:anchor="_Toc112407817" w:history="1">
        <w:r w:rsidR="008A79F1" w:rsidRPr="00970F92">
          <w:rPr>
            <w:rStyle w:val="Lienhypertexte"/>
            <w:noProof/>
            <w:color w:val="1F4E79" w:themeColor="accent5" w:themeShade="80"/>
            <w:sz w:val="18"/>
            <w:szCs w:val="18"/>
          </w:rPr>
          <w:t>Figure 12: Répartition des appuis budgétaires mobilisés par groupe de partenaires (2012-2020)</w:t>
        </w:r>
        <w:r w:rsidR="008A79F1" w:rsidRPr="00970F92">
          <w:rPr>
            <w:rStyle w:val="Lienhypertexte"/>
            <w:webHidden/>
            <w:color w:val="1F4E79" w:themeColor="accent5" w:themeShade="80"/>
          </w:rPr>
          <w:tab/>
        </w:r>
        <w:r w:rsidR="008A79F1" w:rsidRPr="00970F92">
          <w:rPr>
            <w:rStyle w:val="Lienhypertexte"/>
            <w:webHidden/>
            <w:color w:val="1F4E79" w:themeColor="accent5" w:themeShade="80"/>
          </w:rPr>
          <w:fldChar w:fldCharType="begin"/>
        </w:r>
        <w:r w:rsidR="008A79F1" w:rsidRPr="00970F92">
          <w:rPr>
            <w:rStyle w:val="Lienhypertexte"/>
            <w:webHidden/>
            <w:color w:val="1F4E79" w:themeColor="accent5" w:themeShade="80"/>
          </w:rPr>
          <w:instrText xml:space="preserve"> PAGEREF _Toc112407817 \h </w:instrText>
        </w:r>
        <w:r w:rsidR="008A79F1" w:rsidRPr="00970F92">
          <w:rPr>
            <w:rStyle w:val="Lienhypertexte"/>
            <w:webHidden/>
            <w:color w:val="1F4E79" w:themeColor="accent5" w:themeShade="80"/>
          </w:rPr>
        </w:r>
        <w:r w:rsidR="008A79F1" w:rsidRPr="00970F92">
          <w:rPr>
            <w:rStyle w:val="Lienhypertexte"/>
            <w:webHidden/>
            <w:color w:val="1F4E79" w:themeColor="accent5" w:themeShade="80"/>
          </w:rPr>
          <w:fldChar w:fldCharType="separate"/>
        </w:r>
        <w:r w:rsidR="008A79F1" w:rsidRPr="00970F92">
          <w:rPr>
            <w:rStyle w:val="Lienhypertexte"/>
            <w:webHidden/>
            <w:color w:val="1F4E79" w:themeColor="accent5" w:themeShade="80"/>
          </w:rPr>
          <w:t>18</w:t>
        </w:r>
        <w:r w:rsidR="008A79F1" w:rsidRPr="00970F92">
          <w:rPr>
            <w:rStyle w:val="Lienhypertexte"/>
            <w:webHidden/>
            <w:color w:val="1F4E79" w:themeColor="accent5" w:themeShade="80"/>
          </w:rPr>
          <w:fldChar w:fldCharType="end"/>
        </w:r>
      </w:hyperlink>
    </w:p>
    <w:p w14:paraId="06F8C34B" w14:textId="32EFD3EB" w:rsidR="003A58FF" w:rsidRDefault="008A79F1">
      <w:pPr>
        <w:pStyle w:val="Tabledesillustrations"/>
        <w:tabs>
          <w:tab w:val="right" w:leader="dot" w:pos="9771"/>
        </w:tabs>
        <w:rPr>
          <w:color w:val="1F4E79" w:themeColor="accent5" w:themeShade="80"/>
        </w:rPr>
      </w:pPr>
      <w:r w:rsidRPr="00970F92">
        <w:rPr>
          <w:color w:val="1F4E79" w:themeColor="accent5" w:themeShade="80"/>
        </w:rPr>
        <w:fldChar w:fldCharType="end"/>
      </w:r>
    </w:p>
    <w:p w14:paraId="73837541" w14:textId="367624D0" w:rsidR="00970F92" w:rsidRDefault="00970F92" w:rsidP="00970F92"/>
    <w:p w14:paraId="6D6F005F" w14:textId="12324FC8" w:rsidR="00136AEB" w:rsidRPr="0024479B" w:rsidRDefault="00970F92" w:rsidP="00136AEB">
      <w:pPr>
        <w:pStyle w:val="Tabledesillustrations"/>
        <w:tabs>
          <w:tab w:val="right" w:leader="dot" w:pos="9771"/>
        </w:tabs>
        <w:rPr>
          <w:b/>
          <w:bCs/>
        </w:rPr>
      </w:pPr>
      <w:r w:rsidRPr="0024479B">
        <w:rPr>
          <w:b/>
          <w:bCs/>
          <w:color w:val="1F4E79" w:themeColor="accent5" w:themeShade="80"/>
          <w:sz w:val="20"/>
          <w:szCs w:val="20"/>
        </w:rPr>
        <w:t xml:space="preserve">Liste des </w:t>
      </w:r>
      <w:r w:rsidR="00CF4404" w:rsidRPr="0024479B">
        <w:rPr>
          <w:b/>
          <w:bCs/>
          <w:color w:val="1F4E79" w:themeColor="accent5" w:themeShade="80"/>
          <w:sz w:val="20"/>
          <w:szCs w:val="20"/>
        </w:rPr>
        <w:t>tableaux</w:t>
      </w:r>
    </w:p>
    <w:p w14:paraId="30B943D3" w14:textId="77777777" w:rsidR="00136AEB" w:rsidRPr="0024479B" w:rsidRDefault="00136AEB" w:rsidP="0024479B">
      <w:pPr>
        <w:pStyle w:val="Tabledesillustrations"/>
        <w:tabs>
          <w:tab w:val="right" w:leader="dot" w:pos="9771"/>
        </w:tabs>
        <w:spacing w:line="240" w:lineRule="auto"/>
        <w:rPr>
          <w:rStyle w:val="Lienhypertexte"/>
          <w:noProof/>
          <w:color w:val="1F4E79" w:themeColor="accent5" w:themeShade="80"/>
          <w:sz w:val="18"/>
          <w:szCs w:val="18"/>
        </w:rPr>
      </w:pPr>
    </w:p>
    <w:p w14:paraId="3C29C774" w14:textId="4B8D54A8" w:rsidR="00925C05" w:rsidRPr="0024479B" w:rsidRDefault="00925C05" w:rsidP="0024479B">
      <w:pPr>
        <w:pStyle w:val="Tabledesillustrations"/>
        <w:tabs>
          <w:tab w:val="right" w:leader="dot" w:pos="9771"/>
        </w:tabs>
        <w:spacing w:line="240" w:lineRule="auto"/>
        <w:rPr>
          <w:rStyle w:val="Lienhypertexte"/>
          <w:color w:val="1F4E79" w:themeColor="accent5" w:themeShade="80"/>
          <w:sz w:val="18"/>
          <w:szCs w:val="18"/>
        </w:rPr>
      </w:pPr>
      <w:r w:rsidRPr="0024479B">
        <w:rPr>
          <w:rStyle w:val="Lienhypertexte"/>
          <w:noProof/>
          <w:color w:val="1F4E79" w:themeColor="accent5" w:themeShade="80"/>
          <w:sz w:val="18"/>
          <w:szCs w:val="18"/>
        </w:rPr>
        <w:fldChar w:fldCharType="begin"/>
      </w:r>
      <w:r w:rsidRPr="0024479B">
        <w:rPr>
          <w:rStyle w:val="Lienhypertexte"/>
          <w:noProof/>
          <w:color w:val="1F4E79" w:themeColor="accent5" w:themeShade="80"/>
          <w:sz w:val="18"/>
          <w:szCs w:val="18"/>
        </w:rPr>
        <w:instrText xml:space="preserve"> TOC \h \z \c "Tableau" </w:instrText>
      </w:r>
      <w:r w:rsidRPr="0024479B">
        <w:rPr>
          <w:rStyle w:val="Lienhypertexte"/>
          <w:noProof/>
          <w:color w:val="1F4E79" w:themeColor="accent5" w:themeShade="80"/>
          <w:sz w:val="18"/>
          <w:szCs w:val="18"/>
        </w:rPr>
        <w:fldChar w:fldCharType="separate"/>
      </w:r>
      <w:hyperlink w:anchor="_Toc139379659" w:history="1">
        <w:r w:rsidRPr="0024479B">
          <w:rPr>
            <w:rStyle w:val="Lienhypertexte"/>
            <w:noProof/>
            <w:color w:val="1F4E79" w:themeColor="accent5" w:themeShade="80"/>
            <w:sz w:val="18"/>
            <w:szCs w:val="18"/>
          </w:rPr>
          <w:t>Tableau 1 : Répartition des financements des appuis programmes/projets acquis de 2016 à 201 par nature et groupe de partenaires.</w:t>
        </w:r>
        <w:r w:rsidRPr="0024479B">
          <w:rPr>
            <w:rStyle w:val="Lienhypertexte"/>
            <w:webHidden/>
            <w:color w:val="1F4E79" w:themeColor="accent5" w:themeShade="80"/>
            <w:sz w:val="18"/>
            <w:szCs w:val="18"/>
          </w:rPr>
          <w:tab/>
        </w:r>
        <w:r w:rsidRPr="0024479B">
          <w:rPr>
            <w:rStyle w:val="Lienhypertexte"/>
            <w:webHidden/>
            <w:color w:val="1F4E79" w:themeColor="accent5" w:themeShade="80"/>
            <w:sz w:val="18"/>
            <w:szCs w:val="18"/>
          </w:rPr>
          <w:fldChar w:fldCharType="begin"/>
        </w:r>
        <w:r w:rsidRPr="0024479B">
          <w:rPr>
            <w:rStyle w:val="Lienhypertexte"/>
            <w:webHidden/>
            <w:color w:val="1F4E79" w:themeColor="accent5" w:themeShade="80"/>
            <w:sz w:val="18"/>
            <w:szCs w:val="18"/>
          </w:rPr>
          <w:instrText xml:space="preserve"> PAGEREF _Toc139379659 \h </w:instrText>
        </w:r>
        <w:r w:rsidRPr="0024479B">
          <w:rPr>
            <w:rStyle w:val="Lienhypertexte"/>
            <w:webHidden/>
            <w:color w:val="1F4E79" w:themeColor="accent5" w:themeShade="80"/>
            <w:sz w:val="18"/>
            <w:szCs w:val="18"/>
          </w:rPr>
        </w:r>
        <w:r w:rsidRPr="0024479B">
          <w:rPr>
            <w:rStyle w:val="Lienhypertexte"/>
            <w:webHidden/>
            <w:color w:val="1F4E79" w:themeColor="accent5" w:themeShade="80"/>
            <w:sz w:val="18"/>
            <w:szCs w:val="18"/>
          </w:rPr>
          <w:fldChar w:fldCharType="separate"/>
        </w:r>
        <w:r w:rsidRPr="0024479B">
          <w:rPr>
            <w:rStyle w:val="Lienhypertexte"/>
            <w:webHidden/>
            <w:color w:val="1F4E79" w:themeColor="accent5" w:themeShade="80"/>
            <w:sz w:val="18"/>
            <w:szCs w:val="18"/>
          </w:rPr>
          <w:t>11</w:t>
        </w:r>
        <w:r w:rsidRPr="0024479B">
          <w:rPr>
            <w:rStyle w:val="Lienhypertexte"/>
            <w:webHidden/>
            <w:color w:val="1F4E79" w:themeColor="accent5" w:themeShade="80"/>
            <w:sz w:val="18"/>
            <w:szCs w:val="18"/>
          </w:rPr>
          <w:fldChar w:fldCharType="end"/>
        </w:r>
      </w:hyperlink>
    </w:p>
    <w:p w14:paraId="29D577EC" w14:textId="01F84DEF" w:rsidR="00925C05" w:rsidRPr="0024479B" w:rsidRDefault="00000000" w:rsidP="0024479B">
      <w:pPr>
        <w:pStyle w:val="Tabledesillustrations"/>
        <w:tabs>
          <w:tab w:val="right" w:leader="dot" w:pos="9771"/>
        </w:tabs>
        <w:spacing w:line="240" w:lineRule="auto"/>
        <w:rPr>
          <w:rStyle w:val="Lienhypertexte"/>
          <w:color w:val="1F4E79" w:themeColor="accent5" w:themeShade="80"/>
          <w:sz w:val="18"/>
          <w:szCs w:val="18"/>
        </w:rPr>
      </w:pPr>
      <w:hyperlink w:anchor="_Toc139379660" w:history="1">
        <w:r w:rsidR="00925C05" w:rsidRPr="0024479B">
          <w:rPr>
            <w:rStyle w:val="Lienhypertexte"/>
            <w:noProof/>
            <w:color w:val="1F4E79" w:themeColor="accent5" w:themeShade="80"/>
            <w:sz w:val="18"/>
            <w:szCs w:val="18"/>
          </w:rPr>
          <w:t>Tableau 2 :Montants globaux par catégorie de PTF au groupe consultatif 2021-2025</w:t>
        </w:r>
        <w:r w:rsidR="00925C05" w:rsidRPr="0024479B">
          <w:rPr>
            <w:rStyle w:val="Lienhypertexte"/>
            <w:webHidden/>
            <w:color w:val="1F4E79" w:themeColor="accent5" w:themeShade="80"/>
            <w:sz w:val="18"/>
            <w:szCs w:val="18"/>
          </w:rPr>
          <w:tab/>
        </w:r>
        <w:r w:rsidR="00925C05" w:rsidRPr="0024479B">
          <w:rPr>
            <w:rStyle w:val="Lienhypertexte"/>
            <w:webHidden/>
            <w:color w:val="1F4E79" w:themeColor="accent5" w:themeShade="80"/>
            <w:sz w:val="18"/>
            <w:szCs w:val="18"/>
          </w:rPr>
          <w:fldChar w:fldCharType="begin"/>
        </w:r>
        <w:r w:rsidR="00925C05" w:rsidRPr="0024479B">
          <w:rPr>
            <w:rStyle w:val="Lienhypertexte"/>
            <w:webHidden/>
            <w:color w:val="1F4E79" w:themeColor="accent5" w:themeShade="80"/>
            <w:sz w:val="18"/>
            <w:szCs w:val="18"/>
          </w:rPr>
          <w:instrText xml:space="preserve"> PAGEREF _Toc139379660 \h </w:instrText>
        </w:r>
        <w:r w:rsidR="00925C05" w:rsidRPr="0024479B">
          <w:rPr>
            <w:rStyle w:val="Lienhypertexte"/>
            <w:webHidden/>
            <w:color w:val="1F4E79" w:themeColor="accent5" w:themeShade="80"/>
            <w:sz w:val="18"/>
            <w:szCs w:val="18"/>
          </w:rPr>
        </w:r>
        <w:r w:rsidR="00925C05" w:rsidRPr="0024479B">
          <w:rPr>
            <w:rStyle w:val="Lienhypertexte"/>
            <w:webHidden/>
            <w:color w:val="1F4E79" w:themeColor="accent5" w:themeShade="80"/>
            <w:sz w:val="18"/>
            <w:szCs w:val="18"/>
          </w:rPr>
          <w:fldChar w:fldCharType="separate"/>
        </w:r>
        <w:r w:rsidR="00925C05" w:rsidRPr="0024479B">
          <w:rPr>
            <w:rStyle w:val="Lienhypertexte"/>
            <w:webHidden/>
            <w:color w:val="1F4E79" w:themeColor="accent5" w:themeShade="80"/>
            <w:sz w:val="18"/>
            <w:szCs w:val="18"/>
          </w:rPr>
          <w:t>14</w:t>
        </w:r>
        <w:r w:rsidR="00925C05" w:rsidRPr="0024479B">
          <w:rPr>
            <w:rStyle w:val="Lienhypertexte"/>
            <w:webHidden/>
            <w:color w:val="1F4E79" w:themeColor="accent5" w:themeShade="80"/>
            <w:sz w:val="18"/>
            <w:szCs w:val="18"/>
          </w:rPr>
          <w:fldChar w:fldCharType="end"/>
        </w:r>
      </w:hyperlink>
    </w:p>
    <w:p w14:paraId="7D6656D9" w14:textId="4DC05C05" w:rsidR="00925C05" w:rsidRPr="0024479B" w:rsidRDefault="00000000" w:rsidP="0024479B">
      <w:pPr>
        <w:pStyle w:val="Tabledesillustrations"/>
        <w:tabs>
          <w:tab w:val="right" w:leader="dot" w:pos="9771"/>
        </w:tabs>
        <w:spacing w:line="240" w:lineRule="auto"/>
        <w:rPr>
          <w:rStyle w:val="Lienhypertexte"/>
          <w:color w:val="1F4E79" w:themeColor="accent5" w:themeShade="80"/>
          <w:sz w:val="18"/>
          <w:szCs w:val="18"/>
        </w:rPr>
      </w:pPr>
      <w:hyperlink w:anchor="_Toc139379661" w:history="1">
        <w:r w:rsidR="00925C05" w:rsidRPr="0024479B">
          <w:rPr>
            <w:rStyle w:val="Lienhypertexte"/>
            <w:noProof/>
            <w:color w:val="1F4E79" w:themeColor="accent5" w:themeShade="80"/>
            <w:sz w:val="18"/>
            <w:szCs w:val="18"/>
          </w:rPr>
          <w:t>Tableau 3 : Mobilisation des ressources</w:t>
        </w:r>
        <w:r w:rsidR="00925C05" w:rsidRPr="0024479B">
          <w:rPr>
            <w:rStyle w:val="Lienhypertexte"/>
            <w:webHidden/>
            <w:color w:val="1F4E79" w:themeColor="accent5" w:themeShade="80"/>
            <w:sz w:val="18"/>
            <w:szCs w:val="18"/>
          </w:rPr>
          <w:tab/>
        </w:r>
        <w:r w:rsidR="00925C05" w:rsidRPr="0024479B">
          <w:rPr>
            <w:rStyle w:val="Lienhypertexte"/>
            <w:webHidden/>
            <w:color w:val="1F4E79" w:themeColor="accent5" w:themeShade="80"/>
            <w:sz w:val="18"/>
            <w:szCs w:val="18"/>
          </w:rPr>
          <w:fldChar w:fldCharType="begin"/>
        </w:r>
        <w:r w:rsidR="00925C05" w:rsidRPr="0024479B">
          <w:rPr>
            <w:rStyle w:val="Lienhypertexte"/>
            <w:webHidden/>
            <w:color w:val="1F4E79" w:themeColor="accent5" w:themeShade="80"/>
            <w:sz w:val="18"/>
            <w:szCs w:val="18"/>
          </w:rPr>
          <w:instrText xml:space="preserve"> PAGEREF _Toc139379661 \h </w:instrText>
        </w:r>
        <w:r w:rsidR="00925C05" w:rsidRPr="0024479B">
          <w:rPr>
            <w:rStyle w:val="Lienhypertexte"/>
            <w:webHidden/>
            <w:color w:val="1F4E79" w:themeColor="accent5" w:themeShade="80"/>
            <w:sz w:val="18"/>
            <w:szCs w:val="18"/>
          </w:rPr>
        </w:r>
        <w:r w:rsidR="00925C05" w:rsidRPr="0024479B">
          <w:rPr>
            <w:rStyle w:val="Lienhypertexte"/>
            <w:webHidden/>
            <w:color w:val="1F4E79" w:themeColor="accent5" w:themeShade="80"/>
            <w:sz w:val="18"/>
            <w:szCs w:val="18"/>
          </w:rPr>
          <w:fldChar w:fldCharType="separate"/>
        </w:r>
        <w:r w:rsidR="00925C05" w:rsidRPr="0024479B">
          <w:rPr>
            <w:rStyle w:val="Lienhypertexte"/>
            <w:webHidden/>
            <w:color w:val="1F4E79" w:themeColor="accent5" w:themeShade="80"/>
            <w:sz w:val="18"/>
            <w:szCs w:val="18"/>
          </w:rPr>
          <w:t>16</w:t>
        </w:r>
        <w:r w:rsidR="00925C05" w:rsidRPr="0024479B">
          <w:rPr>
            <w:rStyle w:val="Lienhypertexte"/>
            <w:webHidden/>
            <w:color w:val="1F4E79" w:themeColor="accent5" w:themeShade="80"/>
            <w:sz w:val="18"/>
            <w:szCs w:val="18"/>
          </w:rPr>
          <w:fldChar w:fldCharType="end"/>
        </w:r>
      </w:hyperlink>
    </w:p>
    <w:p w14:paraId="5A1EB2EC" w14:textId="54531867" w:rsidR="00925C05" w:rsidRPr="0024479B" w:rsidRDefault="00000000" w:rsidP="0024479B">
      <w:pPr>
        <w:pStyle w:val="Tabledesillustrations"/>
        <w:tabs>
          <w:tab w:val="right" w:leader="dot" w:pos="9771"/>
        </w:tabs>
        <w:spacing w:line="240" w:lineRule="auto"/>
        <w:rPr>
          <w:rStyle w:val="Lienhypertexte"/>
          <w:color w:val="1F4E79" w:themeColor="accent5" w:themeShade="80"/>
          <w:sz w:val="18"/>
          <w:szCs w:val="18"/>
        </w:rPr>
      </w:pPr>
      <w:hyperlink w:anchor="_Toc139379662" w:history="1">
        <w:r w:rsidR="00925C05" w:rsidRPr="0024479B">
          <w:rPr>
            <w:rStyle w:val="Lienhypertexte"/>
            <w:noProof/>
            <w:color w:val="1F4E79" w:themeColor="accent5" w:themeShade="80"/>
            <w:sz w:val="18"/>
            <w:szCs w:val="18"/>
          </w:rPr>
          <w:t>Tableau 4 : Financements des partenaires suivant les axes stratégiques du CPD Initiales en Décembre 2022.</w:t>
        </w:r>
        <w:r w:rsidR="00925C05" w:rsidRPr="0024479B">
          <w:rPr>
            <w:rStyle w:val="Lienhypertexte"/>
            <w:webHidden/>
            <w:color w:val="1F4E79" w:themeColor="accent5" w:themeShade="80"/>
            <w:sz w:val="18"/>
            <w:szCs w:val="18"/>
          </w:rPr>
          <w:tab/>
        </w:r>
        <w:r w:rsidR="00925C05" w:rsidRPr="0024479B">
          <w:rPr>
            <w:rStyle w:val="Lienhypertexte"/>
            <w:webHidden/>
            <w:color w:val="1F4E79" w:themeColor="accent5" w:themeShade="80"/>
            <w:sz w:val="18"/>
            <w:szCs w:val="18"/>
          </w:rPr>
          <w:fldChar w:fldCharType="begin"/>
        </w:r>
        <w:r w:rsidR="00925C05" w:rsidRPr="0024479B">
          <w:rPr>
            <w:rStyle w:val="Lienhypertexte"/>
            <w:webHidden/>
            <w:color w:val="1F4E79" w:themeColor="accent5" w:themeShade="80"/>
            <w:sz w:val="18"/>
            <w:szCs w:val="18"/>
          </w:rPr>
          <w:instrText xml:space="preserve"> PAGEREF _Toc139379662 \h </w:instrText>
        </w:r>
        <w:r w:rsidR="00925C05" w:rsidRPr="0024479B">
          <w:rPr>
            <w:rStyle w:val="Lienhypertexte"/>
            <w:webHidden/>
            <w:color w:val="1F4E79" w:themeColor="accent5" w:themeShade="80"/>
            <w:sz w:val="18"/>
            <w:szCs w:val="18"/>
          </w:rPr>
        </w:r>
        <w:r w:rsidR="00925C05" w:rsidRPr="0024479B">
          <w:rPr>
            <w:rStyle w:val="Lienhypertexte"/>
            <w:webHidden/>
            <w:color w:val="1F4E79" w:themeColor="accent5" w:themeShade="80"/>
            <w:sz w:val="18"/>
            <w:szCs w:val="18"/>
          </w:rPr>
          <w:fldChar w:fldCharType="separate"/>
        </w:r>
        <w:r w:rsidR="00925C05" w:rsidRPr="0024479B">
          <w:rPr>
            <w:rStyle w:val="Lienhypertexte"/>
            <w:webHidden/>
            <w:color w:val="1F4E79" w:themeColor="accent5" w:themeShade="80"/>
            <w:sz w:val="18"/>
            <w:szCs w:val="18"/>
          </w:rPr>
          <w:t>17</w:t>
        </w:r>
        <w:r w:rsidR="00925C05" w:rsidRPr="0024479B">
          <w:rPr>
            <w:rStyle w:val="Lienhypertexte"/>
            <w:webHidden/>
            <w:color w:val="1F4E79" w:themeColor="accent5" w:themeShade="80"/>
            <w:sz w:val="18"/>
            <w:szCs w:val="18"/>
          </w:rPr>
          <w:fldChar w:fldCharType="end"/>
        </w:r>
      </w:hyperlink>
    </w:p>
    <w:p w14:paraId="66C2FDBF" w14:textId="62ED4BC8" w:rsidR="00925C05" w:rsidRPr="0024479B" w:rsidRDefault="00000000" w:rsidP="0024479B">
      <w:pPr>
        <w:pStyle w:val="Tabledesillustrations"/>
        <w:tabs>
          <w:tab w:val="right" w:leader="dot" w:pos="9771"/>
        </w:tabs>
        <w:spacing w:line="240" w:lineRule="auto"/>
        <w:rPr>
          <w:rStyle w:val="Lienhypertexte"/>
          <w:color w:val="1F4E79" w:themeColor="accent5" w:themeShade="80"/>
          <w:sz w:val="18"/>
          <w:szCs w:val="18"/>
        </w:rPr>
      </w:pPr>
      <w:hyperlink w:anchor="_Toc139379663" w:history="1">
        <w:r w:rsidR="00925C05" w:rsidRPr="0024479B">
          <w:rPr>
            <w:rStyle w:val="Lienhypertexte"/>
            <w:noProof/>
            <w:color w:val="1F4E79" w:themeColor="accent5" w:themeShade="80"/>
            <w:sz w:val="18"/>
            <w:szCs w:val="18"/>
          </w:rPr>
          <w:t>Tableau 5 : Etat des lieux de la Mobilisation des Ressources en 2023 et Perspectives de Mobilisation de ressources</w:t>
        </w:r>
        <w:r w:rsidR="00925C05" w:rsidRPr="0024479B">
          <w:rPr>
            <w:rStyle w:val="Lienhypertexte"/>
            <w:webHidden/>
            <w:color w:val="1F4E79" w:themeColor="accent5" w:themeShade="80"/>
            <w:sz w:val="18"/>
            <w:szCs w:val="18"/>
          </w:rPr>
          <w:tab/>
        </w:r>
        <w:r w:rsidR="00925C05" w:rsidRPr="0024479B">
          <w:rPr>
            <w:rStyle w:val="Lienhypertexte"/>
            <w:webHidden/>
            <w:color w:val="1F4E79" w:themeColor="accent5" w:themeShade="80"/>
            <w:sz w:val="18"/>
            <w:szCs w:val="18"/>
          </w:rPr>
          <w:fldChar w:fldCharType="begin"/>
        </w:r>
        <w:r w:rsidR="00925C05" w:rsidRPr="0024479B">
          <w:rPr>
            <w:rStyle w:val="Lienhypertexte"/>
            <w:webHidden/>
            <w:color w:val="1F4E79" w:themeColor="accent5" w:themeShade="80"/>
            <w:sz w:val="18"/>
            <w:szCs w:val="18"/>
          </w:rPr>
          <w:instrText xml:space="preserve"> PAGEREF _Toc139379663 \h </w:instrText>
        </w:r>
        <w:r w:rsidR="00925C05" w:rsidRPr="0024479B">
          <w:rPr>
            <w:rStyle w:val="Lienhypertexte"/>
            <w:webHidden/>
            <w:color w:val="1F4E79" w:themeColor="accent5" w:themeShade="80"/>
            <w:sz w:val="18"/>
            <w:szCs w:val="18"/>
          </w:rPr>
        </w:r>
        <w:r w:rsidR="00925C05" w:rsidRPr="0024479B">
          <w:rPr>
            <w:rStyle w:val="Lienhypertexte"/>
            <w:webHidden/>
            <w:color w:val="1F4E79" w:themeColor="accent5" w:themeShade="80"/>
            <w:sz w:val="18"/>
            <w:szCs w:val="18"/>
          </w:rPr>
          <w:fldChar w:fldCharType="separate"/>
        </w:r>
        <w:r w:rsidR="00925C05" w:rsidRPr="0024479B">
          <w:rPr>
            <w:rStyle w:val="Lienhypertexte"/>
            <w:webHidden/>
            <w:color w:val="1F4E79" w:themeColor="accent5" w:themeShade="80"/>
            <w:sz w:val="18"/>
            <w:szCs w:val="18"/>
          </w:rPr>
          <w:t>19</w:t>
        </w:r>
        <w:r w:rsidR="00925C05" w:rsidRPr="0024479B">
          <w:rPr>
            <w:rStyle w:val="Lienhypertexte"/>
            <w:webHidden/>
            <w:color w:val="1F4E79" w:themeColor="accent5" w:themeShade="80"/>
            <w:sz w:val="18"/>
            <w:szCs w:val="18"/>
          </w:rPr>
          <w:fldChar w:fldCharType="end"/>
        </w:r>
      </w:hyperlink>
    </w:p>
    <w:p w14:paraId="618D6572" w14:textId="077D87F0" w:rsidR="00925C05" w:rsidRPr="0024479B" w:rsidRDefault="00000000" w:rsidP="0024479B">
      <w:pPr>
        <w:pStyle w:val="Tabledesillustrations"/>
        <w:tabs>
          <w:tab w:val="right" w:leader="dot" w:pos="9771"/>
        </w:tabs>
        <w:spacing w:line="240" w:lineRule="auto"/>
        <w:rPr>
          <w:rStyle w:val="Lienhypertexte"/>
          <w:color w:val="1F4E79" w:themeColor="accent5" w:themeShade="80"/>
          <w:sz w:val="18"/>
          <w:szCs w:val="18"/>
        </w:rPr>
      </w:pPr>
      <w:hyperlink w:anchor="_Toc139379664" w:history="1">
        <w:r w:rsidR="00925C05" w:rsidRPr="0024479B">
          <w:rPr>
            <w:rStyle w:val="Lienhypertexte"/>
            <w:noProof/>
            <w:color w:val="1F4E79" w:themeColor="accent5" w:themeShade="80"/>
            <w:sz w:val="18"/>
            <w:szCs w:val="18"/>
          </w:rPr>
          <w:t>Tableau 6  : Point sur les Pipelines en Juillet 2023</w:t>
        </w:r>
        <w:r w:rsidR="00925C05" w:rsidRPr="0024479B">
          <w:rPr>
            <w:rStyle w:val="Lienhypertexte"/>
            <w:webHidden/>
            <w:color w:val="1F4E79" w:themeColor="accent5" w:themeShade="80"/>
            <w:sz w:val="18"/>
            <w:szCs w:val="18"/>
          </w:rPr>
          <w:tab/>
        </w:r>
        <w:r w:rsidR="00925C05" w:rsidRPr="0024479B">
          <w:rPr>
            <w:rStyle w:val="Lienhypertexte"/>
            <w:webHidden/>
            <w:color w:val="1F4E79" w:themeColor="accent5" w:themeShade="80"/>
            <w:sz w:val="18"/>
            <w:szCs w:val="18"/>
          </w:rPr>
          <w:fldChar w:fldCharType="begin"/>
        </w:r>
        <w:r w:rsidR="00925C05" w:rsidRPr="0024479B">
          <w:rPr>
            <w:rStyle w:val="Lienhypertexte"/>
            <w:webHidden/>
            <w:color w:val="1F4E79" w:themeColor="accent5" w:themeShade="80"/>
            <w:sz w:val="18"/>
            <w:szCs w:val="18"/>
          </w:rPr>
          <w:instrText xml:space="preserve"> PAGEREF _Toc139379664 \h </w:instrText>
        </w:r>
        <w:r w:rsidR="00925C05" w:rsidRPr="0024479B">
          <w:rPr>
            <w:rStyle w:val="Lienhypertexte"/>
            <w:webHidden/>
            <w:color w:val="1F4E79" w:themeColor="accent5" w:themeShade="80"/>
            <w:sz w:val="18"/>
            <w:szCs w:val="18"/>
          </w:rPr>
        </w:r>
        <w:r w:rsidR="00925C05" w:rsidRPr="0024479B">
          <w:rPr>
            <w:rStyle w:val="Lienhypertexte"/>
            <w:webHidden/>
            <w:color w:val="1F4E79" w:themeColor="accent5" w:themeShade="80"/>
            <w:sz w:val="18"/>
            <w:szCs w:val="18"/>
          </w:rPr>
          <w:fldChar w:fldCharType="separate"/>
        </w:r>
        <w:r w:rsidR="00925C05" w:rsidRPr="0024479B">
          <w:rPr>
            <w:rStyle w:val="Lienhypertexte"/>
            <w:webHidden/>
            <w:color w:val="1F4E79" w:themeColor="accent5" w:themeShade="80"/>
            <w:sz w:val="18"/>
            <w:szCs w:val="18"/>
          </w:rPr>
          <w:t>21</w:t>
        </w:r>
        <w:r w:rsidR="00925C05" w:rsidRPr="0024479B">
          <w:rPr>
            <w:rStyle w:val="Lienhypertexte"/>
            <w:webHidden/>
            <w:color w:val="1F4E79" w:themeColor="accent5" w:themeShade="80"/>
            <w:sz w:val="18"/>
            <w:szCs w:val="18"/>
          </w:rPr>
          <w:fldChar w:fldCharType="end"/>
        </w:r>
      </w:hyperlink>
    </w:p>
    <w:p w14:paraId="0879B72F" w14:textId="6769FD17" w:rsidR="00925C05" w:rsidRPr="0024479B" w:rsidRDefault="00000000" w:rsidP="0024479B">
      <w:pPr>
        <w:pStyle w:val="Tabledesillustrations"/>
        <w:tabs>
          <w:tab w:val="right" w:leader="dot" w:pos="9771"/>
        </w:tabs>
        <w:spacing w:line="240" w:lineRule="auto"/>
        <w:rPr>
          <w:rStyle w:val="Lienhypertexte"/>
          <w:color w:val="1F4E79" w:themeColor="accent5" w:themeShade="80"/>
          <w:sz w:val="18"/>
          <w:szCs w:val="18"/>
        </w:rPr>
      </w:pPr>
      <w:hyperlink w:anchor="_Toc139379665" w:history="1">
        <w:r w:rsidR="00925C05" w:rsidRPr="0024479B">
          <w:rPr>
            <w:rStyle w:val="Lienhypertexte"/>
            <w:noProof/>
            <w:color w:val="1F4E79" w:themeColor="accent5" w:themeShade="80"/>
            <w:sz w:val="18"/>
            <w:szCs w:val="18"/>
          </w:rPr>
          <w:t>Tableau 7 : Plan d’action</w:t>
        </w:r>
        <w:r w:rsidR="00925C05" w:rsidRPr="0024479B">
          <w:rPr>
            <w:rStyle w:val="Lienhypertexte"/>
            <w:webHidden/>
            <w:color w:val="1F4E79" w:themeColor="accent5" w:themeShade="80"/>
            <w:sz w:val="18"/>
            <w:szCs w:val="18"/>
          </w:rPr>
          <w:tab/>
        </w:r>
        <w:r w:rsidR="00925C05" w:rsidRPr="0024479B">
          <w:rPr>
            <w:rStyle w:val="Lienhypertexte"/>
            <w:webHidden/>
            <w:color w:val="1F4E79" w:themeColor="accent5" w:themeShade="80"/>
            <w:sz w:val="18"/>
            <w:szCs w:val="18"/>
          </w:rPr>
          <w:fldChar w:fldCharType="begin"/>
        </w:r>
        <w:r w:rsidR="00925C05" w:rsidRPr="0024479B">
          <w:rPr>
            <w:rStyle w:val="Lienhypertexte"/>
            <w:webHidden/>
            <w:color w:val="1F4E79" w:themeColor="accent5" w:themeShade="80"/>
            <w:sz w:val="18"/>
            <w:szCs w:val="18"/>
          </w:rPr>
          <w:instrText xml:space="preserve"> PAGEREF _Toc139379665 \h </w:instrText>
        </w:r>
        <w:r w:rsidR="00925C05" w:rsidRPr="0024479B">
          <w:rPr>
            <w:rStyle w:val="Lienhypertexte"/>
            <w:webHidden/>
            <w:color w:val="1F4E79" w:themeColor="accent5" w:themeShade="80"/>
            <w:sz w:val="18"/>
            <w:szCs w:val="18"/>
          </w:rPr>
        </w:r>
        <w:r w:rsidR="00925C05" w:rsidRPr="0024479B">
          <w:rPr>
            <w:rStyle w:val="Lienhypertexte"/>
            <w:webHidden/>
            <w:color w:val="1F4E79" w:themeColor="accent5" w:themeShade="80"/>
            <w:sz w:val="18"/>
            <w:szCs w:val="18"/>
          </w:rPr>
          <w:fldChar w:fldCharType="separate"/>
        </w:r>
        <w:r w:rsidR="00925C05" w:rsidRPr="0024479B">
          <w:rPr>
            <w:rStyle w:val="Lienhypertexte"/>
            <w:webHidden/>
            <w:color w:val="1F4E79" w:themeColor="accent5" w:themeShade="80"/>
            <w:sz w:val="18"/>
            <w:szCs w:val="18"/>
          </w:rPr>
          <w:t>26</w:t>
        </w:r>
        <w:r w:rsidR="00925C05" w:rsidRPr="0024479B">
          <w:rPr>
            <w:rStyle w:val="Lienhypertexte"/>
            <w:webHidden/>
            <w:color w:val="1F4E79" w:themeColor="accent5" w:themeShade="80"/>
            <w:sz w:val="18"/>
            <w:szCs w:val="18"/>
          </w:rPr>
          <w:fldChar w:fldCharType="end"/>
        </w:r>
      </w:hyperlink>
    </w:p>
    <w:p w14:paraId="1909A630" w14:textId="407547B6" w:rsidR="00136AEB" w:rsidRPr="00136AEB" w:rsidRDefault="00925C05" w:rsidP="0024479B">
      <w:pPr>
        <w:pStyle w:val="Tabledesillustrations"/>
        <w:tabs>
          <w:tab w:val="right" w:leader="dot" w:pos="9771"/>
        </w:tabs>
        <w:spacing w:line="240" w:lineRule="auto"/>
      </w:pPr>
      <w:r w:rsidRPr="0024479B">
        <w:rPr>
          <w:rStyle w:val="Lienhypertexte"/>
          <w:noProof/>
          <w:color w:val="1F4E79" w:themeColor="accent5" w:themeShade="80"/>
          <w:sz w:val="18"/>
          <w:szCs w:val="18"/>
        </w:rPr>
        <w:fldChar w:fldCharType="end"/>
      </w:r>
    </w:p>
    <w:p w14:paraId="5A040DBD" w14:textId="518F51C6" w:rsidR="0043577F" w:rsidRDefault="0043577F" w:rsidP="003A58FF"/>
    <w:p w14:paraId="77247187" w14:textId="4C2451D6" w:rsidR="00261A4C" w:rsidRDefault="00261A4C" w:rsidP="003A58FF"/>
    <w:p w14:paraId="28645A15" w14:textId="461CA291" w:rsidR="00261A4C" w:rsidRDefault="00261A4C" w:rsidP="003A58FF"/>
    <w:p w14:paraId="539566B9" w14:textId="263AEF18" w:rsidR="00261A4C" w:rsidRDefault="00261A4C" w:rsidP="003A58FF"/>
    <w:p w14:paraId="3DF32617" w14:textId="39EEBA3B" w:rsidR="00261A4C" w:rsidRDefault="00261A4C" w:rsidP="003A58FF"/>
    <w:p w14:paraId="166B4A78" w14:textId="0A244F70" w:rsidR="00261A4C" w:rsidRDefault="00261A4C" w:rsidP="003A58FF"/>
    <w:p w14:paraId="2E082845" w14:textId="496024C4" w:rsidR="00261A4C" w:rsidRDefault="00261A4C" w:rsidP="003A58FF"/>
    <w:p w14:paraId="086F500B" w14:textId="7C87DCEC" w:rsidR="00261A4C" w:rsidRDefault="00261A4C" w:rsidP="003A58FF"/>
    <w:p w14:paraId="03334871" w14:textId="55116A20" w:rsidR="00261A4C" w:rsidRDefault="00261A4C" w:rsidP="003A58FF"/>
    <w:p w14:paraId="182130C2" w14:textId="69B3D211" w:rsidR="00261A4C" w:rsidRDefault="00261A4C" w:rsidP="003A58FF"/>
    <w:p w14:paraId="328EB99B" w14:textId="35EDE5A2" w:rsidR="00261A4C" w:rsidRDefault="00261A4C" w:rsidP="003A58FF"/>
    <w:p w14:paraId="028F4D33" w14:textId="35CC66E5" w:rsidR="00261A4C" w:rsidRDefault="00261A4C" w:rsidP="003A58FF"/>
    <w:p w14:paraId="7D94355B" w14:textId="56A01EB1" w:rsidR="00261A4C" w:rsidRDefault="00261A4C" w:rsidP="003A58FF"/>
    <w:p w14:paraId="57C6470A" w14:textId="1B187CD0" w:rsidR="00261A4C" w:rsidRDefault="00261A4C" w:rsidP="003A58FF"/>
    <w:p w14:paraId="1AA4FD88" w14:textId="77777777" w:rsidR="0024479B" w:rsidRDefault="0024479B" w:rsidP="00136AEB"/>
    <w:p w14:paraId="1531E09C" w14:textId="77777777" w:rsidR="0024479B" w:rsidRPr="00136AEB" w:rsidRDefault="0024479B" w:rsidP="00136AEB"/>
    <w:p w14:paraId="55505A2D" w14:textId="57A88A34" w:rsidR="000C43C5" w:rsidRPr="00AA71BF" w:rsidRDefault="00C138EB" w:rsidP="00CB702D">
      <w:pPr>
        <w:pStyle w:val="Titre1"/>
        <w:rPr>
          <w:b/>
          <w:bCs/>
          <w:color w:val="1F4E79" w:themeColor="accent5" w:themeShade="80"/>
          <w:lang w:val="fr-CI"/>
        </w:rPr>
      </w:pPr>
      <w:bookmarkStart w:id="1" w:name="_Toc139363434"/>
      <w:r w:rsidRPr="00AA71BF">
        <w:rPr>
          <w:b/>
          <w:bCs/>
          <w:color w:val="1F4E79" w:themeColor="accent5" w:themeShade="80"/>
          <w:lang w:val="fr-CI"/>
        </w:rPr>
        <w:lastRenderedPageBreak/>
        <w:t>Introduction et Contexte</w:t>
      </w:r>
      <w:bookmarkEnd w:id="1"/>
    </w:p>
    <w:p w14:paraId="007E7849" w14:textId="77777777" w:rsidR="002C74D9" w:rsidRPr="00CB702D" w:rsidRDefault="002C74D9" w:rsidP="00CB702D">
      <w:pPr>
        <w:pStyle w:val="Titre2"/>
      </w:pPr>
    </w:p>
    <w:p w14:paraId="3C79E2A8" w14:textId="1F1B970C" w:rsidR="00534A4B" w:rsidRPr="00BD0A97" w:rsidRDefault="002C74D9" w:rsidP="00CB702D">
      <w:pPr>
        <w:pStyle w:val="Titre2"/>
        <w:rPr>
          <w:rStyle w:val="Accentuationintense"/>
          <w:b/>
          <w:bCs/>
          <w:i w:val="0"/>
          <w:iCs w:val="0"/>
          <w:color w:val="2F5496" w:themeColor="accent1" w:themeShade="BF"/>
          <w:sz w:val="28"/>
          <w:szCs w:val="28"/>
        </w:rPr>
      </w:pPr>
      <w:bookmarkStart w:id="2" w:name="_Toc139363435"/>
      <w:r w:rsidRPr="00BD0A97">
        <w:rPr>
          <w:b/>
          <w:bCs/>
          <w:sz w:val="28"/>
          <w:szCs w:val="28"/>
        </w:rPr>
        <w:t>1.</w:t>
      </w:r>
      <w:r w:rsidR="00D370F9" w:rsidRPr="00BD0A97">
        <w:rPr>
          <w:rStyle w:val="Accentuationintense"/>
          <w:b/>
          <w:bCs/>
          <w:i w:val="0"/>
          <w:iCs w:val="0"/>
          <w:color w:val="2F5496" w:themeColor="accent1" w:themeShade="BF"/>
          <w:sz w:val="28"/>
          <w:szCs w:val="28"/>
        </w:rPr>
        <w:t>Introduction</w:t>
      </w:r>
      <w:bookmarkEnd w:id="2"/>
      <w:r w:rsidR="00D370F9" w:rsidRPr="00BD0A97">
        <w:rPr>
          <w:rStyle w:val="Accentuationintense"/>
          <w:b/>
          <w:bCs/>
          <w:i w:val="0"/>
          <w:iCs w:val="0"/>
          <w:color w:val="2F5496" w:themeColor="accent1" w:themeShade="BF"/>
          <w:sz w:val="28"/>
          <w:szCs w:val="28"/>
        </w:rPr>
        <w:t xml:space="preserve"> </w:t>
      </w:r>
    </w:p>
    <w:p w14:paraId="20C4B852" w14:textId="3A3A0AD9" w:rsidR="0048717B" w:rsidRPr="00B508BE" w:rsidRDefault="0048717B" w:rsidP="00B508BE">
      <w:pPr>
        <w:jc w:val="both"/>
        <w:rPr>
          <w:rFonts w:ascii="Times New Roman" w:eastAsia="Times New Roman" w:hAnsi="Times New Roman" w:cs="Times New Roman"/>
          <w:sz w:val="24"/>
          <w:szCs w:val="24"/>
        </w:rPr>
      </w:pPr>
      <w:bookmarkStart w:id="3" w:name="_Hlk139383435"/>
      <w:r w:rsidRPr="00B508BE">
        <w:rPr>
          <w:rFonts w:ascii="Times New Roman" w:eastAsia="Times New Roman" w:hAnsi="Times New Roman" w:cs="Times New Roman"/>
          <w:sz w:val="24"/>
          <w:szCs w:val="24"/>
        </w:rPr>
        <w:t xml:space="preserve">Les Perspectives </w:t>
      </w:r>
      <w:r w:rsidR="00B508BE">
        <w:rPr>
          <w:rFonts w:ascii="Times New Roman" w:eastAsia="Times New Roman" w:hAnsi="Times New Roman" w:cs="Times New Roman"/>
          <w:sz w:val="24"/>
          <w:szCs w:val="24"/>
        </w:rPr>
        <w:t xml:space="preserve">mondiales du financement de développement </w:t>
      </w:r>
      <w:r w:rsidRPr="00B508BE">
        <w:rPr>
          <w:rFonts w:ascii="Times New Roman" w:eastAsia="Times New Roman" w:hAnsi="Times New Roman" w:cs="Times New Roman"/>
          <w:sz w:val="24"/>
          <w:szCs w:val="24"/>
        </w:rPr>
        <w:t xml:space="preserve">de ces dernières années ont été fortement </w:t>
      </w:r>
      <w:r w:rsidR="00E52D65">
        <w:rPr>
          <w:rFonts w:ascii="Times New Roman" w:eastAsia="Times New Roman" w:hAnsi="Times New Roman" w:cs="Times New Roman"/>
          <w:sz w:val="24"/>
          <w:szCs w:val="24"/>
        </w:rPr>
        <w:t>compromises</w:t>
      </w:r>
      <w:r w:rsidR="00E52D65" w:rsidRPr="00B508BE">
        <w:rPr>
          <w:rFonts w:ascii="Times New Roman" w:eastAsia="Times New Roman" w:hAnsi="Times New Roman" w:cs="Times New Roman"/>
          <w:sz w:val="24"/>
          <w:szCs w:val="24"/>
        </w:rPr>
        <w:t xml:space="preserve"> </w:t>
      </w:r>
      <w:r w:rsidRPr="00B508BE">
        <w:rPr>
          <w:rFonts w:ascii="Times New Roman" w:eastAsia="Times New Roman" w:hAnsi="Times New Roman" w:cs="Times New Roman"/>
          <w:sz w:val="24"/>
          <w:szCs w:val="24"/>
        </w:rPr>
        <w:t xml:space="preserve">par </w:t>
      </w:r>
      <w:r w:rsidR="00B508BE">
        <w:rPr>
          <w:rFonts w:ascii="Times New Roman" w:eastAsia="Times New Roman" w:hAnsi="Times New Roman" w:cs="Times New Roman"/>
          <w:sz w:val="24"/>
          <w:szCs w:val="24"/>
        </w:rPr>
        <w:t>l</w:t>
      </w:r>
      <w:r w:rsidRPr="00B508BE">
        <w:rPr>
          <w:rFonts w:ascii="Times New Roman" w:eastAsia="Times New Roman" w:hAnsi="Times New Roman" w:cs="Times New Roman"/>
          <w:sz w:val="24"/>
          <w:szCs w:val="24"/>
        </w:rPr>
        <w:t>a</w:t>
      </w:r>
      <w:r w:rsidR="00F44485">
        <w:rPr>
          <w:rFonts w:ascii="Times New Roman" w:eastAsia="Times New Roman" w:hAnsi="Times New Roman" w:cs="Times New Roman"/>
          <w:sz w:val="24"/>
          <w:szCs w:val="24"/>
        </w:rPr>
        <w:t xml:space="preserve"> </w:t>
      </w:r>
      <w:r w:rsidR="00386E58">
        <w:rPr>
          <w:rFonts w:ascii="Times New Roman" w:eastAsia="Times New Roman" w:hAnsi="Times New Roman" w:cs="Times New Roman"/>
          <w:sz w:val="24"/>
          <w:szCs w:val="24"/>
        </w:rPr>
        <w:t>p</w:t>
      </w:r>
      <w:r w:rsidR="001E0185" w:rsidRPr="00B508BE">
        <w:rPr>
          <w:rFonts w:ascii="Times New Roman" w:eastAsia="Times New Roman" w:hAnsi="Times New Roman" w:cs="Times New Roman"/>
          <w:sz w:val="24"/>
          <w:szCs w:val="24"/>
        </w:rPr>
        <w:t>andémie</w:t>
      </w:r>
      <w:r w:rsidRPr="00B508BE">
        <w:rPr>
          <w:rFonts w:ascii="Times New Roman" w:eastAsia="Times New Roman" w:hAnsi="Times New Roman" w:cs="Times New Roman"/>
          <w:sz w:val="24"/>
          <w:szCs w:val="24"/>
        </w:rPr>
        <w:t xml:space="preserve"> à Coronavirus 19 et </w:t>
      </w:r>
      <w:r w:rsidR="00045EB2">
        <w:rPr>
          <w:rFonts w:ascii="Times New Roman" w:eastAsia="Times New Roman" w:hAnsi="Times New Roman" w:cs="Times New Roman"/>
          <w:sz w:val="24"/>
          <w:szCs w:val="24"/>
        </w:rPr>
        <w:t>la persistance de nombreuses crises et catastrophes y compris les effets du changement climatique. L</w:t>
      </w:r>
      <w:r w:rsidRPr="00B508BE">
        <w:rPr>
          <w:rFonts w:ascii="Times New Roman" w:eastAsia="Times New Roman" w:hAnsi="Times New Roman" w:cs="Times New Roman"/>
          <w:sz w:val="24"/>
          <w:szCs w:val="24"/>
        </w:rPr>
        <w:t xml:space="preserve">a </w:t>
      </w:r>
      <w:r w:rsidR="00045EB2">
        <w:rPr>
          <w:rFonts w:ascii="Times New Roman" w:eastAsia="Times New Roman" w:hAnsi="Times New Roman" w:cs="Times New Roman"/>
          <w:sz w:val="24"/>
          <w:szCs w:val="24"/>
        </w:rPr>
        <w:t xml:space="preserve">récente </w:t>
      </w:r>
      <w:r w:rsidRPr="00B508BE">
        <w:rPr>
          <w:rFonts w:ascii="Times New Roman" w:eastAsia="Times New Roman" w:hAnsi="Times New Roman" w:cs="Times New Roman"/>
          <w:sz w:val="24"/>
          <w:szCs w:val="24"/>
        </w:rPr>
        <w:t xml:space="preserve">crise </w:t>
      </w:r>
      <w:r w:rsidR="000335BC" w:rsidRPr="00B508BE">
        <w:rPr>
          <w:rFonts w:ascii="Times New Roman" w:eastAsia="Times New Roman" w:hAnsi="Times New Roman" w:cs="Times New Roman"/>
          <w:sz w:val="24"/>
          <w:szCs w:val="24"/>
        </w:rPr>
        <w:t>Ukrainienne</w:t>
      </w:r>
      <w:r w:rsidR="00045EB2">
        <w:rPr>
          <w:rFonts w:ascii="Times New Roman" w:eastAsia="Times New Roman" w:hAnsi="Times New Roman" w:cs="Times New Roman"/>
          <w:sz w:val="24"/>
          <w:szCs w:val="24"/>
        </w:rPr>
        <w:t xml:space="preserve"> et ses conséquences sur l’économie mondiale contribue à </w:t>
      </w:r>
      <w:r w:rsidRPr="00B508BE">
        <w:rPr>
          <w:rFonts w:ascii="Times New Roman" w:eastAsia="Times New Roman" w:hAnsi="Times New Roman" w:cs="Times New Roman"/>
          <w:sz w:val="24"/>
          <w:szCs w:val="24"/>
        </w:rPr>
        <w:t>exacerb</w:t>
      </w:r>
      <w:r w:rsidR="00045EB2">
        <w:rPr>
          <w:rFonts w:ascii="Times New Roman" w:eastAsia="Times New Roman" w:hAnsi="Times New Roman" w:cs="Times New Roman"/>
          <w:sz w:val="24"/>
          <w:szCs w:val="24"/>
        </w:rPr>
        <w:t>er</w:t>
      </w:r>
      <w:r w:rsidRPr="00B508BE">
        <w:rPr>
          <w:rFonts w:ascii="Times New Roman" w:eastAsia="Times New Roman" w:hAnsi="Times New Roman" w:cs="Times New Roman"/>
          <w:sz w:val="24"/>
          <w:szCs w:val="24"/>
        </w:rPr>
        <w:t xml:space="preserve"> le déficit de financement des Objectifs de développement durable (ODD) dans les pays en développement,</w:t>
      </w:r>
      <w:r w:rsidR="001E0185" w:rsidRPr="00B508BE">
        <w:rPr>
          <w:rFonts w:ascii="Times New Roman" w:eastAsia="Times New Roman" w:hAnsi="Times New Roman" w:cs="Times New Roman"/>
          <w:sz w:val="24"/>
          <w:szCs w:val="24"/>
        </w:rPr>
        <w:t xml:space="preserve"> et </w:t>
      </w:r>
      <w:r w:rsidR="005914A2">
        <w:rPr>
          <w:rFonts w:ascii="Times New Roman" w:eastAsia="Times New Roman" w:hAnsi="Times New Roman" w:cs="Times New Roman"/>
          <w:sz w:val="24"/>
          <w:szCs w:val="24"/>
        </w:rPr>
        <w:t>ont un impact négatif sur</w:t>
      </w:r>
      <w:r w:rsidR="001E0185" w:rsidRPr="00B508BE">
        <w:rPr>
          <w:rFonts w:ascii="Times New Roman" w:eastAsia="Times New Roman" w:hAnsi="Times New Roman" w:cs="Times New Roman"/>
          <w:sz w:val="24"/>
          <w:szCs w:val="24"/>
        </w:rPr>
        <w:t xml:space="preserve"> les différents systèmes économiques</w:t>
      </w:r>
      <w:r w:rsidR="005914A2">
        <w:rPr>
          <w:rFonts w:ascii="Times New Roman" w:eastAsia="Times New Roman" w:hAnsi="Times New Roman" w:cs="Times New Roman"/>
          <w:sz w:val="24"/>
          <w:szCs w:val="24"/>
        </w:rPr>
        <w:t xml:space="preserve"> et</w:t>
      </w:r>
      <w:r w:rsidR="001E0185" w:rsidRPr="00B508BE">
        <w:rPr>
          <w:rFonts w:ascii="Times New Roman" w:eastAsia="Times New Roman" w:hAnsi="Times New Roman" w:cs="Times New Roman"/>
          <w:sz w:val="24"/>
          <w:szCs w:val="24"/>
        </w:rPr>
        <w:t xml:space="preserve"> financiers</w:t>
      </w:r>
      <w:r w:rsidR="000335BC">
        <w:rPr>
          <w:rFonts w:ascii="Times New Roman" w:eastAsia="Times New Roman" w:hAnsi="Times New Roman" w:cs="Times New Roman"/>
          <w:sz w:val="24"/>
          <w:szCs w:val="24"/>
        </w:rPr>
        <w:t>. Ce qui</w:t>
      </w:r>
      <w:r w:rsidR="001E0185" w:rsidRPr="00B508BE">
        <w:rPr>
          <w:rFonts w:ascii="Times New Roman" w:eastAsia="Times New Roman" w:hAnsi="Times New Roman" w:cs="Times New Roman"/>
          <w:sz w:val="24"/>
          <w:szCs w:val="24"/>
        </w:rPr>
        <w:t xml:space="preserve"> </w:t>
      </w:r>
      <w:r w:rsidR="000335BC" w:rsidRPr="00B508BE">
        <w:rPr>
          <w:rFonts w:ascii="Times New Roman" w:eastAsia="Times New Roman" w:hAnsi="Times New Roman" w:cs="Times New Roman"/>
          <w:sz w:val="24"/>
          <w:szCs w:val="24"/>
        </w:rPr>
        <w:t>limit</w:t>
      </w:r>
      <w:r w:rsidR="00751DDA">
        <w:rPr>
          <w:rFonts w:ascii="Times New Roman" w:eastAsia="Times New Roman" w:hAnsi="Times New Roman" w:cs="Times New Roman"/>
          <w:sz w:val="24"/>
          <w:szCs w:val="24"/>
        </w:rPr>
        <w:t>e</w:t>
      </w:r>
      <w:r w:rsidR="001E0185" w:rsidRPr="00B508BE">
        <w:rPr>
          <w:rFonts w:ascii="Times New Roman" w:eastAsia="Times New Roman" w:hAnsi="Times New Roman" w:cs="Times New Roman"/>
          <w:sz w:val="24"/>
          <w:szCs w:val="24"/>
        </w:rPr>
        <w:t xml:space="preserve"> </w:t>
      </w:r>
      <w:r w:rsidR="005914A2">
        <w:rPr>
          <w:rFonts w:ascii="Times New Roman" w:eastAsia="Times New Roman" w:hAnsi="Times New Roman" w:cs="Times New Roman"/>
          <w:sz w:val="24"/>
          <w:szCs w:val="24"/>
        </w:rPr>
        <w:t>la mobilisation de</w:t>
      </w:r>
      <w:r w:rsidR="001E0185" w:rsidRPr="00B508BE">
        <w:rPr>
          <w:rFonts w:ascii="Times New Roman" w:eastAsia="Times New Roman" w:hAnsi="Times New Roman" w:cs="Times New Roman"/>
          <w:sz w:val="24"/>
          <w:szCs w:val="24"/>
        </w:rPr>
        <w:t xml:space="preserve"> ressources </w:t>
      </w:r>
      <w:r w:rsidR="005914A2">
        <w:rPr>
          <w:rFonts w:ascii="Times New Roman" w:eastAsia="Times New Roman" w:hAnsi="Times New Roman" w:cs="Times New Roman"/>
          <w:sz w:val="24"/>
          <w:szCs w:val="24"/>
        </w:rPr>
        <w:t xml:space="preserve">nationales </w:t>
      </w:r>
      <w:r w:rsidR="001E0185" w:rsidRPr="00B508BE">
        <w:rPr>
          <w:rFonts w:ascii="Times New Roman" w:eastAsia="Times New Roman" w:hAnsi="Times New Roman" w:cs="Times New Roman"/>
          <w:sz w:val="24"/>
          <w:szCs w:val="24"/>
        </w:rPr>
        <w:t>nécessaires</w:t>
      </w:r>
      <w:r w:rsidR="000335BC">
        <w:rPr>
          <w:rFonts w:ascii="Times New Roman" w:eastAsia="Times New Roman" w:hAnsi="Times New Roman" w:cs="Times New Roman"/>
          <w:sz w:val="24"/>
          <w:szCs w:val="24"/>
        </w:rPr>
        <w:t xml:space="preserve"> pour le développement</w:t>
      </w:r>
      <w:r w:rsidR="00751DDA">
        <w:rPr>
          <w:rFonts w:ascii="Times New Roman" w:eastAsia="Times New Roman" w:hAnsi="Times New Roman" w:cs="Times New Roman"/>
          <w:sz w:val="24"/>
          <w:szCs w:val="24"/>
        </w:rPr>
        <w:t>,</w:t>
      </w:r>
      <w:r w:rsidR="000335BC">
        <w:rPr>
          <w:rFonts w:ascii="Times New Roman" w:eastAsia="Times New Roman" w:hAnsi="Times New Roman" w:cs="Times New Roman"/>
          <w:sz w:val="24"/>
          <w:szCs w:val="24"/>
        </w:rPr>
        <w:t xml:space="preserve"> </w:t>
      </w:r>
      <w:r w:rsidR="00751DDA">
        <w:rPr>
          <w:rFonts w:ascii="Times New Roman" w:eastAsia="Times New Roman" w:hAnsi="Times New Roman" w:cs="Times New Roman"/>
          <w:sz w:val="24"/>
          <w:szCs w:val="24"/>
        </w:rPr>
        <w:t>et compromet</w:t>
      </w:r>
      <w:r w:rsidR="000335BC">
        <w:rPr>
          <w:rFonts w:ascii="Times New Roman" w:eastAsia="Times New Roman" w:hAnsi="Times New Roman" w:cs="Times New Roman"/>
          <w:sz w:val="24"/>
          <w:szCs w:val="24"/>
        </w:rPr>
        <w:t xml:space="preserve"> la possibilité </w:t>
      </w:r>
      <w:r w:rsidR="001E0185" w:rsidRPr="00B508BE">
        <w:rPr>
          <w:rFonts w:ascii="Times New Roman" w:eastAsia="Times New Roman" w:hAnsi="Times New Roman" w:cs="Times New Roman"/>
          <w:sz w:val="24"/>
          <w:szCs w:val="24"/>
        </w:rPr>
        <w:t>po</w:t>
      </w:r>
      <w:r w:rsidR="000335BC">
        <w:rPr>
          <w:rFonts w:ascii="Times New Roman" w:eastAsia="Times New Roman" w:hAnsi="Times New Roman" w:cs="Times New Roman"/>
          <w:sz w:val="24"/>
          <w:szCs w:val="24"/>
        </w:rPr>
        <w:t>ur</w:t>
      </w:r>
      <w:r w:rsidR="001E0185" w:rsidRPr="00B508BE">
        <w:rPr>
          <w:rFonts w:ascii="Times New Roman" w:eastAsia="Times New Roman" w:hAnsi="Times New Roman" w:cs="Times New Roman"/>
          <w:sz w:val="24"/>
          <w:szCs w:val="24"/>
        </w:rPr>
        <w:t xml:space="preserve"> le</w:t>
      </w:r>
      <w:r w:rsidR="00751DDA">
        <w:rPr>
          <w:rFonts w:ascii="Times New Roman" w:eastAsia="Times New Roman" w:hAnsi="Times New Roman" w:cs="Times New Roman"/>
          <w:sz w:val="24"/>
          <w:szCs w:val="24"/>
        </w:rPr>
        <w:t>s Partenaires Techniques et Financiers en occurrence le Programme de Nations Unies pour le Development (</w:t>
      </w:r>
      <w:r w:rsidR="001E0185" w:rsidRPr="00B508BE">
        <w:rPr>
          <w:rFonts w:ascii="Times New Roman" w:eastAsia="Times New Roman" w:hAnsi="Times New Roman" w:cs="Times New Roman"/>
          <w:sz w:val="24"/>
          <w:szCs w:val="24"/>
        </w:rPr>
        <w:t>PNUD</w:t>
      </w:r>
      <w:r w:rsidR="00751DDA">
        <w:rPr>
          <w:rFonts w:ascii="Times New Roman" w:eastAsia="Times New Roman" w:hAnsi="Times New Roman" w:cs="Times New Roman"/>
          <w:sz w:val="24"/>
          <w:szCs w:val="24"/>
        </w:rPr>
        <w:t>)</w:t>
      </w:r>
      <w:r w:rsidR="000335BC">
        <w:rPr>
          <w:rFonts w:ascii="Times New Roman" w:eastAsia="Times New Roman" w:hAnsi="Times New Roman" w:cs="Times New Roman"/>
          <w:sz w:val="24"/>
          <w:szCs w:val="24"/>
        </w:rPr>
        <w:t>, d’appuyer convenablement les pays.</w:t>
      </w:r>
      <w:r w:rsidR="001E0185" w:rsidRPr="00B508BE">
        <w:rPr>
          <w:rFonts w:ascii="Times New Roman" w:eastAsia="Times New Roman" w:hAnsi="Times New Roman" w:cs="Times New Roman"/>
          <w:sz w:val="24"/>
          <w:szCs w:val="24"/>
        </w:rPr>
        <w:t xml:space="preserve"> </w:t>
      </w:r>
    </w:p>
    <w:p w14:paraId="7BC1CB4E" w14:textId="6FC70A6D" w:rsidR="00A94CC6" w:rsidRDefault="002016F3" w:rsidP="000D1BE6">
      <w:pPr>
        <w:jc w:val="both"/>
        <w:rPr>
          <w:rFonts w:ascii="Times New Roman" w:eastAsia="Times New Roman" w:hAnsi="Times New Roman" w:cs="Times New Roman"/>
          <w:sz w:val="24"/>
          <w:szCs w:val="24"/>
        </w:rPr>
      </w:pPr>
      <w:r w:rsidRPr="00B508BE">
        <w:rPr>
          <w:rFonts w:ascii="Times New Roman" w:eastAsia="Times New Roman" w:hAnsi="Times New Roman" w:cs="Times New Roman"/>
          <w:sz w:val="24"/>
          <w:szCs w:val="24"/>
        </w:rPr>
        <w:t xml:space="preserve">Dans ce contexte de </w:t>
      </w:r>
      <w:r w:rsidR="005914A2">
        <w:rPr>
          <w:rFonts w:ascii="Times New Roman" w:eastAsia="Times New Roman" w:hAnsi="Times New Roman" w:cs="Times New Roman"/>
          <w:sz w:val="24"/>
          <w:szCs w:val="24"/>
        </w:rPr>
        <w:t>rareté des ressources</w:t>
      </w:r>
      <w:r w:rsidRPr="00B508BE">
        <w:rPr>
          <w:rFonts w:ascii="Times New Roman" w:eastAsia="Times New Roman" w:hAnsi="Times New Roman" w:cs="Times New Roman"/>
          <w:sz w:val="24"/>
          <w:szCs w:val="24"/>
        </w:rPr>
        <w:t xml:space="preserve">, marqué par </w:t>
      </w:r>
      <w:r w:rsidR="000335BC">
        <w:rPr>
          <w:rFonts w:ascii="Times New Roman" w:eastAsia="Times New Roman" w:hAnsi="Times New Roman" w:cs="Times New Roman"/>
          <w:sz w:val="24"/>
          <w:szCs w:val="24"/>
        </w:rPr>
        <w:t>des risques</w:t>
      </w:r>
      <w:r w:rsidRPr="00B508BE">
        <w:rPr>
          <w:rFonts w:ascii="Times New Roman" w:eastAsia="Times New Roman" w:hAnsi="Times New Roman" w:cs="Times New Roman"/>
          <w:sz w:val="24"/>
          <w:szCs w:val="24"/>
        </w:rPr>
        <w:t xml:space="preserve"> </w:t>
      </w:r>
      <w:r w:rsidR="00FE6735">
        <w:rPr>
          <w:rFonts w:ascii="Times New Roman" w:eastAsia="Times New Roman" w:hAnsi="Times New Roman" w:cs="Times New Roman"/>
          <w:sz w:val="24"/>
          <w:szCs w:val="24"/>
        </w:rPr>
        <w:t>de restriction</w:t>
      </w:r>
      <w:r w:rsidR="00FE6735" w:rsidRPr="00B508BE">
        <w:rPr>
          <w:rFonts w:ascii="Times New Roman" w:eastAsia="Times New Roman" w:hAnsi="Times New Roman" w:cs="Times New Roman"/>
          <w:sz w:val="24"/>
          <w:szCs w:val="24"/>
        </w:rPr>
        <w:t xml:space="preserve"> </w:t>
      </w:r>
      <w:r w:rsidRPr="00B508BE">
        <w:rPr>
          <w:rFonts w:ascii="Times New Roman" w:eastAsia="Times New Roman" w:hAnsi="Times New Roman" w:cs="Times New Roman"/>
          <w:sz w:val="24"/>
          <w:szCs w:val="24"/>
        </w:rPr>
        <w:t xml:space="preserve">des financements </w:t>
      </w:r>
      <w:r w:rsidR="000335BC">
        <w:rPr>
          <w:rFonts w:ascii="Times New Roman" w:eastAsia="Times New Roman" w:hAnsi="Times New Roman" w:cs="Times New Roman"/>
          <w:sz w:val="24"/>
          <w:szCs w:val="24"/>
        </w:rPr>
        <w:t xml:space="preserve">des </w:t>
      </w:r>
      <w:r w:rsidR="00456BF3" w:rsidRPr="00B508BE">
        <w:rPr>
          <w:rFonts w:ascii="Times New Roman" w:eastAsia="Times New Roman" w:hAnsi="Times New Roman" w:cs="Times New Roman"/>
          <w:sz w:val="24"/>
          <w:szCs w:val="24"/>
        </w:rPr>
        <w:t>bailleurs</w:t>
      </w:r>
      <w:r w:rsidR="000335BC">
        <w:rPr>
          <w:rFonts w:ascii="Times New Roman" w:eastAsia="Times New Roman" w:hAnsi="Times New Roman" w:cs="Times New Roman"/>
          <w:sz w:val="24"/>
          <w:szCs w:val="24"/>
        </w:rPr>
        <w:t xml:space="preserve"> traditionnels (</w:t>
      </w:r>
      <w:r w:rsidR="000D1BE6" w:rsidRPr="00B508BE">
        <w:rPr>
          <w:rFonts w:ascii="Times New Roman" w:eastAsia="Times New Roman" w:hAnsi="Times New Roman" w:cs="Times New Roman"/>
          <w:sz w:val="24"/>
          <w:szCs w:val="24"/>
        </w:rPr>
        <w:t>multilatéraux</w:t>
      </w:r>
      <w:r w:rsidRPr="00B508BE">
        <w:rPr>
          <w:rFonts w:ascii="Times New Roman" w:eastAsia="Times New Roman" w:hAnsi="Times New Roman" w:cs="Times New Roman"/>
          <w:sz w:val="24"/>
          <w:szCs w:val="24"/>
        </w:rPr>
        <w:t xml:space="preserve"> et </w:t>
      </w:r>
      <w:r w:rsidR="000D1BE6" w:rsidRPr="00B508BE">
        <w:rPr>
          <w:rFonts w:ascii="Times New Roman" w:eastAsia="Times New Roman" w:hAnsi="Times New Roman" w:cs="Times New Roman"/>
          <w:sz w:val="24"/>
          <w:szCs w:val="24"/>
        </w:rPr>
        <w:t>bilatéraux</w:t>
      </w:r>
      <w:r w:rsidR="000335BC">
        <w:rPr>
          <w:rFonts w:ascii="Times New Roman" w:eastAsia="Times New Roman" w:hAnsi="Times New Roman" w:cs="Times New Roman"/>
          <w:sz w:val="24"/>
          <w:szCs w:val="24"/>
        </w:rPr>
        <w:t xml:space="preserve"> et privés), </w:t>
      </w:r>
      <w:r w:rsidR="00333084">
        <w:rPr>
          <w:rFonts w:ascii="Times New Roman" w:eastAsia="Times New Roman" w:hAnsi="Times New Roman" w:cs="Times New Roman"/>
          <w:sz w:val="24"/>
          <w:szCs w:val="24"/>
        </w:rPr>
        <w:t>ajoutée aux</w:t>
      </w:r>
      <w:r w:rsidR="000335BC">
        <w:rPr>
          <w:rFonts w:ascii="Times New Roman" w:eastAsia="Times New Roman" w:hAnsi="Times New Roman" w:cs="Times New Roman"/>
          <w:sz w:val="24"/>
          <w:szCs w:val="24"/>
        </w:rPr>
        <w:t xml:space="preserve"> innombrables </w:t>
      </w:r>
      <w:r w:rsidRPr="00B508BE">
        <w:rPr>
          <w:rFonts w:ascii="Times New Roman" w:eastAsia="Times New Roman" w:hAnsi="Times New Roman" w:cs="Times New Roman"/>
          <w:sz w:val="24"/>
          <w:szCs w:val="24"/>
        </w:rPr>
        <w:t xml:space="preserve">défis </w:t>
      </w:r>
      <w:r w:rsidR="000335BC">
        <w:rPr>
          <w:rFonts w:ascii="Times New Roman" w:eastAsia="Times New Roman" w:hAnsi="Times New Roman" w:cs="Times New Roman"/>
          <w:sz w:val="24"/>
          <w:szCs w:val="24"/>
        </w:rPr>
        <w:t>pour l’</w:t>
      </w:r>
      <w:r w:rsidRPr="00B508BE">
        <w:rPr>
          <w:rFonts w:ascii="Times New Roman" w:eastAsia="Times New Roman" w:hAnsi="Times New Roman" w:cs="Times New Roman"/>
          <w:sz w:val="24"/>
          <w:szCs w:val="24"/>
        </w:rPr>
        <w:t>atteinte de l’agenda 2030</w:t>
      </w:r>
      <w:r w:rsidR="00F74E69">
        <w:rPr>
          <w:rFonts w:ascii="Times New Roman" w:eastAsia="Times New Roman" w:hAnsi="Times New Roman" w:cs="Times New Roman"/>
          <w:sz w:val="24"/>
          <w:szCs w:val="24"/>
        </w:rPr>
        <w:t xml:space="preserve">, </w:t>
      </w:r>
      <w:r w:rsidR="00DE1466" w:rsidRPr="00B508BE">
        <w:rPr>
          <w:rFonts w:ascii="Times New Roman" w:eastAsia="Times New Roman" w:hAnsi="Times New Roman" w:cs="Times New Roman"/>
          <w:sz w:val="24"/>
          <w:szCs w:val="24"/>
        </w:rPr>
        <w:t>il</w:t>
      </w:r>
      <w:r w:rsidR="000D1BE6" w:rsidRPr="00B508BE">
        <w:rPr>
          <w:rFonts w:ascii="Times New Roman" w:eastAsia="Times New Roman" w:hAnsi="Times New Roman" w:cs="Times New Roman"/>
          <w:sz w:val="24"/>
          <w:szCs w:val="24"/>
        </w:rPr>
        <w:t xml:space="preserve"> importe pour le PNUD</w:t>
      </w:r>
      <w:r w:rsidR="00F74E69">
        <w:rPr>
          <w:rFonts w:ascii="Times New Roman" w:eastAsia="Times New Roman" w:hAnsi="Times New Roman" w:cs="Times New Roman"/>
          <w:sz w:val="24"/>
          <w:szCs w:val="24"/>
        </w:rPr>
        <w:t xml:space="preserve"> </w:t>
      </w:r>
      <w:r w:rsidR="00F74E69" w:rsidRPr="00B508BE">
        <w:rPr>
          <w:rFonts w:ascii="Times New Roman" w:eastAsia="Times New Roman" w:hAnsi="Times New Roman" w:cs="Times New Roman"/>
          <w:sz w:val="24"/>
          <w:szCs w:val="24"/>
        </w:rPr>
        <w:t>d</w:t>
      </w:r>
      <w:r w:rsidR="00F74E69">
        <w:rPr>
          <w:rFonts w:ascii="Times New Roman" w:eastAsia="Times New Roman" w:hAnsi="Times New Roman" w:cs="Times New Roman"/>
          <w:sz w:val="24"/>
          <w:szCs w:val="24"/>
        </w:rPr>
        <w:t>’</w:t>
      </w:r>
      <w:r w:rsidR="00F74E69" w:rsidRPr="00B508BE">
        <w:rPr>
          <w:rFonts w:ascii="Times New Roman" w:eastAsia="Times New Roman" w:hAnsi="Times New Roman" w:cs="Times New Roman"/>
          <w:sz w:val="24"/>
          <w:szCs w:val="24"/>
        </w:rPr>
        <w:t xml:space="preserve">actualiser </w:t>
      </w:r>
      <w:r w:rsidR="00F74E69">
        <w:rPr>
          <w:rFonts w:ascii="Times New Roman" w:eastAsia="Times New Roman" w:hAnsi="Times New Roman" w:cs="Times New Roman"/>
          <w:sz w:val="24"/>
          <w:szCs w:val="24"/>
        </w:rPr>
        <w:t xml:space="preserve">sa stratégie de mobilisation des ressources et des partenariats </w:t>
      </w:r>
      <w:r w:rsidR="00F74E69" w:rsidRPr="00B508BE">
        <w:rPr>
          <w:rFonts w:ascii="Times New Roman" w:eastAsia="Times New Roman" w:hAnsi="Times New Roman" w:cs="Times New Roman"/>
          <w:sz w:val="24"/>
          <w:szCs w:val="24"/>
        </w:rPr>
        <w:t>pour une plus grande efficacité de son action</w:t>
      </w:r>
      <w:r w:rsidR="00045EB2">
        <w:rPr>
          <w:rFonts w:ascii="Times New Roman" w:eastAsia="Times New Roman" w:hAnsi="Times New Roman" w:cs="Times New Roman"/>
          <w:sz w:val="24"/>
          <w:szCs w:val="24"/>
        </w:rPr>
        <w:t xml:space="preserve">. L’objectif ultime visé </w:t>
      </w:r>
      <w:r w:rsidR="00333084">
        <w:rPr>
          <w:rFonts w:ascii="Times New Roman" w:eastAsia="Times New Roman" w:hAnsi="Times New Roman" w:cs="Times New Roman"/>
          <w:sz w:val="24"/>
          <w:szCs w:val="24"/>
        </w:rPr>
        <w:t xml:space="preserve">est </w:t>
      </w:r>
      <w:r w:rsidR="00045EB2">
        <w:rPr>
          <w:rFonts w:ascii="Times New Roman" w:eastAsia="Times New Roman" w:hAnsi="Times New Roman" w:cs="Times New Roman"/>
          <w:sz w:val="24"/>
          <w:szCs w:val="24"/>
        </w:rPr>
        <w:t xml:space="preserve">de soutenir la levée des financements pour le développement et contribuer ainsi à la </w:t>
      </w:r>
      <w:r w:rsidR="00F74E69" w:rsidRPr="00F74E69">
        <w:rPr>
          <w:rFonts w:ascii="Times New Roman" w:eastAsia="Times New Roman" w:hAnsi="Times New Roman" w:cs="Times New Roman"/>
          <w:sz w:val="24"/>
          <w:szCs w:val="24"/>
        </w:rPr>
        <w:t>mobilis</w:t>
      </w:r>
      <w:r w:rsidR="000335BC">
        <w:rPr>
          <w:rFonts w:ascii="Times New Roman" w:eastAsia="Times New Roman" w:hAnsi="Times New Roman" w:cs="Times New Roman"/>
          <w:sz w:val="24"/>
          <w:szCs w:val="24"/>
        </w:rPr>
        <w:t>a</w:t>
      </w:r>
      <w:r w:rsidR="00045EB2">
        <w:rPr>
          <w:rFonts w:ascii="Times New Roman" w:eastAsia="Times New Roman" w:hAnsi="Times New Roman" w:cs="Times New Roman"/>
          <w:sz w:val="24"/>
          <w:szCs w:val="24"/>
        </w:rPr>
        <w:t>tion</w:t>
      </w:r>
      <w:r w:rsidR="00F74E69" w:rsidRPr="00F74E69">
        <w:rPr>
          <w:rFonts w:ascii="Times New Roman" w:eastAsia="Times New Roman" w:hAnsi="Times New Roman" w:cs="Times New Roman"/>
          <w:sz w:val="24"/>
          <w:szCs w:val="24"/>
        </w:rPr>
        <w:t xml:space="preserve"> </w:t>
      </w:r>
      <w:r w:rsidR="00045EB2">
        <w:rPr>
          <w:rFonts w:ascii="Times New Roman" w:eastAsia="Times New Roman" w:hAnsi="Times New Roman" w:cs="Times New Roman"/>
          <w:sz w:val="24"/>
          <w:szCs w:val="24"/>
        </w:rPr>
        <w:t>d’</w:t>
      </w:r>
      <w:r w:rsidR="00F74E69" w:rsidRPr="00F74E69">
        <w:rPr>
          <w:rFonts w:ascii="Times New Roman" w:eastAsia="Times New Roman" w:hAnsi="Times New Roman" w:cs="Times New Roman"/>
          <w:sz w:val="24"/>
          <w:szCs w:val="24"/>
        </w:rPr>
        <w:t>un volume plus important de ressources</w:t>
      </w:r>
      <w:r w:rsidR="000335BC">
        <w:rPr>
          <w:rFonts w:ascii="Times New Roman" w:eastAsia="Times New Roman" w:hAnsi="Times New Roman" w:cs="Times New Roman"/>
          <w:sz w:val="24"/>
          <w:szCs w:val="24"/>
        </w:rPr>
        <w:t xml:space="preserve"> qui seront</w:t>
      </w:r>
      <w:r w:rsidR="00F74E69" w:rsidRPr="00F74E69">
        <w:rPr>
          <w:rFonts w:ascii="Times New Roman" w:eastAsia="Times New Roman" w:hAnsi="Times New Roman" w:cs="Times New Roman"/>
          <w:sz w:val="24"/>
          <w:szCs w:val="24"/>
        </w:rPr>
        <w:t xml:space="preserve"> orient</w:t>
      </w:r>
      <w:r w:rsidR="000335BC">
        <w:rPr>
          <w:rFonts w:ascii="Times New Roman" w:eastAsia="Times New Roman" w:hAnsi="Times New Roman" w:cs="Times New Roman"/>
          <w:sz w:val="24"/>
          <w:szCs w:val="24"/>
        </w:rPr>
        <w:t>ées</w:t>
      </w:r>
      <w:r w:rsidR="00F74E69" w:rsidRPr="00F74E69">
        <w:rPr>
          <w:rFonts w:ascii="Times New Roman" w:eastAsia="Times New Roman" w:hAnsi="Times New Roman" w:cs="Times New Roman"/>
          <w:sz w:val="24"/>
          <w:szCs w:val="24"/>
        </w:rPr>
        <w:t xml:space="preserve"> </w:t>
      </w:r>
      <w:r w:rsidR="00333084">
        <w:rPr>
          <w:rFonts w:ascii="Times New Roman" w:eastAsia="Times New Roman" w:hAnsi="Times New Roman" w:cs="Times New Roman"/>
          <w:sz w:val="24"/>
          <w:szCs w:val="24"/>
        </w:rPr>
        <w:t>vers</w:t>
      </w:r>
      <w:r w:rsidR="00F74E69" w:rsidRPr="00F74E69">
        <w:rPr>
          <w:rFonts w:ascii="Times New Roman" w:eastAsia="Times New Roman" w:hAnsi="Times New Roman" w:cs="Times New Roman"/>
          <w:sz w:val="24"/>
          <w:szCs w:val="24"/>
        </w:rPr>
        <w:t xml:space="preserve"> les </w:t>
      </w:r>
      <w:r w:rsidR="00333084">
        <w:rPr>
          <w:rFonts w:ascii="Times New Roman" w:eastAsia="Times New Roman" w:hAnsi="Times New Roman" w:cs="Times New Roman"/>
          <w:sz w:val="24"/>
          <w:szCs w:val="24"/>
        </w:rPr>
        <w:t xml:space="preserve">cibles dont les </w:t>
      </w:r>
      <w:r w:rsidR="00F74E69" w:rsidRPr="00F74E69">
        <w:rPr>
          <w:rFonts w:ascii="Times New Roman" w:eastAsia="Times New Roman" w:hAnsi="Times New Roman" w:cs="Times New Roman"/>
          <w:sz w:val="24"/>
          <w:szCs w:val="24"/>
        </w:rPr>
        <w:t xml:space="preserve">besoins sont les plus importants et dans </w:t>
      </w:r>
      <w:r w:rsidR="00333084">
        <w:rPr>
          <w:rFonts w:ascii="Times New Roman" w:eastAsia="Times New Roman" w:hAnsi="Times New Roman" w:cs="Times New Roman"/>
          <w:sz w:val="24"/>
          <w:szCs w:val="24"/>
        </w:rPr>
        <w:t>d</w:t>
      </w:r>
      <w:r w:rsidR="00F74E69" w:rsidRPr="00F74E69">
        <w:rPr>
          <w:rFonts w:ascii="Times New Roman" w:eastAsia="Times New Roman" w:hAnsi="Times New Roman" w:cs="Times New Roman"/>
          <w:sz w:val="24"/>
          <w:szCs w:val="24"/>
        </w:rPr>
        <w:t xml:space="preserve">es activités à fort impact </w:t>
      </w:r>
      <w:r w:rsidR="00045EB2">
        <w:rPr>
          <w:rFonts w:ascii="Times New Roman" w:eastAsia="Times New Roman" w:hAnsi="Times New Roman" w:cs="Times New Roman"/>
          <w:sz w:val="24"/>
          <w:szCs w:val="24"/>
        </w:rPr>
        <w:t>sur l</w:t>
      </w:r>
      <w:r w:rsidR="00333084">
        <w:rPr>
          <w:rFonts w:ascii="Times New Roman" w:eastAsia="Times New Roman" w:hAnsi="Times New Roman" w:cs="Times New Roman"/>
          <w:sz w:val="24"/>
          <w:szCs w:val="24"/>
        </w:rPr>
        <w:t>a vie d</w:t>
      </w:r>
      <w:r w:rsidR="00045EB2">
        <w:rPr>
          <w:rFonts w:ascii="Times New Roman" w:eastAsia="Times New Roman" w:hAnsi="Times New Roman" w:cs="Times New Roman"/>
          <w:sz w:val="24"/>
          <w:szCs w:val="24"/>
        </w:rPr>
        <w:t>es communautés vulnérables</w:t>
      </w:r>
      <w:bookmarkEnd w:id="3"/>
      <w:r w:rsidR="000335BC">
        <w:rPr>
          <w:rFonts w:ascii="Times New Roman" w:eastAsia="Times New Roman" w:hAnsi="Times New Roman" w:cs="Times New Roman"/>
          <w:sz w:val="24"/>
          <w:szCs w:val="24"/>
        </w:rPr>
        <w:t>.</w:t>
      </w:r>
    </w:p>
    <w:p w14:paraId="32EAAE2B" w14:textId="7AA18AA6" w:rsidR="004533EE" w:rsidRDefault="002C3850" w:rsidP="0058233C">
      <w:pPr>
        <w:jc w:val="both"/>
      </w:pPr>
      <w:r>
        <w:rPr>
          <w:rFonts w:ascii="Times New Roman" w:eastAsia="Times New Roman" w:hAnsi="Times New Roman" w:cs="Times New Roman"/>
          <w:sz w:val="24"/>
          <w:szCs w:val="24"/>
        </w:rPr>
        <w:t>En Côte d’Ivoire,</w:t>
      </w:r>
      <w:r w:rsidR="00E57AE4" w:rsidRPr="00E57AE4">
        <w:rPr>
          <w:rFonts w:ascii="Times New Roman" w:eastAsia="Times New Roman" w:hAnsi="Times New Roman" w:cs="Times New Roman"/>
          <w:sz w:val="24"/>
          <w:szCs w:val="24"/>
        </w:rPr>
        <w:t xml:space="preserve"> le </w:t>
      </w:r>
      <w:r>
        <w:rPr>
          <w:rFonts w:ascii="Times New Roman" w:eastAsia="Times New Roman" w:hAnsi="Times New Roman" w:cs="Times New Roman"/>
          <w:sz w:val="24"/>
          <w:szCs w:val="24"/>
        </w:rPr>
        <w:t>G</w:t>
      </w:r>
      <w:r w:rsidR="00E57AE4" w:rsidRPr="00E57AE4">
        <w:rPr>
          <w:rFonts w:ascii="Times New Roman" w:eastAsia="Times New Roman" w:hAnsi="Times New Roman" w:cs="Times New Roman"/>
          <w:sz w:val="24"/>
          <w:szCs w:val="24"/>
        </w:rPr>
        <w:t xml:space="preserve">ouvernement a </w:t>
      </w:r>
      <w:r>
        <w:rPr>
          <w:rFonts w:ascii="Times New Roman" w:eastAsia="Times New Roman" w:hAnsi="Times New Roman" w:cs="Times New Roman"/>
          <w:sz w:val="24"/>
          <w:szCs w:val="24"/>
        </w:rPr>
        <w:t>entamé la mise en œuvre de son</w:t>
      </w:r>
      <w:r w:rsidR="00E57AE4" w:rsidRPr="00E57AE4">
        <w:rPr>
          <w:rFonts w:ascii="Times New Roman" w:eastAsia="Times New Roman" w:hAnsi="Times New Roman" w:cs="Times New Roman"/>
          <w:sz w:val="24"/>
          <w:szCs w:val="24"/>
        </w:rPr>
        <w:t xml:space="preserve"> </w:t>
      </w:r>
      <w:r w:rsidR="002C4301">
        <w:rPr>
          <w:rFonts w:ascii="Times New Roman" w:eastAsia="Times New Roman" w:hAnsi="Times New Roman" w:cs="Times New Roman"/>
          <w:sz w:val="24"/>
          <w:szCs w:val="24"/>
        </w:rPr>
        <w:t>3</w:t>
      </w:r>
      <w:r w:rsidR="002C4301" w:rsidRPr="002C4301">
        <w:rPr>
          <w:rFonts w:ascii="Times New Roman" w:eastAsia="Times New Roman" w:hAnsi="Times New Roman" w:cs="Times New Roman"/>
          <w:sz w:val="24"/>
          <w:szCs w:val="24"/>
          <w:vertAlign w:val="superscript"/>
        </w:rPr>
        <w:t>ème</w:t>
      </w:r>
      <w:r w:rsidR="002C4301">
        <w:rPr>
          <w:rFonts w:ascii="Times New Roman" w:eastAsia="Times New Roman" w:hAnsi="Times New Roman" w:cs="Times New Roman"/>
          <w:sz w:val="24"/>
          <w:szCs w:val="24"/>
        </w:rPr>
        <w:t xml:space="preserve"> </w:t>
      </w:r>
      <w:r w:rsidR="002C4301" w:rsidRPr="002C3850">
        <w:rPr>
          <w:rFonts w:ascii="Times New Roman" w:eastAsia="Times New Roman" w:hAnsi="Times New Roman" w:cs="Times New Roman"/>
          <w:sz w:val="24"/>
          <w:szCs w:val="24"/>
        </w:rPr>
        <w:t>Plan</w:t>
      </w:r>
      <w:r w:rsidRPr="002C3850">
        <w:rPr>
          <w:rFonts w:ascii="Times New Roman" w:eastAsia="Times New Roman" w:hAnsi="Times New Roman" w:cs="Times New Roman"/>
          <w:sz w:val="24"/>
          <w:szCs w:val="24"/>
        </w:rPr>
        <w:t xml:space="preserve"> National de Développement (PND </w:t>
      </w:r>
      <w:r w:rsidR="00E57AE4" w:rsidRPr="00E57AE4">
        <w:rPr>
          <w:rFonts w:ascii="Times New Roman" w:eastAsia="Times New Roman" w:hAnsi="Times New Roman" w:cs="Times New Roman"/>
          <w:sz w:val="24"/>
          <w:szCs w:val="24"/>
        </w:rPr>
        <w:t>2021-2025</w:t>
      </w:r>
      <w:r>
        <w:rPr>
          <w:rFonts w:ascii="Times New Roman" w:eastAsia="Times New Roman" w:hAnsi="Times New Roman" w:cs="Times New Roman"/>
          <w:sz w:val="24"/>
          <w:szCs w:val="24"/>
        </w:rPr>
        <w:t>)</w:t>
      </w:r>
      <w:r w:rsidR="00E57AE4" w:rsidRPr="00E57AE4">
        <w:rPr>
          <w:rFonts w:ascii="Times New Roman" w:eastAsia="Times New Roman" w:hAnsi="Times New Roman" w:cs="Times New Roman"/>
          <w:sz w:val="24"/>
          <w:szCs w:val="24"/>
        </w:rPr>
        <w:t xml:space="preserve"> qui vise à accélérer la transformation structurelle de l’économie, renforcer le développement inclusif, promouvoir le développement du capital humain, et tendre vers une gouvernance plus efficace et participative. </w:t>
      </w:r>
      <w:r w:rsidR="0018160C">
        <w:rPr>
          <w:rFonts w:ascii="Times New Roman" w:eastAsia="Times New Roman" w:hAnsi="Times New Roman" w:cs="Times New Roman"/>
          <w:sz w:val="24"/>
          <w:szCs w:val="24"/>
        </w:rPr>
        <w:t xml:space="preserve">Avec ce Plan, les Autorités ivoiriennes </w:t>
      </w:r>
      <w:r w:rsidR="00180798">
        <w:rPr>
          <w:rFonts w:ascii="Times New Roman" w:eastAsia="Times New Roman" w:hAnsi="Times New Roman" w:cs="Times New Roman"/>
          <w:sz w:val="24"/>
          <w:szCs w:val="24"/>
        </w:rPr>
        <w:t xml:space="preserve">visent à </w:t>
      </w:r>
      <w:r w:rsidR="002C4301" w:rsidRPr="002C4301">
        <w:rPr>
          <w:rFonts w:ascii="Times New Roman" w:eastAsia="Times New Roman" w:hAnsi="Times New Roman" w:cs="Times New Roman"/>
          <w:sz w:val="24"/>
          <w:szCs w:val="24"/>
        </w:rPr>
        <w:t>atteindre l’objectif décennal à l’horizon 2030</w:t>
      </w:r>
      <w:r w:rsidR="0018160C">
        <w:rPr>
          <w:rFonts w:ascii="Times New Roman" w:eastAsia="Times New Roman" w:hAnsi="Times New Roman" w:cs="Times New Roman"/>
          <w:sz w:val="24"/>
          <w:szCs w:val="24"/>
        </w:rPr>
        <w:t xml:space="preserve"> qui est </w:t>
      </w:r>
      <w:r w:rsidR="002C4301" w:rsidRPr="002C4301">
        <w:rPr>
          <w:rFonts w:ascii="Times New Roman" w:eastAsia="Times New Roman" w:hAnsi="Times New Roman" w:cs="Times New Roman"/>
          <w:sz w:val="24"/>
          <w:szCs w:val="24"/>
        </w:rPr>
        <w:t>de hisser la Côte d’Ivoire au rang des pays à revenu intermédiaire de la tranche supérieure. Pour atteindre cet objectif, le cadrage macroéconomique ressort un besoin de financement de 9.3</w:t>
      </w:r>
      <w:r w:rsidR="004533EE">
        <w:rPr>
          <w:rFonts w:ascii="Times New Roman" w:eastAsia="Times New Roman" w:hAnsi="Times New Roman" w:cs="Times New Roman"/>
          <w:sz w:val="24"/>
          <w:szCs w:val="24"/>
        </w:rPr>
        <w:t xml:space="preserve"> mille </w:t>
      </w:r>
      <w:r w:rsidR="002C4301" w:rsidRPr="002C4301">
        <w:rPr>
          <w:rFonts w:ascii="Times New Roman" w:eastAsia="Times New Roman" w:hAnsi="Times New Roman" w:cs="Times New Roman"/>
          <w:sz w:val="24"/>
          <w:szCs w:val="24"/>
        </w:rPr>
        <w:t>milliards de FCFA.</w:t>
      </w:r>
      <w:r w:rsidR="005F2AC9" w:rsidRPr="005F2AC9">
        <w:t xml:space="preserve"> </w:t>
      </w:r>
    </w:p>
    <w:p w14:paraId="7226B161" w14:textId="31A4AC4E" w:rsidR="00E905DF" w:rsidRDefault="005F2AC9" w:rsidP="005823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G</w:t>
      </w:r>
      <w:r w:rsidRPr="005F2AC9">
        <w:rPr>
          <w:rFonts w:ascii="Times New Roman" w:eastAsia="Times New Roman" w:hAnsi="Times New Roman" w:cs="Times New Roman"/>
          <w:sz w:val="24"/>
          <w:szCs w:val="24"/>
        </w:rPr>
        <w:t xml:space="preserve">roupe Consultatif </w:t>
      </w:r>
      <w:r>
        <w:rPr>
          <w:rFonts w:ascii="Times New Roman" w:eastAsia="Times New Roman" w:hAnsi="Times New Roman" w:cs="Times New Roman"/>
          <w:sz w:val="24"/>
          <w:szCs w:val="24"/>
        </w:rPr>
        <w:t xml:space="preserve">organisé en </w:t>
      </w:r>
      <w:r w:rsidRPr="005F2AC9">
        <w:rPr>
          <w:rFonts w:ascii="Times New Roman" w:eastAsia="Times New Roman" w:hAnsi="Times New Roman" w:cs="Times New Roman"/>
          <w:sz w:val="24"/>
          <w:szCs w:val="24"/>
        </w:rPr>
        <w:t xml:space="preserve">juin 2022 à Abidjan, avec l’appui des </w:t>
      </w:r>
      <w:r w:rsidR="00E905DF">
        <w:rPr>
          <w:rFonts w:ascii="Times New Roman" w:eastAsia="Times New Roman" w:hAnsi="Times New Roman" w:cs="Times New Roman"/>
          <w:sz w:val="24"/>
          <w:szCs w:val="24"/>
        </w:rPr>
        <w:t>P</w:t>
      </w:r>
      <w:r w:rsidRPr="005F2AC9">
        <w:rPr>
          <w:rFonts w:ascii="Times New Roman" w:eastAsia="Times New Roman" w:hAnsi="Times New Roman" w:cs="Times New Roman"/>
          <w:sz w:val="24"/>
          <w:szCs w:val="24"/>
        </w:rPr>
        <w:t>artenaires techniques et financiers</w:t>
      </w:r>
      <w:r w:rsidR="00E905DF">
        <w:rPr>
          <w:rFonts w:ascii="Times New Roman" w:eastAsia="Times New Roman" w:hAnsi="Times New Roman" w:cs="Times New Roman"/>
          <w:sz w:val="24"/>
          <w:szCs w:val="24"/>
        </w:rPr>
        <w:t xml:space="preserve"> y compris le PNUD</w:t>
      </w:r>
      <w:r w:rsidRPr="005F2AC9">
        <w:rPr>
          <w:rFonts w:ascii="Times New Roman" w:eastAsia="Times New Roman" w:hAnsi="Times New Roman" w:cs="Times New Roman"/>
          <w:sz w:val="24"/>
          <w:szCs w:val="24"/>
        </w:rPr>
        <w:t xml:space="preserve">, </w:t>
      </w:r>
      <w:r w:rsidR="00E905DF">
        <w:rPr>
          <w:rFonts w:ascii="Times New Roman" w:eastAsia="Times New Roman" w:hAnsi="Times New Roman" w:cs="Times New Roman"/>
          <w:sz w:val="24"/>
          <w:szCs w:val="24"/>
        </w:rPr>
        <w:t xml:space="preserve">a permis de recueillir </w:t>
      </w:r>
      <w:r w:rsidR="00E905DF" w:rsidRPr="00E905DF">
        <w:rPr>
          <w:rFonts w:ascii="Times New Roman" w:eastAsia="Times New Roman" w:hAnsi="Times New Roman" w:cs="Times New Roman"/>
          <w:sz w:val="24"/>
          <w:szCs w:val="24"/>
        </w:rPr>
        <w:t xml:space="preserve">des intentions de </w:t>
      </w:r>
      <w:r w:rsidR="0058233C">
        <w:rPr>
          <w:rFonts w:ascii="Times New Roman" w:eastAsia="Times New Roman" w:hAnsi="Times New Roman" w:cs="Times New Roman"/>
          <w:sz w:val="24"/>
          <w:szCs w:val="24"/>
        </w:rPr>
        <w:t xml:space="preserve">financement </w:t>
      </w:r>
      <w:r w:rsidR="00E905DF" w:rsidRPr="00E905DF">
        <w:rPr>
          <w:rFonts w:ascii="Times New Roman" w:eastAsia="Times New Roman" w:hAnsi="Times New Roman" w:cs="Times New Roman"/>
          <w:sz w:val="24"/>
          <w:szCs w:val="24"/>
        </w:rPr>
        <w:t>d</w:t>
      </w:r>
      <w:r w:rsidR="0058233C">
        <w:rPr>
          <w:rFonts w:ascii="Times New Roman" w:eastAsia="Times New Roman" w:hAnsi="Times New Roman" w:cs="Times New Roman"/>
          <w:sz w:val="24"/>
          <w:szCs w:val="24"/>
        </w:rPr>
        <w:t xml:space="preserve">e </w:t>
      </w:r>
      <w:r w:rsidR="00E905DF" w:rsidRPr="00E905DF">
        <w:rPr>
          <w:rFonts w:ascii="Times New Roman" w:eastAsia="Times New Roman" w:hAnsi="Times New Roman" w:cs="Times New Roman"/>
          <w:sz w:val="24"/>
          <w:szCs w:val="24"/>
        </w:rPr>
        <w:t>plus de 15</w:t>
      </w:r>
      <w:r w:rsidR="004533EE">
        <w:rPr>
          <w:rFonts w:ascii="Times New Roman" w:eastAsia="Times New Roman" w:hAnsi="Times New Roman" w:cs="Times New Roman"/>
          <w:sz w:val="24"/>
          <w:szCs w:val="24"/>
        </w:rPr>
        <w:t xml:space="preserve"> mille</w:t>
      </w:r>
      <w:r w:rsidR="00E905DF" w:rsidRPr="00E905DF">
        <w:rPr>
          <w:rFonts w:ascii="Times New Roman" w:eastAsia="Times New Roman" w:hAnsi="Times New Roman" w:cs="Times New Roman"/>
          <w:sz w:val="24"/>
          <w:szCs w:val="24"/>
        </w:rPr>
        <w:t xml:space="preserve"> milliards de Fcfa</w:t>
      </w:r>
      <w:r w:rsidR="0058233C">
        <w:rPr>
          <w:rFonts w:ascii="Times New Roman" w:eastAsia="Times New Roman" w:hAnsi="Times New Roman" w:cs="Times New Roman"/>
          <w:sz w:val="24"/>
          <w:szCs w:val="24"/>
        </w:rPr>
        <w:t> ; les</w:t>
      </w:r>
      <w:r w:rsidR="00E905DF" w:rsidRPr="00E905DF">
        <w:rPr>
          <w:rFonts w:ascii="Times New Roman" w:eastAsia="Times New Roman" w:hAnsi="Times New Roman" w:cs="Times New Roman"/>
          <w:sz w:val="24"/>
          <w:szCs w:val="24"/>
        </w:rPr>
        <w:t xml:space="preserve"> principaux financiers </w:t>
      </w:r>
      <w:r w:rsidR="0058233C">
        <w:rPr>
          <w:rFonts w:ascii="Times New Roman" w:eastAsia="Times New Roman" w:hAnsi="Times New Roman" w:cs="Times New Roman"/>
          <w:sz w:val="24"/>
          <w:szCs w:val="24"/>
        </w:rPr>
        <w:t>sont</w:t>
      </w:r>
      <w:r w:rsidR="00E905DF" w:rsidRPr="00E905DF">
        <w:rPr>
          <w:rFonts w:ascii="Times New Roman" w:eastAsia="Times New Roman" w:hAnsi="Times New Roman" w:cs="Times New Roman"/>
          <w:sz w:val="24"/>
          <w:szCs w:val="24"/>
        </w:rPr>
        <w:t xml:space="preserve"> la </w:t>
      </w:r>
      <w:r w:rsidR="0058233C" w:rsidRPr="00E905DF">
        <w:rPr>
          <w:rFonts w:ascii="Times New Roman" w:eastAsia="Times New Roman" w:hAnsi="Times New Roman" w:cs="Times New Roman"/>
          <w:sz w:val="24"/>
          <w:szCs w:val="24"/>
        </w:rPr>
        <w:t xml:space="preserve">Banque mondiale (5 442 milliards Fcfa), </w:t>
      </w:r>
      <w:r w:rsidR="0058233C">
        <w:rPr>
          <w:rFonts w:ascii="Times New Roman" w:eastAsia="Times New Roman" w:hAnsi="Times New Roman" w:cs="Times New Roman"/>
          <w:sz w:val="24"/>
          <w:szCs w:val="24"/>
        </w:rPr>
        <w:t xml:space="preserve">la </w:t>
      </w:r>
      <w:r w:rsidR="0058233C" w:rsidRPr="00E905DF">
        <w:rPr>
          <w:rFonts w:ascii="Times New Roman" w:eastAsia="Times New Roman" w:hAnsi="Times New Roman" w:cs="Times New Roman"/>
          <w:sz w:val="24"/>
          <w:szCs w:val="24"/>
        </w:rPr>
        <w:t xml:space="preserve">Banque africaine de développement (2 690 milliards Fcfa), </w:t>
      </w:r>
      <w:r w:rsidR="0058233C">
        <w:rPr>
          <w:rFonts w:ascii="Times New Roman" w:eastAsia="Times New Roman" w:hAnsi="Times New Roman" w:cs="Times New Roman"/>
          <w:sz w:val="24"/>
          <w:szCs w:val="24"/>
        </w:rPr>
        <w:t xml:space="preserve">la </w:t>
      </w:r>
      <w:r w:rsidR="0058233C" w:rsidRPr="00E905DF">
        <w:rPr>
          <w:rFonts w:ascii="Times New Roman" w:eastAsia="Times New Roman" w:hAnsi="Times New Roman" w:cs="Times New Roman"/>
          <w:sz w:val="24"/>
          <w:szCs w:val="24"/>
        </w:rPr>
        <w:t xml:space="preserve">Banque islamique de développement (1 320 milliards Fcfa), </w:t>
      </w:r>
      <w:r w:rsidR="0058233C">
        <w:rPr>
          <w:rFonts w:ascii="Times New Roman" w:eastAsia="Times New Roman" w:hAnsi="Times New Roman" w:cs="Times New Roman"/>
          <w:sz w:val="24"/>
          <w:szCs w:val="24"/>
        </w:rPr>
        <w:t xml:space="preserve">la </w:t>
      </w:r>
      <w:r w:rsidR="00E905DF" w:rsidRPr="00E905DF">
        <w:rPr>
          <w:rFonts w:ascii="Times New Roman" w:eastAsia="Times New Roman" w:hAnsi="Times New Roman" w:cs="Times New Roman"/>
          <w:sz w:val="24"/>
          <w:szCs w:val="24"/>
        </w:rPr>
        <w:t xml:space="preserve">Banque ouest africaine de développement (652 milliards Fcfa), </w:t>
      </w:r>
      <w:r w:rsidR="0058233C">
        <w:rPr>
          <w:rFonts w:ascii="Times New Roman" w:eastAsia="Times New Roman" w:hAnsi="Times New Roman" w:cs="Times New Roman"/>
          <w:sz w:val="24"/>
          <w:szCs w:val="24"/>
        </w:rPr>
        <w:t>l’</w:t>
      </w:r>
      <w:r w:rsidR="00E905DF" w:rsidRPr="00E905DF">
        <w:rPr>
          <w:rFonts w:ascii="Times New Roman" w:eastAsia="Times New Roman" w:hAnsi="Times New Roman" w:cs="Times New Roman"/>
          <w:sz w:val="24"/>
          <w:szCs w:val="24"/>
        </w:rPr>
        <w:t>Union européenne (244 milliards de Fcfa) et le système des nations unies (425  milliards de Fcfa).</w:t>
      </w:r>
    </w:p>
    <w:p w14:paraId="411C0C11" w14:textId="3241B9F6" w:rsidR="009E38DC" w:rsidRDefault="0058233C" w:rsidP="000D1BE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ailleurs e</w:t>
      </w:r>
      <w:r w:rsidR="00E57AE4" w:rsidRPr="00E57AE4">
        <w:rPr>
          <w:rFonts w:ascii="Times New Roman" w:eastAsia="Times New Roman" w:hAnsi="Times New Roman" w:cs="Times New Roman"/>
          <w:sz w:val="24"/>
          <w:szCs w:val="24"/>
        </w:rPr>
        <w:t xml:space="preserve">n vue d'accélérer le progrès social, le </w:t>
      </w:r>
      <w:r w:rsidR="002C3850">
        <w:rPr>
          <w:rFonts w:ascii="Times New Roman" w:eastAsia="Times New Roman" w:hAnsi="Times New Roman" w:cs="Times New Roman"/>
          <w:sz w:val="24"/>
          <w:szCs w:val="24"/>
        </w:rPr>
        <w:t>G</w:t>
      </w:r>
      <w:r w:rsidR="00E57AE4" w:rsidRPr="00E57AE4">
        <w:rPr>
          <w:rFonts w:ascii="Times New Roman" w:eastAsia="Times New Roman" w:hAnsi="Times New Roman" w:cs="Times New Roman"/>
          <w:sz w:val="24"/>
          <w:szCs w:val="24"/>
        </w:rPr>
        <w:t xml:space="preserve">ouvernement </w:t>
      </w:r>
      <w:r w:rsidR="002C3850">
        <w:rPr>
          <w:rFonts w:ascii="Times New Roman" w:eastAsia="Times New Roman" w:hAnsi="Times New Roman" w:cs="Times New Roman"/>
          <w:sz w:val="24"/>
          <w:szCs w:val="24"/>
        </w:rPr>
        <w:t>a</w:t>
      </w:r>
      <w:r w:rsidR="00E57AE4" w:rsidRPr="00E57AE4">
        <w:rPr>
          <w:rFonts w:ascii="Times New Roman" w:eastAsia="Times New Roman" w:hAnsi="Times New Roman" w:cs="Times New Roman"/>
          <w:sz w:val="24"/>
          <w:szCs w:val="24"/>
        </w:rPr>
        <w:t xml:space="preserve"> lanc</w:t>
      </w:r>
      <w:r w:rsidR="002C3850">
        <w:rPr>
          <w:rFonts w:ascii="Times New Roman" w:eastAsia="Times New Roman" w:hAnsi="Times New Roman" w:cs="Times New Roman"/>
          <w:sz w:val="24"/>
          <w:szCs w:val="24"/>
        </w:rPr>
        <w:t>é</w:t>
      </w:r>
      <w:r w:rsidR="00E57AE4" w:rsidRPr="00E57AE4">
        <w:rPr>
          <w:rFonts w:ascii="Times New Roman" w:eastAsia="Times New Roman" w:hAnsi="Times New Roman" w:cs="Times New Roman"/>
          <w:sz w:val="24"/>
          <w:szCs w:val="24"/>
        </w:rPr>
        <w:t xml:space="preserve"> </w:t>
      </w:r>
      <w:r w:rsidR="004533EE">
        <w:rPr>
          <w:rFonts w:ascii="Times New Roman" w:eastAsia="Times New Roman" w:hAnsi="Times New Roman" w:cs="Times New Roman"/>
          <w:sz w:val="24"/>
          <w:szCs w:val="24"/>
        </w:rPr>
        <w:t xml:space="preserve">en </w:t>
      </w:r>
      <w:r w:rsidR="00602D9C">
        <w:rPr>
          <w:rFonts w:ascii="Times New Roman" w:eastAsia="Times New Roman" w:hAnsi="Times New Roman" w:cs="Times New Roman"/>
          <w:sz w:val="24"/>
          <w:szCs w:val="24"/>
        </w:rPr>
        <w:t xml:space="preserve">janvier 2022 </w:t>
      </w:r>
      <w:r w:rsidR="002C3850">
        <w:rPr>
          <w:rFonts w:ascii="Times New Roman" w:eastAsia="Times New Roman" w:hAnsi="Times New Roman" w:cs="Times New Roman"/>
          <w:sz w:val="24"/>
          <w:szCs w:val="24"/>
        </w:rPr>
        <w:t>la 2</w:t>
      </w:r>
      <w:r w:rsidR="002C3850" w:rsidRPr="00605619">
        <w:rPr>
          <w:rFonts w:ascii="Times New Roman" w:eastAsia="Times New Roman" w:hAnsi="Times New Roman" w:cs="Times New Roman"/>
          <w:sz w:val="24"/>
          <w:szCs w:val="24"/>
          <w:vertAlign w:val="superscript"/>
        </w:rPr>
        <w:t>ème</w:t>
      </w:r>
      <w:r w:rsidR="002C3850">
        <w:rPr>
          <w:rFonts w:ascii="Times New Roman" w:eastAsia="Times New Roman" w:hAnsi="Times New Roman" w:cs="Times New Roman"/>
          <w:sz w:val="24"/>
          <w:szCs w:val="24"/>
        </w:rPr>
        <w:t xml:space="preserve"> phase du </w:t>
      </w:r>
      <w:r w:rsidR="00E57AE4" w:rsidRPr="00E57AE4">
        <w:rPr>
          <w:rFonts w:ascii="Times New Roman" w:eastAsia="Times New Roman" w:hAnsi="Times New Roman" w:cs="Times New Roman"/>
          <w:sz w:val="24"/>
          <w:szCs w:val="24"/>
        </w:rPr>
        <w:t>Programme Social du Gouvernement (</w:t>
      </w:r>
      <w:proofErr w:type="spellStart"/>
      <w:r w:rsidR="00E57AE4" w:rsidRPr="00E57AE4">
        <w:rPr>
          <w:rFonts w:ascii="Times New Roman" w:eastAsia="Times New Roman" w:hAnsi="Times New Roman" w:cs="Times New Roman"/>
          <w:sz w:val="24"/>
          <w:szCs w:val="24"/>
        </w:rPr>
        <w:t>PSGouv</w:t>
      </w:r>
      <w:proofErr w:type="spellEnd"/>
      <w:r w:rsidR="002C3850">
        <w:rPr>
          <w:rFonts w:ascii="Times New Roman" w:eastAsia="Times New Roman" w:hAnsi="Times New Roman" w:cs="Times New Roman"/>
          <w:sz w:val="24"/>
          <w:szCs w:val="24"/>
        </w:rPr>
        <w:t xml:space="preserve"> 2</w:t>
      </w:r>
      <w:r w:rsidR="00E57AE4" w:rsidRPr="00E57AE4">
        <w:rPr>
          <w:rFonts w:ascii="Times New Roman" w:eastAsia="Times New Roman" w:hAnsi="Times New Roman" w:cs="Times New Roman"/>
          <w:sz w:val="24"/>
          <w:szCs w:val="24"/>
        </w:rPr>
        <w:t xml:space="preserve">), avec comme priorités la lutte contre la fragilité dans les zones Nord frontalières, l'amélioration des conditions de vie en milieu rural et l'autonomisation des femmes et l'insertion professionnelle des jeunes. </w:t>
      </w:r>
      <w:r>
        <w:rPr>
          <w:rFonts w:ascii="Times New Roman" w:eastAsia="Times New Roman" w:hAnsi="Times New Roman" w:cs="Times New Roman"/>
          <w:sz w:val="24"/>
          <w:szCs w:val="24"/>
        </w:rPr>
        <w:t>Ce programme bénéficie également</w:t>
      </w:r>
      <w:r w:rsidRPr="00E57A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 l’appui des </w:t>
      </w:r>
      <w:r w:rsidRPr="0058233C">
        <w:rPr>
          <w:rFonts w:ascii="Times New Roman" w:eastAsia="Times New Roman" w:hAnsi="Times New Roman" w:cs="Times New Roman"/>
          <w:sz w:val="24"/>
          <w:szCs w:val="24"/>
        </w:rPr>
        <w:t>Partenaires techniques et financiers</w:t>
      </w:r>
      <w:r w:rsidR="009E38DC">
        <w:rPr>
          <w:rFonts w:ascii="Times New Roman" w:eastAsia="Times New Roman" w:hAnsi="Times New Roman" w:cs="Times New Roman"/>
          <w:sz w:val="24"/>
          <w:szCs w:val="24"/>
        </w:rPr>
        <w:t xml:space="preserve"> dont le PNUD.</w:t>
      </w:r>
    </w:p>
    <w:p w14:paraId="5D9E9F47" w14:textId="45D09471" w:rsidR="0047632E" w:rsidRDefault="0047632E" w:rsidP="001B20E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Bureau pays </w:t>
      </w:r>
      <w:r w:rsidR="001B20E3">
        <w:rPr>
          <w:rFonts w:ascii="Times New Roman" w:eastAsia="Times New Roman" w:hAnsi="Times New Roman" w:cs="Times New Roman"/>
          <w:sz w:val="24"/>
          <w:szCs w:val="24"/>
        </w:rPr>
        <w:t xml:space="preserve">du PNUD </w:t>
      </w:r>
      <w:r>
        <w:rPr>
          <w:rFonts w:ascii="Times New Roman" w:eastAsia="Times New Roman" w:hAnsi="Times New Roman" w:cs="Times New Roman"/>
          <w:sz w:val="24"/>
          <w:szCs w:val="24"/>
        </w:rPr>
        <w:t>a renouvelé</w:t>
      </w:r>
      <w:r w:rsidR="001B20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2021</w:t>
      </w:r>
      <w:r w:rsidR="001B20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son cadre de coopération avec le Gouvernement de Côte d’Ivoire (CPD 2021-2025). A</w:t>
      </w:r>
      <w:r w:rsidRPr="009E38DC">
        <w:rPr>
          <w:rFonts w:ascii="Times New Roman" w:eastAsia="Times New Roman" w:hAnsi="Times New Roman" w:cs="Times New Roman"/>
          <w:sz w:val="24"/>
          <w:szCs w:val="24"/>
        </w:rPr>
        <w:t>rrimé</w:t>
      </w:r>
      <w:r>
        <w:rPr>
          <w:rFonts w:ascii="Times New Roman" w:eastAsia="Times New Roman" w:hAnsi="Times New Roman" w:cs="Times New Roman"/>
          <w:sz w:val="24"/>
          <w:szCs w:val="24"/>
        </w:rPr>
        <w:t>e</w:t>
      </w:r>
      <w:r w:rsidRPr="009E38DC">
        <w:rPr>
          <w:rFonts w:ascii="Times New Roman" w:eastAsia="Times New Roman" w:hAnsi="Times New Roman" w:cs="Times New Roman"/>
          <w:sz w:val="24"/>
          <w:szCs w:val="24"/>
        </w:rPr>
        <w:t xml:space="preserve"> au PND 2021-2025 et au Cadre de Coopération des Nations Unies pour le Développement Durable (CCDD 2021-2025)</w:t>
      </w:r>
      <w:r>
        <w:rPr>
          <w:rFonts w:ascii="Times New Roman" w:eastAsia="Times New Roman" w:hAnsi="Times New Roman" w:cs="Times New Roman"/>
          <w:sz w:val="24"/>
          <w:szCs w:val="24"/>
        </w:rPr>
        <w:t xml:space="preserve">, cette offre </w:t>
      </w:r>
      <w:r>
        <w:rPr>
          <w:rFonts w:ascii="Times New Roman" w:eastAsia="Times New Roman" w:hAnsi="Times New Roman" w:cs="Times New Roman"/>
          <w:sz w:val="24"/>
          <w:szCs w:val="24"/>
        </w:rPr>
        <w:lastRenderedPageBreak/>
        <w:t xml:space="preserve">programmatique </w:t>
      </w:r>
      <w:r w:rsidRPr="002A2EB9">
        <w:rPr>
          <w:rFonts w:ascii="Times New Roman" w:eastAsia="Times New Roman" w:hAnsi="Times New Roman" w:cs="Times New Roman"/>
          <w:sz w:val="24"/>
          <w:szCs w:val="24"/>
        </w:rPr>
        <w:t>est articulé</w:t>
      </w:r>
      <w:r>
        <w:rPr>
          <w:rFonts w:ascii="Times New Roman" w:eastAsia="Times New Roman" w:hAnsi="Times New Roman" w:cs="Times New Roman"/>
          <w:sz w:val="24"/>
          <w:szCs w:val="24"/>
        </w:rPr>
        <w:t>e</w:t>
      </w:r>
      <w:r w:rsidRPr="002A2EB9">
        <w:rPr>
          <w:rFonts w:ascii="Times New Roman" w:eastAsia="Times New Roman" w:hAnsi="Times New Roman" w:cs="Times New Roman"/>
          <w:sz w:val="24"/>
          <w:szCs w:val="24"/>
        </w:rPr>
        <w:t xml:space="preserve"> autour de trois axes d’interventions ou Piliers</w:t>
      </w:r>
      <w:r>
        <w:rPr>
          <w:rFonts w:ascii="Times New Roman" w:eastAsia="Times New Roman" w:hAnsi="Times New Roman" w:cs="Times New Roman"/>
          <w:sz w:val="24"/>
          <w:szCs w:val="24"/>
        </w:rPr>
        <w:t xml:space="preserve"> déclinés </w:t>
      </w:r>
      <w:r w:rsidRPr="002A2EB9">
        <w:rPr>
          <w:rFonts w:ascii="Times New Roman" w:eastAsia="Times New Roman" w:hAnsi="Times New Roman" w:cs="Times New Roman"/>
          <w:sz w:val="24"/>
          <w:szCs w:val="24"/>
        </w:rPr>
        <w:t>à la lumière des défis de développement pouvant être adressés avec l’avantage comparatif du PNUD : i) Gouvernance inclusive, État de droit et modernisation des institutions ; ii) Croissance inclusive et réduction des inégalités ; et iii) Gestion durable des ressources naturelles, adaptation au changement climatique et résilience.</w:t>
      </w:r>
      <w:r>
        <w:rPr>
          <w:rFonts w:ascii="Times New Roman" w:eastAsia="Times New Roman" w:hAnsi="Times New Roman" w:cs="Times New Roman"/>
          <w:sz w:val="24"/>
          <w:szCs w:val="24"/>
        </w:rPr>
        <w:t xml:space="preserve"> </w:t>
      </w:r>
      <w:r w:rsidR="001B20E3">
        <w:rPr>
          <w:rFonts w:ascii="Times New Roman" w:eastAsia="Times New Roman" w:hAnsi="Times New Roman" w:cs="Times New Roman"/>
          <w:sz w:val="24"/>
          <w:szCs w:val="24"/>
        </w:rPr>
        <w:t xml:space="preserve">Le coût global de son </w:t>
      </w:r>
      <w:r w:rsidR="001B20E3" w:rsidRPr="001B20E3">
        <w:rPr>
          <w:rFonts w:ascii="Times New Roman" w:eastAsia="Times New Roman" w:hAnsi="Times New Roman" w:cs="Times New Roman"/>
          <w:sz w:val="24"/>
          <w:szCs w:val="24"/>
        </w:rPr>
        <w:t xml:space="preserve">financement </w:t>
      </w:r>
      <w:r w:rsidR="001B20E3">
        <w:rPr>
          <w:rFonts w:ascii="Times New Roman" w:eastAsia="Times New Roman" w:hAnsi="Times New Roman" w:cs="Times New Roman"/>
          <w:sz w:val="24"/>
          <w:szCs w:val="24"/>
        </w:rPr>
        <w:t xml:space="preserve">est estimé à </w:t>
      </w:r>
      <w:r w:rsidR="001B20E3" w:rsidRPr="001B20E3">
        <w:rPr>
          <w:rFonts w:ascii="Times New Roman" w:eastAsia="Times New Roman" w:hAnsi="Times New Roman" w:cs="Times New Roman"/>
          <w:sz w:val="24"/>
          <w:szCs w:val="24"/>
        </w:rPr>
        <w:t xml:space="preserve">total </w:t>
      </w:r>
      <w:r w:rsidR="001B20E3">
        <w:rPr>
          <w:rFonts w:ascii="Times New Roman" w:eastAsia="Times New Roman" w:hAnsi="Times New Roman" w:cs="Times New Roman"/>
          <w:sz w:val="24"/>
          <w:szCs w:val="24"/>
        </w:rPr>
        <w:t>72,9 millions de dollars US</w:t>
      </w:r>
      <w:r w:rsidR="005235E2">
        <w:rPr>
          <w:rFonts w:ascii="Times New Roman" w:eastAsia="Times New Roman" w:hAnsi="Times New Roman" w:cs="Times New Roman"/>
          <w:sz w:val="24"/>
          <w:szCs w:val="24"/>
        </w:rPr>
        <w:t>.</w:t>
      </w:r>
    </w:p>
    <w:p w14:paraId="24CE6E9E" w14:textId="2250F64C" w:rsidR="00DE1466" w:rsidRDefault="00DE1466" w:rsidP="00DE1466">
      <w:pPr>
        <w:jc w:val="both"/>
        <w:rPr>
          <w:rFonts w:ascii="Times New Roman" w:eastAsia="Times New Roman" w:hAnsi="Times New Roman" w:cs="Times New Roman"/>
          <w:sz w:val="24"/>
          <w:szCs w:val="24"/>
        </w:rPr>
      </w:pPr>
      <w:r w:rsidRPr="00B508BE">
        <w:rPr>
          <w:rFonts w:ascii="Times New Roman" w:eastAsia="Times New Roman" w:hAnsi="Times New Roman" w:cs="Times New Roman"/>
          <w:sz w:val="24"/>
          <w:szCs w:val="24"/>
        </w:rPr>
        <w:t xml:space="preserve">Conscient que pour l’efficacité de son action, la </w:t>
      </w:r>
      <w:r w:rsidR="00045EB2">
        <w:rPr>
          <w:rFonts w:ascii="Times New Roman" w:eastAsia="Times New Roman" w:hAnsi="Times New Roman" w:cs="Times New Roman"/>
          <w:sz w:val="24"/>
          <w:szCs w:val="24"/>
        </w:rPr>
        <w:t xml:space="preserve">diversification des sources et des options de </w:t>
      </w:r>
      <w:r w:rsidRPr="00B508BE">
        <w:rPr>
          <w:rFonts w:ascii="Times New Roman" w:eastAsia="Times New Roman" w:hAnsi="Times New Roman" w:cs="Times New Roman"/>
          <w:sz w:val="24"/>
          <w:szCs w:val="24"/>
        </w:rPr>
        <w:t>mobilisation de</w:t>
      </w:r>
      <w:r w:rsidR="000335BC">
        <w:rPr>
          <w:rFonts w:ascii="Times New Roman" w:eastAsia="Times New Roman" w:hAnsi="Times New Roman" w:cs="Times New Roman"/>
          <w:sz w:val="24"/>
          <w:szCs w:val="24"/>
        </w:rPr>
        <w:t>s</w:t>
      </w:r>
      <w:r w:rsidRPr="00B508BE">
        <w:rPr>
          <w:rFonts w:ascii="Times New Roman" w:eastAsia="Times New Roman" w:hAnsi="Times New Roman" w:cs="Times New Roman"/>
          <w:sz w:val="24"/>
          <w:szCs w:val="24"/>
        </w:rPr>
        <w:t xml:space="preserve"> ressources </w:t>
      </w:r>
      <w:r w:rsidR="00045EB2">
        <w:rPr>
          <w:rFonts w:ascii="Times New Roman" w:eastAsia="Times New Roman" w:hAnsi="Times New Roman" w:cs="Times New Roman"/>
          <w:sz w:val="24"/>
          <w:szCs w:val="24"/>
        </w:rPr>
        <w:t xml:space="preserve">au-delà </w:t>
      </w:r>
      <w:r w:rsidRPr="00B508BE">
        <w:rPr>
          <w:rFonts w:ascii="Times New Roman" w:eastAsia="Times New Roman" w:hAnsi="Times New Roman" w:cs="Times New Roman"/>
          <w:sz w:val="24"/>
          <w:szCs w:val="24"/>
        </w:rPr>
        <w:t xml:space="preserve">des partenaires </w:t>
      </w:r>
      <w:r w:rsidR="00045EB2">
        <w:rPr>
          <w:rFonts w:ascii="Times New Roman" w:eastAsia="Times New Roman" w:hAnsi="Times New Roman" w:cs="Times New Roman"/>
          <w:sz w:val="24"/>
          <w:szCs w:val="24"/>
        </w:rPr>
        <w:t xml:space="preserve">traditionnels </w:t>
      </w:r>
      <w:r w:rsidRPr="00B508BE">
        <w:rPr>
          <w:rFonts w:ascii="Times New Roman" w:eastAsia="Times New Roman" w:hAnsi="Times New Roman" w:cs="Times New Roman"/>
          <w:sz w:val="24"/>
          <w:szCs w:val="24"/>
        </w:rPr>
        <w:t>extérieure</w:t>
      </w:r>
      <w:r w:rsidR="000335BC">
        <w:rPr>
          <w:rFonts w:ascii="Times New Roman" w:eastAsia="Times New Roman" w:hAnsi="Times New Roman" w:cs="Times New Roman"/>
          <w:sz w:val="24"/>
          <w:szCs w:val="24"/>
        </w:rPr>
        <w:t>s</w:t>
      </w:r>
      <w:r w:rsidRPr="00B508BE">
        <w:rPr>
          <w:rFonts w:ascii="Times New Roman" w:eastAsia="Times New Roman" w:hAnsi="Times New Roman" w:cs="Times New Roman"/>
          <w:sz w:val="24"/>
          <w:szCs w:val="24"/>
        </w:rPr>
        <w:t xml:space="preserve"> reste un facteur déterminant, le </w:t>
      </w:r>
      <w:r w:rsidR="00264029">
        <w:rPr>
          <w:rFonts w:ascii="Times New Roman" w:eastAsia="Times New Roman" w:hAnsi="Times New Roman" w:cs="Times New Roman"/>
          <w:sz w:val="24"/>
          <w:szCs w:val="24"/>
        </w:rPr>
        <w:t xml:space="preserve">Bureau pays du </w:t>
      </w:r>
      <w:r w:rsidRPr="00B508BE">
        <w:rPr>
          <w:rFonts w:ascii="Times New Roman" w:eastAsia="Times New Roman" w:hAnsi="Times New Roman" w:cs="Times New Roman"/>
          <w:sz w:val="24"/>
          <w:szCs w:val="24"/>
        </w:rPr>
        <w:t xml:space="preserve">PNUD </w:t>
      </w:r>
      <w:r w:rsidR="00264029">
        <w:rPr>
          <w:rFonts w:ascii="Times New Roman" w:eastAsia="Times New Roman" w:hAnsi="Times New Roman" w:cs="Times New Roman"/>
          <w:sz w:val="24"/>
          <w:szCs w:val="24"/>
        </w:rPr>
        <w:t>a é</w:t>
      </w:r>
      <w:r w:rsidR="00180798">
        <w:rPr>
          <w:rFonts w:ascii="Times New Roman" w:eastAsia="Times New Roman" w:hAnsi="Times New Roman" w:cs="Times New Roman"/>
          <w:sz w:val="24"/>
          <w:szCs w:val="24"/>
        </w:rPr>
        <w:t>laboré</w:t>
      </w:r>
      <w:r w:rsidR="00264029">
        <w:rPr>
          <w:rFonts w:ascii="Times New Roman" w:eastAsia="Times New Roman" w:hAnsi="Times New Roman" w:cs="Times New Roman"/>
          <w:sz w:val="24"/>
          <w:szCs w:val="24"/>
        </w:rPr>
        <w:t xml:space="preserve"> une nou</w:t>
      </w:r>
      <w:r w:rsidRPr="00B508BE">
        <w:rPr>
          <w:rFonts w:ascii="Times New Roman" w:eastAsia="Times New Roman" w:hAnsi="Times New Roman" w:cs="Times New Roman"/>
          <w:sz w:val="24"/>
          <w:szCs w:val="24"/>
        </w:rPr>
        <w:t xml:space="preserve">velle stratégie </w:t>
      </w:r>
      <w:r w:rsidR="00264029">
        <w:rPr>
          <w:rFonts w:ascii="Times New Roman" w:eastAsia="Times New Roman" w:hAnsi="Times New Roman" w:cs="Times New Roman"/>
          <w:sz w:val="24"/>
          <w:szCs w:val="24"/>
        </w:rPr>
        <w:t xml:space="preserve">de mobilisation de ressources </w:t>
      </w:r>
      <w:r w:rsidR="003F0FEC">
        <w:rPr>
          <w:rFonts w:ascii="Times New Roman" w:eastAsia="Times New Roman" w:hAnsi="Times New Roman" w:cs="Times New Roman"/>
          <w:sz w:val="24"/>
          <w:szCs w:val="24"/>
        </w:rPr>
        <w:t xml:space="preserve">et de promotion des partenariats, </w:t>
      </w:r>
      <w:r w:rsidRPr="00B508BE">
        <w:rPr>
          <w:rFonts w:ascii="Times New Roman" w:eastAsia="Times New Roman" w:hAnsi="Times New Roman" w:cs="Times New Roman"/>
          <w:sz w:val="24"/>
          <w:szCs w:val="24"/>
        </w:rPr>
        <w:t>adaptée au contexte actuel</w:t>
      </w:r>
      <w:r>
        <w:rPr>
          <w:rFonts w:ascii="Times New Roman" w:eastAsia="Times New Roman" w:hAnsi="Times New Roman" w:cs="Times New Roman"/>
          <w:sz w:val="24"/>
          <w:szCs w:val="24"/>
        </w:rPr>
        <w:t xml:space="preserve">, pour </w:t>
      </w:r>
      <w:r w:rsidR="005321D1">
        <w:rPr>
          <w:rFonts w:ascii="Times New Roman" w:eastAsia="Times New Roman" w:hAnsi="Times New Roman" w:cs="Times New Roman"/>
          <w:sz w:val="24"/>
          <w:szCs w:val="24"/>
        </w:rPr>
        <w:t>accompagner et accélérer la</w:t>
      </w:r>
      <w:r w:rsidR="003F0F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mise en œuvre </w:t>
      </w:r>
      <w:r w:rsidR="005321D1">
        <w:rPr>
          <w:rFonts w:ascii="Times New Roman" w:eastAsia="Times New Roman" w:hAnsi="Times New Roman" w:cs="Times New Roman"/>
          <w:sz w:val="24"/>
          <w:szCs w:val="24"/>
        </w:rPr>
        <w:t>des interventions</w:t>
      </w:r>
      <w:r w:rsidR="00FA5C6B">
        <w:rPr>
          <w:rFonts w:ascii="Times New Roman" w:eastAsia="Times New Roman" w:hAnsi="Times New Roman" w:cs="Times New Roman"/>
          <w:sz w:val="24"/>
          <w:szCs w:val="24"/>
        </w:rPr>
        <w:t xml:space="preserve"> </w:t>
      </w:r>
      <w:r w:rsidR="005321D1">
        <w:rPr>
          <w:rFonts w:ascii="Times New Roman" w:eastAsia="Times New Roman" w:hAnsi="Times New Roman" w:cs="Times New Roman"/>
          <w:sz w:val="24"/>
          <w:szCs w:val="24"/>
        </w:rPr>
        <w:t xml:space="preserve">inscrites </w:t>
      </w:r>
      <w:r w:rsidR="00FA5C6B">
        <w:rPr>
          <w:rFonts w:ascii="Times New Roman" w:eastAsia="Times New Roman" w:hAnsi="Times New Roman" w:cs="Times New Roman"/>
          <w:sz w:val="24"/>
          <w:szCs w:val="24"/>
        </w:rPr>
        <w:t>d</w:t>
      </w:r>
      <w:r w:rsidR="005321D1">
        <w:rPr>
          <w:rFonts w:ascii="Times New Roman" w:eastAsia="Times New Roman" w:hAnsi="Times New Roman" w:cs="Times New Roman"/>
          <w:sz w:val="24"/>
          <w:szCs w:val="24"/>
        </w:rPr>
        <w:t>ans</w:t>
      </w:r>
      <w:r w:rsidR="00FA5C6B">
        <w:rPr>
          <w:rFonts w:ascii="Times New Roman" w:eastAsia="Times New Roman" w:hAnsi="Times New Roman" w:cs="Times New Roman"/>
          <w:sz w:val="24"/>
          <w:szCs w:val="24"/>
        </w:rPr>
        <w:t xml:space="preserve"> </w:t>
      </w:r>
      <w:r w:rsidR="005321D1">
        <w:rPr>
          <w:rFonts w:ascii="Times New Roman" w:eastAsia="Times New Roman" w:hAnsi="Times New Roman" w:cs="Times New Roman"/>
          <w:sz w:val="24"/>
          <w:szCs w:val="24"/>
        </w:rPr>
        <w:t xml:space="preserve">le </w:t>
      </w:r>
      <w:r w:rsidR="00FA5C6B">
        <w:rPr>
          <w:rFonts w:ascii="Times New Roman" w:eastAsia="Times New Roman" w:hAnsi="Times New Roman" w:cs="Times New Roman"/>
          <w:sz w:val="24"/>
          <w:szCs w:val="24"/>
        </w:rPr>
        <w:t>CPD</w:t>
      </w:r>
      <w:r w:rsidR="000335BC">
        <w:rPr>
          <w:rFonts w:ascii="Times New Roman" w:eastAsia="Times New Roman" w:hAnsi="Times New Roman" w:cs="Times New Roman"/>
          <w:sz w:val="24"/>
          <w:szCs w:val="24"/>
        </w:rPr>
        <w:t xml:space="preserve"> </w:t>
      </w:r>
      <w:r w:rsidR="00FA5C6B">
        <w:rPr>
          <w:rFonts w:ascii="Times New Roman" w:eastAsia="Times New Roman" w:hAnsi="Times New Roman" w:cs="Times New Roman"/>
          <w:sz w:val="24"/>
          <w:szCs w:val="24"/>
        </w:rPr>
        <w:t>2021-2025.</w:t>
      </w:r>
    </w:p>
    <w:p w14:paraId="08DF2449" w14:textId="17057BFB" w:rsidR="000335BC" w:rsidRDefault="00C97DD4" w:rsidP="00C47F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présente </w:t>
      </w:r>
      <w:r w:rsidR="000335BC">
        <w:rPr>
          <w:rFonts w:ascii="Times New Roman" w:eastAsia="Times New Roman" w:hAnsi="Times New Roman" w:cs="Times New Roman"/>
          <w:sz w:val="24"/>
          <w:szCs w:val="24"/>
        </w:rPr>
        <w:t>stratégie vise à</w:t>
      </w:r>
      <w:r w:rsidR="005321D1" w:rsidRPr="005321D1">
        <w:rPr>
          <w:rFonts w:ascii="Times New Roman" w:eastAsia="Times New Roman" w:hAnsi="Times New Roman" w:cs="Times New Roman"/>
          <w:sz w:val="24"/>
          <w:szCs w:val="24"/>
        </w:rPr>
        <w:t xml:space="preserve"> </w:t>
      </w:r>
      <w:r w:rsidR="00F92BDA">
        <w:rPr>
          <w:rFonts w:ascii="Times New Roman" w:eastAsia="Times New Roman" w:hAnsi="Times New Roman" w:cs="Times New Roman"/>
          <w:sz w:val="24"/>
          <w:szCs w:val="24"/>
        </w:rPr>
        <w:t xml:space="preserve">accélérer </w:t>
      </w:r>
      <w:r w:rsidR="005321D1" w:rsidRPr="005321D1">
        <w:rPr>
          <w:rFonts w:ascii="Times New Roman" w:eastAsia="Times New Roman" w:hAnsi="Times New Roman" w:cs="Times New Roman"/>
          <w:sz w:val="24"/>
          <w:szCs w:val="24"/>
        </w:rPr>
        <w:t>les efforts de partenariat</w:t>
      </w:r>
      <w:r>
        <w:rPr>
          <w:rFonts w:ascii="Times New Roman" w:eastAsia="Times New Roman" w:hAnsi="Times New Roman" w:cs="Times New Roman"/>
          <w:sz w:val="24"/>
          <w:szCs w:val="24"/>
        </w:rPr>
        <w:t xml:space="preserve"> et</w:t>
      </w:r>
      <w:r w:rsidR="005321D1" w:rsidRPr="005321D1">
        <w:rPr>
          <w:rFonts w:ascii="Times New Roman" w:eastAsia="Times New Roman" w:hAnsi="Times New Roman" w:cs="Times New Roman"/>
          <w:sz w:val="24"/>
          <w:szCs w:val="24"/>
        </w:rPr>
        <w:t xml:space="preserve"> de mobilisation des ressources</w:t>
      </w:r>
      <w:r w:rsidR="00C47FFA" w:rsidRPr="00C47FFA">
        <w:t xml:space="preserve"> </w:t>
      </w:r>
      <w:r w:rsidR="00C47FFA">
        <w:rPr>
          <w:rFonts w:ascii="Times New Roman" w:eastAsia="Times New Roman" w:hAnsi="Times New Roman" w:cs="Times New Roman"/>
          <w:sz w:val="24"/>
          <w:szCs w:val="24"/>
        </w:rPr>
        <w:t>en vue</w:t>
      </w:r>
      <w:r w:rsidR="00C47FFA" w:rsidRPr="00C47FFA">
        <w:rPr>
          <w:rFonts w:ascii="Times New Roman" w:eastAsia="Times New Roman" w:hAnsi="Times New Roman" w:cs="Times New Roman"/>
          <w:sz w:val="24"/>
          <w:szCs w:val="24"/>
        </w:rPr>
        <w:t xml:space="preserve"> </w:t>
      </w:r>
      <w:r w:rsidR="00C47FFA">
        <w:rPr>
          <w:rFonts w:ascii="Times New Roman" w:eastAsia="Times New Roman" w:hAnsi="Times New Roman" w:cs="Times New Roman"/>
          <w:sz w:val="24"/>
          <w:szCs w:val="24"/>
        </w:rPr>
        <w:t xml:space="preserve">d’assurer la mise </w:t>
      </w:r>
      <w:r w:rsidR="00C47FFA" w:rsidRPr="00C47FFA">
        <w:rPr>
          <w:rFonts w:ascii="Times New Roman" w:eastAsia="Times New Roman" w:hAnsi="Times New Roman" w:cs="Times New Roman"/>
          <w:sz w:val="24"/>
          <w:szCs w:val="24"/>
        </w:rPr>
        <w:t xml:space="preserve">en œuvre efficace </w:t>
      </w:r>
      <w:r w:rsidR="00C47FFA">
        <w:rPr>
          <w:rFonts w:ascii="Times New Roman" w:eastAsia="Times New Roman" w:hAnsi="Times New Roman" w:cs="Times New Roman"/>
          <w:sz w:val="24"/>
          <w:szCs w:val="24"/>
        </w:rPr>
        <w:t>d</w:t>
      </w:r>
      <w:r w:rsidR="00C47FFA" w:rsidRPr="00C47FFA">
        <w:rPr>
          <w:rFonts w:ascii="Times New Roman" w:eastAsia="Times New Roman" w:hAnsi="Times New Roman" w:cs="Times New Roman"/>
          <w:sz w:val="24"/>
          <w:szCs w:val="24"/>
        </w:rPr>
        <w:t>es programmes et interventions de développement inscrits dans le CPD</w:t>
      </w:r>
      <w:r>
        <w:rPr>
          <w:rFonts w:ascii="Times New Roman" w:eastAsia="Times New Roman" w:hAnsi="Times New Roman" w:cs="Times New Roman"/>
          <w:sz w:val="24"/>
          <w:szCs w:val="24"/>
        </w:rPr>
        <w:t>,</w:t>
      </w:r>
      <w:r w:rsidR="005321D1" w:rsidRPr="005321D1">
        <w:rPr>
          <w:rFonts w:ascii="Times New Roman" w:eastAsia="Times New Roman" w:hAnsi="Times New Roman" w:cs="Times New Roman"/>
          <w:sz w:val="24"/>
          <w:szCs w:val="24"/>
        </w:rPr>
        <w:t xml:space="preserve"> et </w:t>
      </w:r>
      <w:r>
        <w:rPr>
          <w:rFonts w:ascii="Times New Roman" w:eastAsia="Times New Roman" w:hAnsi="Times New Roman" w:cs="Times New Roman"/>
          <w:sz w:val="24"/>
          <w:szCs w:val="24"/>
        </w:rPr>
        <w:t>renforcer</w:t>
      </w:r>
      <w:r w:rsidR="005321D1" w:rsidRPr="005321D1">
        <w:rPr>
          <w:rFonts w:ascii="Times New Roman" w:eastAsia="Times New Roman" w:hAnsi="Times New Roman" w:cs="Times New Roman"/>
          <w:sz w:val="24"/>
          <w:szCs w:val="24"/>
        </w:rPr>
        <w:t xml:space="preserve"> les actions de communication </w:t>
      </w:r>
      <w:r w:rsidR="00012FAD">
        <w:rPr>
          <w:rFonts w:ascii="Times New Roman" w:eastAsia="Times New Roman" w:hAnsi="Times New Roman" w:cs="Times New Roman"/>
          <w:sz w:val="24"/>
          <w:szCs w:val="24"/>
        </w:rPr>
        <w:t>afin d’</w:t>
      </w:r>
      <w:r w:rsidR="00C47FFA">
        <w:rPr>
          <w:rFonts w:ascii="Times New Roman" w:eastAsia="Times New Roman" w:hAnsi="Times New Roman" w:cs="Times New Roman"/>
          <w:sz w:val="24"/>
          <w:szCs w:val="24"/>
        </w:rPr>
        <w:t>accroitre la visibilité d</w:t>
      </w:r>
      <w:r>
        <w:rPr>
          <w:rFonts w:ascii="Times New Roman" w:eastAsia="Times New Roman" w:hAnsi="Times New Roman" w:cs="Times New Roman"/>
          <w:sz w:val="24"/>
          <w:szCs w:val="24"/>
        </w:rPr>
        <w:t xml:space="preserve">es interventions </w:t>
      </w:r>
      <w:r w:rsidR="00C47FFA">
        <w:rPr>
          <w:rFonts w:ascii="Times New Roman" w:eastAsia="Times New Roman" w:hAnsi="Times New Roman" w:cs="Times New Roman"/>
          <w:sz w:val="24"/>
          <w:szCs w:val="24"/>
        </w:rPr>
        <w:t>soutenues par le</w:t>
      </w:r>
      <w:r>
        <w:rPr>
          <w:rFonts w:ascii="Times New Roman" w:eastAsia="Times New Roman" w:hAnsi="Times New Roman" w:cs="Times New Roman"/>
          <w:sz w:val="24"/>
          <w:szCs w:val="24"/>
        </w:rPr>
        <w:t xml:space="preserve"> PNUD </w:t>
      </w:r>
      <w:r w:rsidR="00C47FFA">
        <w:rPr>
          <w:rFonts w:ascii="Times New Roman" w:eastAsia="Times New Roman" w:hAnsi="Times New Roman" w:cs="Times New Roman"/>
          <w:sz w:val="24"/>
          <w:szCs w:val="24"/>
        </w:rPr>
        <w:t>et ses partenaires</w:t>
      </w:r>
      <w:r w:rsidR="00C214F9">
        <w:rPr>
          <w:rFonts w:ascii="Times New Roman" w:eastAsia="Times New Roman" w:hAnsi="Times New Roman" w:cs="Times New Roman"/>
          <w:sz w:val="24"/>
          <w:szCs w:val="24"/>
        </w:rPr>
        <w:t>.</w:t>
      </w:r>
    </w:p>
    <w:p w14:paraId="78B40627" w14:textId="2A17566D" w:rsidR="00C97DD4" w:rsidRPr="00C97DD4" w:rsidRDefault="00C97DD4" w:rsidP="00C97DD4">
      <w:pPr>
        <w:jc w:val="both"/>
        <w:rPr>
          <w:rFonts w:ascii="Times New Roman" w:eastAsia="Times New Roman" w:hAnsi="Times New Roman" w:cs="Times New Roman"/>
          <w:sz w:val="24"/>
          <w:szCs w:val="24"/>
        </w:rPr>
      </w:pPr>
      <w:bookmarkStart w:id="4" w:name="_Hlk139387629"/>
      <w:r>
        <w:rPr>
          <w:rFonts w:ascii="Times New Roman" w:eastAsia="Times New Roman" w:hAnsi="Times New Roman" w:cs="Times New Roman"/>
          <w:sz w:val="24"/>
          <w:szCs w:val="24"/>
        </w:rPr>
        <w:t>Il s’agit pour le Bureau pays de disposer d’</w:t>
      </w:r>
      <w:r w:rsidRPr="00C97DD4">
        <w:rPr>
          <w:rFonts w:ascii="Times New Roman" w:eastAsia="Times New Roman" w:hAnsi="Times New Roman" w:cs="Times New Roman"/>
          <w:sz w:val="24"/>
          <w:szCs w:val="24"/>
        </w:rPr>
        <w:t xml:space="preserve">un outil </w:t>
      </w:r>
      <w:r>
        <w:rPr>
          <w:rFonts w:ascii="Times New Roman" w:eastAsia="Times New Roman" w:hAnsi="Times New Roman" w:cs="Times New Roman"/>
          <w:sz w:val="24"/>
          <w:szCs w:val="24"/>
        </w:rPr>
        <w:t>pour</w:t>
      </w:r>
      <w:r w:rsidRPr="00C97DD4">
        <w:rPr>
          <w:rFonts w:ascii="Times New Roman" w:eastAsia="Times New Roman" w:hAnsi="Times New Roman" w:cs="Times New Roman"/>
          <w:sz w:val="24"/>
          <w:szCs w:val="24"/>
        </w:rPr>
        <w:t xml:space="preserve"> renforcer son engagement dans l</w:t>
      </w:r>
      <w:r w:rsidR="00C214F9">
        <w:rPr>
          <w:rFonts w:ascii="Times New Roman" w:eastAsia="Times New Roman" w:hAnsi="Times New Roman" w:cs="Times New Roman"/>
          <w:sz w:val="24"/>
          <w:szCs w:val="24"/>
        </w:rPr>
        <w:t>e</w:t>
      </w:r>
      <w:r w:rsidRPr="00C97DD4">
        <w:rPr>
          <w:rFonts w:ascii="Times New Roman" w:eastAsia="Times New Roman" w:hAnsi="Times New Roman" w:cs="Times New Roman"/>
          <w:sz w:val="24"/>
          <w:szCs w:val="24"/>
        </w:rPr>
        <w:t xml:space="preserve">s partenariats en cours et guider </w:t>
      </w:r>
      <w:r w:rsidR="00C214F9">
        <w:rPr>
          <w:rFonts w:ascii="Times New Roman" w:eastAsia="Times New Roman" w:hAnsi="Times New Roman" w:cs="Times New Roman"/>
          <w:sz w:val="24"/>
          <w:szCs w:val="24"/>
        </w:rPr>
        <w:t>l</w:t>
      </w:r>
      <w:r w:rsidR="009605E2">
        <w:rPr>
          <w:rFonts w:ascii="Times New Roman" w:eastAsia="Times New Roman" w:hAnsi="Times New Roman" w:cs="Times New Roman"/>
          <w:sz w:val="24"/>
          <w:szCs w:val="24"/>
        </w:rPr>
        <w:t xml:space="preserve">’exploration </w:t>
      </w:r>
      <w:r w:rsidRPr="00C97DD4">
        <w:rPr>
          <w:rFonts w:ascii="Times New Roman" w:eastAsia="Times New Roman" w:hAnsi="Times New Roman" w:cs="Times New Roman"/>
          <w:sz w:val="24"/>
          <w:szCs w:val="24"/>
        </w:rPr>
        <w:t xml:space="preserve">de nouveaux mécanismes de financement </w:t>
      </w:r>
      <w:r w:rsidR="00C214F9">
        <w:rPr>
          <w:rFonts w:ascii="Times New Roman" w:eastAsia="Times New Roman" w:hAnsi="Times New Roman" w:cs="Times New Roman"/>
          <w:sz w:val="24"/>
          <w:szCs w:val="24"/>
        </w:rPr>
        <w:t>en vue de</w:t>
      </w:r>
      <w:r>
        <w:rPr>
          <w:rFonts w:ascii="Times New Roman" w:eastAsia="Times New Roman" w:hAnsi="Times New Roman" w:cs="Times New Roman"/>
          <w:sz w:val="24"/>
          <w:szCs w:val="24"/>
        </w:rPr>
        <w:t xml:space="preserve"> </w:t>
      </w:r>
      <w:r w:rsidRPr="00C97DD4">
        <w:rPr>
          <w:rFonts w:ascii="Times New Roman" w:eastAsia="Times New Roman" w:hAnsi="Times New Roman" w:cs="Times New Roman"/>
          <w:sz w:val="24"/>
          <w:szCs w:val="24"/>
        </w:rPr>
        <w:t xml:space="preserve">mobiliser des ressources supplémentaires </w:t>
      </w:r>
      <w:r w:rsidR="00C214F9">
        <w:rPr>
          <w:rFonts w:ascii="Times New Roman" w:eastAsia="Times New Roman" w:hAnsi="Times New Roman" w:cs="Times New Roman"/>
          <w:sz w:val="24"/>
          <w:szCs w:val="24"/>
        </w:rPr>
        <w:t xml:space="preserve">en appui </w:t>
      </w:r>
      <w:r w:rsidR="009605E2">
        <w:rPr>
          <w:rFonts w:ascii="Times New Roman" w:eastAsia="Times New Roman" w:hAnsi="Times New Roman" w:cs="Times New Roman"/>
          <w:sz w:val="24"/>
          <w:szCs w:val="24"/>
        </w:rPr>
        <w:t xml:space="preserve">aux actions de </w:t>
      </w:r>
      <w:r w:rsidRPr="00C97DD4">
        <w:rPr>
          <w:rFonts w:ascii="Times New Roman" w:eastAsia="Times New Roman" w:hAnsi="Times New Roman" w:cs="Times New Roman"/>
          <w:sz w:val="24"/>
          <w:szCs w:val="24"/>
        </w:rPr>
        <w:t xml:space="preserve">développement. Cet </w:t>
      </w:r>
      <w:r w:rsidR="009605E2">
        <w:rPr>
          <w:rFonts w:ascii="Times New Roman" w:eastAsia="Times New Roman" w:hAnsi="Times New Roman" w:cs="Times New Roman"/>
          <w:sz w:val="24"/>
          <w:szCs w:val="24"/>
        </w:rPr>
        <w:t>instrument</w:t>
      </w:r>
      <w:r w:rsidRPr="00C97DD4">
        <w:rPr>
          <w:rFonts w:ascii="Times New Roman" w:eastAsia="Times New Roman" w:hAnsi="Times New Roman" w:cs="Times New Roman"/>
          <w:sz w:val="24"/>
          <w:szCs w:val="24"/>
        </w:rPr>
        <w:t xml:space="preserve"> </w:t>
      </w:r>
      <w:r w:rsidR="009605E2">
        <w:rPr>
          <w:rFonts w:ascii="Times New Roman" w:eastAsia="Times New Roman" w:hAnsi="Times New Roman" w:cs="Times New Roman"/>
          <w:sz w:val="24"/>
          <w:szCs w:val="24"/>
        </w:rPr>
        <w:t xml:space="preserve">contribuera aussi à </w:t>
      </w:r>
      <w:r w:rsidRPr="00C97DD4">
        <w:rPr>
          <w:rFonts w:ascii="Times New Roman" w:eastAsia="Times New Roman" w:hAnsi="Times New Roman" w:cs="Times New Roman"/>
          <w:sz w:val="24"/>
          <w:szCs w:val="24"/>
        </w:rPr>
        <w:t>amélior</w:t>
      </w:r>
      <w:r w:rsidR="009605E2">
        <w:rPr>
          <w:rFonts w:ascii="Times New Roman" w:eastAsia="Times New Roman" w:hAnsi="Times New Roman" w:cs="Times New Roman"/>
          <w:sz w:val="24"/>
          <w:szCs w:val="24"/>
        </w:rPr>
        <w:t xml:space="preserve">er </w:t>
      </w:r>
      <w:r w:rsidRPr="00C97DD4">
        <w:rPr>
          <w:rFonts w:ascii="Times New Roman" w:eastAsia="Times New Roman" w:hAnsi="Times New Roman" w:cs="Times New Roman"/>
          <w:sz w:val="24"/>
          <w:szCs w:val="24"/>
        </w:rPr>
        <w:t xml:space="preserve">la visibilité de l’appui au développement et des partenariats du </w:t>
      </w:r>
      <w:r w:rsidR="000552C5">
        <w:rPr>
          <w:rFonts w:ascii="Times New Roman" w:eastAsia="Times New Roman" w:hAnsi="Times New Roman" w:cs="Times New Roman"/>
          <w:sz w:val="24"/>
          <w:szCs w:val="24"/>
        </w:rPr>
        <w:t>PNUD</w:t>
      </w:r>
      <w:r w:rsidR="000552C5" w:rsidRPr="00C97DD4">
        <w:rPr>
          <w:rFonts w:ascii="Times New Roman" w:eastAsia="Times New Roman" w:hAnsi="Times New Roman" w:cs="Times New Roman"/>
          <w:sz w:val="24"/>
          <w:szCs w:val="24"/>
        </w:rPr>
        <w:t xml:space="preserve"> </w:t>
      </w:r>
      <w:r w:rsidR="000552C5">
        <w:rPr>
          <w:rFonts w:ascii="Times New Roman" w:eastAsia="Times New Roman" w:hAnsi="Times New Roman" w:cs="Times New Roman"/>
          <w:sz w:val="24"/>
          <w:szCs w:val="24"/>
        </w:rPr>
        <w:t>permettant de</w:t>
      </w:r>
      <w:r w:rsidR="000552C5" w:rsidRPr="00C97DD4">
        <w:rPr>
          <w:rFonts w:ascii="Times New Roman" w:eastAsia="Times New Roman" w:hAnsi="Times New Roman" w:cs="Times New Roman"/>
          <w:sz w:val="24"/>
          <w:szCs w:val="24"/>
        </w:rPr>
        <w:t xml:space="preserve"> </w:t>
      </w:r>
      <w:r w:rsidRPr="00C97DD4">
        <w:rPr>
          <w:rFonts w:ascii="Times New Roman" w:eastAsia="Times New Roman" w:hAnsi="Times New Roman" w:cs="Times New Roman"/>
          <w:sz w:val="24"/>
          <w:szCs w:val="24"/>
        </w:rPr>
        <w:t xml:space="preserve">renforcer </w:t>
      </w:r>
      <w:r w:rsidR="009605E2">
        <w:rPr>
          <w:rFonts w:ascii="Times New Roman" w:eastAsia="Times New Roman" w:hAnsi="Times New Roman" w:cs="Times New Roman"/>
          <w:sz w:val="24"/>
          <w:szCs w:val="24"/>
        </w:rPr>
        <w:t xml:space="preserve">son positionnement stratégique ainsi que </w:t>
      </w:r>
      <w:r w:rsidRPr="00C97DD4">
        <w:rPr>
          <w:rFonts w:ascii="Times New Roman" w:eastAsia="Times New Roman" w:hAnsi="Times New Roman" w:cs="Times New Roman"/>
          <w:sz w:val="24"/>
          <w:szCs w:val="24"/>
        </w:rPr>
        <w:t xml:space="preserve">la confiance du </w:t>
      </w:r>
      <w:r w:rsidR="009605E2">
        <w:rPr>
          <w:rFonts w:ascii="Times New Roman" w:eastAsia="Times New Roman" w:hAnsi="Times New Roman" w:cs="Times New Roman"/>
          <w:sz w:val="24"/>
          <w:szCs w:val="24"/>
        </w:rPr>
        <w:t>Gouvernement et</w:t>
      </w:r>
      <w:r w:rsidRPr="00C97DD4">
        <w:rPr>
          <w:rFonts w:ascii="Times New Roman" w:eastAsia="Times New Roman" w:hAnsi="Times New Roman" w:cs="Times New Roman"/>
          <w:sz w:val="24"/>
          <w:szCs w:val="24"/>
        </w:rPr>
        <w:t xml:space="preserve"> des partenaires </w:t>
      </w:r>
      <w:r w:rsidR="000552C5">
        <w:rPr>
          <w:rFonts w:ascii="Times New Roman" w:eastAsia="Times New Roman" w:hAnsi="Times New Roman" w:cs="Times New Roman"/>
          <w:sz w:val="24"/>
          <w:szCs w:val="24"/>
        </w:rPr>
        <w:t xml:space="preserve">à </w:t>
      </w:r>
      <w:r w:rsidR="00790324">
        <w:rPr>
          <w:rFonts w:ascii="Times New Roman" w:eastAsia="Times New Roman" w:hAnsi="Times New Roman" w:cs="Times New Roman"/>
          <w:sz w:val="24"/>
          <w:szCs w:val="24"/>
        </w:rPr>
        <w:t>travers son</w:t>
      </w:r>
      <w:r w:rsidR="000552C5">
        <w:rPr>
          <w:rFonts w:ascii="Times New Roman" w:eastAsia="Times New Roman" w:hAnsi="Times New Roman" w:cs="Times New Roman"/>
          <w:sz w:val="24"/>
          <w:szCs w:val="24"/>
        </w:rPr>
        <w:t xml:space="preserve"> </w:t>
      </w:r>
      <w:r w:rsidRPr="00C97DD4">
        <w:rPr>
          <w:rFonts w:ascii="Times New Roman" w:eastAsia="Times New Roman" w:hAnsi="Times New Roman" w:cs="Times New Roman"/>
          <w:sz w:val="24"/>
          <w:szCs w:val="24"/>
        </w:rPr>
        <w:t xml:space="preserve">avantage comparatif. </w:t>
      </w:r>
    </w:p>
    <w:bookmarkEnd w:id="4"/>
    <w:p w14:paraId="3F08C1FB" w14:textId="7726B722" w:rsidR="0064687D" w:rsidRDefault="009605E2" w:rsidP="00C97D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stratégie </w:t>
      </w:r>
      <w:r w:rsidR="00C97DD4" w:rsidRPr="00C97DD4">
        <w:rPr>
          <w:rFonts w:ascii="Times New Roman" w:eastAsia="Times New Roman" w:hAnsi="Times New Roman" w:cs="Times New Roman"/>
          <w:sz w:val="24"/>
          <w:szCs w:val="24"/>
        </w:rPr>
        <w:t xml:space="preserve">sera </w:t>
      </w:r>
      <w:r w:rsidRPr="00C97DD4">
        <w:rPr>
          <w:rFonts w:ascii="Times New Roman" w:eastAsia="Times New Roman" w:hAnsi="Times New Roman" w:cs="Times New Roman"/>
          <w:sz w:val="24"/>
          <w:szCs w:val="24"/>
        </w:rPr>
        <w:t>opérationnalisée</w:t>
      </w:r>
      <w:r w:rsidR="00C97DD4" w:rsidRPr="00C97DD4">
        <w:rPr>
          <w:rFonts w:ascii="Times New Roman" w:eastAsia="Times New Roman" w:hAnsi="Times New Roman" w:cs="Times New Roman"/>
          <w:sz w:val="24"/>
          <w:szCs w:val="24"/>
        </w:rPr>
        <w:t xml:space="preserve"> en veillant à ce que le personnel d</w:t>
      </w:r>
      <w:r>
        <w:rPr>
          <w:rFonts w:ascii="Times New Roman" w:eastAsia="Times New Roman" w:hAnsi="Times New Roman" w:cs="Times New Roman"/>
          <w:sz w:val="24"/>
          <w:szCs w:val="24"/>
        </w:rPr>
        <w:t>u P</w:t>
      </w:r>
      <w:r w:rsidR="00C97DD4" w:rsidRPr="00C97DD4">
        <w:rPr>
          <w:rFonts w:ascii="Times New Roman" w:eastAsia="Times New Roman" w:hAnsi="Times New Roman" w:cs="Times New Roman"/>
          <w:sz w:val="24"/>
          <w:szCs w:val="24"/>
        </w:rPr>
        <w:t xml:space="preserve">rogramme et des </w:t>
      </w:r>
      <w:r>
        <w:rPr>
          <w:rFonts w:ascii="Times New Roman" w:eastAsia="Times New Roman" w:hAnsi="Times New Roman" w:cs="Times New Roman"/>
          <w:sz w:val="24"/>
          <w:szCs w:val="24"/>
        </w:rPr>
        <w:t>O</w:t>
      </w:r>
      <w:r w:rsidR="00C97DD4" w:rsidRPr="00C97DD4">
        <w:rPr>
          <w:rFonts w:ascii="Times New Roman" w:eastAsia="Times New Roman" w:hAnsi="Times New Roman" w:cs="Times New Roman"/>
          <w:sz w:val="24"/>
          <w:szCs w:val="24"/>
        </w:rPr>
        <w:t>pérations du</w:t>
      </w:r>
      <w:r w:rsidR="00C97DD4">
        <w:rPr>
          <w:rFonts w:ascii="Times New Roman" w:eastAsia="Times New Roman" w:hAnsi="Times New Roman" w:cs="Times New Roman"/>
          <w:sz w:val="24"/>
          <w:szCs w:val="24"/>
        </w:rPr>
        <w:t xml:space="preserve"> </w:t>
      </w:r>
      <w:r w:rsidR="0064687D">
        <w:rPr>
          <w:rFonts w:ascii="Times New Roman" w:eastAsia="Times New Roman" w:hAnsi="Times New Roman" w:cs="Times New Roman"/>
          <w:sz w:val="24"/>
          <w:szCs w:val="24"/>
        </w:rPr>
        <w:t>B</w:t>
      </w:r>
      <w:r w:rsidR="00C97DD4" w:rsidRPr="00C97DD4">
        <w:rPr>
          <w:rFonts w:ascii="Times New Roman" w:eastAsia="Times New Roman" w:hAnsi="Times New Roman" w:cs="Times New Roman"/>
          <w:sz w:val="24"/>
          <w:szCs w:val="24"/>
        </w:rPr>
        <w:t xml:space="preserve">ureau dispose des capacités, des ressources catalytiques et de l'espace pour mettre en œuvre les actions requises. </w:t>
      </w:r>
      <w:r w:rsidR="00C51663" w:rsidRPr="00C51663">
        <w:rPr>
          <w:rFonts w:ascii="Times New Roman" w:eastAsia="Times New Roman" w:hAnsi="Times New Roman" w:cs="Times New Roman"/>
          <w:sz w:val="24"/>
          <w:szCs w:val="24"/>
        </w:rPr>
        <w:t xml:space="preserve">L’engagement et la participation de tous est indispensable au succès de la mise en place d’une culture du partenariat effective et durable et, a fortiori, </w:t>
      </w:r>
      <w:r w:rsidR="00DD2874">
        <w:rPr>
          <w:rFonts w:ascii="Times New Roman" w:eastAsia="Times New Roman" w:hAnsi="Times New Roman" w:cs="Times New Roman"/>
          <w:sz w:val="24"/>
          <w:szCs w:val="24"/>
        </w:rPr>
        <w:t>d’une stratégie de</w:t>
      </w:r>
      <w:r w:rsidR="00C51663" w:rsidRPr="00C51663">
        <w:rPr>
          <w:rFonts w:ascii="Times New Roman" w:eastAsia="Times New Roman" w:hAnsi="Times New Roman" w:cs="Times New Roman"/>
          <w:sz w:val="24"/>
          <w:szCs w:val="24"/>
        </w:rPr>
        <w:t xml:space="preserve"> mobilisation des ressources qui permettront d’assurer l</w:t>
      </w:r>
      <w:r w:rsidR="00C51663">
        <w:rPr>
          <w:rFonts w:ascii="Times New Roman" w:eastAsia="Times New Roman" w:hAnsi="Times New Roman" w:cs="Times New Roman"/>
          <w:sz w:val="24"/>
          <w:szCs w:val="24"/>
        </w:rPr>
        <w:t>a mise en œuvre du CPD</w:t>
      </w:r>
      <w:r w:rsidR="00C51663" w:rsidRPr="00C51663">
        <w:rPr>
          <w:rFonts w:ascii="Times New Roman" w:eastAsia="Times New Roman" w:hAnsi="Times New Roman" w:cs="Times New Roman"/>
          <w:sz w:val="24"/>
          <w:szCs w:val="24"/>
        </w:rPr>
        <w:t xml:space="preserve">. </w:t>
      </w:r>
    </w:p>
    <w:p w14:paraId="26812DA7" w14:textId="1E87DF19" w:rsidR="00F74E69" w:rsidRDefault="00C97DD4" w:rsidP="00C97DD4">
      <w:pPr>
        <w:jc w:val="both"/>
        <w:rPr>
          <w:rFonts w:ascii="Times New Roman" w:eastAsia="Times New Roman" w:hAnsi="Times New Roman" w:cs="Times New Roman"/>
          <w:sz w:val="24"/>
          <w:szCs w:val="24"/>
        </w:rPr>
      </w:pPr>
      <w:r w:rsidRPr="00C97DD4">
        <w:rPr>
          <w:rFonts w:ascii="Times New Roman" w:eastAsia="Times New Roman" w:hAnsi="Times New Roman" w:cs="Times New Roman"/>
          <w:sz w:val="24"/>
          <w:szCs w:val="24"/>
        </w:rPr>
        <w:t xml:space="preserve">En outre, un </w:t>
      </w:r>
      <w:r w:rsidR="00C51663">
        <w:rPr>
          <w:rFonts w:ascii="Times New Roman" w:eastAsia="Times New Roman" w:hAnsi="Times New Roman" w:cs="Times New Roman"/>
          <w:sz w:val="24"/>
          <w:szCs w:val="24"/>
        </w:rPr>
        <w:t>dispositif</w:t>
      </w:r>
      <w:r w:rsidRPr="00C97DD4">
        <w:rPr>
          <w:rFonts w:ascii="Times New Roman" w:eastAsia="Times New Roman" w:hAnsi="Times New Roman" w:cs="Times New Roman"/>
          <w:sz w:val="24"/>
          <w:szCs w:val="24"/>
        </w:rPr>
        <w:t xml:space="preserve"> de suivi et d'évaluation de </w:t>
      </w:r>
      <w:r w:rsidR="00C51663">
        <w:rPr>
          <w:rFonts w:ascii="Times New Roman" w:eastAsia="Times New Roman" w:hAnsi="Times New Roman" w:cs="Times New Roman"/>
          <w:sz w:val="24"/>
          <w:szCs w:val="24"/>
        </w:rPr>
        <w:t xml:space="preserve">la stratégie </w:t>
      </w:r>
      <w:r w:rsidRPr="00C97DD4">
        <w:rPr>
          <w:rFonts w:ascii="Times New Roman" w:eastAsia="Times New Roman" w:hAnsi="Times New Roman" w:cs="Times New Roman"/>
          <w:sz w:val="24"/>
          <w:szCs w:val="24"/>
        </w:rPr>
        <w:t>sera développé et mis en œuvre tout en garantissant que les leçons apprises et les meilleures pratiques soient documentées et largement partagées avec l</w:t>
      </w:r>
      <w:r w:rsidR="00C51663">
        <w:rPr>
          <w:rFonts w:ascii="Times New Roman" w:eastAsia="Times New Roman" w:hAnsi="Times New Roman" w:cs="Times New Roman"/>
          <w:sz w:val="24"/>
          <w:szCs w:val="24"/>
        </w:rPr>
        <w:t>’ensemble d</w:t>
      </w:r>
      <w:r w:rsidRPr="00C97DD4">
        <w:rPr>
          <w:rFonts w:ascii="Times New Roman" w:eastAsia="Times New Roman" w:hAnsi="Times New Roman" w:cs="Times New Roman"/>
          <w:sz w:val="24"/>
          <w:szCs w:val="24"/>
        </w:rPr>
        <w:t>es parties prenantes.</w:t>
      </w:r>
    </w:p>
    <w:p w14:paraId="45887FC3" w14:textId="77777777" w:rsidR="00C51663" w:rsidRPr="00B508BE" w:rsidRDefault="00C51663" w:rsidP="00C97DD4">
      <w:pPr>
        <w:jc w:val="both"/>
        <w:rPr>
          <w:rFonts w:ascii="Times New Roman" w:eastAsia="Times New Roman" w:hAnsi="Times New Roman" w:cs="Times New Roman"/>
          <w:sz w:val="24"/>
          <w:szCs w:val="24"/>
        </w:rPr>
      </w:pPr>
    </w:p>
    <w:p w14:paraId="3FDC6BEE" w14:textId="5D86758E" w:rsidR="002C74D9" w:rsidRPr="00BD0A97" w:rsidRDefault="002C74D9" w:rsidP="005809E2">
      <w:pPr>
        <w:pStyle w:val="Titre2"/>
        <w:rPr>
          <w:rFonts w:eastAsia="Times New Roman"/>
          <w:b/>
          <w:bCs/>
          <w:sz w:val="28"/>
          <w:szCs w:val="28"/>
        </w:rPr>
      </w:pPr>
      <w:bookmarkStart w:id="5" w:name="_Toc139363436"/>
      <w:r w:rsidRPr="00BD0A97">
        <w:rPr>
          <w:b/>
          <w:bCs/>
          <w:sz w:val="28"/>
          <w:szCs w:val="28"/>
        </w:rPr>
        <w:t xml:space="preserve">2. </w:t>
      </w:r>
      <w:r w:rsidR="002D7CEB" w:rsidRPr="00BD0A97">
        <w:rPr>
          <w:b/>
          <w:bCs/>
          <w:sz w:val="28"/>
          <w:szCs w:val="28"/>
        </w:rPr>
        <w:t>Contexte du Pays</w:t>
      </w:r>
      <w:bookmarkEnd w:id="5"/>
    </w:p>
    <w:p w14:paraId="1735CF31" w14:textId="4055BFB3" w:rsidR="00171A5B" w:rsidRDefault="00171A5B" w:rsidP="000C4539">
      <w:pPr>
        <w:jc w:val="both"/>
        <w:rPr>
          <w:rFonts w:ascii="Times New Roman" w:eastAsia="Times New Roman" w:hAnsi="Times New Roman" w:cs="Times New Roman"/>
          <w:sz w:val="24"/>
          <w:szCs w:val="24"/>
        </w:rPr>
      </w:pPr>
      <w:r w:rsidRPr="000C4539">
        <w:rPr>
          <w:rFonts w:ascii="Times New Roman" w:eastAsia="Times New Roman" w:hAnsi="Times New Roman" w:cs="Times New Roman"/>
          <w:sz w:val="24"/>
          <w:szCs w:val="24"/>
        </w:rPr>
        <w:t>Après la récession provoquée en 2020 par la pandémie de la Covid-19, l’année 2021 a été caractérisée par une reprise relativement vigoureuse de l’activité économique à l’échelle mondiale et régionale, en dépit de la persistance des incertitudes sur le plan sanitaire. Ainsi, après avoir accusé une baisse de 3,1% en 2020, la production mondiale a connu un rebond de 6,1% en 2021, résultant de la forte reprise de la demande. Cette reprise s’est accompagnée d’une remontée de l’inflation dans la plupart des régions du monde, alimentée notamment par la hausse des coûts de l’énergie et des prix des produits alimentaires ainsi que par les perturbations des chaînes d’approvisionnement</w:t>
      </w:r>
      <w:r w:rsidR="00E94A1E">
        <w:rPr>
          <w:rFonts w:ascii="Times New Roman" w:eastAsia="Times New Roman" w:hAnsi="Times New Roman" w:cs="Times New Roman"/>
          <w:sz w:val="24"/>
          <w:szCs w:val="24"/>
        </w:rPr>
        <w:t>.</w:t>
      </w:r>
    </w:p>
    <w:p w14:paraId="0A5BEC31" w14:textId="79FBED20" w:rsidR="000C43C5" w:rsidRDefault="000C43C5" w:rsidP="000C43C5">
      <w:pPr>
        <w:spacing w:after="0" w:line="240" w:lineRule="auto"/>
        <w:jc w:val="both"/>
        <w:rPr>
          <w:rFonts w:ascii="Times New Roman" w:eastAsia="Times New Roman" w:hAnsi="Times New Roman" w:cs="Times New Roman"/>
          <w:sz w:val="24"/>
          <w:szCs w:val="24"/>
        </w:rPr>
      </w:pPr>
      <w:r w:rsidRPr="003E637D">
        <w:rPr>
          <w:rFonts w:ascii="Times New Roman" w:eastAsia="Times New Roman" w:hAnsi="Times New Roman" w:cs="Times New Roman"/>
          <w:sz w:val="24"/>
          <w:szCs w:val="24"/>
        </w:rPr>
        <w:t xml:space="preserve">Cette reprise a été possible grâce au démarrage de la vaccination à grande échelle contre la Covid-19, à l’assouplissement des mesures restrictives de lutte contre la propagation de cette </w:t>
      </w:r>
      <w:r w:rsidRPr="003E637D">
        <w:rPr>
          <w:rFonts w:ascii="Times New Roman" w:eastAsia="Times New Roman" w:hAnsi="Times New Roman" w:cs="Times New Roman"/>
          <w:sz w:val="24"/>
          <w:szCs w:val="24"/>
        </w:rPr>
        <w:lastRenderedPageBreak/>
        <w:t>pandémie, aux soutiens budgétaires massifs et au maintien des conditions financières favorables, en l’occurrence le maintien de politiques monétaires accommodantes.</w:t>
      </w:r>
      <w:r>
        <w:rPr>
          <w:rFonts w:ascii="Times New Roman" w:eastAsia="Times New Roman" w:hAnsi="Times New Roman" w:cs="Times New Roman"/>
          <w:sz w:val="24"/>
          <w:szCs w:val="24"/>
        </w:rPr>
        <w:t xml:space="preserve"> </w:t>
      </w:r>
      <w:r w:rsidRPr="003E637D">
        <w:rPr>
          <w:rFonts w:ascii="Times New Roman" w:eastAsia="Times New Roman" w:hAnsi="Times New Roman" w:cs="Times New Roman"/>
          <w:sz w:val="24"/>
          <w:szCs w:val="24"/>
        </w:rPr>
        <w:t>Dans ce contexte, l'économie mondiale s’est affichée à 5,9% en 2021 après une baisse de 3,1% en 2020, avec une reprise à la fois dans les pays avancés (+5,0%) et dans les pays émergents et pays en développement (+6,5%).</w:t>
      </w:r>
    </w:p>
    <w:p w14:paraId="50C4CE7F" w14:textId="2932D14E" w:rsidR="000C43C5" w:rsidRDefault="000C43C5" w:rsidP="000C43C5">
      <w:pPr>
        <w:spacing w:after="0" w:line="240" w:lineRule="auto"/>
        <w:jc w:val="both"/>
        <w:rPr>
          <w:rFonts w:ascii="Times New Roman" w:eastAsia="Times New Roman" w:hAnsi="Times New Roman" w:cs="Times New Roman"/>
          <w:sz w:val="24"/>
          <w:szCs w:val="24"/>
        </w:rPr>
      </w:pPr>
    </w:p>
    <w:p w14:paraId="1E45884B" w14:textId="76439D55" w:rsidR="006D7006" w:rsidRDefault="000C43C5" w:rsidP="006D70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 le Plan National, </w:t>
      </w:r>
      <w:r w:rsidR="000C4539">
        <w:rPr>
          <w:rFonts w:ascii="Times New Roman" w:eastAsia="Times New Roman" w:hAnsi="Times New Roman" w:cs="Times New Roman"/>
          <w:sz w:val="24"/>
          <w:szCs w:val="24"/>
        </w:rPr>
        <w:t>l</w:t>
      </w:r>
      <w:r w:rsidR="006D7006" w:rsidRPr="006D7006">
        <w:rPr>
          <w:rFonts w:ascii="Times New Roman" w:eastAsia="Times New Roman" w:hAnsi="Times New Roman" w:cs="Times New Roman"/>
          <w:sz w:val="24"/>
          <w:szCs w:val="24"/>
        </w:rPr>
        <w:t xml:space="preserve">’année 2021 s’est déroulée dans un contexte de maintien de la stabilité socio-politique. Le Gouvernement a continué à œuvrer à l’amélioration de l’action gouvernementale et à l’apaisement du climat socio-politique. En effet, l'apaisement politique est perceptible avec le bon </w:t>
      </w:r>
      <w:r w:rsidR="006D7006" w:rsidRPr="00930D51">
        <w:rPr>
          <w:rFonts w:ascii="Times New Roman" w:eastAsia="Times New Roman" w:hAnsi="Times New Roman" w:cs="Times New Roman"/>
          <w:sz w:val="24"/>
          <w:szCs w:val="24"/>
        </w:rPr>
        <w:t xml:space="preserve">déroulement des élections </w:t>
      </w:r>
      <w:r w:rsidR="006D7006" w:rsidRPr="006D7006">
        <w:rPr>
          <w:rFonts w:ascii="Times New Roman" w:eastAsia="Times New Roman" w:hAnsi="Times New Roman" w:cs="Times New Roman"/>
          <w:sz w:val="24"/>
          <w:szCs w:val="24"/>
        </w:rPr>
        <w:t xml:space="preserve">législatives de mars 2021 et l’engagement d’un dialogue politique avec l’opposition et la société civile. </w:t>
      </w:r>
    </w:p>
    <w:p w14:paraId="7407BF94" w14:textId="684D941D" w:rsidR="006D7006" w:rsidRDefault="006D7006" w:rsidP="006D7006">
      <w:pPr>
        <w:spacing w:after="0" w:line="240" w:lineRule="auto"/>
        <w:jc w:val="both"/>
        <w:rPr>
          <w:rFonts w:ascii="Times New Roman" w:eastAsia="Times New Roman" w:hAnsi="Times New Roman" w:cs="Times New Roman"/>
          <w:sz w:val="24"/>
          <w:szCs w:val="24"/>
        </w:rPr>
      </w:pPr>
    </w:p>
    <w:p w14:paraId="7DBE4F60" w14:textId="3CD12496" w:rsidR="006D7006" w:rsidRDefault="006D7006" w:rsidP="006D7006">
      <w:pPr>
        <w:spacing w:after="0" w:line="240" w:lineRule="auto"/>
        <w:jc w:val="both"/>
        <w:rPr>
          <w:rFonts w:ascii="Times New Roman" w:eastAsia="Times New Roman" w:hAnsi="Times New Roman" w:cs="Times New Roman"/>
          <w:sz w:val="24"/>
          <w:szCs w:val="24"/>
        </w:rPr>
      </w:pPr>
      <w:r w:rsidRPr="006D7006">
        <w:rPr>
          <w:rFonts w:ascii="Times New Roman" w:eastAsia="Times New Roman" w:hAnsi="Times New Roman" w:cs="Times New Roman"/>
          <w:sz w:val="24"/>
          <w:szCs w:val="24"/>
        </w:rPr>
        <w:t>L’activité économique a tiré avantage de la mise en œuvre du Plan National de Développement (PND) 2016-2020 et du début de mise en œuvre du PND 2021-2025. La croissance économique, après une hausse de 2,0% en 2020, s’est située à 7,4% en 2021</w:t>
      </w:r>
      <w:r w:rsidR="00930D51">
        <w:rPr>
          <w:rFonts w:ascii="Times New Roman" w:eastAsia="Times New Roman" w:hAnsi="Times New Roman" w:cs="Times New Roman"/>
          <w:sz w:val="24"/>
          <w:szCs w:val="24"/>
        </w:rPr>
        <w:t>, contrai</w:t>
      </w:r>
      <w:r w:rsidR="00171A5B">
        <w:rPr>
          <w:rFonts w:ascii="Times New Roman" w:eastAsia="Times New Roman" w:hAnsi="Times New Roman" w:cs="Times New Roman"/>
          <w:sz w:val="24"/>
          <w:szCs w:val="24"/>
        </w:rPr>
        <w:t>re</w:t>
      </w:r>
      <w:r w:rsidR="00930D51">
        <w:rPr>
          <w:rFonts w:ascii="Times New Roman" w:eastAsia="Times New Roman" w:hAnsi="Times New Roman" w:cs="Times New Roman"/>
          <w:sz w:val="24"/>
          <w:szCs w:val="24"/>
        </w:rPr>
        <w:t xml:space="preserve">ment aux </w:t>
      </w:r>
      <w:r w:rsidR="00171A5B">
        <w:rPr>
          <w:rFonts w:ascii="Times New Roman" w:eastAsia="Times New Roman" w:hAnsi="Times New Roman" w:cs="Times New Roman"/>
          <w:sz w:val="24"/>
          <w:szCs w:val="24"/>
        </w:rPr>
        <w:t>économies</w:t>
      </w:r>
      <w:r w:rsidR="00930D51">
        <w:rPr>
          <w:rFonts w:ascii="Times New Roman" w:eastAsia="Times New Roman" w:hAnsi="Times New Roman" w:cs="Times New Roman"/>
          <w:sz w:val="24"/>
          <w:szCs w:val="24"/>
        </w:rPr>
        <w:t xml:space="preserve"> de l’Afrique </w:t>
      </w:r>
      <w:r w:rsidR="00261A4C">
        <w:rPr>
          <w:rFonts w:ascii="Times New Roman" w:eastAsia="Times New Roman" w:hAnsi="Times New Roman" w:cs="Times New Roman"/>
          <w:sz w:val="24"/>
          <w:szCs w:val="24"/>
        </w:rPr>
        <w:t>subsaharienne</w:t>
      </w:r>
      <w:r w:rsidR="00930D51">
        <w:rPr>
          <w:rFonts w:ascii="Times New Roman" w:eastAsia="Times New Roman" w:hAnsi="Times New Roman" w:cs="Times New Roman"/>
          <w:sz w:val="24"/>
          <w:szCs w:val="24"/>
        </w:rPr>
        <w:t xml:space="preserve">, ayant </w:t>
      </w:r>
      <w:r w:rsidR="000C4539">
        <w:rPr>
          <w:rFonts w:ascii="Times New Roman" w:eastAsia="Times New Roman" w:hAnsi="Times New Roman" w:cs="Times New Roman"/>
          <w:sz w:val="24"/>
          <w:szCs w:val="24"/>
        </w:rPr>
        <w:t>enregistré</w:t>
      </w:r>
      <w:r w:rsidR="00930D51">
        <w:rPr>
          <w:rFonts w:ascii="Times New Roman" w:eastAsia="Times New Roman" w:hAnsi="Times New Roman" w:cs="Times New Roman"/>
          <w:sz w:val="24"/>
          <w:szCs w:val="24"/>
        </w:rPr>
        <w:t xml:space="preserve"> des taux plus bas</w:t>
      </w:r>
      <w:r w:rsidRPr="006D7006">
        <w:rPr>
          <w:rFonts w:ascii="Times New Roman" w:eastAsia="Times New Roman" w:hAnsi="Times New Roman" w:cs="Times New Roman"/>
          <w:sz w:val="24"/>
          <w:szCs w:val="24"/>
        </w:rPr>
        <w:t>. Le taux d’inflation s’est établi à 4,2%, principalement porté par la hausse des prix des produits alimentaires.</w:t>
      </w:r>
    </w:p>
    <w:p w14:paraId="77069948" w14:textId="77777777" w:rsidR="000C4539" w:rsidRDefault="000C4539" w:rsidP="006D7006">
      <w:pPr>
        <w:spacing w:after="0" w:line="240" w:lineRule="auto"/>
        <w:jc w:val="both"/>
        <w:rPr>
          <w:rFonts w:ascii="Times New Roman" w:eastAsia="Times New Roman" w:hAnsi="Times New Roman" w:cs="Times New Roman"/>
          <w:sz w:val="24"/>
          <w:szCs w:val="24"/>
        </w:rPr>
      </w:pPr>
    </w:p>
    <w:p w14:paraId="07852869" w14:textId="03F893C2" w:rsidR="00535F79" w:rsidRDefault="007746C4" w:rsidP="006D7006">
      <w:pPr>
        <w:spacing w:after="0" w:line="240" w:lineRule="auto"/>
        <w:jc w:val="both"/>
        <w:rPr>
          <w:rFonts w:ascii="Times New Roman" w:eastAsia="Times New Roman" w:hAnsi="Times New Roman" w:cs="Times New Roman"/>
          <w:sz w:val="24"/>
          <w:szCs w:val="24"/>
        </w:rPr>
      </w:pPr>
      <w:r w:rsidRPr="007746C4">
        <w:rPr>
          <w:rFonts w:ascii="Times New Roman" w:eastAsia="Times New Roman" w:hAnsi="Times New Roman" w:cs="Times New Roman"/>
          <w:sz w:val="24"/>
          <w:szCs w:val="24"/>
        </w:rPr>
        <w:t xml:space="preserve">Le budget 2022 </w:t>
      </w:r>
      <w:r w:rsidR="005615B6">
        <w:rPr>
          <w:rFonts w:ascii="Times New Roman" w:eastAsia="Times New Roman" w:hAnsi="Times New Roman" w:cs="Times New Roman"/>
          <w:sz w:val="24"/>
          <w:szCs w:val="24"/>
        </w:rPr>
        <w:t xml:space="preserve">sera </w:t>
      </w:r>
      <w:r w:rsidRPr="007746C4">
        <w:rPr>
          <w:rFonts w:ascii="Times New Roman" w:eastAsia="Times New Roman" w:hAnsi="Times New Roman" w:cs="Times New Roman"/>
          <w:sz w:val="24"/>
          <w:szCs w:val="24"/>
        </w:rPr>
        <w:t xml:space="preserve">révisé à la hausse (+8,4%) </w:t>
      </w:r>
      <w:r w:rsidR="005615B6">
        <w:rPr>
          <w:rFonts w:ascii="Times New Roman" w:eastAsia="Times New Roman" w:hAnsi="Times New Roman" w:cs="Times New Roman"/>
          <w:sz w:val="24"/>
          <w:szCs w:val="24"/>
        </w:rPr>
        <w:t>car</w:t>
      </w:r>
      <w:r w:rsidRPr="007746C4">
        <w:rPr>
          <w:rFonts w:ascii="Times New Roman" w:eastAsia="Times New Roman" w:hAnsi="Times New Roman" w:cs="Times New Roman"/>
          <w:sz w:val="24"/>
          <w:szCs w:val="24"/>
        </w:rPr>
        <w:t xml:space="preserve"> le déficit budgétaire devrait s'établir à 6% du PIB en 2022 (contre une prévision de 4,7% dans la loi de finances initiale). Cette hausse du déficit </w:t>
      </w:r>
      <w:r w:rsidR="005615B6">
        <w:rPr>
          <w:rFonts w:ascii="Times New Roman" w:eastAsia="Times New Roman" w:hAnsi="Times New Roman" w:cs="Times New Roman"/>
          <w:sz w:val="24"/>
          <w:szCs w:val="24"/>
        </w:rPr>
        <w:t>est due principalement à</w:t>
      </w:r>
      <w:r w:rsidRPr="007746C4">
        <w:rPr>
          <w:rFonts w:ascii="Times New Roman" w:eastAsia="Times New Roman" w:hAnsi="Times New Roman" w:cs="Times New Roman"/>
          <w:sz w:val="24"/>
          <w:szCs w:val="24"/>
        </w:rPr>
        <w:t xml:space="preserve"> une évolution non favorable des recettes</w:t>
      </w:r>
    </w:p>
    <w:p w14:paraId="724923E2" w14:textId="77777777" w:rsidR="005615B6" w:rsidRPr="00471B36" w:rsidRDefault="005615B6" w:rsidP="006D7006">
      <w:pPr>
        <w:spacing w:after="0" w:line="240" w:lineRule="auto"/>
        <w:jc w:val="both"/>
        <w:rPr>
          <w:rFonts w:ascii="Times New Roman" w:eastAsia="Times New Roman" w:hAnsi="Times New Roman" w:cs="Times New Roman"/>
          <w:b/>
          <w:bCs/>
          <w:color w:val="1F4E79" w:themeColor="accent5" w:themeShade="80"/>
          <w:sz w:val="24"/>
          <w:szCs w:val="24"/>
        </w:rPr>
      </w:pPr>
    </w:p>
    <w:p w14:paraId="39AFBFE2" w14:textId="24C8D9AA" w:rsidR="0043577F" w:rsidRPr="0043577F" w:rsidRDefault="008A79F1" w:rsidP="008A79F1">
      <w:pPr>
        <w:pStyle w:val="Lgende"/>
      </w:pPr>
      <w:bookmarkStart w:id="6" w:name="_Toc112407806"/>
      <w:r>
        <w:t xml:space="preserve">Figure </w:t>
      </w:r>
      <w:r>
        <w:fldChar w:fldCharType="begin"/>
      </w:r>
      <w:r>
        <w:instrText xml:space="preserve"> SEQ Figure \* ARABIC </w:instrText>
      </w:r>
      <w:r>
        <w:fldChar w:fldCharType="separate"/>
      </w:r>
      <w:r w:rsidR="0024479B">
        <w:rPr>
          <w:noProof/>
        </w:rPr>
        <w:t>1</w:t>
      </w:r>
      <w:r>
        <w:fldChar w:fldCharType="end"/>
      </w:r>
      <w:r>
        <w:t xml:space="preserve">: </w:t>
      </w:r>
      <w:r w:rsidRPr="00ED1DE5">
        <w:t xml:space="preserve">Evolution des taux de croissance en Côte d’Ivoire et en Afrique </w:t>
      </w:r>
      <w:r w:rsidR="00261A4C" w:rsidRPr="00ED1DE5">
        <w:t>subsaharienne</w:t>
      </w:r>
      <w:r w:rsidRPr="00ED1DE5">
        <w:t xml:space="preserve"> de 2015 à 2021</w:t>
      </w:r>
      <w:bookmarkEnd w:id="6"/>
    </w:p>
    <w:p w14:paraId="11ADF5EF" w14:textId="76075AE4" w:rsidR="00930D51" w:rsidRDefault="00930D51" w:rsidP="00336B32">
      <w:pPr>
        <w:jc w:val="both"/>
        <w:rPr>
          <w:rFonts w:ascii="Calibri" w:eastAsia="Calibri" w:hAnsi="Calibri" w:cs="Times New Roman"/>
          <w:b/>
          <w:color w:val="1F3864" w:themeColor="accent1" w:themeShade="80"/>
          <w:sz w:val="32"/>
          <w:szCs w:val="32"/>
        </w:rPr>
      </w:pPr>
      <w:r>
        <w:rPr>
          <w:noProof/>
        </w:rPr>
        <w:drawing>
          <wp:inline distT="0" distB="0" distL="0" distR="0" wp14:anchorId="1336DF6E" wp14:editId="0016EDBB">
            <wp:extent cx="5760720" cy="2178050"/>
            <wp:effectExtent l="0" t="0" r="11430" b="12700"/>
            <wp:docPr id="8" name="Graphique 8">
              <a:extLst xmlns:a="http://schemas.openxmlformats.org/drawingml/2006/main">
                <a:ext uri="{FF2B5EF4-FFF2-40B4-BE49-F238E27FC236}">
                  <a16:creationId xmlns:a16="http://schemas.microsoft.com/office/drawing/2014/main" id="{62ED80C8-3DDC-4ACA-B1A9-4FB455F69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A2E893" w14:textId="7AF28DF5" w:rsidR="003015E4" w:rsidRPr="005615B6" w:rsidRDefault="00930D51" w:rsidP="005615B6">
      <w:pPr>
        <w:jc w:val="both"/>
        <w:rPr>
          <w:rFonts w:ascii="Calibri" w:eastAsia="Calibri" w:hAnsi="Calibri" w:cs="Times New Roman"/>
          <w:b/>
          <w:color w:val="1F3864" w:themeColor="accent1" w:themeShade="80"/>
          <w:sz w:val="18"/>
          <w:szCs w:val="18"/>
        </w:rPr>
      </w:pPr>
      <w:r w:rsidRPr="00930D51">
        <w:rPr>
          <w:rFonts w:ascii="Calibri" w:eastAsia="Calibri" w:hAnsi="Calibri" w:cs="Times New Roman"/>
          <w:b/>
          <w:color w:val="1F3864" w:themeColor="accent1" w:themeShade="80"/>
          <w:sz w:val="18"/>
          <w:szCs w:val="18"/>
        </w:rPr>
        <w:t>Source : Source : INS/DGE/FM</w:t>
      </w:r>
      <w:r w:rsidR="00DB23AD">
        <w:rPr>
          <w:rFonts w:ascii="Calibri" w:eastAsia="Calibri" w:hAnsi="Calibri" w:cs="Times New Roman"/>
          <w:b/>
          <w:color w:val="1F3864" w:themeColor="accent1" w:themeShade="80"/>
          <w:sz w:val="18"/>
          <w:szCs w:val="18"/>
        </w:rPr>
        <w:t>I</w:t>
      </w:r>
    </w:p>
    <w:p w14:paraId="1B80DD0D" w14:textId="234C8CAA" w:rsidR="00200B0B" w:rsidRDefault="003015E4" w:rsidP="008E0D5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8E0D54" w:rsidRPr="008E0D54">
        <w:rPr>
          <w:rFonts w:ascii="Times New Roman" w:eastAsia="Times New Roman" w:hAnsi="Times New Roman" w:cs="Times New Roman"/>
          <w:sz w:val="24"/>
          <w:szCs w:val="24"/>
        </w:rPr>
        <w:t xml:space="preserve">e gouvernement a lancé la phase 2 de son programme social PSGouv2 (un plan triennal) avec cinq priorités dont (1) </w:t>
      </w:r>
      <w:r w:rsidR="008E0D54" w:rsidRPr="005809E2">
        <w:rPr>
          <w:rFonts w:ascii="Times New Roman" w:eastAsia="Times New Roman" w:hAnsi="Times New Roman" w:cs="Times New Roman"/>
          <w:i/>
          <w:iCs/>
          <w:sz w:val="24"/>
          <w:szCs w:val="24"/>
        </w:rPr>
        <w:t>la lutte contre la fragilité dans les zones frontalières du nord</w:t>
      </w:r>
      <w:r w:rsidR="008E0D54" w:rsidRPr="008E0D54">
        <w:rPr>
          <w:rFonts w:ascii="Times New Roman" w:eastAsia="Times New Roman" w:hAnsi="Times New Roman" w:cs="Times New Roman"/>
          <w:sz w:val="24"/>
          <w:szCs w:val="24"/>
        </w:rPr>
        <w:t xml:space="preserve">, (2) </w:t>
      </w:r>
      <w:r w:rsidR="008E0D54" w:rsidRPr="005809E2">
        <w:rPr>
          <w:rFonts w:ascii="Times New Roman" w:eastAsia="Times New Roman" w:hAnsi="Times New Roman" w:cs="Times New Roman"/>
          <w:i/>
          <w:iCs/>
          <w:sz w:val="24"/>
          <w:szCs w:val="24"/>
        </w:rPr>
        <w:t>l'éducation et la formation</w:t>
      </w:r>
      <w:r w:rsidR="008E0D54" w:rsidRPr="008E0D54">
        <w:rPr>
          <w:rFonts w:ascii="Times New Roman" w:eastAsia="Times New Roman" w:hAnsi="Times New Roman" w:cs="Times New Roman"/>
          <w:sz w:val="24"/>
          <w:szCs w:val="24"/>
        </w:rPr>
        <w:t xml:space="preserve">, (3) </w:t>
      </w:r>
      <w:r w:rsidR="008E0D54" w:rsidRPr="005809E2">
        <w:rPr>
          <w:rFonts w:ascii="Times New Roman" w:eastAsia="Times New Roman" w:hAnsi="Times New Roman" w:cs="Times New Roman"/>
          <w:i/>
          <w:iCs/>
          <w:sz w:val="24"/>
          <w:szCs w:val="24"/>
        </w:rPr>
        <w:t>l'amélioration des conditions de vie en milieu rural et l'autonomisation des femmes</w:t>
      </w:r>
      <w:r w:rsidR="008E0D54" w:rsidRPr="008E0D54">
        <w:rPr>
          <w:rFonts w:ascii="Times New Roman" w:eastAsia="Times New Roman" w:hAnsi="Times New Roman" w:cs="Times New Roman"/>
          <w:sz w:val="24"/>
          <w:szCs w:val="24"/>
        </w:rPr>
        <w:t xml:space="preserve">, (4) </w:t>
      </w:r>
      <w:r w:rsidR="008E0D54" w:rsidRPr="005809E2">
        <w:rPr>
          <w:rFonts w:ascii="Times New Roman" w:eastAsia="Times New Roman" w:hAnsi="Times New Roman" w:cs="Times New Roman"/>
          <w:i/>
          <w:iCs/>
          <w:sz w:val="24"/>
          <w:szCs w:val="24"/>
        </w:rPr>
        <w:t>l'insertion professionnelle des jeunes</w:t>
      </w:r>
      <w:r w:rsidR="008E0D54" w:rsidRPr="008E0D54">
        <w:rPr>
          <w:rFonts w:ascii="Times New Roman" w:eastAsia="Times New Roman" w:hAnsi="Times New Roman" w:cs="Times New Roman"/>
          <w:sz w:val="24"/>
          <w:szCs w:val="24"/>
        </w:rPr>
        <w:t xml:space="preserve">, </w:t>
      </w:r>
      <w:r w:rsidR="008E0D54" w:rsidRPr="005809E2">
        <w:rPr>
          <w:rFonts w:ascii="Times New Roman" w:eastAsia="Times New Roman" w:hAnsi="Times New Roman" w:cs="Times New Roman"/>
          <w:i/>
          <w:iCs/>
          <w:sz w:val="24"/>
          <w:szCs w:val="24"/>
        </w:rPr>
        <w:t>le service civique et les écoles de la seconde chance</w:t>
      </w:r>
      <w:r w:rsidR="008E0D54" w:rsidRPr="008E0D54">
        <w:rPr>
          <w:rFonts w:ascii="Times New Roman" w:eastAsia="Times New Roman" w:hAnsi="Times New Roman" w:cs="Times New Roman"/>
          <w:sz w:val="24"/>
          <w:szCs w:val="24"/>
        </w:rPr>
        <w:t xml:space="preserve">, (5) </w:t>
      </w:r>
      <w:r w:rsidR="008E0D54" w:rsidRPr="005809E2">
        <w:rPr>
          <w:rFonts w:ascii="Times New Roman" w:eastAsia="Times New Roman" w:hAnsi="Times New Roman" w:cs="Times New Roman"/>
          <w:i/>
          <w:iCs/>
          <w:sz w:val="24"/>
          <w:szCs w:val="24"/>
        </w:rPr>
        <w:t>la protection sociale des populations vulnérables</w:t>
      </w:r>
      <w:r w:rsidR="008E0D54" w:rsidRPr="008E0D54">
        <w:rPr>
          <w:rFonts w:ascii="Times New Roman" w:eastAsia="Times New Roman" w:hAnsi="Times New Roman" w:cs="Times New Roman"/>
          <w:sz w:val="24"/>
          <w:szCs w:val="24"/>
        </w:rPr>
        <w:t>.</w:t>
      </w:r>
      <w:r w:rsidR="008E0D54">
        <w:rPr>
          <w:rFonts w:ascii="Times New Roman" w:eastAsia="Times New Roman" w:hAnsi="Times New Roman" w:cs="Times New Roman"/>
          <w:sz w:val="24"/>
          <w:szCs w:val="24"/>
        </w:rPr>
        <w:t xml:space="preserve"> </w:t>
      </w:r>
    </w:p>
    <w:p w14:paraId="13F22337" w14:textId="77777777" w:rsidR="00200B0B" w:rsidRDefault="00200B0B" w:rsidP="008E0D54">
      <w:pPr>
        <w:spacing w:after="0" w:line="240" w:lineRule="auto"/>
        <w:jc w:val="both"/>
        <w:rPr>
          <w:rFonts w:ascii="Times New Roman" w:eastAsia="Times New Roman" w:hAnsi="Times New Roman" w:cs="Times New Roman"/>
          <w:sz w:val="24"/>
          <w:szCs w:val="24"/>
        </w:rPr>
      </w:pPr>
    </w:p>
    <w:p w14:paraId="485C7B13" w14:textId="4B98D8DF" w:rsidR="0006702E" w:rsidRDefault="008E0D54" w:rsidP="00DB23AD">
      <w:pPr>
        <w:jc w:val="both"/>
        <w:rPr>
          <w:rFonts w:ascii="Times New Roman" w:eastAsia="Calibri" w:hAnsi="Times New Roman" w:cs="Times New Roman"/>
          <w:bCs/>
          <w:sz w:val="24"/>
          <w:szCs w:val="24"/>
        </w:rPr>
      </w:pPr>
      <w:r w:rsidRPr="008E0D54">
        <w:rPr>
          <w:rFonts w:ascii="Times New Roman" w:eastAsia="Times New Roman" w:hAnsi="Times New Roman" w:cs="Times New Roman"/>
          <w:sz w:val="24"/>
          <w:szCs w:val="24"/>
        </w:rPr>
        <w:t xml:space="preserve">Le PSGouv2 se concentre exclusivement sur la région du Nord, en particulier le long des frontières avec le Mali et le Burkina Faso. Le renforcement de la présence du PNUD dans la zone Nord positionne le CO comme un partenaire clé des Nations Unies pour soutenir le PS Gouv2, en particulier sur le Pilier I lié à l'agenda de prévention et de lutte contre la fragilité et les inégalités, sous le leadership du Gouvernement. Le PNUD a une occasion unique de contribuer aux dividendes du développement dans les zones et pour les communautés qui ont </w:t>
      </w:r>
      <w:r w:rsidRPr="008E0D54">
        <w:rPr>
          <w:rFonts w:ascii="Times New Roman" w:eastAsia="Times New Roman" w:hAnsi="Times New Roman" w:cs="Times New Roman"/>
          <w:sz w:val="24"/>
          <w:szCs w:val="24"/>
        </w:rPr>
        <w:lastRenderedPageBreak/>
        <w:t>été laissées pour compte, avec un accent particulier sur les femmes et les jeunes.</w:t>
      </w:r>
      <w:r w:rsidR="00EB0650">
        <w:rPr>
          <w:rFonts w:ascii="Times New Roman" w:eastAsia="Times New Roman" w:hAnsi="Times New Roman" w:cs="Times New Roman"/>
          <w:sz w:val="24"/>
          <w:szCs w:val="24"/>
        </w:rPr>
        <w:t xml:space="preserve">  </w:t>
      </w:r>
      <w:r w:rsidRPr="008E0D54">
        <w:rPr>
          <w:rFonts w:ascii="Times New Roman" w:eastAsia="Times New Roman" w:hAnsi="Times New Roman" w:cs="Times New Roman"/>
          <w:sz w:val="24"/>
          <w:szCs w:val="24"/>
        </w:rPr>
        <w:t>L'accent sera mis sur le renforcement des capacités locales de coordination, de planification locale et d'une architecture de prévention, entre autres. L'adhésion des partenaires à cette initiative a progressé avec des promesses concrètes. Mais c'est la réponse à moyen/long terme</w:t>
      </w:r>
      <w:r>
        <w:rPr>
          <w:rFonts w:ascii="Times New Roman" w:eastAsia="Times New Roman" w:hAnsi="Times New Roman" w:cs="Times New Roman"/>
          <w:sz w:val="24"/>
          <w:szCs w:val="24"/>
        </w:rPr>
        <w:t>.</w:t>
      </w:r>
    </w:p>
    <w:p w14:paraId="41C4B2D0" w14:textId="77777777" w:rsidR="00A73655" w:rsidRDefault="00A73655" w:rsidP="00DB23AD">
      <w:pPr>
        <w:jc w:val="both"/>
        <w:rPr>
          <w:rFonts w:ascii="Times New Roman" w:eastAsia="Calibri" w:hAnsi="Times New Roman" w:cs="Times New Roman"/>
          <w:bCs/>
          <w:sz w:val="24"/>
          <w:szCs w:val="24"/>
        </w:rPr>
      </w:pPr>
    </w:p>
    <w:p w14:paraId="413A42EA" w14:textId="45DA34C5" w:rsidR="00BD5321" w:rsidRDefault="00BD5321" w:rsidP="00BD5321">
      <w:pPr>
        <w:pStyle w:val="Titre2"/>
        <w:rPr>
          <w:b/>
          <w:bCs/>
          <w:sz w:val="28"/>
          <w:szCs w:val="28"/>
        </w:rPr>
      </w:pPr>
      <w:bookmarkStart w:id="7" w:name="_Toc139363437"/>
      <w:r w:rsidRPr="00BD0A97">
        <w:rPr>
          <w:b/>
          <w:bCs/>
          <w:sz w:val="28"/>
          <w:szCs w:val="28"/>
        </w:rPr>
        <w:t xml:space="preserve">2. </w:t>
      </w:r>
      <w:r>
        <w:rPr>
          <w:b/>
          <w:bCs/>
          <w:sz w:val="28"/>
          <w:szCs w:val="28"/>
        </w:rPr>
        <w:t>Appui du PNUD à la mobilisation des ressources par le gouvernement</w:t>
      </w:r>
      <w:bookmarkEnd w:id="7"/>
    </w:p>
    <w:p w14:paraId="7E2938CA" w14:textId="77777777" w:rsidR="007B017D" w:rsidRDefault="007B017D" w:rsidP="006D7006">
      <w:pPr>
        <w:jc w:val="both"/>
      </w:pPr>
      <w:bookmarkStart w:id="8" w:name="_Hlk112338758"/>
    </w:p>
    <w:p w14:paraId="4D0F0F2E" w14:textId="009F666E" w:rsidR="00902638" w:rsidRPr="00A9397D" w:rsidRDefault="00902638" w:rsidP="006D7006">
      <w:pPr>
        <w:jc w:val="both"/>
        <w:rPr>
          <w:rFonts w:ascii="Times New Roman" w:hAnsi="Times New Roman" w:cs="Times New Roman"/>
        </w:rPr>
      </w:pPr>
      <w:r w:rsidRPr="00E04691">
        <w:rPr>
          <w:rFonts w:ascii="Times New Roman" w:hAnsi="Times New Roman" w:cs="Times New Roman"/>
        </w:rPr>
        <w:t>Conformément au</w:t>
      </w:r>
      <w:r w:rsidR="00F02C42" w:rsidRPr="00E04691">
        <w:rPr>
          <w:rFonts w:ascii="Times New Roman" w:hAnsi="Times New Roman" w:cs="Times New Roman"/>
        </w:rPr>
        <w:t>x</w:t>
      </w:r>
      <w:r w:rsidRPr="00E04691">
        <w:rPr>
          <w:rFonts w:ascii="Times New Roman" w:hAnsi="Times New Roman" w:cs="Times New Roman"/>
        </w:rPr>
        <w:t xml:space="preserve"> </w:t>
      </w:r>
      <w:r w:rsidR="00F02C42" w:rsidRPr="00E04691">
        <w:rPr>
          <w:rFonts w:ascii="Times New Roman" w:hAnsi="Times New Roman" w:cs="Times New Roman"/>
        </w:rPr>
        <w:t>résolutions</w:t>
      </w:r>
      <w:r w:rsidRPr="00E04691">
        <w:rPr>
          <w:rFonts w:ascii="Times New Roman" w:hAnsi="Times New Roman" w:cs="Times New Roman"/>
        </w:rPr>
        <w:t xml:space="preserve"> de la </w:t>
      </w:r>
      <w:r w:rsidR="00F02C42" w:rsidRPr="00E04691">
        <w:rPr>
          <w:rFonts w:ascii="Times New Roman" w:hAnsi="Times New Roman" w:cs="Times New Roman"/>
        </w:rPr>
        <w:t>conférence</w:t>
      </w:r>
      <w:r w:rsidRPr="00E04691">
        <w:rPr>
          <w:rFonts w:ascii="Times New Roman" w:hAnsi="Times New Roman" w:cs="Times New Roman"/>
        </w:rPr>
        <w:t xml:space="preserve"> internationale su</w:t>
      </w:r>
      <w:r w:rsidR="00F02C42" w:rsidRPr="00E04691">
        <w:rPr>
          <w:rFonts w:ascii="Times New Roman" w:hAnsi="Times New Roman" w:cs="Times New Roman"/>
        </w:rPr>
        <w:t>r</w:t>
      </w:r>
      <w:r w:rsidRPr="00E04691">
        <w:rPr>
          <w:rFonts w:ascii="Times New Roman" w:hAnsi="Times New Roman" w:cs="Times New Roman"/>
        </w:rPr>
        <w:t xml:space="preserve"> le financement du </w:t>
      </w:r>
      <w:r w:rsidR="00F02C42" w:rsidRPr="00E04691">
        <w:rPr>
          <w:rFonts w:ascii="Times New Roman" w:hAnsi="Times New Roman" w:cs="Times New Roman"/>
        </w:rPr>
        <w:t xml:space="preserve">développement d’Addis Abeba en Juillet 2015, </w:t>
      </w:r>
      <w:r w:rsidR="001A6008">
        <w:rPr>
          <w:rFonts w:ascii="Times New Roman" w:hAnsi="Times New Roman" w:cs="Times New Roman"/>
        </w:rPr>
        <w:t>l</w:t>
      </w:r>
      <w:r w:rsidRPr="00A9397D">
        <w:rPr>
          <w:rFonts w:ascii="Times New Roman" w:hAnsi="Times New Roman" w:cs="Times New Roman"/>
        </w:rPr>
        <w:t>e financement international joue un rôle important de complément aux efforts faits par les pays pour mobiliser des ressources publiques en interne, s’agissant en particulier des pays</w:t>
      </w:r>
      <w:r w:rsidR="00F02C42" w:rsidRPr="00A9397D">
        <w:rPr>
          <w:rFonts w:ascii="Times New Roman" w:hAnsi="Times New Roman" w:cs="Times New Roman"/>
        </w:rPr>
        <w:t xml:space="preserve"> pauvres, vulnérables, à revenu intermédiaires et les moins dotés en ressources. </w:t>
      </w:r>
    </w:p>
    <w:p w14:paraId="1CBAD635" w14:textId="6C9D38AA" w:rsidR="00171A5B" w:rsidRPr="001450D2" w:rsidRDefault="00F02C42" w:rsidP="00AE0040">
      <w:pPr>
        <w:tabs>
          <w:tab w:val="left" w:pos="567"/>
        </w:tabs>
        <w:suppressAutoHyphens/>
        <w:autoSpaceDN w:val="0"/>
        <w:spacing w:before="120" w:after="120" w:line="240" w:lineRule="auto"/>
        <w:jc w:val="both"/>
        <w:textAlignment w:val="baseline"/>
        <w:rPr>
          <w:rFonts w:ascii="Times New Roman" w:hAnsi="Times New Roman" w:cs="Times New Roman"/>
        </w:rPr>
      </w:pPr>
      <w:r w:rsidRPr="00A9397D">
        <w:rPr>
          <w:rFonts w:ascii="Times New Roman" w:eastAsia="Calibri" w:hAnsi="Times New Roman" w:cs="Times New Roman"/>
          <w:bCs/>
          <w:sz w:val="24"/>
          <w:szCs w:val="24"/>
        </w:rPr>
        <w:t xml:space="preserve">En Côte d’Ivoire, </w:t>
      </w:r>
      <w:r w:rsidR="004D3785" w:rsidRPr="00A9397D">
        <w:rPr>
          <w:rFonts w:ascii="Times New Roman" w:eastAsia="Calibri" w:hAnsi="Times New Roman" w:cs="Times New Roman"/>
          <w:bCs/>
          <w:sz w:val="24"/>
          <w:szCs w:val="24"/>
        </w:rPr>
        <w:t>dans le but d’</w:t>
      </w:r>
      <w:r w:rsidR="004D3785" w:rsidRPr="00A9397D">
        <w:rPr>
          <w:rFonts w:ascii="Times New Roman" w:hAnsi="Times New Roman" w:cs="Times New Roman"/>
          <w:bCs/>
        </w:rPr>
        <w:t>assurer</w:t>
      </w:r>
      <w:r w:rsidR="004D3785" w:rsidRPr="00A9397D">
        <w:rPr>
          <w:rFonts w:ascii="Times New Roman" w:hAnsi="Times New Roman" w:cs="Times New Roman"/>
        </w:rPr>
        <w:t xml:space="preserve"> la transformation économique et sociale du pays en vue d’améliorer le bien-être des populations à travers la réduction de la pauvreté et des inégalités, contenu dans ses différents documents stratégiques de </w:t>
      </w:r>
      <w:r w:rsidR="00171A5B" w:rsidRPr="00A9397D">
        <w:rPr>
          <w:rFonts w:ascii="Times New Roman" w:hAnsi="Times New Roman" w:cs="Times New Roman"/>
        </w:rPr>
        <w:t>développement</w:t>
      </w:r>
      <w:r w:rsidR="00171A5B">
        <w:rPr>
          <w:rFonts w:ascii="Times New Roman" w:hAnsi="Times New Roman" w:cs="Times New Roman"/>
        </w:rPr>
        <w:t xml:space="preserve">, </w:t>
      </w:r>
      <w:r w:rsidR="00171A5B" w:rsidRPr="00A9397D">
        <w:rPr>
          <w:rFonts w:ascii="Times New Roman" w:hAnsi="Times New Roman" w:cs="Times New Roman"/>
        </w:rPr>
        <w:t>le</w:t>
      </w:r>
      <w:r w:rsidR="006D7006" w:rsidRPr="00A9397D">
        <w:rPr>
          <w:rFonts w:ascii="Times New Roman" w:eastAsia="Calibri" w:hAnsi="Times New Roman" w:cs="Times New Roman"/>
          <w:bCs/>
          <w:sz w:val="24"/>
          <w:szCs w:val="24"/>
        </w:rPr>
        <w:t xml:space="preserve"> Gouvernement </w:t>
      </w:r>
      <w:r w:rsidR="002F39D5">
        <w:rPr>
          <w:rFonts w:ascii="Times New Roman" w:eastAsia="Calibri" w:hAnsi="Times New Roman" w:cs="Times New Roman"/>
          <w:bCs/>
          <w:sz w:val="24"/>
          <w:szCs w:val="24"/>
        </w:rPr>
        <w:t xml:space="preserve">a </w:t>
      </w:r>
      <w:r w:rsidR="001B1646">
        <w:rPr>
          <w:rFonts w:ascii="Times New Roman" w:eastAsia="Calibri" w:hAnsi="Times New Roman" w:cs="Times New Roman"/>
          <w:bCs/>
          <w:sz w:val="24"/>
          <w:szCs w:val="24"/>
        </w:rPr>
        <w:t xml:space="preserve">recours à deux types de ressources : </w:t>
      </w:r>
      <w:r w:rsidR="001B1646" w:rsidRPr="001450D2">
        <w:rPr>
          <w:rFonts w:ascii="Times New Roman" w:hAnsi="Times New Roman" w:cs="Times New Roman"/>
        </w:rPr>
        <w:t>internes et externes auprès de</w:t>
      </w:r>
      <w:r w:rsidRPr="001450D2">
        <w:rPr>
          <w:rFonts w:ascii="Times New Roman" w:hAnsi="Times New Roman" w:cs="Times New Roman"/>
        </w:rPr>
        <w:t xml:space="preserve"> traditionnels bailleurs </w:t>
      </w:r>
      <w:r w:rsidR="006D7006" w:rsidRPr="001450D2">
        <w:rPr>
          <w:rFonts w:ascii="Times New Roman" w:hAnsi="Times New Roman" w:cs="Times New Roman"/>
        </w:rPr>
        <w:t>: Bilatéraux</w:t>
      </w:r>
      <w:r w:rsidRPr="001450D2">
        <w:rPr>
          <w:rFonts w:ascii="Times New Roman" w:hAnsi="Times New Roman" w:cs="Times New Roman"/>
        </w:rPr>
        <w:t xml:space="preserve"> et </w:t>
      </w:r>
      <w:r w:rsidR="006D7006" w:rsidRPr="001450D2">
        <w:rPr>
          <w:rFonts w:ascii="Times New Roman" w:hAnsi="Times New Roman" w:cs="Times New Roman"/>
        </w:rPr>
        <w:t>multilatéraux</w:t>
      </w:r>
      <w:r w:rsidR="004D3785" w:rsidRPr="001450D2">
        <w:rPr>
          <w:rFonts w:ascii="Times New Roman" w:hAnsi="Times New Roman" w:cs="Times New Roman"/>
        </w:rPr>
        <w:t xml:space="preserve"> pour combler le gap de financement nécessaire. </w:t>
      </w:r>
      <w:r w:rsidR="00AE0040" w:rsidRPr="001450D2">
        <w:rPr>
          <w:rFonts w:ascii="Times New Roman" w:hAnsi="Times New Roman" w:cs="Times New Roman"/>
        </w:rPr>
        <w:t xml:space="preserve"> </w:t>
      </w:r>
    </w:p>
    <w:p w14:paraId="4A9309FD" w14:textId="02088402" w:rsidR="00E63254" w:rsidRDefault="00AE0040" w:rsidP="00AE0040">
      <w:pPr>
        <w:tabs>
          <w:tab w:val="left" w:pos="567"/>
        </w:tabs>
        <w:suppressAutoHyphens/>
        <w:autoSpaceDN w:val="0"/>
        <w:spacing w:before="120" w:after="120" w:line="240" w:lineRule="auto"/>
        <w:jc w:val="both"/>
        <w:textAlignment w:val="baseline"/>
        <w:rPr>
          <w:rFonts w:ascii="Times New Roman" w:eastAsia="Calibri" w:hAnsi="Times New Roman" w:cs="Times New Roman"/>
          <w:b/>
          <w:sz w:val="24"/>
          <w:szCs w:val="24"/>
        </w:rPr>
      </w:pPr>
      <w:r w:rsidRPr="00A9397D">
        <w:rPr>
          <w:rFonts w:ascii="Times New Roman" w:eastAsia="Calibri" w:hAnsi="Times New Roman" w:cs="Times New Roman"/>
          <w:bCs/>
          <w:sz w:val="24"/>
          <w:szCs w:val="24"/>
        </w:rPr>
        <w:t>On enregistre aussi un recours</w:t>
      </w:r>
      <w:r w:rsidR="001B1646">
        <w:rPr>
          <w:rFonts w:ascii="Times New Roman" w:eastAsia="Calibri" w:hAnsi="Times New Roman" w:cs="Times New Roman"/>
          <w:bCs/>
          <w:sz w:val="24"/>
          <w:szCs w:val="24"/>
        </w:rPr>
        <w:t xml:space="preserve"> de plus en plus </w:t>
      </w:r>
      <w:r w:rsidR="00F02C42" w:rsidRPr="00A9397D">
        <w:rPr>
          <w:rFonts w:ascii="Times New Roman" w:eastAsia="Calibri" w:hAnsi="Times New Roman" w:cs="Times New Roman"/>
          <w:bCs/>
          <w:sz w:val="24"/>
          <w:szCs w:val="24"/>
        </w:rPr>
        <w:t xml:space="preserve">aux banques privées commerciales, partenaires </w:t>
      </w:r>
      <w:r w:rsidR="006D7006" w:rsidRPr="00A9397D">
        <w:rPr>
          <w:rFonts w:ascii="Times New Roman" w:eastAsia="Calibri" w:hAnsi="Times New Roman" w:cs="Times New Roman"/>
          <w:bCs/>
          <w:sz w:val="24"/>
          <w:szCs w:val="24"/>
        </w:rPr>
        <w:t>commerciaux</w:t>
      </w:r>
      <w:r w:rsidR="00902638" w:rsidRPr="00A9397D">
        <w:rPr>
          <w:rFonts w:ascii="Times New Roman" w:eastAsia="Calibri" w:hAnsi="Times New Roman" w:cs="Times New Roman"/>
          <w:bCs/>
          <w:sz w:val="24"/>
          <w:szCs w:val="24"/>
        </w:rPr>
        <w:t>, pour combler le gap de financement nécessaire</w:t>
      </w:r>
      <w:r w:rsidR="00F02C42" w:rsidRPr="00A9397D">
        <w:rPr>
          <w:rFonts w:ascii="Times New Roman" w:eastAsia="Calibri" w:hAnsi="Times New Roman" w:cs="Times New Roman"/>
          <w:bCs/>
          <w:sz w:val="24"/>
          <w:szCs w:val="24"/>
        </w:rPr>
        <w:t>.</w:t>
      </w:r>
      <w:r w:rsidR="00F02C42" w:rsidRPr="00A9397D">
        <w:rPr>
          <w:rFonts w:ascii="Times New Roman" w:eastAsia="Calibri" w:hAnsi="Times New Roman" w:cs="Times New Roman"/>
          <w:b/>
          <w:sz w:val="24"/>
          <w:szCs w:val="24"/>
        </w:rPr>
        <w:t xml:space="preserve"> </w:t>
      </w:r>
      <w:r w:rsidR="000C43C5" w:rsidRPr="00A9397D">
        <w:rPr>
          <w:rFonts w:ascii="Times New Roman" w:eastAsia="Calibri" w:hAnsi="Times New Roman" w:cs="Times New Roman"/>
          <w:bCs/>
          <w:sz w:val="24"/>
          <w:szCs w:val="24"/>
        </w:rPr>
        <w:t>La cartographie du paysage de partenariat de la Côte d’Ivoire est</w:t>
      </w:r>
      <w:r w:rsidR="001B1646">
        <w:rPr>
          <w:rFonts w:ascii="Times New Roman" w:eastAsia="Calibri" w:hAnsi="Times New Roman" w:cs="Times New Roman"/>
          <w:bCs/>
          <w:sz w:val="24"/>
          <w:szCs w:val="24"/>
        </w:rPr>
        <w:t xml:space="preserve"> donc</w:t>
      </w:r>
      <w:r w:rsidR="000C43C5" w:rsidRPr="00A9397D">
        <w:rPr>
          <w:rFonts w:ascii="Times New Roman" w:eastAsia="Calibri" w:hAnsi="Times New Roman" w:cs="Times New Roman"/>
          <w:bCs/>
          <w:sz w:val="24"/>
          <w:szCs w:val="24"/>
        </w:rPr>
        <w:t xml:space="preserve"> dominée</w:t>
      </w:r>
      <w:r w:rsidR="00F02C42" w:rsidRPr="00A9397D">
        <w:rPr>
          <w:rFonts w:ascii="Times New Roman" w:eastAsia="Calibri" w:hAnsi="Times New Roman" w:cs="Times New Roman"/>
          <w:bCs/>
          <w:sz w:val="24"/>
          <w:szCs w:val="24"/>
        </w:rPr>
        <w:t xml:space="preserve"> par les trois types de partenaires : Bilatéraux, multilatéraux et </w:t>
      </w:r>
      <w:r w:rsidRPr="00A9397D">
        <w:rPr>
          <w:rFonts w:ascii="Times New Roman" w:eastAsia="Calibri" w:hAnsi="Times New Roman" w:cs="Times New Roman"/>
          <w:bCs/>
          <w:sz w:val="24"/>
          <w:szCs w:val="24"/>
        </w:rPr>
        <w:t>commerciaux</w:t>
      </w:r>
      <w:r w:rsidRPr="00A9397D">
        <w:rPr>
          <w:rFonts w:ascii="Times New Roman" w:eastAsia="Calibri" w:hAnsi="Times New Roman" w:cs="Times New Roman"/>
          <w:b/>
          <w:sz w:val="24"/>
          <w:szCs w:val="24"/>
        </w:rPr>
        <w:t xml:space="preserve"> </w:t>
      </w:r>
      <w:r w:rsidRPr="00A9397D">
        <w:rPr>
          <w:rFonts w:ascii="Times New Roman" w:eastAsia="Calibri" w:hAnsi="Times New Roman" w:cs="Times New Roman"/>
          <w:bCs/>
          <w:sz w:val="24"/>
          <w:szCs w:val="24"/>
        </w:rPr>
        <w:t xml:space="preserve">d’où proviennent les différentes sources de financement </w:t>
      </w:r>
      <w:r w:rsidR="00A9397D" w:rsidRPr="00A9397D">
        <w:rPr>
          <w:rFonts w:ascii="Times New Roman" w:eastAsia="Calibri" w:hAnsi="Times New Roman" w:cs="Times New Roman"/>
          <w:bCs/>
          <w:sz w:val="24"/>
          <w:szCs w:val="24"/>
        </w:rPr>
        <w:t>mobilisés dans</w:t>
      </w:r>
      <w:r w:rsidRPr="00A9397D">
        <w:rPr>
          <w:rFonts w:ascii="Times New Roman" w:eastAsia="Calibri" w:hAnsi="Times New Roman" w:cs="Times New Roman"/>
          <w:bCs/>
          <w:sz w:val="24"/>
          <w:szCs w:val="24"/>
        </w:rPr>
        <w:t xml:space="preserve"> le cadre du financement du développement</w:t>
      </w:r>
      <w:r w:rsidRPr="00A9397D">
        <w:rPr>
          <w:rFonts w:ascii="Times New Roman" w:eastAsia="Calibri" w:hAnsi="Times New Roman" w:cs="Times New Roman"/>
          <w:b/>
          <w:sz w:val="24"/>
          <w:szCs w:val="24"/>
        </w:rPr>
        <w:t>.</w:t>
      </w:r>
    </w:p>
    <w:p w14:paraId="1BBCF015" w14:textId="77777777" w:rsidR="00993C81" w:rsidRPr="004A6E7B" w:rsidRDefault="00993C81" w:rsidP="004A6E7B">
      <w:pPr>
        <w:pStyle w:val="Titre2"/>
      </w:pPr>
    </w:p>
    <w:p w14:paraId="34879998" w14:textId="6AB6DE45" w:rsidR="00064FC2" w:rsidRPr="004B7F51" w:rsidRDefault="00605619" w:rsidP="004B7F51">
      <w:pPr>
        <w:pStyle w:val="Titre2"/>
      </w:pPr>
      <w:bookmarkStart w:id="9" w:name="_Toc139363438"/>
      <w:r w:rsidRPr="004A6E7B">
        <w:t xml:space="preserve">a. </w:t>
      </w:r>
      <w:r w:rsidR="007B017D">
        <w:t xml:space="preserve">Les </w:t>
      </w:r>
      <w:r w:rsidR="00E63254" w:rsidRPr="004A6E7B">
        <w:t>flux d</w:t>
      </w:r>
      <w:r w:rsidR="007B017D">
        <w:t>e l</w:t>
      </w:r>
      <w:r w:rsidR="00E63254" w:rsidRPr="004A6E7B">
        <w:t>'APD</w:t>
      </w:r>
      <w:bookmarkStart w:id="10" w:name="_Hlk112338655"/>
      <w:r w:rsidR="007B017D">
        <w:t xml:space="preserve"> en Côte d’Ivoire</w:t>
      </w:r>
      <w:bookmarkEnd w:id="9"/>
    </w:p>
    <w:p w14:paraId="493AD6A8" w14:textId="5615DBD3" w:rsidR="00650D96" w:rsidRPr="007B017D" w:rsidRDefault="00993C81" w:rsidP="007B017D">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L</w:t>
      </w:r>
      <w:r w:rsidR="002016F3" w:rsidRPr="00993C81">
        <w:rPr>
          <w:rFonts w:ascii="Times New Roman" w:eastAsia="Calibri" w:hAnsi="Times New Roman" w:cs="Times New Roman"/>
          <w:bCs/>
          <w:sz w:val="24"/>
          <w:szCs w:val="24"/>
        </w:rPr>
        <w:t>e contexte macroéconomique du financement du développement durable</w:t>
      </w:r>
      <w:r w:rsidR="0079110E">
        <w:rPr>
          <w:rFonts w:ascii="Times New Roman" w:eastAsia="Calibri" w:hAnsi="Times New Roman" w:cs="Times New Roman"/>
          <w:bCs/>
          <w:sz w:val="24"/>
          <w:szCs w:val="24"/>
        </w:rPr>
        <w:t xml:space="preserve"> en Côte d’Ivoire</w:t>
      </w:r>
      <w:r w:rsidR="002016F3" w:rsidRPr="00993C81">
        <w:rPr>
          <w:rFonts w:ascii="Times New Roman" w:eastAsia="Calibri" w:hAnsi="Times New Roman" w:cs="Times New Roman"/>
          <w:bCs/>
          <w:sz w:val="24"/>
          <w:szCs w:val="24"/>
        </w:rPr>
        <w:t xml:space="preserve"> est dominé par </w:t>
      </w:r>
      <w:r w:rsidRPr="00993C81">
        <w:rPr>
          <w:rFonts w:ascii="Times New Roman" w:eastAsia="Calibri" w:hAnsi="Times New Roman" w:cs="Times New Roman"/>
          <w:bCs/>
          <w:sz w:val="24"/>
          <w:szCs w:val="24"/>
        </w:rPr>
        <w:t>le</w:t>
      </w:r>
      <w:r>
        <w:rPr>
          <w:rFonts w:ascii="Times New Roman" w:eastAsia="Calibri" w:hAnsi="Times New Roman" w:cs="Times New Roman"/>
          <w:bCs/>
          <w:sz w:val="24"/>
          <w:szCs w:val="24"/>
        </w:rPr>
        <w:t xml:space="preserve"> </w:t>
      </w:r>
      <w:r w:rsidR="002016F3" w:rsidRPr="00993C81">
        <w:rPr>
          <w:rFonts w:ascii="Times New Roman" w:eastAsia="Calibri" w:hAnsi="Times New Roman" w:cs="Times New Roman"/>
          <w:bCs/>
          <w:sz w:val="24"/>
          <w:szCs w:val="24"/>
        </w:rPr>
        <w:t>recours aux financements extérieurs en plus des financements intérieurs.</w:t>
      </w:r>
      <w:r w:rsidR="000B1576">
        <w:rPr>
          <w:rFonts w:ascii="Times New Roman" w:eastAsia="Calibri" w:hAnsi="Times New Roman" w:cs="Times New Roman"/>
          <w:bCs/>
          <w:sz w:val="24"/>
          <w:szCs w:val="24"/>
        </w:rPr>
        <w:t xml:space="preserve"> </w:t>
      </w:r>
      <w:r w:rsidR="0079110E">
        <w:rPr>
          <w:rFonts w:ascii="Times New Roman" w:eastAsia="Calibri" w:hAnsi="Times New Roman" w:cs="Times New Roman"/>
          <w:bCs/>
          <w:sz w:val="24"/>
          <w:szCs w:val="24"/>
        </w:rPr>
        <w:t xml:space="preserve">Ces financements extérieurs sont le fait des traditionnels partenaires Bilatéraux et </w:t>
      </w:r>
      <w:r w:rsidR="00EC5C84">
        <w:rPr>
          <w:rFonts w:ascii="Times New Roman" w:eastAsia="Calibri" w:hAnsi="Times New Roman" w:cs="Times New Roman"/>
          <w:bCs/>
          <w:sz w:val="24"/>
          <w:szCs w:val="24"/>
        </w:rPr>
        <w:t>M</w:t>
      </w:r>
      <w:r w:rsidR="0079110E">
        <w:rPr>
          <w:rFonts w:ascii="Times New Roman" w:eastAsia="Calibri" w:hAnsi="Times New Roman" w:cs="Times New Roman"/>
          <w:bCs/>
          <w:sz w:val="24"/>
          <w:szCs w:val="24"/>
        </w:rPr>
        <w:t xml:space="preserve">ultilatéraux, auxquels s’ajoute des </w:t>
      </w:r>
      <w:r w:rsidR="00EC5C84">
        <w:rPr>
          <w:rFonts w:ascii="Times New Roman" w:eastAsia="Calibri" w:hAnsi="Times New Roman" w:cs="Times New Roman"/>
          <w:bCs/>
          <w:sz w:val="24"/>
          <w:szCs w:val="24"/>
        </w:rPr>
        <w:t>partenaires</w:t>
      </w:r>
      <w:r w:rsidR="0079110E">
        <w:rPr>
          <w:rFonts w:ascii="Times New Roman" w:eastAsia="Calibri" w:hAnsi="Times New Roman" w:cs="Times New Roman"/>
          <w:bCs/>
          <w:sz w:val="24"/>
          <w:szCs w:val="24"/>
        </w:rPr>
        <w:t xml:space="preserve"> </w:t>
      </w:r>
      <w:r w:rsidR="00EC5C84">
        <w:rPr>
          <w:rFonts w:ascii="Times New Roman" w:eastAsia="Calibri" w:hAnsi="Times New Roman" w:cs="Times New Roman"/>
          <w:bCs/>
          <w:sz w:val="24"/>
          <w:szCs w:val="24"/>
        </w:rPr>
        <w:t>C</w:t>
      </w:r>
      <w:r w:rsidR="0079110E">
        <w:rPr>
          <w:rFonts w:ascii="Times New Roman" w:eastAsia="Calibri" w:hAnsi="Times New Roman" w:cs="Times New Roman"/>
          <w:bCs/>
          <w:sz w:val="24"/>
          <w:szCs w:val="24"/>
        </w:rPr>
        <w:t>ommerciaux</w:t>
      </w:r>
      <w:r w:rsidR="00EC5C84">
        <w:rPr>
          <w:rFonts w:ascii="Times New Roman" w:eastAsia="Calibri" w:hAnsi="Times New Roman" w:cs="Times New Roman"/>
          <w:bCs/>
          <w:sz w:val="24"/>
          <w:szCs w:val="24"/>
        </w:rPr>
        <w:t>, et prenant la forme d’appui Budgétaires, d’Appui Programmes/Projets et de Garanties. Ces types de financements sont généralement octroyés sous forme de Prêts, dons et C2D, de Garanties.</w:t>
      </w:r>
    </w:p>
    <w:p w14:paraId="0950BACD" w14:textId="77777777" w:rsidR="00E6660A" w:rsidRDefault="00650D96" w:rsidP="00A9397D">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Le montant total des financements </w:t>
      </w:r>
      <w:r w:rsidR="0005028C">
        <w:rPr>
          <w:rFonts w:ascii="Times New Roman" w:hAnsi="Times New Roman" w:cs="Times New Roman"/>
          <w:sz w:val="24"/>
          <w:szCs w:val="24"/>
        </w:rPr>
        <w:t xml:space="preserve">extérieurs </w:t>
      </w:r>
      <w:r>
        <w:rPr>
          <w:rFonts w:ascii="Times New Roman" w:hAnsi="Times New Roman" w:cs="Times New Roman"/>
          <w:sz w:val="24"/>
          <w:szCs w:val="24"/>
        </w:rPr>
        <w:t xml:space="preserve">mobilisés de 2016 à 2021 se chiffrent à </w:t>
      </w:r>
      <w:r w:rsidRPr="00650D96">
        <w:rPr>
          <w:rFonts w:ascii="Times New Roman" w:hAnsi="Times New Roman" w:cs="Times New Roman"/>
          <w:b/>
          <w:bCs/>
          <w:sz w:val="24"/>
          <w:szCs w:val="24"/>
        </w:rPr>
        <w:t>15 502,1 milliards de francs CFA</w:t>
      </w:r>
      <w:r>
        <w:rPr>
          <w:rFonts w:ascii="Times New Roman" w:hAnsi="Times New Roman" w:cs="Times New Roman"/>
          <w:b/>
          <w:bCs/>
          <w:sz w:val="24"/>
          <w:szCs w:val="24"/>
        </w:rPr>
        <w:t xml:space="preserve">, soit 13374,7 milliards de FCFA, </w:t>
      </w:r>
      <w:r w:rsidR="0005028C">
        <w:rPr>
          <w:rFonts w:ascii="Times New Roman" w:hAnsi="Times New Roman" w:cs="Times New Roman"/>
          <w:sz w:val="24"/>
          <w:szCs w:val="24"/>
        </w:rPr>
        <w:t>acquis</w:t>
      </w:r>
      <w:r w:rsidRPr="00650D96">
        <w:rPr>
          <w:rFonts w:ascii="Times New Roman" w:hAnsi="Times New Roman" w:cs="Times New Roman"/>
          <w:sz w:val="24"/>
          <w:szCs w:val="24"/>
        </w:rPr>
        <w:t xml:space="preserve"> </w:t>
      </w:r>
      <w:r w:rsidR="0005028C">
        <w:rPr>
          <w:rFonts w:ascii="Times New Roman" w:hAnsi="Times New Roman" w:cs="Times New Roman"/>
          <w:sz w:val="24"/>
          <w:szCs w:val="24"/>
        </w:rPr>
        <w:t xml:space="preserve">sur la période du cycle </w:t>
      </w:r>
      <w:r w:rsidRPr="00650D96">
        <w:rPr>
          <w:rFonts w:ascii="Times New Roman" w:hAnsi="Times New Roman" w:cs="Times New Roman"/>
          <w:sz w:val="24"/>
          <w:szCs w:val="24"/>
        </w:rPr>
        <w:t>du PND 2016-2020</w:t>
      </w:r>
      <w:r>
        <w:rPr>
          <w:rFonts w:ascii="Times New Roman" w:hAnsi="Times New Roman" w:cs="Times New Roman"/>
          <w:b/>
          <w:bCs/>
          <w:sz w:val="24"/>
          <w:szCs w:val="24"/>
        </w:rPr>
        <w:t xml:space="preserve">, et </w:t>
      </w:r>
      <w:r w:rsidRPr="00650D96">
        <w:rPr>
          <w:rFonts w:ascii="Times New Roman" w:hAnsi="Times New Roman" w:cs="Times New Roman"/>
          <w:b/>
          <w:bCs/>
          <w:sz w:val="24"/>
          <w:szCs w:val="24"/>
        </w:rPr>
        <w:t>2127,5</w:t>
      </w:r>
      <w:r>
        <w:rPr>
          <w:rFonts w:ascii="Times New Roman" w:hAnsi="Times New Roman" w:cs="Times New Roman"/>
          <w:b/>
          <w:bCs/>
          <w:sz w:val="24"/>
          <w:szCs w:val="24"/>
        </w:rPr>
        <w:t xml:space="preserve"> Milliards de </w:t>
      </w:r>
      <w:r w:rsidR="0005028C">
        <w:rPr>
          <w:rFonts w:ascii="Times New Roman" w:hAnsi="Times New Roman" w:cs="Times New Roman"/>
          <w:b/>
          <w:bCs/>
          <w:sz w:val="24"/>
          <w:szCs w:val="24"/>
        </w:rPr>
        <w:t>FCFA</w:t>
      </w:r>
      <w:r w:rsidR="0005028C" w:rsidRPr="00650D96">
        <w:rPr>
          <w:rFonts w:ascii="Times New Roman" w:hAnsi="Times New Roman" w:cs="Times New Roman"/>
          <w:sz w:val="24"/>
          <w:szCs w:val="24"/>
        </w:rPr>
        <w:t>, pour</w:t>
      </w:r>
      <w:r w:rsidR="00AE0040">
        <w:rPr>
          <w:rFonts w:ascii="Times New Roman" w:hAnsi="Times New Roman" w:cs="Times New Roman"/>
          <w:sz w:val="24"/>
          <w:szCs w:val="24"/>
        </w:rPr>
        <w:t xml:space="preserve"> le</w:t>
      </w:r>
      <w:r w:rsidRPr="00650D96">
        <w:rPr>
          <w:rFonts w:ascii="Times New Roman" w:hAnsi="Times New Roman" w:cs="Times New Roman"/>
          <w:sz w:val="24"/>
          <w:szCs w:val="24"/>
        </w:rPr>
        <w:t xml:space="preserve"> nouveau cycle programmatique 2021-2025</w:t>
      </w:r>
      <w:r>
        <w:rPr>
          <w:rFonts w:ascii="Times New Roman" w:hAnsi="Times New Roman" w:cs="Times New Roman"/>
          <w:b/>
          <w:bCs/>
          <w:sz w:val="24"/>
          <w:szCs w:val="24"/>
        </w:rPr>
        <w:t xml:space="preserve">. </w:t>
      </w:r>
      <w:r w:rsidR="0005028C">
        <w:rPr>
          <w:rFonts w:ascii="Times New Roman" w:hAnsi="Times New Roman" w:cs="Times New Roman"/>
          <w:b/>
          <w:bCs/>
          <w:sz w:val="24"/>
          <w:szCs w:val="24"/>
        </w:rPr>
        <w:t xml:space="preserve"> Ainsi, on observe </w:t>
      </w:r>
      <w:r w:rsidR="0033783E">
        <w:rPr>
          <w:rFonts w:ascii="Times New Roman" w:hAnsi="Times New Roman" w:cs="Times New Roman"/>
          <w:b/>
          <w:bCs/>
          <w:sz w:val="24"/>
          <w:szCs w:val="24"/>
        </w:rPr>
        <w:t>qu’a</w:t>
      </w:r>
      <w:r>
        <w:rPr>
          <w:rFonts w:ascii="Times New Roman" w:hAnsi="Times New Roman" w:cs="Times New Roman"/>
          <w:b/>
          <w:bCs/>
          <w:sz w:val="24"/>
          <w:szCs w:val="24"/>
        </w:rPr>
        <w:t xml:space="preserve">près une tendance haussière des financements de 2016 à 2019 avec un pic </w:t>
      </w:r>
      <w:r w:rsidR="00E6660A">
        <w:rPr>
          <w:rFonts w:ascii="Times New Roman" w:hAnsi="Times New Roman" w:cs="Times New Roman"/>
          <w:b/>
          <w:bCs/>
          <w:sz w:val="24"/>
          <w:szCs w:val="24"/>
        </w:rPr>
        <w:t>o</w:t>
      </w:r>
      <w:r>
        <w:rPr>
          <w:rFonts w:ascii="Times New Roman" w:hAnsi="Times New Roman" w:cs="Times New Roman"/>
          <w:b/>
          <w:bCs/>
          <w:sz w:val="24"/>
          <w:szCs w:val="24"/>
        </w:rPr>
        <w:t xml:space="preserve">bservé en 2019, se chiffrant à 3931,1 milliards de FCFA, </w:t>
      </w:r>
      <w:r w:rsidRPr="00AE0040">
        <w:rPr>
          <w:rFonts w:ascii="Times New Roman" w:hAnsi="Times New Roman" w:cs="Times New Roman"/>
          <w:sz w:val="24"/>
          <w:szCs w:val="24"/>
        </w:rPr>
        <w:t xml:space="preserve">on </w:t>
      </w:r>
      <w:r w:rsidR="00E6660A">
        <w:rPr>
          <w:rFonts w:ascii="Times New Roman" w:hAnsi="Times New Roman" w:cs="Times New Roman"/>
          <w:sz w:val="24"/>
          <w:szCs w:val="24"/>
        </w:rPr>
        <w:t>enregistre</w:t>
      </w:r>
      <w:r w:rsidRPr="00AE0040">
        <w:rPr>
          <w:rFonts w:ascii="Times New Roman" w:hAnsi="Times New Roman" w:cs="Times New Roman"/>
          <w:sz w:val="24"/>
          <w:szCs w:val="24"/>
        </w:rPr>
        <w:t xml:space="preserve"> une tendance baissière des financements extérieurs, </w:t>
      </w:r>
      <w:r w:rsidR="00AE0040" w:rsidRPr="005809E2">
        <w:rPr>
          <w:rFonts w:ascii="Times New Roman" w:hAnsi="Times New Roman" w:cs="Times New Roman"/>
          <w:sz w:val="24"/>
          <w:szCs w:val="24"/>
          <w:u w:val="single"/>
        </w:rPr>
        <w:t xml:space="preserve">soit une chute de </w:t>
      </w:r>
      <w:r w:rsidR="00AE0040" w:rsidRPr="005809E2">
        <w:rPr>
          <w:rFonts w:ascii="Times New Roman" w:hAnsi="Times New Roman" w:cs="Times New Roman"/>
          <w:b/>
          <w:bCs/>
          <w:sz w:val="24"/>
          <w:szCs w:val="24"/>
          <w:u w:val="single"/>
        </w:rPr>
        <w:t>45%</w:t>
      </w:r>
      <w:r w:rsidR="00AE0040" w:rsidRPr="005809E2">
        <w:rPr>
          <w:rFonts w:ascii="Times New Roman" w:hAnsi="Times New Roman" w:cs="Times New Roman"/>
          <w:sz w:val="24"/>
          <w:szCs w:val="24"/>
          <w:u w:val="single"/>
        </w:rPr>
        <w:t xml:space="preserve"> de 2019 à 2021</w:t>
      </w:r>
      <w:r w:rsidR="00AE0040">
        <w:rPr>
          <w:rFonts w:ascii="Times New Roman" w:hAnsi="Times New Roman" w:cs="Times New Roman"/>
          <w:b/>
          <w:bCs/>
          <w:sz w:val="24"/>
          <w:szCs w:val="24"/>
        </w:rPr>
        <w:t xml:space="preserve">. </w:t>
      </w:r>
    </w:p>
    <w:p w14:paraId="1DEBA9AA" w14:textId="77777777" w:rsidR="00E6660A" w:rsidRDefault="00E6660A" w:rsidP="00A9397D">
      <w:pPr>
        <w:autoSpaceDE w:val="0"/>
        <w:autoSpaceDN w:val="0"/>
        <w:adjustRightInd w:val="0"/>
        <w:spacing w:after="0" w:line="240" w:lineRule="auto"/>
        <w:jc w:val="both"/>
        <w:rPr>
          <w:rFonts w:ascii="Times New Roman" w:hAnsi="Times New Roman" w:cs="Times New Roman"/>
          <w:b/>
          <w:bCs/>
          <w:sz w:val="24"/>
          <w:szCs w:val="24"/>
        </w:rPr>
      </w:pPr>
    </w:p>
    <w:p w14:paraId="1FEEC422" w14:textId="5E2A330F" w:rsidR="00634CD7" w:rsidRDefault="004D3785" w:rsidP="00634CD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Pr="00BC6B79">
        <w:rPr>
          <w:rFonts w:ascii="Times New Roman" w:hAnsi="Times New Roman" w:cs="Times New Roman"/>
          <w:sz w:val="24"/>
          <w:szCs w:val="24"/>
        </w:rPr>
        <w:t xml:space="preserve">e pic de </w:t>
      </w:r>
      <w:r w:rsidRPr="00A9397D">
        <w:rPr>
          <w:rFonts w:ascii="Times New Roman" w:hAnsi="Times New Roman" w:cs="Times New Roman"/>
          <w:b/>
          <w:bCs/>
          <w:sz w:val="24"/>
          <w:szCs w:val="24"/>
        </w:rPr>
        <w:t>3 931,8 milliards de francs CFA</w:t>
      </w:r>
      <w:r w:rsidRPr="00BC6B79">
        <w:rPr>
          <w:rFonts w:ascii="Times New Roman" w:hAnsi="Times New Roman" w:cs="Times New Roman"/>
          <w:sz w:val="24"/>
          <w:szCs w:val="24"/>
        </w:rPr>
        <w:t xml:space="preserve"> enregistré en 2019</w:t>
      </w:r>
      <w:r>
        <w:rPr>
          <w:rFonts w:ascii="Times New Roman" w:hAnsi="Times New Roman" w:cs="Times New Roman"/>
          <w:sz w:val="24"/>
          <w:szCs w:val="24"/>
        </w:rPr>
        <w:t xml:space="preserve"> pourrait s’expliquer</w:t>
      </w:r>
      <w:r w:rsidRPr="00180DEC">
        <w:rPr>
          <w:rFonts w:ascii="Times New Roman" w:hAnsi="Times New Roman" w:cs="Times New Roman"/>
          <w:sz w:val="24"/>
          <w:szCs w:val="24"/>
        </w:rPr>
        <w:t xml:space="preserve"> </w:t>
      </w:r>
      <w:r>
        <w:rPr>
          <w:rFonts w:ascii="Times New Roman" w:hAnsi="Times New Roman" w:cs="Times New Roman"/>
          <w:sz w:val="24"/>
          <w:szCs w:val="24"/>
        </w:rPr>
        <w:t xml:space="preserve">par </w:t>
      </w:r>
      <w:r w:rsidRPr="00180DEC">
        <w:rPr>
          <w:rFonts w:ascii="Times New Roman" w:hAnsi="Times New Roman" w:cs="Times New Roman"/>
          <w:sz w:val="24"/>
          <w:szCs w:val="24"/>
        </w:rPr>
        <w:t xml:space="preserve">la signature de plus de </w:t>
      </w:r>
      <w:r w:rsidRPr="00A9397D">
        <w:rPr>
          <w:rFonts w:ascii="Times New Roman" w:hAnsi="Times New Roman" w:cs="Times New Roman"/>
          <w:b/>
          <w:bCs/>
          <w:sz w:val="24"/>
          <w:szCs w:val="24"/>
        </w:rPr>
        <w:t>511 milliards de francs CFA</w:t>
      </w:r>
      <w:r w:rsidRPr="00180DEC">
        <w:rPr>
          <w:rFonts w:ascii="Times New Roman" w:hAnsi="Times New Roman" w:cs="Times New Roman"/>
          <w:sz w:val="24"/>
          <w:szCs w:val="24"/>
        </w:rPr>
        <w:t xml:space="preserve"> de dépôts de garantie</w:t>
      </w:r>
      <w:r w:rsidR="00CB47A6">
        <w:rPr>
          <w:rFonts w:ascii="Times New Roman" w:hAnsi="Times New Roman" w:cs="Times New Roman"/>
          <w:sz w:val="24"/>
          <w:szCs w:val="24"/>
        </w:rPr>
        <w:t xml:space="preserve"> qui constitue un nouveau type de financement effectué dans une banque et visant à accroître les capacités de financement de l’Etat pour le développement d’un secteur. </w:t>
      </w:r>
    </w:p>
    <w:p w14:paraId="61178716" w14:textId="6C6D81CD" w:rsidR="00111650" w:rsidRDefault="00111650" w:rsidP="00C000F7">
      <w:pPr>
        <w:rPr>
          <w:lang w:val="fr-FR"/>
        </w:rPr>
      </w:pPr>
    </w:p>
    <w:p w14:paraId="50ED6539" w14:textId="77777777" w:rsidR="00BB4B6B" w:rsidRDefault="00BB4B6B" w:rsidP="00C000F7">
      <w:pPr>
        <w:rPr>
          <w:lang w:val="fr-FR"/>
        </w:rPr>
      </w:pPr>
    </w:p>
    <w:p w14:paraId="47F96A6D" w14:textId="77777777" w:rsidR="00BB4B6B" w:rsidRPr="00C000F7" w:rsidRDefault="00BB4B6B" w:rsidP="00C000F7">
      <w:pPr>
        <w:rPr>
          <w:lang w:val="fr-FR"/>
        </w:rPr>
      </w:pPr>
    </w:p>
    <w:p w14:paraId="0F414ECA" w14:textId="0BE3B234" w:rsidR="0043577F" w:rsidRPr="0043577F" w:rsidRDefault="008A79F1" w:rsidP="008A79F1">
      <w:pPr>
        <w:pStyle w:val="Lgende"/>
      </w:pPr>
      <w:bookmarkStart w:id="11" w:name="_Toc112407807"/>
      <w:r>
        <w:lastRenderedPageBreak/>
        <w:t xml:space="preserve">Figure </w:t>
      </w:r>
      <w:r>
        <w:fldChar w:fldCharType="begin"/>
      </w:r>
      <w:r>
        <w:instrText xml:space="preserve"> SEQ Figure \* ARABIC </w:instrText>
      </w:r>
      <w:r>
        <w:fldChar w:fldCharType="separate"/>
      </w:r>
      <w:r w:rsidR="0024479B">
        <w:rPr>
          <w:noProof/>
        </w:rPr>
        <w:t>2</w:t>
      </w:r>
      <w:r>
        <w:fldChar w:fldCharType="end"/>
      </w:r>
      <w:r>
        <w:t xml:space="preserve">: </w:t>
      </w:r>
      <w:r w:rsidRPr="000A26F7">
        <w:t>Evolution annuelle des financements extérieurs mobilisés de 2016 à 2021</w:t>
      </w:r>
      <w:bookmarkEnd w:id="11"/>
    </w:p>
    <w:p w14:paraId="6BAC6F29" w14:textId="675D6351" w:rsidR="003566FA" w:rsidRDefault="004D3785" w:rsidP="0086672D">
      <w:pPr>
        <w:rPr>
          <w:rFonts w:ascii="Calibri" w:eastAsia="Calibri" w:hAnsi="Calibri" w:cs="Times New Roman"/>
          <w:b/>
          <w:color w:val="1F3864" w:themeColor="accent1" w:themeShade="80"/>
          <w:sz w:val="32"/>
          <w:szCs w:val="32"/>
        </w:rPr>
      </w:pPr>
      <w:r>
        <w:rPr>
          <w:noProof/>
        </w:rPr>
        <w:drawing>
          <wp:inline distT="0" distB="0" distL="0" distR="0" wp14:anchorId="04B8178F" wp14:editId="3A559013">
            <wp:extent cx="5707380" cy="2260600"/>
            <wp:effectExtent l="0" t="0" r="7620" b="6350"/>
            <wp:docPr id="7" name="Graphique 7">
              <a:extLst xmlns:a="http://schemas.openxmlformats.org/drawingml/2006/main">
                <a:ext uri="{FF2B5EF4-FFF2-40B4-BE49-F238E27FC236}">
                  <a16:creationId xmlns:a16="http://schemas.microsoft.com/office/drawing/2014/main" id="{36E07D3A-6CEE-46A7-9F99-F19615C8D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775F7D" w14:textId="04A150D6" w:rsidR="00814983" w:rsidRPr="00151B03" w:rsidRDefault="00AE0040" w:rsidP="00151B03">
      <w:pPr>
        <w:rPr>
          <w:rFonts w:ascii="Calibri" w:eastAsia="Calibri" w:hAnsi="Calibri" w:cs="Times New Roman"/>
          <w:b/>
          <w:color w:val="1F3864" w:themeColor="accent1" w:themeShade="80"/>
          <w:sz w:val="20"/>
          <w:szCs w:val="20"/>
        </w:rPr>
      </w:pPr>
      <w:bookmarkStart w:id="12" w:name="_Hlk109508030"/>
      <w:r w:rsidRPr="00CD571E">
        <w:rPr>
          <w:rFonts w:ascii="Calibri" w:eastAsia="Calibri" w:hAnsi="Calibri" w:cs="Times New Roman"/>
          <w:b/>
          <w:color w:val="1F3864" w:themeColor="accent1" w:themeShade="80"/>
          <w:sz w:val="20"/>
          <w:szCs w:val="20"/>
        </w:rPr>
        <w:t>Source : MEF/PGFE</w:t>
      </w:r>
      <w:bookmarkEnd w:id="12"/>
    </w:p>
    <w:p w14:paraId="065167C5" w14:textId="7C06AFE1" w:rsidR="00E6660A" w:rsidRPr="00974469" w:rsidRDefault="00E6660A" w:rsidP="0033783E">
      <w:pPr>
        <w:spacing w:after="0" w:line="240" w:lineRule="auto"/>
        <w:jc w:val="both"/>
        <w:rPr>
          <w:rFonts w:ascii="Times New Roman" w:hAnsi="Times New Roman" w:cs="Times New Roman"/>
          <w:sz w:val="24"/>
          <w:szCs w:val="24"/>
        </w:rPr>
      </w:pPr>
    </w:p>
    <w:p w14:paraId="3417F248" w14:textId="525A4748" w:rsidR="004B7F51" w:rsidRDefault="00E6660A" w:rsidP="00970F92">
      <w:pPr>
        <w:spacing w:after="0" w:line="240" w:lineRule="auto"/>
        <w:jc w:val="both"/>
        <w:rPr>
          <w:rFonts w:ascii="Times New Roman" w:hAnsi="Times New Roman" w:cs="Times New Roman"/>
          <w:b/>
          <w:bCs/>
          <w:sz w:val="24"/>
          <w:szCs w:val="24"/>
        </w:rPr>
      </w:pPr>
      <w:r w:rsidRPr="00974469">
        <w:rPr>
          <w:rFonts w:ascii="Times New Roman" w:hAnsi="Times New Roman" w:cs="Times New Roman"/>
          <w:sz w:val="24"/>
          <w:szCs w:val="24"/>
        </w:rPr>
        <w:t>Les différents financements mobilisés sur la période sous revue</w:t>
      </w:r>
      <w:r w:rsidR="003C1CC9" w:rsidRPr="00974469">
        <w:rPr>
          <w:rFonts w:ascii="Times New Roman" w:hAnsi="Times New Roman" w:cs="Times New Roman"/>
          <w:sz w:val="24"/>
          <w:szCs w:val="24"/>
        </w:rPr>
        <w:t xml:space="preserve"> auprès des différents partenaires de la Côte d’Ivoire se font sous trois formes réparties en :</w:t>
      </w:r>
      <w:r w:rsidR="00ED1B36" w:rsidRPr="00974469">
        <w:rPr>
          <w:rFonts w:ascii="Times New Roman" w:hAnsi="Times New Roman" w:cs="Times New Roman"/>
          <w:sz w:val="24"/>
          <w:szCs w:val="24"/>
        </w:rPr>
        <w:t xml:space="preserve"> i) Appuis programmes/projets, ii) appuis budgétaires, et iii) garanties.</w:t>
      </w:r>
      <w:r w:rsidR="003C1CC9" w:rsidRPr="00974469">
        <w:rPr>
          <w:rFonts w:ascii="Times New Roman" w:hAnsi="Times New Roman" w:cs="Times New Roman"/>
          <w:sz w:val="24"/>
          <w:szCs w:val="24"/>
        </w:rPr>
        <w:t xml:space="preserve">  Ainsi de 201</w:t>
      </w:r>
      <w:r w:rsidR="00AA0DF9" w:rsidRPr="00974469">
        <w:rPr>
          <w:rFonts w:ascii="Times New Roman" w:hAnsi="Times New Roman" w:cs="Times New Roman"/>
          <w:sz w:val="24"/>
          <w:szCs w:val="24"/>
        </w:rPr>
        <w:t>6</w:t>
      </w:r>
      <w:r w:rsidR="003C1CC9" w:rsidRPr="00974469">
        <w:rPr>
          <w:rFonts w:ascii="Times New Roman" w:hAnsi="Times New Roman" w:cs="Times New Roman"/>
          <w:sz w:val="24"/>
          <w:szCs w:val="24"/>
        </w:rPr>
        <w:t xml:space="preserve"> à 2021, les</w:t>
      </w:r>
      <w:r w:rsidR="00CD571E" w:rsidRPr="00974469">
        <w:rPr>
          <w:rFonts w:ascii="Times New Roman" w:hAnsi="Times New Roman" w:cs="Times New Roman"/>
          <w:sz w:val="24"/>
          <w:szCs w:val="24"/>
        </w:rPr>
        <w:t xml:space="preserve"> différentes modalités d’appuis ont été dominés par les appuis programmes/projets à hauteur de </w:t>
      </w:r>
      <w:r w:rsidR="00CD571E" w:rsidRPr="00974469">
        <w:rPr>
          <w:rFonts w:ascii="Times New Roman" w:hAnsi="Times New Roman" w:cs="Times New Roman"/>
          <w:b/>
          <w:bCs/>
          <w:sz w:val="24"/>
          <w:szCs w:val="24"/>
        </w:rPr>
        <w:t>12 651,6 milliards de francs CFA (81,6%)</w:t>
      </w:r>
      <w:r w:rsidR="00CD571E" w:rsidRPr="00974469">
        <w:rPr>
          <w:rFonts w:ascii="Times New Roman" w:hAnsi="Times New Roman" w:cs="Times New Roman"/>
          <w:sz w:val="24"/>
          <w:szCs w:val="24"/>
        </w:rPr>
        <w:t xml:space="preserve">, suivi par les appuis budgétaires avec </w:t>
      </w:r>
      <w:r w:rsidR="00CD571E" w:rsidRPr="00974469">
        <w:rPr>
          <w:rFonts w:ascii="Times New Roman" w:hAnsi="Times New Roman" w:cs="Times New Roman"/>
          <w:b/>
          <w:bCs/>
          <w:sz w:val="24"/>
          <w:szCs w:val="24"/>
        </w:rPr>
        <w:t>2 310,5 milliards de francs CFA</w:t>
      </w:r>
      <w:r w:rsidR="00CD571E" w:rsidRPr="00974469">
        <w:rPr>
          <w:rFonts w:ascii="Times New Roman" w:hAnsi="Times New Roman" w:cs="Times New Roman"/>
          <w:sz w:val="24"/>
          <w:szCs w:val="24"/>
        </w:rPr>
        <w:t xml:space="preserve"> </w:t>
      </w:r>
      <w:r w:rsidR="00CD571E" w:rsidRPr="00974469">
        <w:rPr>
          <w:rFonts w:ascii="Times New Roman" w:hAnsi="Times New Roman" w:cs="Times New Roman"/>
          <w:b/>
          <w:bCs/>
          <w:sz w:val="24"/>
          <w:szCs w:val="24"/>
        </w:rPr>
        <w:t>(14,9%)</w:t>
      </w:r>
      <w:r w:rsidR="00CD571E" w:rsidRPr="00974469">
        <w:rPr>
          <w:rFonts w:ascii="Times New Roman" w:hAnsi="Times New Roman" w:cs="Times New Roman"/>
          <w:sz w:val="24"/>
          <w:szCs w:val="24"/>
        </w:rPr>
        <w:t xml:space="preserve"> et les garanties d’un montant total de </w:t>
      </w:r>
      <w:r w:rsidR="00CD571E" w:rsidRPr="00974469">
        <w:rPr>
          <w:rFonts w:ascii="Times New Roman" w:hAnsi="Times New Roman" w:cs="Times New Roman"/>
          <w:b/>
          <w:bCs/>
          <w:sz w:val="24"/>
          <w:szCs w:val="24"/>
        </w:rPr>
        <w:t>540,1 milliards de francs CFA (3,5%).</w:t>
      </w:r>
    </w:p>
    <w:p w14:paraId="59467F84" w14:textId="77777777" w:rsidR="00970F92" w:rsidRPr="00970F92" w:rsidRDefault="00970F92" w:rsidP="00970F92">
      <w:pPr>
        <w:spacing w:after="0" w:line="240" w:lineRule="auto"/>
        <w:jc w:val="both"/>
        <w:rPr>
          <w:rFonts w:ascii="Times New Roman" w:hAnsi="Times New Roman" w:cs="Times New Roman"/>
          <w:b/>
          <w:bCs/>
          <w:sz w:val="24"/>
          <w:szCs w:val="24"/>
        </w:rPr>
      </w:pPr>
    </w:p>
    <w:p w14:paraId="69D9B56E" w14:textId="333727B9" w:rsidR="0043577F" w:rsidRPr="0043577F" w:rsidRDefault="008A79F1" w:rsidP="008A79F1">
      <w:pPr>
        <w:pStyle w:val="Lgende"/>
      </w:pPr>
      <w:bookmarkStart w:id="13" w:name="_Toc112407808"/>
      <w:r>
        <w:t xml:space="preserve">Figure </w:t>
      </w:r>
      <w:r>
        <w:fldChar w:fldCharType="begin"/>
      </w:r>
      <w:r>
        <w:instrText xml:space="preserve"> SEQ Figure \* ARABIC </w:instrText>
      </w:r>
      <w:r>
        <w:fldChar w:fldCharType="separate"/>
      </w:r>
      <w:r w:rsidR="0024479B">
        <w:rPr>
          <w:noProof/>
        </w:rPr>
        <w:t>3</w:t>
      </w:r>
      <w:r>
        <w:fldChar w:fldCharType="end"/>
      </w:r>
      <w:r>
        <w:t xml:space="preserve"> : </w:t>
      </w:r>
      <w:r w:rsidRPr="00F40165">
        <w:t>Répartition des appuis des partenaires selon les modalités de financements</w:t>
      </w:r>
      <w:bookmarkEnd w:id="13"/>
    </w:p>
    <w:p w14:paraId="17BEF1B7" w14:textId="1814867F" w:rsidR="00AA0DF9" w:rsidRDefault="00AA0DF9" w:rsidP="0033783E">
      <w:pPr>
        <w:spacing w:after="0" w:line="240" w:lineRule="auto"/>
        <w:jc w:val="both"/>
        <w:rPr>
          <w:rFonts w:ascii="Times New Roman" w:hAnsi="Times New Roman" w:cs="Times New Roman"/>
          <w:sz w:val="24"/>
          <w:szCs w:val="24"/>
        </w:rPr>
      </w:pPr>
      <w:r>
        <w:rPr>
          <w:noProof/>
        </w:rPr>
        <w:drawing>
          <wp:inline distT="0" distB="0" distL="0" distR="0" wp14:anchorId="667886C2" wp14:editId="42BBD8AB">
            <wp:extent cx="6248400" cy="2190750"/>
            <wp:effectExtent l="0" t="0" r="0" b="0"/>
            <wp:docPr id="3" name="Graphique 3">
              <a:extLst xmlns:a="http://schemas.openxmlformats.org/drawingml/2006/main">
                <a:ext uri="{FF2B5EF4-FFF2-40B4-BE49-F238E27FC236}">
                  <a16:creationId xmlns:a16="http://schemas.microsoft.com/office/drawing/2014/main" id="{4FF0A0BC-A219-79AF-33A4-B6A76D55B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55E198" w14:textId="542847D1" w:rsidR="00A834A7" w:rsidRPr="000C4539" w:rsidRDefault="00CD571E" w:rsidP="000C4539">
      <w:pPr>
        <w:rPr>
          <w:rFonts w:ascii="Calibri" w:eastAsia="Calibri" w:hAnsi="Calibri" w:cs="Times New Roman"/>
          <w:b/>
          <w:color w:val="1F3864" w:themeColor="accent1" w:themeShade="80"/>
          <w:sz w:val="20"/>
          <w:szCs w:val="20"/>
        </w:rPr>
      </w:pPr>
      <w:r w:rsidRPr="00CD571E">
        <w:rPr>
          <w:rFonts w:ascii="Calibri" w:eastAsia="Calibri" w:hAnsi="Calibri" w:cs="Times New Roman"/>
          <w:b/>
          <w:color w:val="1F3864" w:themeColor="accent1" w:themeShade="80"/>
          <w:sz w:val="20"/>
          <w:szCs w:val="20"/>
        </w:rPr>
        <w:t>Source : MEF/PGFE</w:t>
      </w:r>
    </w:p>
    <w:p w14:paraId="4B1153E6" w14:textId="77777777" w:rsidR="00547EEE" w:rsidRPr="00653E7B" w:rsidRDefault="00547EEE" w:rsidP="00653E7B">
      <w:pPr>
        <w:pStyle w:val="Titre4"/>
      </w:pPr>
    </w:p>
    <w:p w14:paraId="15505442" w14:textId="3F264D49" w:rsidR="00D27FE0" w:rsidRPr="007F0AE0" w:rsidRDefault="00547EEE" w:rsidP="003558E5">
      <w:pPr>
        <w:spacing w:after="0" w:line="240" w:lineRule="auto"/>
        <w:jc w:val="both"/>
        <w:rPr>
          <w:rFonts w:ascii="Times New Roman" w:hAnsi="Times New Roman" w:cs="Times New Roman"/>
          <w:sz w:val="24"/>
          <w:szCs w:val="24"/>
        </w:rPr>
      </w:pPr>
      <w:r w:rsidRPr="005A2433">
        <w:rPr>
          <w:rFonts w:ascii="Times New Roman" w:hAnsi="Times New Roman" w:cs="Times New Roman"/>
          <w:sz w:val="24"/>
          <w:szCs w:val="24"/>
        </w:rPr>
        <w:t xml:space="preserve">Les appuis des Partenaires au développement peuvent être repartis suivant </w:t>
      </w:r>
      <w:r w:rsidR="0079110E">
        <w:rPr>
          <w:rFonts w:ascii="Times New Roman" w:hAnsi="Times New Roman" w:cs="Times New Roman"/>
          <w:sz w:val="24"/>
          <w:szCs w:val="24"/>
        </w:rPr>
        <w:t>l</w:t>
      </w:r>
      <w:r w:rsidRPr="005A2433">
        <w:rPr>
          <w:rFonts w:ascii="Times New Roman" w:hAnsi="Times New Roman" w:cs="Times New Roman"/>
          <w:sz w:val="24"/>
          <w:szCs w:val="24"/>
        </w:rPr>
        <w:t xml:space="preserve">es natures de financement que sont les </w:t>
      </w:r>
      <w:r w:rsidRPr="0079110E">
        <w:rPr>
          <w:rFonts w:ascii="Times New Roman" w:hAnsi="Times New Roman" w:cs="Times New Roman"/>
          <w:b/>
          <w:bCs/>
          <w:sz w:val="24"/>
          <w:szCs w:val="24"/>
        </w:rPr>
        <w:t>prêts, les dons, les C2D et les garanties</w:t>
      </w:r>
      <w:r w:rsidRPr="005A2433">
        <w:rPr>
          <w:rFonts w:ascii="Times New Roman" w:hAnsi="Times New Roman" w:cs="Times New Roman"/>
          <w:sz w:val="24"/>
          <w:szCs w:val="24"/>
        </w:rPr>
        <w:t xml:space="preserve">, en fonction des différents types d’appuis. </w:t>
      </w:r>
      <w:r w:rsidR="00462E98">
        <w:rPr>
          <w:rFonts w:ascii="Times New Roman" w:hAnsi="Times New Roman" w:cs="Times New Roman"/>
          <w:sz w:val="24"/>
          <w:szCs w:val="24"/>
        </w:rPr>
        <w:t>En faisant une répartition selon les différents types de financement, il ressort que s</w:t>
      </w:r>
      <w:r w:rsidRPr="005A2433">
        <w:rPr>
          <w:rFonts w:ascii="Times New Roman" w:hAnsi="Times New Roman" w:cs="Times New Roman"/>
          <w:sz w:val="24"/>
          <w:szCs w:val="24"/>
        </w:rPr>
        <w:t xml:space="preserve">ur la période de 2016 à 2021, </w:t>
      </w:r>
      <w:r w:rsidRPr="000B1576">
        <w:rPr>
          <w:rFonts w:ascii="Times New Roman" w:hAnsi="Times New Roman" w:cs="Times New Roman"/>
          <w:b/>
          <w:bCs/>
          <w:sz w:val="24"/>
          <w:szCs w:val="24"/>
        </w:rPr>
        <w:t>Les appuis budgétaires</w:t>
      </w:r>
      <w:r w:rsidRPr="005A2433">
        <w:rPr>
          <w:rFonts w:ascii="Times New Roman" w:hAnsi="Times New Roman" w:cs="Times New Roman"/>
          <w:sz w:val="24"/>
          <w:szCs w:val="24"/>
        </w:rPr>
        <w:t xml:space="preserve"> mobilisés à hauteur de </w:t>
      </w:r>
      <w:r w:rsidRPr="00A74006">
        <w:rPr>
          <w:rFonts w:ascii="Times New Roman" w:hAnsi="Times New Roman" w:cs="Times New Roman"/>
          <w:b/>
          <w:bCs/>
          <w:sz w:val="24"/>
          <w:szCs w:val="24"/>
        </w:rPr>
        <w:t>2 310,5 milliards</w:t>
      </w:r>
      <w:r>
        <w:rPr>
          <w:rFonts w:ascii="Times New Roman" w:hAnsi="Times New Roman" w:cs="Times New Roman"/>
          <w:sz w:val="24"/>
          <w:szCs w:val="24"/>
        </w:rPr>
        <w:t xml:space="preserve"> de FCFA, sont constitués de </w:t>
      </w:r>
      <w:r w:rsidRPr="00A74006">
        <w:rPr>
          <w:rFonts w:ascii="Times New Roman" w:hAnsi="Times New Roman" w:cs="Times New Roman"/>
          <w:b/>
          <w:bCs/>
          <w:sz w:val="24"/>
          <w:szCs w:val="24"/>
        </w:rPr>
        <w:t>1 874 milliards de francs CFA de prêts (81,1%),</w:t>
      </w:r>
      <w:r w:rsidRPr="005A2433">
        <w:rPr>
          <w:rFonts w:ascii="Times New Roman" w:hAnsi="Times New Roman" w:cs="Times New Roman"/>
          <w:sz w:val="24"/>
          <w:szCs w:val="24"/>
        </w:rPr>
        <w:t xml:space="preserve"> de </w:t>
      </w:r>
      <w:r w:rsidRPr="00A74006">
        <w:rPr>
          <w:rFonts w:ascii="Times New Roman" w:hAnsi="Times New Roman" w:cs="Times New Roman"/>
          <w:b/>
          <w:bCs/>
          <w:sz w:val="24"/>
          <w:szCs w:val="24"/>
        </w:rPr>
        <w:t>344,2 milliards</w:t>
      </w:r>
      <w:r w:rsidRPr="005A2433">
        <w:rPr>
          <w:rFonts w:ascii="Times New Roman" w:hAnsi="Times New Roman" w:cs="Times New Roman"/>
          <w:sz w:val="24"/>
          <w:szCs w:val="24"/>
        </w:rPr>
        <w:t xml:space="preserve"> de francs CFA </w:t>
      </w:r>
      <w:r w:rsidRPr="00A74006">
        <w:rPr>
          <w:rFonts w:ascii="Times New Roman" w:hAnsi="Times New Roman" w:cs="Times New Roman"/>
          <w:b/>
          <w:bCs/>
          <w:sz w:val="24"/>
          <w:szCs w:val="24"/>
        </w:rPr>
        <w:t>(14,9%) de C2D et 92,3 milliards</w:t>
      </w:r>
      <w:r w:rsidRPr="005A2433">
        <w:rPr>
          <w:rFonts w:ascii="Times New Roman" w:hAnsi="Times New Roman" w:cs="Times New Roman"/>
          <w:sz w:val="24"/>
          <w:szCs w:val="24"/>
        </w:rPr>
        <w:t xml:space="preserve"> de francs CFA (4%) de dons</w:t>
      </w:r>
      <w:r>
        <w:t xml:space="preserve">. </w:t>
      </w:r>
    </w:p>
    <w:p w14:paraId="25D8C8C8" w14:textId="77777777" w:rsidR="002C6B31" w:rsidRDefault="002C6B31" w:rsidP="007C002A">
      <w:pPr>
        <w:rPr>
          <w:b/>
          <w:bCs/>
          <w:i/>
          <w:iCs/>
          <w:color w:val="1F4E79" w:themeColor="accent5" w:themeShade="80"/>
          <w:sz w:val="18"/>
          <w:szCs w:val="18"/>
          <w:lang w:val="fr-FR"/>
        </w:rPr>
      </w:pPr>
    </w:p>
    <w:p w14:paraId="070D58D3" w14:textId="4A55CA34" w:rsidR="008A79F1" w:rsidRDefault="008A79F1" w:rsidP="008A79F1">
      <w:pPr>
        <w:pStyle w:val="Lgende"/>
      </w:pPr>
      <w:bookmarkStart w:id="14" w:name="_Toc112407810"/>
      <w:r>
        <w:t xml:space="preserve">Figure </w:t>
      </w:r>
      <w:r w:rsidR="007F0AE0">
        <w:t>4</w:t>
      </w:r>
      <w:r>
        <w:t xml:space="preserve"> : </w:t>
      </w:r>
      <w:r w:rsidRPr="0092674F">
        <w:t>Répartition des appuis budgétaires selon les modalités de financements (%) de 2012 à 2021</w:t>
      </w:r>
      <w:bookmarkEnd w:id="14"/>
    </w:p>
    <w:p w14:paraId="7A15BB18" w14:textId="0051E0EE" w:rsidR="00D27FE0" w:rsidRDefault="00D27FE0" w:rsidP="00E12C78">
      <w:pPr>
        <w:spacing w:after="0" w:line="240" w:lineRule="auto"/>
        <w:jc w:val="both"/>
      </w:pPr>
      <w:r>
        <w:rPr>
          <w:noProof/>
        </w:rPr>
        <w:lastRenderedPageBreak/>
        <w:drawing>
          <wp:inline distT="0" distB="0" distL="0" distR="0" wp14:anchorId="602EB8B1" wp14:editId="62585280">
            <wp:extent cx="6064250" cy="2567940"/>
            <wp:effectExtent l="0" t="0" r="12700" b="3810"/>
            <wp:docPr id="11" name="Graphique 11">
              <a:extLst xmlns:a="http://schemas.openxmlformats.org/drawingml/2006/main">
                <a:ext uri="{FF2B5EF4-FFF2-40B4-BE49-F238E27FC236}">
                  <a16:creationId xmlns:a16="http://schemas.microsoft.com/office/drawing/2014/main" id="{A59855CE-39BD-4EC5-A646-3BB7F1790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1E4401" w14:textId="77150394" w:rsidR="006C5A0B" w:rsidRDefault="00D27FE0" w:rsidP="00E12C78">
      <w:pPr>
        <w:spacing w:after="0" w:line="240" w:lineRule="auto"/>
        <w:jc w:val="both"/>
      </w:pPr>
      <w:r>
        <w:t xml:space="preserve">Source :  </w:t>
      </w:r>
      <w:r w:rsidRPr="00CD571E">
        <w:rPr>
          <w:rFonts w:ascii="Calibri" w:eastAsia="Calibri" w:hAnsi="Calibri" w:cs="Times New Roman"/>
          <w:b/>
          <w:color w:val="1F3864" w:themeColor="accent1" w:themeShade="80"/>
          <w:sz w:val="20"/>
          <w:szCs w:val="20"/>
        </w:rPr>
        <w:t>MEF/PGFE</w:t>
      </w:r>
    </w:p>
    <w:p w14:paraId="08BAFDA7" w14:textId="77777777" w:rsidR="00D27FE0" w:rsidRDefault="00D27FE0" w:rsidP="00E12C78">
      <w:pPr>
        <w:spacing w:after="0" w:line="240" w:lineRule="auto"/>
        <w:jc w:val="both"/>
        <w:rPr>
          <w:rFonts w:ascii="Times New Roman" w:hAnsi="Times New Roman" w:cs="Times New Roman"/>
          <w:sz w:val="24"/>
          <w:szCs w:val="24"/>
        </w:rPr>
      </w:pPr>
    </w:p>
    <w:p w14:paraId="73133220" w14:textId="45B2FF75" w:rsidR="00AE2414" w:rsidRPr="007F0AE0" w:rsidRDefault="00547EEE" w:rsidP="006A55DF">
      <w:pPr>
        <w:spacing w:after="0" w:line="240" w:lineRule="auto"/>
        <w:jc w:val="both"/>
      </w:pPr>
      <w:r w:rsidRPr="005A2433">
        <w:rPr>
          <w:rFonts w:ascii="Times New Roman" w:hAnsi="Times New Roman" w:cs="Times New Roman"/>
          <w:sz w:val="24"/>
          <w:szCs w:val="24"/>
        </w:rPr>
        <w:t>Relativement aux Appuis Programmes/projets, il</w:t>
      </w:r>
      <w:r>
        <w:rPr>
          <w:rFonts w:ascii="Times New Roman" w:hAnsi="Times New Roman" w:cs="Times New Roman"/>
          <w:sz w:val="24"/>
          <w:szCs w:val="24"/>
        </w:rPr>
        <w:t xml:space="preserve">s s’élèvent à </w:t>
      </w:r>
      <w:r w:rsidRPr="00A74006">
        <w:rPr>
          <w:rFonts w:ascii="Times New Roman" w:hAnsi="Times New Roman" w:cs="Times New Roman"/>
          <w:b/>
          <w:bCs/>
          <w:sz w:val="24"/>
          <w:szCs w:val="24"/>
        </w:rPr>
        <w:t>12 651,6 milliards</w:t>
      </w:r>
      <w:r>
        <w:rPr>
          <w:rFonts w:ascii="Times New Roman" w:hAnsi="Times New Roman" w:cs="Times New Roman"/>
          <w:sz w:val="24"/>
          <w:szCs w:val="24"/>
        </w:rPr>
        <w:t xml:space="preserve"> de francs CFA et se répartissent </w:t>
      </w:r>
      <w:r w:rsidRPr="00A74006">
        <w:rPr>
          <w:rFonts w:ascii="Times New Roman" w:hAnsi="Times New Roman" w:cs="Times New Roman"/>
          <w:b/>
          <w:bCs/>
          <w:sz w:val="24"/>
          <w:szCs w:val="24"/>
        </w:rPr>
        <w:t>en prêts (84,1%), dons (12,6%) et C2D (3,3%).</w:t>
      </w:r>
      <w:r w:rsidR="001450D2">
        <w:t xml:space="preserve"> </w:t>
      </w:r>
      <w:r w:rsidR="007B3C32" w:rsidRPr="006A55DF">
        <w:rPr>
          <w:rFonts w:ascii="Times New Roman" w:hAnsi="Times New Roman" w:cs="Times New Roman"/>
          <w:sz w:val="24"/>
          <w:szCs w:val="24"/>
        </w:rPr>
        <w:t xml:space="preserve">Sur la période </w:t>
      </w:r>
      <w:r w:rsidR="007B3C32" w:rsidRPr="006A55DF">
        <w:rPr>
          <w:rFonts w:ascii="Times New Roman" w:hAnsi="Times New Roman" w:cs="Times New Roman"/>
          <w:b/>
          <w:bCs/>
          <w:sz w:val="24"/>
          <w:szCs w:val="24"/>
        </w:rPr>
        <w:t>2016 à 2021</w:t>
      </w:r>
      <w:r w:rsidR="007B3C32" w:rsidRPr="006A55DF">
        <w:rPr>
          <w:rFonts w:ascii="Times New Roman" w:hAnsi="Times New Roman" w:cs="Times New Roman"/>
          <w:sz w:val="24"/>
          <w:szCs w:val="24"/>
        </w:rPr>
        <w:t xml:space="preserve">, les différents financements octroyés par </w:t>
      </w:r>
      <w:r w:rsidR="006A55DF" w:rsidRPr="006A55DF">
        <w:rPr>
          <w:rFonts w:ascii="Times New Roman" w:hAnsi="Times New Roman" w:cs="Times New Roman"/>
          <w:sz w:val="24"/>
          <w:szCs w:val="24"/>
        </w:rPr>
        <w:t>les partenaires</w:t>
      </w:r>
      <w:r w:rsidR="007B3C32" w:rsidRPr="006A55DF">
        <w:rPr>
          <w:rFonts w:ascii="Times New Roman" w:hAnsi="Times New Roman" w:cs="Times New Roman"/>
          <w:sz w:val="24"/>
          <w:szCs w:val="24"/>
        </w:rPr>
        <w:t xml:space="preserve"> multilatéraux ont été majoritairement dominés par des </w:t>
      </w:r>
      <w:r w:rsidR="007B3C32" w:rsidRPr="006A55DF">
        <w:rPr>
          <w:rFonts w:ascii="Times New Roman" w:hAnsi="Times New Roman" w:cs="Times New Roman"/>
          <w:b/>
          <w:bCs/>
          <w:sz w:val="24"/>
          <w:szCs w:val="24"/>
        </w:rPr>
        <w:t>Prêts (</w:t>
      </w:r>
      <w:r w:rsidR="00AE2414" w:rsidRPr="006A55DF">
        <w:rPr>
          <w:rFonts w:ascii="Times New Roman" w:hAnsi="Times New Roman" w:cs="Times New Roman"/>
          <w:b/>
          <w:bCs/>
          <w:sz w:val="24"/>
          <w:szCs w:val="24"/>
        </w:rPr>
        <w:t>84%),</w:t>
      </w:r>
      <w:r w:rsidR="00AE2414" w:rsidRPr="006A55DF">
        <w:rPr>
          <w:rFonts w:ascii="Times New Roman" w:hAnsi="Times New Roman" w:cs="Times New Roman"/>
          <w:sz w:val="24"/>
          <w:szCs w:val="24"/>
        </w:rPr>
        <w:t xml:space="preserve"> octroyés principalement l’Association Internationale de Développement </w:t>
      </w:r>
      <w:r w:rsidR="00AE2414" w:rsidRPr="006A55DF">
        <w:rPr>
          <w:rFonts w:ascii="Times New Roman" w:hAnsi="Times New Roman" w:cs="Times New Roman"/>
          <w:b/>
          <w:bCs/>
          <w:sz w:val="24"/>
          <w:szCs w:val="24"/>
        </w:rPr>
        <w:t>(32,7%),</w:t>
      </w:r>
      <w:r w:rsidR="00AE2414" w:rsidRPr="006A55DF">
        <w:rPr>
          <w:rFonts w:ascii="Times New Roman" w:hAnsi="Times New Roman" w:cs="Times New Roman"/>
          <w:sz w:val="24"/>
          <w:szCs w:val="24"/>
        </w:rPr>
        <w:t xml:space="preserve"> le Fonds Monétaire International </w:t>
      </w:r>
      <w:r w:rsidR="00AE2414" w:rsidRPr="006A55DF">
        <w:rPr>
          <w:rFonts w:ascii="Times New Roman" w:hAnsi="Times New Roman" w:cs="Times New Roman"/>
          <w:b/>
          <w:bCs/>
          <w:sz w:val="24"/>
          <w:szCs w:val="24"/>
        </w:rPr>
        <w:t>(19,4%</w:t>
      </w:r>
      <w:r w:rsidR="00AE2414" w:rsidRPr="006A55DF">
        <w:rPr>
          <w:rFonts w:ascii="Times New Roman" w:hAnsi="Times New Roman" w:cs="Times New Roman"/>
          <w:sz w:val="24"/>
          <w:szCs w:val="24"/>
        </w:rPr>
        <w:t xml:space="preserve">) et faiblement par certains fonds </w:t>
      </w:r>
      <w:r w:rsidR="008C710A">
        <w:rPr>
          <w:rFonts w:ascii="Times New Roman" w:hAnsi="Times New Roman" w:cs="Times New Roman"/>
          <w:sz w:val="24"/>
          <w:szCs w:val="24"/>
        </w:rPr>
        <w:t>(</w:t>
      </w:r>
      <w:r w:rsidR="00AE2414" w:rsidRPr="006A55DF">
        <w:rPr>
          <w:rFonts w:ascii="Times New Roman" w:hAnsi="Times New Roman" w:cs="Times New Roman"/>
          <w:sz w:val="24"/>
          <w:szCs w:val="24"/>
        </w:rPr>
        <w:t>Fonds spécial du Nigeria</w:t>
      </w:r>
      <w:r w:rsidR="008C710A">
        <w:rPr>
          <w:rFonts w:ascii="Times New Roman" w:hAnsi="Times New Roman" w:cs="Times New Roman"/>
          <w:sz w:val="24"/>
          <w:szCs w:val="24"/>
        </w:rPr>
        <w:t>)</w:t>
      </w:r>
      <w:r w:rsidR="00AE2414" w:rsidRPr="006A55DF">
        <w:rPr>
          <w:rFonts w:ascii="Times New Roman" w:hAnsi="Times New Roman" w:cs="Times New Roman"/>
          <w:sz w:val="24"/>
          <w:szCs w:val="24"/>
        </w:rPr>
        <w:t xml:space="preserve"> </w:t>
      </w:r>
      <w:r w:rsidR="00AE2414" w:rsidRPr="006A55DF">
        <w:rPr>
          <w:rFonts w:ascii="Times New Roman" w:hAnsi="Times New Roman" w:cs="Times New Roman"/>
          <w:b/>
          <w:bCs/>
          <w:sz w:val="24"/>
          <w:szCs w:val="24"/>
        </w:rPr>
        <w:t>(0.1%)</w:t>
      </w:r>
      <w:r w:rsidR="00AE2414" w:rsidRPr="006A55DF">
        <w:rPr>
          <w:rFonts w:ascii="Times New Roman" w:hAnsi="Times New Roman" w:cs="Times New Roman"/>
          <w:sz w:val="24"/>
          <w:szCs w:val="24"/>
        </w:rPr>
        <w:t xml:space="preserve"> le Fonds Stratégique pour le climat </w:t>
      </w:r>
      <w:r w:rsidR="00AE2414" w:rsidRPr="006A55DF">
        <w:rPr>
          <w:rFonts w:ascii="Times New Roman" w:hAnsi="Times New Roman" w:cs="Times New Roman"/>
          <w:b/>
          <w:bCs/>
          <w:sz w:val="24"/>
          <w:szCs w:val="24"/>
        </w:rPr>
        <w:t>(0.1%).</w:t>
      </w:r>
      <w:r w:rsidR="007F0AE0">
        <w:t xml:space="preserve"> </w:t>
      </w:r>
      <w:r w:rsidR="00AE2414" w:rsidRPr="006A55DF">
        <w:rPr>
          <w:rFonts w:ascii="Times New Roman" w:hAnsi="Times New Roman" w:cs="Times New Roman"/>
          <w:sz w:val="24"/>
          <w:szCs w:val="24"/>
        </w:rPr>
        <w:t xml:space="preserve">Quant aux dons, ils proviennent essentiellement du Fonds Mondial </w:t>
      </w:r>
      <w:r w:rsidR="00AE2414" w:rsidRPr="006A55DF">
        <w:rPr>
          <w:rFonts w:ascii="Times New Roman" w:hAnsi="Times New Roman" w:cs="Times New Roman"/>
          <w:b/>
          <w:bCs/>
          <w:sz w:val="24"/>
          <w:szCs w:val="24"/>
        </w:rPr>
        <w:t>(27,6%)</w:t>
      </w:r>
      <w:r w:rsidR="00AE2414" w:rsidRPr="006A55DF">
        <w:rPr>
          <w:rFonts w:ascii="Times New Roman" w:hAnsi="Times New Roman" w:cs="Times New Roman"/>
          <w:sz w:val="24"/>
          <w:szCs w:val="24"/>
        </w:rPr>
        <w:t xml:space="preserve"> de </w:t>
      </w:r>
      <w:r w:rsidR="006A55DF" w:rsidRPr="006A55DF">
        <w:rPr>
          <w:rFonts w:ascii="Times New Roman" w:hAnsi="Times New Roman" w:cs="Times New Roman"/>
          <w:sz w:val="24"/>
          <w:szCs w:val="24"/>
        </w:rPr>
        <w:t xml:space="preserve">l’Organisation des Nations Unies Pour l’Enfance </w:t>
      </w:r>
      <w:r w:rsidR="006A55DF" w:rsidRPr="006A55DF">
        <w:rPr>
          <w:rFonts w:ascii="Times New Roman" w:hAnsi="Times New Roman" w:cs="Times New Roman"/>
          <w:b/>
          <w:bCs/>
          <w:sz w:val="24"/>
          <w:szCs w:val="24"/>
        </w:rPr>
        <w:t>(16,6%)</w:t>
      </w:r>
      <w:r w:rsidR="006A55DF" w:rsidRPr="006A55DF">
        <w:rPr>
          <w:rFonts w:ascii="Times New Roman" w:hAnsi="Times New Roman" w:cs="Times New Roman"/>
          <w:sz w:val="24"/>
          <w:szCs w:val="24"/>
        </w:rPr>
        <w:t xml:space="preserve"> du Fonds Européen </w:t>
      </w:r>
      <w:r w:rsidR="006A55DF" w:rsidRPr="006A55DF">
        <w:rPr>
          <w:rFonts w:ascii="Times New Roman" w:hAnsi="Times New Roman" w:cs="Times New Roman"/>
          <w:b/>
          <w:bCs/>
          <w:sz w:val="24"/>
          <w:szCs w:val="24"/>
        </w:rPr>
        <w:t>(16,6%),</w:t>
      </w:r>
      <w:r w:rsidR="006A55DF" w:rsidRPr="006A55DF">
        <w:rPr>
          <w:rFonts w:ascii="Times New Roman" w:hAnsi="Times New Roman" w:cs="Times New Roman"/>
          <w:sz w:val="24"/>
          <w:szCs w:val="24"/>
        </w:rPr>
        <w:t xml:space="preserve"> du Programme des Nations Unies pour le Développement </w:t>
      </w:r>
      <w:r w:rsidR="006A55DF" w:rsidRPr="006A55DF">
        <w:rPr>
          <w:rFonts w:ascii="Times New Roman" w:hAnsi="Times New Roman" w:cs="Times New Roman"/>
          <w:b/>
          <w:bCs/>
          <w:sz w:val="24"/>
          <w:szCs w:val="24"/>
        </w:rPr>
        <w:t>(3,7%).</w:t>
      </w:r>
    </w:p>
    <w:p w14:paraId="12D1B7D7" w14:textId="77777777" w:rsidR="005235E2" w:rsidRDefault="005235E2" w:rsidP="007C002A">
      <w:pPr>
        <w:rPr>
          <w:sz w:val="16"/>
          <w:szCs w:val="16"/>
        </w:rPr>
      </w:pPr>
      <w:bookmarkStart w:id="15" w:name="_Toc112407811"/>
    </w:p>
    <w:p w14:paraId="5F0947F8" w14:textId="736E4324" w:rsidR="007C002A" w:rsidRPr="003D2B94" w:rsidRDefault="005235E2" w:rsidP="007C002A">
      <w:r w:rsidRPr="006A55DF">
        <w:rPr>
          <w:b/>
          <w:bCs/>
          <w:noProof/>
          <w:color w:val="1F4E79" w:themeColor="accent5" w:themeShade="80"/>
        </w:rPr>
        <mc:AlternateContent>
          <mc:Choice Requires="wps">
            <w:drawing>
              <wp:anchor distT="45720" distB="45720" distL="114300" distR="114300" simplePos="0" relativeHeight="251657216" behindDoc="0" locked="0" layoutInCell="1" allowOverlap="1" wp14:anchorId="6E031235" wp14:editId="4B2B5ED9">
                <wp:simplePos x="0" y="0"/>
                <wp:positionH relativeFrom="column">
                  <wp:posOffset>3321685</wp:posOffset>
                </wp:positionH>
                <wp:positionV relativeFrom="paragraph">
                  <wp:posOffset>367030</wp:posOffset>
                </wp:positionV>
                <wp:extent cx="3256280" cy="3032760"/>
                <wp:effectExtent l="0" t="0" r="20320" b="1524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3032760"/>
                        </a:xfrm>
                        <a:prstGeom prst="rect">
                          <a:avLst/>
                        </a:prstGeom>
                        <a:solidFill>
                          <a:srgbClr val="FFFFFF"/>
                        </a:solidFill>
                        <a:ln w="9525">
                          <a:solidFill>
                            <a:srgbClr val="000000"/>
                          </a:solidFill>
                          <a:miter lim="800000"/>
                          <a:headEnd/>
                          <a:tailEnd/>
                        </a:ln>
                      </wps:spPr>
                      <wps:txbx>
                        <w:txbxContent>
                          <w:p w14:paraId="5643E431" w14:textId="77777777" w:rsidR="00D71A5F" w:rsidRDefault="00D71A5F" w:rsidP="00D71A5F">
                            <w:r>
                              <w:rPr>
                                <w:noProof/>
                              </w:rPr>
                              <w:drawing>
                                <wp:inline distT="0" distB="0" distL="0" distR="0" wp14:anchorId="6729B8D6" wp14:editId="1FF3F49F">
                                  <wp:extent cx="3307080" cy="3460750"/>
                                  <wp:effectExtent l="0" t="0" r="7620" b="6350"/>
                                  <wp:docPr id="1851058102" name="Graphique 1851058102">
                                    <a:extLst xmlns:a="http://schemas.openxmlformats.org/drawingml/2006/main">
                                      <a:ext uri="{FF2B5EF4-FFF2-40B4-BE49-F238E27FC236}">
                                        <a16:creationId xmlns:a16="http://schemas.microsoft.com/office/drawing/2014/main" id="{468139CF-47F3-46A9-961E-E3249F84B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31235" id="Zone de texte 2" o:spid="_x0000_s1027" type="#_x0000_t202" style="position:absolute;margin-left:261.55pt;margin-top:28.9pt;width:256.4pt;height:238.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TgFAIAACcEAAAOAAAAZHJzL2Uyb0RvYy54bWysk21v2yAQx99P2ndAvF/sOA9NrThVly7T&#10;pO5BavcBMMYxGuYYkNjZp9+B3TTq1jfTeIE4Dv7c/e5Y3/StIkdhnQRd0OkkpURoDpXU+4J+f9y9&#10;W1HiPNMVU6BFQU/C0ZvN2zfrzuQigwZUJSxBEe3yzhS08d7kSeJ4I1rmJmCERmcNtmUeTbtPKss6&#10;VG9VkqXpMunAVsYCF87h7t3gpJuoX9eC+6917YQnqqAYm4+zjXMZ5mSzZvneMtNIPobB/iGKlkmN&#10;j56l7phn5GDlH1Kt5BYc1H7CoU2griUXMQfMZpq+yOahYUbEXBCOM2dM7v/J8i/HB/PNEt+/hx4L&#10;GJNw5h74D0c0bBum9+LWWugawSp8eBqQJZ1x+Xg1oHa5CyJl9xkqLDI7eIhCfW3bQAXzJKiOBTid&#10;oYveE46bs2yxzFbo4uibpbPsahnLkrD86bqxzn8U0JKwKKjFqkZ5drx3PoTD8qcj4TUHSlY7qVQ0&#10;7L7cKkuODDtgF0fM4MUxpUlX0OtFthgIvCqRxvE3iVZ6bGUl24KuzodYHrh90FVsNM+kGtYYstIj&#10;yMBuoOj7sieyGikHriVUJyRrYehc/Gm4aMD+oqTDri2o+3lgVlCiPmmszvV0Pg9tHo354ipDw156&#10;yksP0xylCuopGZZbH79G4KbhFqtYy8j3OZIxZOzGiH38OaHdL+146vl/b34DAAD//wMAUEsDBBQA&#10;BgAIAAAAIQAdcgcO4QAAAAsBAAAPAAAAZHJzL2Rvd25yZXYueG1sTI/NTsMwEITvSLyDtUhcEHXa&#10;NP0JcSqEBKI3KAiubrxNIux1iN00vD3bE9x2d0az3xSb0VkxYB9aTwqmkwQEUuVNS7WC97fH2xWI&#10;EDUZbT2hgh8MsCkvLwqdG3+iVxx2sRYcQiHXCpoYu1zKUDXodJj4Dom1g++djrz2tTS9PnG4s3KW&#10;JAvpdEv8odEdPjRYfe2OTsFq/jx8hm368lEtDnYdb5bD03ev1PXVeH8HIuIY/8xwxmd0KJlp749k&#10;grAKslk6ZSsPS65wNiRptgax50uazUGWhfzfofwFAAD//wMAUEsBAi0AFAAGAAgAAAAhALaDOJL+&#10;AAAA4QEAABMAAAAAAAAAAAAAAAAAAAAAAFtDb250ZW50X1R5cGVzXS54bWxQSwECLQAUAAYACAAA&#10;ACEAOP0h/9YAAACUAQAACwAAAAAAAAAAAAAAAAAvAQAAX3JlbHMvLnJlbHNQSwECLQAUAAYACAAA&#10;ACEAafcU4BQCAAAnBAAADgAAAAAAAAAAAAAAAAAuAgAAZHJzL2Uyb0RvYy54bWxQSwECLQAUAAYA&#10;CAAAACEAHXIHDuEAAAALAQAADwAAAAAAAAAAAAAAAABuBAAAZHJzL2Rvd25yZXYueG1sUEsFBgAA&#10;AAAEAAQA8wAAAHwFAAAAAA==&#10;">
                <v:textbox>
                  <w:txbxContent>
                    <w:p w14:paraId="5643E431" w14:textId="77777777" w:rsidR="00D71A5F" w:rsidRDefault="00D71A5F" w:rsidP="00D71A5F">
                      <w:r>
                        <w:rPr>
                          <w:noProof/>
                        </w:rPr>
                        <w:drawing>
                          <wp:inline distT="0" distB="0" distL="0" distR="0" wp14:anchorId="6729B8D6" wp14:editId="1FF3F49F">
                            <wp:extent cx="3307080" cy="3460750"/>
                            <wp:effectExtent l="0" t="0" r="7620" b="6350"/>
                            <wp:docPr id="1851058102" name="Graphique 1851058102">
                              <a:extLst xmlns:a="http://schemas.openxmlformats.org/drawingml/2006/main">
                                <a:ext uri="{FF2B5EF4-FFF2-40B4-BE49-F238E27FC236}">
                                  <a16:creationId xmlns:a16="http://schemas.microsoft.com/office/drawing/2014/main" id="{468139CF-47F3-46A9-961E-E3249F84B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square"/>
              </v:shape>
            </w:pict>
          </mc:Fallback>
        </mc:AlternateContent>
      </w:r>
      <w:r w:rsidRPr="006A55DF">
        <w:rPr>
          <w:b/>
          <w:bCs/>
          <w:noProof/>
          <w:color w:val="1F4E79" w:themeColor="accent5" w:themeShade="80"/>
        </w:rPr>
        <w:drawing>
          <wp:anchor distT="0" distB="0" distL="114300" distR="114300" simplePos="0" relativeHeight="251661312" behindDoc="0" locked="0" layoutInCell="1" allowOverlap="1" wp14:anchorId="46B7F10D" wp14:editId="03DC0540">
            <wp:simplePos x="0" y="0"/>
            <wp:positionH relativeFrom="margin">
              <wp:align>left</wp:align>
            </wp:positionH>
            <wp:positionV relativeFrom="paragraph">
              <wp:posOffset>371475</wp:posOffset>
            </wp:positionV>
            <wp:extent cx="3333750" cy="3070860"/>
            <wp:effectExtent l="0" t="0" r="0" b="15240"/>
            <wp:wrapSquare wrapText="bothSides"/>
            <wp:docPr id="12" name="Graphique 12">
              <a:extLst xmlns:a="http://schemas.openxmlformats.org/drawingml/2006/main">
                <a:ext uri="{FF2B5EF4-FFF2-40B4-BE49-F238E27FC236}">
                  <a16:creationId xmlns:a16="http://schemas.microsoft.com/office/drawing/2014/main" id="{5D06BE3A-ED8B-4049-9EE4-D71ED9691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bookmarkStart w:id="16" w:name="_Hlk115353426"/>
      <w:bookmarkEnd w:id="15"/>
      <w:r w:rsidR="007F0AE0" w:rsidRPr="003D2B94">
        <w:rPr>
          <w:sz w:val="16"/>
          <w:szCs w:val="16"/>
        </w:rPr>
        <w:t xml:space="preserve">Figure 5 : Prêts octroyés par les Partenaires Multilatéraux (%) </w:t>
      </w:r>
      <w:bookmarkEnd w:id="16"/>
      <w:r w:rsidR="007F0AE0" w:rsidRPr="003D2B94">
        <w:rPr>
          <w:sz w:val="16"/>
          <w:szCs w:val="16"/>
        </w:rPr>
        <w:t xml:space="preserve">  </w:t>
      </w:r>
      <w:r>
        <w:rPr>
          <w:sz w:val="16"/>
          <w:szCs w:val="16"/>
        </w:rPr>
        <w:t xml:space="preserve">                                    Dons Octroyés par les PTF</w:t>
      </w:r>
    </w:p>
    <w:p w14:paraId="2E33317E" w14:textId="77777777" w:rsidR="005235E2" w:rsidRDefault="000110CE" w:rsidP="000110CE">
      <w:pPr>
        <w:pStyle w:val="Lgende"/>
      </w:pPr>
      <w:r>
        <w:t xml:space="preserve">Source : MEF/PGFE. </w:t>
      </w:r>
    </w:p>
    <w:p w14:paraId="7D4A2F48" w14:textId="6812A43A" w:rsidR="0043577F" w:rsidRDefault="000110CE" w:rsidP="000110CE">
      <w:pPr>
        <w:pStyle w:val="Lgende"/>
      </w:pPr>
      <w:r>
        <w:t>Cette cartographie des origines des dons et prêts, indique naturellement le type de stratégie a adopter en fonction des différents types de partenaires</w:t>
      </w:r>
    </w:p>
    <w:p w14:paraId="5C34F1DC" w14:textId="604D3952" w:rsidR="00DB18BE" w:rsidRDefault="00DB18BE" w:rsidP="00DB18BE">
      <w:pPr>
        <w:rPr>
          <w:rFonts w:ascii="Calibri" w:eastAsia="Calibri" w:hAnsi="Calibri" w:cs="Times New Roman"/>
          <w:b/>
          <w:color w:val="1F3864" w:themeColor="accent1" w:themeShade="80"/>
          <w:sz w:val="20"/>
          <w:szCs w:val="20"/>
        </w:rPr>
      </w:pPr>
      <w:r>
        <w:rPr>
          <w:rFonts w:ascii="Calibri" w:eastAsia="Calibri" w:hAnsi="Calibri" w:cs="Times New Roman"/>
          <w:b/>
          <w:color w:val="1F3864" w:themeColor="accent1" w:themeShade="80"/>
          <w:sz w:val="20"/>
          <w:szCs w:val="20"/>
        </w:rPr>
        <w:lastRenderedPageBreak/>
        <w:t>Une vue plus détaillée des différents partenaires multilatéraux et bilatéraux de la Côte d’Ivoire, repartie en fonction du type de financement est consignée dans le tableau ci-dessous.</w:t>
      </w:r>
    </w:p>
    <w:p w14:paraId="4F6D8AE6" w14:textId="64FEA17B" w:rsidR="00114617" w:rsidRPr="00C61280" w:rsidRDefault="00925C05" w:rsidP="00925C05">
      <w:pPr>
        <w:pStyle w:val="Lgende"/>
        <w:keepNext/>
      </w:pPr>
      <w:bookmarkStart w:id="17" w:name="_Toc139379659"/>
      <w:r>
        <w:t xml:space="preserve">Tableau </w:t>
      </w:r>
      <w:r>
        <w:fldChar w:fldCharType="begin"/>
      </w:r>
      <w:r>
        <w:instrText xml:space="preserve"> SEQ Tableau \* ARABIC </w:instrText>
      </w:r>
      <w:r>
        <w:fldChar w:fldCharType="separate"/>
      </w:r>
      <w:r>
        <w:rPr>
          <w:noProof/>
        </w:rPr>
        <w:t>1</w:t>
      </w:r>
      <w:r>
        <w:fldChar w:fldCharType="end"/>
      </w:r>
      <w:r>
        <w:t xml:space="preserve"> : </w:t>
      </w:r>
      <w:r w:rsidRPr="00947FBF">
        <w:t>Répartition des financements des appuis programmes/projets acquis de 2016 à 201 par nature et groupe de partenaires.</w:t>
      </w:r>
      <w:bookmarkEnd w:id="17"/>
    </w:p>
    <w:tbl>
      <w:tblPr>
        <w:tblStyle w:val="TableauGrille1Clair"/>
        <w:tblW w:w="5788" w:type="pct"/>
        <w:tblInd w:w="-714" w:type="dxa"/>
        <w:tblLayout w:type="fixed"/>
        <w:tblLook w:val="04A0" w:firstRow="1" w:lastRow="0" w:firstColumn="1" w:lastColumn="0" w:noHBand="0" w:noVBand="1"/>
      </w:tblPr>
      <w:tblGrid>
        <w:gridCol w:w="1478"/>
        <w:gridCol w:w="3070"/>
        <w:gridCol w:w="799"/>
        <w:gridCol w:w="801"/>
        <w:gridCol w:w="801"/>
        <w:gridCol w:w="799"/>
        <w:gridCol w:w="801"/>
        <w:gridCol w:w="940"/>
        <w:gridCol w:w="1001"/>
      </w:tblGrid>
      <w:tr w:rsidR="00DB18BE" w:rsidRPr="0033426E" w14:paraId="3E90AC60" w14:textId="77777777" w:rsidTr="00C97E82">
        <w:trPr>
          <w:cnfStyle w:val="100000000000" w:firstRow="1" w:lastRow="0" w:firstColumn="0" w:lastColumn="0" w:oddVBand="0" w:evenVBand="0" w:oddHBand="0" w:evenHBand="0" w:firstRowFirstColumn="0" w:firstRowLastColumn="0" w:lastRowFirstColumn="0" w:lastRowLastColumn="0"/>
          <w:trHeight w:val="197"/>
          <w:tblHeader/>
        </w:trPr>
        <w:tc>
          <w:tcPr>
            <w:cnfStyle w:val="001000000000" w:firstRow="0" w:lastRow="0" w:firstColumn="1" w:lastColumn="0" w:oddVBand="0" w:evenVBand="0" w:oddHBand="0" w:evenHBand="0" w:firstRowFirstColumn="0" w:firstRowLastColumn="0" w:lastRowFirstColumn="0" w:lastRowLastColumn="0"/>
            <w:tcW w:w="704" w:type="pct"/>
            <w:vMerge w:val="restart"/>
            <w:shd w:val="clear" w:color="auto" w:fill="BFBFBF" w:themeFill="background1" w:themeFillShade="BF"/>
            <w:vAlign w:val="center"/>
            <w:hideMark/>
          </w:tcPr>
          <w:p w14:paraId="079E3D5F" w14:textId="77777777" w:rsidR="00DB18BE" w:rsidRPr="0033426E" w:rsidRDefault="00DB18BE" w:rsidP="005178B7">
            <w:pPr>
              <w:jc w:val="center"/>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 xml:space="preserve">Nature du </w:t>
            </w:r>
            <w:proofErr w:type="spellStart"/>
            <w:r w:rsidRPr="0033426E">
              <w:rPr>
                <w:rFonts w:ascii="Times New Roman" w:eastAsia="Times New Roman" w:hAnsi="Times New Roman" w:cs="Times New Roman"/>
                <w:color w:val="000000"/>
                <w:lang w:val="en-US"/>
              </w:rPr>
              <w:t>financement</w:t>
            </w:r>
            <w:proofErr w:type="spellEnd"/>
          </w:p>
        </w:tc>
        <w:tc>
          <w:tcPr>
            <w:tcW w:w="1462" w:type="pct"/>
            <w:vMerge w:val="restart"/>
            <w:shd w:val="clear" w:color="auto" w:fill="BFBFBF" w:themeFill="background1" w:themeFillShade="BF"/>
            <w:vAlign w:val="center"/>
            <w:hideMark/>
          </w:tcPr>
          <w:p w14:paraId="5CA50E0C" w14:textId="77777777" w:rsidR="00DB18BE" w:rsidRPr="0033426E" w:rsidRDefault="00DB18BE" w:rsidP="005178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 xml:space="preserve">Groupe de </w:t>
            </w:r>
            <w:proofErr w:type="spellStart"/>
            <w:r w:rsidRPr="0033426E">
              <w:rPr>
                <w:rFonts w:ascii="Times New Roman" w:eastAsia="Times New Roman" w:hAnsi="Times New Roman" w:cs="Times New Roman"/>
                <w:color w:val="000000"/>
                <w:lang w:val="en-US"/>
              </w:rPr>
              <w:t>partenaire</w:t>
            </w:r>
            <w:r>
              <w:rPr>
                <w:rFonts w:ascii="Times New Roman" w:eastAsia="Times New Roman" w:hAnsi="Times New Roman" w:cs="Times New Roman"/>
                <w:color w:val="000000"/>
                <w:lang w:val="en-US"/>
              </w:rPr>
              <w:t>s</w:t>
            </w:r>
            <w:proofErr w:type="spellEnd"/>
          </w:p>
        </w:tc>
        <w:tc>
          <w:tcPr>
            <w:tcW w:w="2356" w:type="pct"/>
            <w:gridSpan w:val="6"/>
            <w:shd w:val="clear" w:color="auto" w:fill="BFBFBF" w:themeFill="background1" w:themeFillShade="BF"/>
            <w:vAlign w:val="center"/>
            <w:hideMark/>
          </w:tcPr>
          <w:p w14:paraId="4318C677" w14:textId="77777777" w:rsidR="00DB18BE" w:rsidRDefault="00DB18BE" w:rsidP="005178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Financements des appuis programmes/projets</w:t>
            </w:r>
            <w:r>
              <w:rPr>
                <w:rFonts w:ascii="Times New Roman" w:eastAsia="Times New Roman" w:hAnsi="Times New Roman" w:cs="Times New Roman"/>
                <w:color w:val="000000"/>
              </w:rPr>
              <w:t xml:space="preserve"> </w:t>
            </w:r>
          </w:p>
          <w:p w14:paraId="2882907C" w14:textId="77777777" w:rsidR="00DB18BE" w:rsidRPr="0033426E" w:rsidRDefault="00DB18BE" w:rsidP="005178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(En milliards de francs CFA)</w:t>
            </w:r>
          </w:p>
        </w:tc>
        <w:tc>
          <w:tcPr>
            <w:tcW w:w="478" w:type="pct"/>
            <w:vMerge w:val="restart"/>
            <w:shd w:val="clear" w:color="auto" w:fill="BFBFBF" w:themeFill="background1" w:themeFillShade="BF"/>
            <w:vAlign w:val="center"/>
            <w:hideMark/>
          </w:tcPr>
          <w:p w14:paraId="33EDA2F0" w14:textId="77777777" w:rsidR="00DB18BE" w:rsidRPr="0033426E" w:rsidRDefault="00DB18BE" w:rsidP="005178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8"/>
                <w:lang w:val="en-US"/>
              </w:rPr>
            </w:pPr>
            <w:r w:rsidRPr="0033426E">
              <w:rPr>
                <w:rFonts w:ascii="Times New Roman" w:eastAsia="Times New Roman" w:hAnsi="Times New Roman" w:cs="Times New Roman"/>
                <w:bCs w:val="0"/>
                <w:color w:val="000000"/>
                <w:sz w:val="18"/>
                <w:lang w:val="en-US"/>
              </w:rPr>
              <w:t>TOTAL</w:t>
            </w:r>
          </w:p>
        </w:tc>
      </w:tr>
      <w:tr w:rsidR="00C97E82" w:rsidRPr="0033426E" w14:paraId="271557D2" w14:textId="77777777" w:rsidTr="00C97E82">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704" w:type="pct"/>
            <w:vMerge/>
            <w:shd w:val="clear" w:color="auto" w:fill="BFBFBF" w:themeFill="background1" w:themeFillShade="BF"/>
            <w:vAlign w:val="center"/>
            <w:hideMark/>
          </w:tcPr>
          <w:p w14:paraId="4F31BAE3" w14:textId="77777777" w:rsidR="00DB18BE" w:rsidRPr="0033426E" w:rsidRDefault="00DB18BE" w:rsidP="005178B7">
            <w:pPr>
              <w:jc w:val="center"/>
              <w:rPr>
                <w:rFonts w:ascii="Times New Roman" w:eastAsia="Times New Roman" w:hAnsi="Times New Roman" w:cs="Times New Roman"/>
                <w:color w:val="000000"/>
                <w:lang w:val="en-US"/>
              </w:rPr>
            </w:pPr>
          </w:p>
        </w:tc>
        <w:tc>
          <w:tcPr>
            <w:tcW w:w="1462" w:type="pct"/>
            <w:vMerge/>
            <w:shd w:val="clear" w:color="auto" w:fill="BFBFBF" w:themeFill="background1" w:themeFillShade="BF"/>
            <w:vAlign w:val="center"/>
            <w:hideMark/>
          </w:tcPr>
          <w:p w14:paraId="41DB7267" w14:textId="77777777" w:rsidR="00DB18BE" w:rsidRPr="0033426E" w:rsidRDefault="00DB18BE" w:rsidP="005178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val="en-US"/>
              </w:rPr>
            </w:pPr>
          </w:p>
        </w:tc>
        <w:tc>
          <w:tcPr>
            <w:tcW w:w="381" w:type="pct"/>
            <w:shd w:val="clear" w:color="auto" w:fill="BFBFBF" w:themeFill="background1" w:themeFillShade="BF"/>
            <w:vAlign w:val="center"/>
            <w:hideMark/>
          </w:tcPr>
          <w:p w14:paraId="1AC0AE64" w14:textId="77777777" w:rsidR="00DB18BE" w:rsidRPr="0033426E" w:rsidRDefault="00DB18BE" w:rsidP="005178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val="en-US"/>
              </w:rPr>
            </w:pPr>
            <w:r w:rsidRPr="0033426E">
              <w:rPr>
                <w:rFonts w:ascii="Times New Roman" w:eastAsia="Times New Roman" w:hAnsi="Times New Roman" w:cs="Times New Roman"/>
                <w:b w:val="0"/>
                <w:color w:val="000000"/>
                <w:lang w:val="en-US"/>
              </w:rPr>
              <w:t>2016</w:t>
            </w:r>
          </w:p>
        </w:tc>
        <w:tc>
          <w:tcPr>
            <w:tcW w:w="382" w:type="pct"/>
            <w:shd w:val="clear" w:color="auto" w:fill="BFBFBF" w:themeFill="background1" w:themeFillShade="BF"/>
            <w:vAlign w:val="center"/>
            <w:hideMark/>
          </w:tcPr>
          <w:p w14:paraId="6CEEE50D" w14:textId="77777777" w:rsidR="00DB18BE" w:rsidRPr="0033426E" w:rsidRDefault="00DB18BE" w:rsidP="005178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val="en-US"/>
              </w:rPr>
            </w:pPr>
            <w:r w:rsidRPr="0033426E">
              <w:rPr>
                <w:rFonts w:ascii="Times New Roman" w:eastAsia="Times New Roman" w:hAnsi="Times New Roman" w:cs="Times New Roman"/>
                <w:b w:val="0"/>
                <w:color w:val="000000"/>
                <w:lang w:val="en-US"/>
              </w:rPr>
              <w:t>2017</w:t>
            </w:r>
          </w:p>
        </w:tc>
        <w:tc>
          <w:tcPr>
            <w:tcW w:w="382" w:type="pct"/>
            <w:shd w:val="clear" w:color="auto" w:fill="BFBFBF" w:themeFill="background1" w:themeFillShade="BF"/>
            <w:vAlign w:val="center"/>
            <w:hideMark/>
          </w:tcPr>
          <w:p w14:paraId="23D622CE" w14:textId="77777777" w:rsidR="00DB18BE" w:rsidRPr="0033426E" w:rsidRDefault="00DB18BE" w:rsidP="005178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val="en-US"/>
              </w:rPr>
            </w:pPr>
            <w:r w:rsidRPr="0033426E">
              <w:rPr>
                <w:rFonts w:ascii="Times New Roman" w:eastAsia="Times New Roman" w:hAnsi="Times New Roman" w:cs="Times New Roman"/>
                <w:b w:val="0"/>
                <w:color w:val="000000"/>
                <w:lang w:val="en-US"/>
              </w:rPr>
              <w:t>2018</w:t>
            </w:r>
          </w:p>
        </w:tc>
        <w:tc>
          <w:tcPr>
            <w:tcW w:w="381" w:type="pct"/>
            <w:shd w:val="clear" w:color="auto" w:fill="BFBFBF" w:themeFill="background1" w:themeFillShade="BF"/>
            <w:noWrap/>
            <w:vAlign w:val="center"/>
            <w:hideMark/>
          </w:tcPr>
          <w:p w14:paraId="6901EEB5" w14:textId="77777777" w:rsidR="00DB18BE" w:rsidRPr="0033426E" w:rsidRDefault="00DB18BE" w:rsidP="005178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val="en-US"/>
              </w:rPr>
            </w:pPr>
            <w:r w:rsidRPr="0033426E">
              <w:rPr>
                <w:rFonts w:ascii="Times New Roman" w:eastAsia="Times New Roman" w:hAnsi="Times New Roman" w:cs="Times New Roman"/>
                <w:b w:val="0"/>
                <w:color w:val="000000"/>
                <w:lang w:val="en-US"/>
              </w:rPr>
              <w:t>2019</w:t>
            </w:r>
          </w:p>
        </w:tc>
        <w:tc>
          <w:tcPr>
            <w:tcW w:w="382" w:type="pct"/>
            <w:shd w:val="clear" w:color="auto" w:fill="BFBFBF" w:themeFill="background1" w:themeFillShade="BF"/>
            <w:vAlign w:val="center"/>
            <w:hideMark/>
          </w:tcPr>
          <w:p w14:paraId="0A2F8699" w14:textId="77777777" w:rsidR="00DB18BE" w:rsidRPr="0033426E" w:rsidRDefault="00DB18BE" w:rsidP="005178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val="en-US"/>
              </w:rPr>
            </w:pPr>
            <w:r w:rsidRPr="0033426E">
              <w:rPr>
                <w:rFonts w:ascii="Times New Roman" w:eastAsia="Times New Roman" w:hAnsi="Times New Roman" w:cs="Times New Roman"/>
                <w:b w:val="0"/>
                <w:color w:val="000000"/>
                <w:lang w:val="en-US"/>
              </w:rPr>
              <w:t>2020</w:t>
            </w:r>
          </w:p>
        </w:tc>
        <w:tc>
          <w:tcPr>
            <w:tcW w:w="446" w:type="pct"/>
            <w:shd w:val="clear" w:color="auto" w:fill="BFBFBF" w:themeFill="background1" w:themeFillShade="BF"/>
            <w:vAlign w:val="center"/>
            <w:hideMark/>
          </w:tcPr>
          <w:p w14:paraId="5C4B6430" w14:textId="77777777" w:rsidR="00DB18BE" w:rsidRPr="0033426E" w:rsidRDefault="00DB18BE" w:rsidP="005178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lang w:val="en-US"/>
              </w:rPr>
            </w:pPr>
            <w:r w:rsidRPr="0033426E">
              <w:rPr>
                <w:rFonts w:ascii="Times New Roman" w:eastAsia="Times New Roman" w:hAnsi="Times New Roman" w:cs="Times New Roman"/>
                <w:b w:val="0"/>
                <w:color w:val="000000"/>
                <w:lang w:val="en-US"/>
              </w:rPr>
              <w:t>2021</w:t>
            </w:r>
          </w:p>
        </w:tc>
        <w:tc>
          <w:tcPr>
            <w:tcW w:w="478" w:type="pct"/>
            <w:vMerge/>
            <w:shd w:val="clear" w:color="auto" w:fill="BFBFBF" w:themeFill="background1" w:themeFillShade="BF"/>
            <w:vAlign w:val="center"/>
            <w:hideMark/>
          </w:tcPr>
          <w:p w14:paraId="534F5FA6" w14:textId="77777777" w:rsidR="00DB18BE" w:rsidRPr="0033426E" w:rsidRDefault="00DB18BE" w:rsidP="005178B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US"/>
              </w:rPr>
            </w:pPr>
          </w:p>
        </w:tc>
      </w:tr>
      <w:tr w:rsidR="00DB18BE" w:rsidRPr="008D3758" w14:paraId="2373C87E"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restart"/>
            <w:noWrap/>
            <w:vAlign w:val="center"/>
            <w:hideMark/>
          </w:tcPr>
          <w:p w14:paraId="78D6D812" w14:textId="77777777" w:rsidR="00DB18BE" w:rsidRPr="0033426E" w:rsidRDefault="00DB18BE" w:rsidP="005178B7">
            <w:pPr>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Prêt</w:t>
            </w:r>
          </w:p>
        </w:tc>
        <w:tc>
          <w:tcPr>
            <w:tcW w:w="1462" w:type="pct"/>
            <w:noWrap/>
            <w:vAlign w:val="center"/>
            <w:hideMark/>
          </w:tcPr>
          <w:p w14:paraId="652C2100"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Groupe de la Banque Mondiale</w:t>
            </w:r>
          </w:p>
        </w:tc>
        <w:tc>
          <w:tcPr>
            <w:tcW w:w="381" w:type="pct"/>
            <w:noWrap/>
            <w:vAlign w:val="center"/>
            <w:hideMark/>
          </w:tcPr>
          <w:p w14:paraId="68FADD9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55,1</w:t>
            </w:r>
          </w:p>
        </w:tc>
        <w:tc>
          <w:tcPr>
            <w:tcW w:w="382" w:type="pct"/>
            <w:noWrap/>
            <w:vAlign w:val="center"/>
            <w:hideMark/>
          </w:tcPr>
          <w:p w14:paraId="7B137C2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301,3</w:t>
            </w:r>
          </w:p>
        </w:tc>
        <w:tc>
          <w:tcPr>
            <w:tcW w:w="382" w:type="pct"/>
            <w:noWrap/>
            <w:vAlign w:val="center"/>
            <w:hideMark/>
          </w:tcPr>
          <w:p w14:paraId="358E30D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435,9</w:t>
            </w:r>
          </w:p>
        </w:tc>
        <w:tc>
          <w:tcPr>
            <w:tcW w:w="381" w:type="pct"/>
            <w:noWrap/>
            <w:vAlign w:val="center"/>
            <w:hideMark/>
          </w:tcPr>
          <w:p w14:paraId="2AF4982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561,1</w:t>
            </w:r>
          </w:p>
        </w:tc>
        <w:tc>
          <w:tcPr>
            <w:tcW w:w="382" w:type="pct"/>
            <w:noWrap/>
            <w:vAlign w:val="center"/>
            <w:hideMark/>
          </w:tcPr>
          <w:p w14:paraId="047CCC4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319,7</w:t>
            </w:r>
          </w:p>
        </w:tc>
        <w:tc>
          <w:tcPr>
            <w:tcW w:w="446" w:type="pct"/>
            <w:noWrap/>
            <w:vAlign w:val="center"/>
            <w:hideMark/>
          </w:tcPr>
          <w:p w14:paraId="42B6AD8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337,8</w:t>
            </w:r>
          </w:p>
        </w:tc>
        <w:tc>
          <w:tcPr>
            <w:tcW w:w="478" w:type="pct"/>
            <w:noWrap/>
            <w:vAlign w:val="center"/>
            <w:hideMark/>
          </w:tcPr>
          <w:p w14:paraId="752B915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2 010,8</w:t>
            </w:r>
          </w:p>
        </w:tc>
      </w:tr>
      <w:tr w:rsidR="00DB18BE" w:rsidRPr="008D3758" w14:paraId="08B99CAB"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BDF566D"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32036678"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Groupe de la Banque Africaine de Développement</w:t>
            </w:r>
          </w:p>
        </w:tc>
        <w:tc>
          <w:tcPr>
            <w:tcW w:w="381" w:type="pct"/>
            <w:noWrap/>
            <w:vAlign w:val="center"/>
            <w:hideMark/>
          </w:tcPr>
          <w:p w14:paraId="477EDF6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339,4</w:t>
            </w:r>
          </w:p>
        </w:tc>
        <w:tc>
          <w:tcPr>
            <w:tcW w:w="382" w:type="pct"/>
            <w:noWrap/>
            <w:vAlign w:val="center"/>
            <w:hideMark/>
          </w:tcPr>
          <w:p w14:paraId="694CB1F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119,0</w:t>
            </w:r>
          </w:p>
        </w:tc>
        <w:tc>
          <w:tcPr>
            <w:tcW w:w="382" w:type="pct"/>
            <w:noWrap/>
            <w:vAlign w:val="center"/>
            <w:hideMark/>
          </w:tcPr>
          <w:p w14:paraId="3E54BBE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53BA79D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397,9</w:t>
            </w:r>
          </w:p>
        </w:tc>
        <w:tc>
          <w:tcPr>
            <w:tcW w:w="382" w:type="pct"/>
            <w:noWrap/>
            <w:vAlign w:val="center"/>
            <w:hideMark/>
          </w:tcPr>
          <w:p w14:paraId="33E0376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40,9</w:t>
            </w:r>
          </w:p>
        </w:tc>
        <w:tc>
          <w:tcPr>
            <w:tcW w:w="446" w:type="pct"/>
            <w:noWrap/>
            <w:vAlign w:val="center"/>
            <w:hideMark/>
          </w:tcPr>
          <w:p w14:paraId="3BB9E9D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56,9</w:t>
            </w:r>
          </w:p>
        </w:tc>
        <w:tc>
          <w:tcPr>
            <w:tcW w:w="478" w:type="pct"/>
            <w:noWrap/>
            <w:vAlign w:val="center"/>
            <w:hideMark/>
          </w:tcPr>
          <w:p w14:paraId="664BE5B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954,2</w:t>
            </w:r>
          </w:p>
        </w:tc>
      </w:tr>
      <w:tr w:rsidR="00DB18BE" w:rsidRPr="008D3758" w14:paraId="7995FCAA"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53BBFC26"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6DC52833"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chinoise</w:t>
            </w:r>
            <w:proofErr w:type="spellEnd"/>
          </w:p>
        </w:tc>
        <w:tc>
          <w:tcPr>
            <w:tcW w:w="381" w:type="pct"/>
            <w:noWrap/>
            <w:vAlign w:val="center"/>
            <w:hideMark/>
          </w:tcPr>
          <w:p w14:paraId="3FA42A0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135,2</w:t>
            </w:r>
          </w:p>
        </w:tc>
        <w:tc>
          <w:tcPr>
            <w:tcW w:w="382" w:type="pct"/>
            <w:noWrap/>
            <w:vAlign w:val="center"/>
            <w:hideMark/>
          </w:tcPr>
          <w:p w14:paraId="17ED585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53,0</w:t>
            </w:r>
          </w:p>
        </w:tc>
        <w:tc>
          <w:tcPr>
            <w:tcW w:w="382" w:type="pct"/>
            <w:noWrap/>
            <w:vAlign w:val="center"/>
            <w:hideMark/>
          </w:tcPr>
          <w:p w14:paraId="0762B68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161,7</w:t>
            </w:r>
          </w:p>
        </w:tc>
        <w:tc>
          <w:tcPr>
            <w:tcW w:w="381" w:type="pct"/>
            <w:noWrap/>
            <w:vAlign w:val="center"/>
            <w:hideMark/>
          </w:tcPr>
          <w:p w14:paraId="710055D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462,5</w:t>
            </w:r>
          </w:p>
        </w:tc>
        <w:tc>
          <w:tcPr>
            <w:tcW w:w="382" w:type="pct"/>
            <w:noWrap/>
            <w:vAlign w:val="center"/>
            <w:hideMark/>
          </w:tcPr>
          <w:p w14:paraId="34EA174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138C20D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01D593D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812,4</w:t>
            </w:r>
          </w:p>
        </w:tc>
      </w:tr>
      <w:tr w:rsidR="00DB18BE" w:rsidRPr="008D3758" w14:paraId="701D9ED3"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0A0B0A3D"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64946FBE"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Société Générale</w:t>
            </w:r>
          </w:p>
        </w:tc>
        <w:tc>
          <w:tcPr>
            <w:tcW w:w="381" w:type="pct"/>
            <w:noWrap/>
            <w:vAlign w:val="center"/>
            <w:hideMark/>
          </w:tcPr>
          <w:p w14:paraId="2D8FC4F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F83CB4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E1A990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241,8</w:t>
            </w:r>
          </w:p>
        </w:tc>
        <w:tc>
          <w:tcPr>
            <w:tcW w:w="381" w:type="pct"/>
            <w:noWrap/>
            <w:vAlign w:val="center"/>
            <w:hideMark/>
          </w:tcPr>
          <w:p w14:paraId="5D6D251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263,6</w:t>
            </w:r>
          </w:p>
        </w:tc>
        <w:tc>
          <w:tcPr>
            <w:tcW w:w="382" w:type="pct"/>
            <w:noWrap/>
            <w:vAlign w:val="center"/>
            <w:hideMark/>
          </w:tcPr>
          <w:p w14:paraId="3F33C55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173,1</w:t>
            </w:r>
          </w:p>
        </w:tc>
        <w:tc>
          <w:tcPr>
            <w:tcW w:w="446" w:type="pct"/>
            <w:noWrap/>
            <w:vAlign w:val="center"/>
            <w:hideMark/>
          </w:tcPr>
          <w:p w14:paraId="402624A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116,0</w:t>
            </w:r>
          </w:p>
        </w:tc>
        <w:tc>
          <w:tcPr>
            <w:tcW w:w="478" w:type="pct"/>
            <w:noWrap/>
            <w:vAlign w:val="center"/>
            <w:hideMark/>
          </w:tcPr>
          <w:p w14:paraId="1258B4D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794,5</w:t>
            </w:r>
          </w:p>
        </w:tc>
      </w:tr>
      <w:tr w:rsidR="00DB18BE" w:rsidRPr="008D3758" w14:paraId="40481643"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3B62E9E2"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5CB345DC"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Banque Industrielle et Commerciale de Chine</w:t>
            </w:r>
          </w:p>
        </w:tc>
        <w:tc>
          <w:tcPr>
            <w:tcW w:w="381" w:type="pct"/>
            <w:noWrap/>
            <w:vAlign w:val="center"/>
            <w:hideMark/>
          </w:tcPr>
          <w:p w14:paraId="648C030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6A5E0CC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351CD5D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241,6</w:t>
            </w:r>
          </w:p>
        </w:tc>
        <w:tc>
          <w:tcPr>
            <w:tcW w:w="381" w:type="pct"/>
            <w:noWrap/>
            <w:vAlign w:val="center"/>
            <w:hideMark/>
          </w:tcPr>
          <w:p w14:paraId="2E4508C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121,8</w:t>
            </w:r>
          </w:p>
        </w:tc>
        <w:tc>
          <w:tcPr>
            <w:tcW w:w="382" w:type="pct"/>
            <w:noWrap/>
            <w:vAlign w:val="center"/>
            <w:hideMark/>
          </w:tcPr>
          <w:p w14:paraId="296F7CF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369,0</w:t>
            </w:r>
          </w:p>
        </w:tc>
        <w:tc>
          <w:tcPr>
            <w:tcW w:w="446" w:type="pct"/>
            <w:noWrap/>
            <w:vAlign w:val="center"/>
            <w:hideMark/>
          </w:tcPr>
          <w:p w14:paraId="3518BC3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10F91FD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732,3</w:t>
            </w:r>
          </w:p>
        </w:tc>
      </w:tr>
      <w:tr w:rsidR="00DB18BE" w:rsidRPr="008D3758" w14:paraId="6EB3DBF0"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88ACBED"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6FBE16CA"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française</w:t>
            </w:r>
          </w:p>
        </w:tc>
        <w:tc>
          <w:tcPr>
            <w:tcW w:w="381" w:type="pct"/>
            <w:noWrap/>
            <w:vAlign w:val="center"/>
            <w:hideMark/>
          </w:tcPr>
          <w:p w14:paraId="6A7D3F7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16,1</w:t>
            </w:r>
          </w:p>
        </w:tc>
        <w:tc>
          <w:tcPr>
            <w:tcW w:w="382" w:type="pct"/>
            <w:noWrap/>
            <w:vAlign w:val="center"/>
            <w:hideMark/>
          </w:tcPr>
          <w:p w14:paraId="61F88A4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78,7</w:t>
            </w:r>
          </w:p>
        </w:tc>
        <w:tc>
          <w:tcPr>
            <w:tcW w:w="382" w:type="pct"/>
            <w:noWrap/>
            <w:vAlign w:val="center"/>
            <w:hideMark/>
          </w:tcPr>
          <w:p w14:paraId="16DD9BA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78,7</w:t>
            </w:r>
          </w:p>
        </w:tc>
        <w:tc>
          <w:tcPr>
            <w:tcW w:w="381" w:type="pct"/>
            <w:noWrap/>
            <w:vAlign w:val="center"/>
            <w:hideMark/>
          </w:tcPr>
          <w:p w14:paraId="4EA9826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157,6</w:t>
            </w:r>
          </w:p>
        </w:tc>
        <w:tc>
          <w:tcPr>
            <w:tcW w:w="382" w:type="pct"/>
            <w:noWrap/>
            <w:vAlign w:val="center"/>
            <w:hideMark/>
          </w:tcPr>
          <w:p w14:paraId="57FB90D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157,3</w:t>
            </w:r>
          </w:p>
        </w:tc>
        <w:tc>
          <w:tcPr>
            <w:tcW w:w="446" w:type="pct"/>
            <w:noWrap/>
            <w:vAlign w:val="center"/>
            <w:hideMark/>
          </w:tcPr>
          <w:p w14:paraId="68F14F0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178,2</w:t>
            </w:r>
          </w:p>
        </w:tc>
        <w:tc>
          <w:tcPr>
            <w:tcW w:w="478" w:type="pct"/>
            <w:noWrap/>
            <w:vAlign w:val="center"/>
            <w:hideMark/>
          </w:tcPr>
          <w:p w14:paraId="0C71396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666,7</w:t>
            </w:r>
          </w:p>
        </w:tc>
      </w:tr>
      <w:tr w:rsidR="00DB18BE" w:rsidRPr="008D3758" w14:paraId="2221FD19"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050976E2"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572276C5"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Bank of China</w:t>
            </w:r>
          </w:p>
        </w:tc>
        <w:tc>
          <w:tcPr>
            <w:tcW w:w="381" w:type="pct"/>
            <w:noWrap/>
            <w:vAlign w:val="center"/>
            <w:hideMark/>
          </w:tcPr>
          <w:p w14:paraId="6033460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A12219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149F1CF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96,0</w:t>
            </w:r>
          </w:p>
        </w:tc>
        <w:tc>
          <w:tcPr>
            <w:tcW w:w="381" w:type="pct"/>
            <w:noWrap/>
            <w:vAlign w:val="center"/>
            <w:hideMark/>
          </w:tcPr>
          <w:p w14:paraId="3726B5F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132,7</w:t>
            </w:r>
          </w:p>
        </w:tc>
        <w:tc>
          <w:tcPr>
            <w:tcW w:w="382" w:type="pct"/>
            <w:noWrap/>
            <w:vAlign w:val="center"/>
            <w:hideMark/>
          </w:tcPr>
          <w:p w14:paraId="631F080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261,4</w:t>
            </w:r>
          </w:p>
        </w:tc>
        <w:tc>
          <w:tcPr>
            <w:tcW w:w="446" w:type="pct"/>
            <w:noWrap/>
            <w:vAlign w:val="center"/>
            <w:hideMark/>
          </w:tcPr>
          <w:p w14:paraId="38843C8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38,7</w:t>
            </w:r>
          </w:p>
        </w:tc>
        <w:tc>
          <w:tcPr>
            <w:tcW w:w="478" w:type="pct"/>
            <w:noWrap/>
            <w:vAlign w:val="center"/>
            <w:hideMark/>
          </w:tcPr>
          <w:p w14:paraId="4412D92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528,9</w:t>
            </w:r>
          </w:p>
        </w:tc>
      </w:tr>
      <w:tr w:rsidR="00DB18BE" w:rsidRPr="008D3758" w14:paraId="1AD96236"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0CF75D96"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08CDEB22"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 xml:space="preserve">Fonds </w:t>
            </w:r>
            <w:proofErr w:type="spellStart"/>
            <w:r w:rsidRPr="0033426E">
              <w:rPr>
                <w:rFonts w:ascii="Times New Roman" w:eastAsia="Times New Roman" w:hAnsi="Times New Roman" w:cs="Times New Roman"/>
                <w:color w:val="000000"/>
                <w:lang w:val="en-US"/>
              </w:rPr>
              <w:t>arabes</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multilatéraux</w:t>
            </w:r>
            <w:proofErr w:type="spellEnd"/>
          </w:p>
        </w:tc>
        <w:tc>
          <w:tcPr>
            <w:tcW w:w="381" w:type="pct"/>
            <w:noWrap/>
            <w:vAlign w:val="center"/>
            <w:hideMark/>
          </w:tcPr>
          <w:p w14:paraId="5EC22E3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168,1</w:t>
            </w:r>
          </w:p>
        </w:tc>
        <w:tc>
          <w:tcPr>
            <w:tcW w:w="382" w:type="pct"/>
            <w:noWrap/>
            <w:vAlign w:val="center"/>
            <w:hideMark/>
          </w:tcPr>
          <w:p w14:paraId="5A7332D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182,3</w:t>
            </w:r>
          </w:p>
        </w:tc>
        <w:tc>
          <w:tcPr>
            <w:tcW w:w="382" w:type="pct"/>
            <w:noWrap/>
            <w:vAlign w:val="center"/>
            <w:hideMark/>
          </w:tcPr>
          <w:p w14:paraId="10734E6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66,8</w:t>
            </w:r>
          </w:p>
        </w:tc>
        <w:tc>
          <w:tcPr>
            <w:tcW w:w="381" w:type="pct"/>
            <w:noWrap/>
            <w:vAlign w:val="center"/>
            <w:hideMark/>
          </w:tcPr>
          <w:p w14:paraId="3293CAD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28,2</w:t>
            </w:r>
          </w:p>
        </w:tc>
        <w:tc>
          <w:tcPr>
            <w:tcW w:w="382" w:type="pct"/>
            <w:noWrap/>
            <w:vAlign w:val="center"/>
            <w:hideMark/>
          </w:tcPr>
          <w:p w14:paraId="6ADA6D6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58A30E0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29,6</w:t>
            </w:r>
          </w:p>
        </w:tc>
        <w:tc>
          <w:tcPr>
            <w:tcW w:w="478" w:type="pct"/>
            <w:noWrap/>
            <w:vAlign w:val="center"/>
            <w:hideMark/>
          </w:tcPr>
          <w:p w14:paraId="025F3DF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475,1</w:t>
            </w:r>
          </w:p>
        </w:tc>
      </w:tr>
      <w:tr w:rsidR="00DB18BE" w:rsidRPr="008D3758" w14:paraId="6BAFA011"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099628D"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376676CB"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 xml:space="preserve">Banque </w:t>
            </w:r>
            <w:proofErr w:type="spellStart"/>
            <w:r w:rsidRPr="0033426E">
              <w:rPr>
                <w:rFonts w:ascii="Times New Roman" w:eastAsia="Times New Roman" w:hAnsi="Times New Roman" w:cs="Times New Roman"/>
                <w:color w:val="000000"/>
                <w:lang w:val="en-US"/>
              </w:rPr>
              <w:t>Africaine</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d'Import</w:t>
            </w:r>
            <w:proofErr w:type="spellEnd"/>
            <w:r w:rsidRPr="0033426E">
              <w:rPr>
                <w:rFonts w:ascii="Times New Roman" w:eastAsia="Times New Roman" w:hAnsi="Times New Roman" w:cs="Times New Roman"/>
                <w:color w:val="000000"/>
                <w:lang w:val="en-US"/>
              </w:rPr>
              <w:t>-Export</w:t>
            </w:r>
          </w:p>
        </w:tc>
        <w:tc>
          <w:tcPr>
            <w:tcW w:w="381" w:type="pct"/>
            <w:noWrap/>
            <w:vAlign w:val="center"/>
            <w:hideMark/>
          </w:tcPr>
          <w:p w14:paraId="70E80CB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113D4A9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764131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179,7</w:t>
            </w:r>
          </w:p>
        </w:tc>
        <w:tc>
          <w:tcPr>
            <w:tcW w:w="381" w:type="pct"/>
            <w:noWrap/>
            <w:vAlign w:val="center"/>
            <w:hideMark/>
          </w:tcPr>
          <w:p w14:paraId="553C6F8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0A90888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65D1A89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164,0</w:t>
            </w:r>
          </w:p>
        </w:tc>
        <w:tc>
          <w:tcPr>
            <w:tcW w:w="478" w:type="pct"/>
            <w:noWrap/>
            <w:vAlign w:val="center"/>
            <w:hideMark/>
          </w:tcPr>
          <w:p w14:paraId="373E4A2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343,7</w:t>
            </w:r>
          </w:p>
        </w:tc>
      </w:tr>
      <w:tr w:rsidR="00DB18BE" w:rsidRPr="008D3758" w14:paraId="3FFCC572"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4B9CAD94"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54BBD4EA"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Banque Ouest Africaine de Développement</w:t>
            </w:r>
          </w:p>
        </w:tc>
        <w:tc>
          <w:tcPr>
            <w:tcW w:w="381" w:type="pct"/>
            <w:noWrap/>
            <w:vAlign w:val="center"/>
            <w:hideMark/>
          </w:tcPr>
          <w:p w14:paraId="44E4002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1,1</w:t>
            </w:r>
          </w:p>
        </w:tc>
        <w:tc>
          <w:tcPr>
            <w:tcW w:w="382" w:type="pct"/>
            <w:noWrap/>
            <w:vAlign w:val="center"/>
            <w:hideMark/>
          </w:tcPr>
          <w:p w14:paraId="79E6CEA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42,0</w:t>
            </w:r>
          </w:p>
        </w:tc>
        <w:tc>
          <w:tcPr>
            <w:tcW w:w="382" w:type="pct"/>
            <w:noWrap/>
            <w:vAlign w:val="center"/>
            <w:hideMark/>
          </w:tcPr>
          <w:p w14:paraId="2691D6F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51,4</w:t>
            </w:r>
          </w:p>
        </w:tc>
        <w:tc>
          <w:tcPr>
            <w:tcW w:w="381" w:type="pct"/>
            <w:noWrap/>
            <w:vAlign w:val="center"/>
            <w:hideMark/>
          </w:tcPr>
          <w:p w14:paraId="43F1CCA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112,5</w:t>
            </w:r>
          </w:p>
        </w:tc>
        <w:tc>
          <w:tcPr>
            <w:tcW w:w="382" w:type="pct"/>
            <w:noWrap/>
            <w:vAlign w:val="center"/>
            <w:hideMark/>
          </w:tcPr>
          <w:p w14:paraId="2E45F31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53,1</w:t>
            </w:r>
          </w:p>
        </w:tc>
        <w:tc>
          <w:tcPr>
            <w:tcW w:w="446" w:type="pct"/>
            <w:noWrap/>
            <w:vAlign w:val="center"/>
            <w:hideMark/>
          </w:tcPr>
          <w:p w14:paraId="4C8BCF4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17,0</w:t>
            </w:r>
          </w:p>
        </w:tc>
        <w:tc>
          <w:tcPr>
            <w:tcW w:w="478" w:type="pct"/>
            <w:noWrap/>
            <w:vAlign w:val="center"/>
            <w:hideMark/>
          </w:tcPr>
          <w:p w14:paraId="2A9C0F1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277,2</w:t>
            </w:r>
          </w:p>
        </w:tc>
      </w:tr>
      <w:tr w:rsidR="00DB18BE" w:rsidRPr="008D3758" w14:paraId="57A40CC8"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5F2F6E32"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39A34E74"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indienne</w:t>
            </w:r>
          </w:p>
        </w:tc>
        <w:tc>
          <w:tcPr>
            <w:tcW w:w="381" w:type="pct"/>
            <w:noWrap/>
            <w:vAlign w:val="center"/>
            <w:hideMark/>
          </w:tcPr>
          <w:p w14:paraId="49058D4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177,3</w:t>
            </w:r>
          </w:p>
        </w:tc>
        <w:tc>
          <w:tcPr>
            <w:tcW w:w="382" w:type="pct"/>
            <w:noWrap/>
            <w:vAlign w:val="center"/>
            <w:hideMark/>
          </w:tcPr>
          <w:p w14:paraId="7509040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41,9</w:t>
            </w:r>
          </w:p>
        </w:tc>
        <w:tc>
          <w:tcPr>
            <w:tcW w:w="382" w:type="pct"/>
            <w:noWrap/>
            <w:vAlign w:val="center"/>
            <w:hideMark/>
          </w:tcPr>
          <w:p w14:paraId="75EB6AD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636E70E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1EED393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0DB7AAE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5A24FA5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219,2</w:t>
            </w:r>
          </w:p>
        </w:tc>
      </w:tr>
      <w:tr w:rsidR="00DB18BE" w:rsidRPr="008D3758" w14:paraId="1EE3B5AA"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4B8B2B33"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35051580"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Standard Chartered Bank</w:t>
            </w:r>
          </w:p>
        </w:tc>
        <w:tc>
          <w:tcPr>
            <w:tcW w:w="381" w:type="pct"/>
            <w:noWrap/>
            <w:vAlign w:val="center"/>
            <w:hideMark/>
          </w:tcPr>
          <w:p w14:paraId="1F169E6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1C7932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065592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6B19C4B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569BBBD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208,0</w:t>
            </w:r>
          </w:p>
        </w:tc>
        <w:tc>
          <w:tcPr>
            <w:tcW w:w="446" w:type="pct"/>
            <w:noWrap/>
            <w:vAlign w:val="center"/>
            <w:hideMark/>
          </w:tcPr>
          <w:p w14:paraId="2F82764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0,2</w:t>
            </w:r>
          </w:p>
        </w:tc>
        <w:tc>
          <w:tcPr>
            <w:tcW w:w="478" w:type="pct"/>
            <w:noWrap/>
            <w:vAlign w:val="center"/>
            <w:hideMark/>
          </w:tcPr>
          <w:p w14:paraId="3B008B1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208,1</w:t>
            </w:r>
          </w:p>
        </w:tc>
      </w:tr>
      <w:tr w:rsidR="00DB18BE" w:rsidRPr="008D3758" w14:paraId="6A1B4998"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0BCEDDC"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0AFDE61E"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 xml:space="preserve">Banque d'Investissement </w:t>
            </w:r>
            <w:proofErr w:type="spellStart"/>
            <w:r w:rsidRPr="0033426E">
              <w:rPr>
                <w:rFonts w:ascii="Times New Roman" w:eastAsia="Times New Roman" w:hAnsi="Times New Roman" w:cs="Times New Roman"/>
                <w:color w:val="000000"/>
              </w:rPr>
              <w:t>Russe_VTB</w:t>
            </w:r>
            <w:proofErr w:type="spellEnd"/>
            <w:r w:rsidRPr="0033426E">
              <w:rPr>
                <w:rFonts w:ascii="Times New Roman" w:eastAsia="Times New Roman" w:hAnsi="Times New Roman" w:cs="Times New Roman"/>
                <w:color w:val="000000"/>
              </w:rPr>
              <w:t xml:space="preserve"> CAPITAL PLC_MED AFRICA</w:t>
            </w:r>
          </w:p>
        </w:tc>
        <w:tc>
          <w:tcPr>
            <w:tcW w:w="381" w:type="pct"/>
            <w:noWrap/>
            <w:vAlign w:val="center"/>
            <w:hideMark/>
          </w:tcPr>
          <w:p w14:paraId="4971D48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EF331C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2C8BCD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100,0</w:t>
            </w:r>
          </w:p>
        </w:tc>
        <w:tc>
          <w:tcPr>
            <w:tcW w:w="381" w:type="pct"/>
            <w:noWrap/>
            <w:vAlign w:val="center"/>
            <w:hideMark/>
          </w:tcPr>
          <w:p w14:paraId="2A01440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0D9B4B5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98,4</w:t>
            </w:r>
          </w:p>
        </w:tc>
        <w:tc>
          <w:tcPr>
            <w:tcW w:w="446" w:type="pct"/>
            <w:noWrap/>
            <w:vAlign w:val="center"/>
            <w:hideMark/>
          </w:tcPr>
          <w:p w14:paraId="19A5DBB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0AEABB2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198,4</w:t>
            </w:r>
          </w:p>
        </w:tc>
      </w:tr>
      <w:tr w:rsidR="00DB18BE" w:rsidRPr="008D3758" w14:paraId="0146C576"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33E3386B"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2EF81F70"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Internationale</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Nederlanden</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Groep</w:t>
            </w:r>
            <w:proofErr w:type="spellEnd"/>
            <w:r w:rsidRPr="0033426E">
              <w:rPr>
                <w:rFonts w:ascii="Times New Roman" w:eastAsia="Times New Roman" w:hAnsi="Times New Roman" w:cs="Times New Roman"/>
                <w:color w:val="000000"/>
                <w:lang w:val="en-US"/>
              </w:rPr>
              <w:t xml:space="preserve"> Bank</w:t>
            </w:r>
          </w:p>
        </w:tc>
        <w:tc>
          <w:tcPr>
            <w:tcW w:w="381" w:type="pct"/>
            <w:noWrap/>
            <w:vAlign w:val="center"/>
            <w:hideMark/>
          </w:tcPr>
          <w:p w14:paraId="7FDAD8D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09BE739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6A64876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2DAC1CD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96,1</w:t>
            </w:r>
          </w:p>
        </w:tc>
        <w:tc>
          <w:tcPr>
            <w:tcW w:w="382" w:type="pct"/>
            <w:noWrap/>
            <w:vAlign w:val="center"/>
            <w:hideMark/>
          </w:tcPr>
          <w:p w14:paraId="3EDB3F7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97,8</w:t>
            </w:r>
          </w:p>
        </w:tc>
        <w:tc>
          <w:tcPr>
            <w:tcW w:w="446" w:type="pct"/>
            <w:noWrap/>
            <w:vAlign w:val="center"/>
            <w:hideMark/>
          </w:tcPr>
          <w:p w14:paraId="7C1DBBF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1BC21FB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193,9</w:t>
            </w:r>
          </w:p>
        </w:tc>
      </w:tr>
      <w:tr w:rsidR="00DB18BE" w:rsidRPr="008D3758" w14:paraId="694A616D"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1311F286"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3291AA11"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Mitsubishi UFJ Financial Group</w:t>
            </w:r>
          </w:p>
        </w:tc>
        <w:tc>
          <w:tcPr>
            <w:tcW w:w="381" w:type="pct"/>
            <w:noWrap/>
            <w:vAlign w:val="center"/>
            <w:hideMark/>
          </w:tcPr>
          <w:p w14:paraId="193613A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A9D863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18339EB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0F5C149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150,9</w:t>
            </w:r>
          </w:p>
        </w:tc>
        <w:tc>
          <w:tcPr>
            <w:tcW w:w="382" w:type="pct"/>
            <w:noWrap/>
            <w:vAlign w:val="center"/>
            <w:hideMark/>
          </w:tcPr>
          <w:p w14:paraId="5A8EBD5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3102C6A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34,3</w:t>
            </w:r>
          </w:p>
        </w:tc>
        <w:tc>
          <w:tcPr>
            <w:tcW w:w="478" w:type="pct"/>
            <w:noWrap/>
            <w:vAlign w:val="center"/>
            <w:hideMark/>
          </w:tcPr>
          <w:p w14:paraId="528C3E9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185,2</w:t>
            </w:r>
          </w:p>
        </w:tc>
      </w:tr>
      <w:tr w:rsidR="00DB18BE" w:rsidRPr="008D3758" w14:paraId="108ECEAB"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65887760"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3F58837A"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allemande</w:t>
            </w:r>
          </w:p>
        </w:tc>
        <w:tc>
          <w:tcPr>
            <w:tcW w:w="381" w:type="pct"/>
            <w:noWrap/>
            <w:vAlign w:val="center"/>
            <w:hideMark/>
          </w:tcPr>
          <w:p w14:paraId="41B8C4D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6864976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610BA0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17,7</w:t>
            </w:r>
          </w:p>
        </w:tc>
        <w:tc>
          <w:tcPr>
            <w:tcW w:w="381" w:type="pct"/>
            <w:noWrap/>
            <w:vAlign w:val="center"/>
            <w:hideMark/>
          </w:tcPr>
          <w:p w14:paraId="7ABCC10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43,3</w:t>
            </w:r>
          </w:p>
        </w:tc>
        <w:tc>
          <w:tcPr>
            <w:tcW w:w="382" w:type="pct"/>
            <w:noWrap/>
            <w:vAlign w:val="center"/>
            <w:hideMark/>
          </w:tcPr>
          <w:p w14:paraId="364635B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113,7</w:t>
            </w:r>
          </w:p>
        </w:tc>
        <w:tc>
          <w:tcPr>
            <w:tcW w:w="446" w:type="pct"/>
            <w:noWrap/>
            <w:vAlign w:val="center"/>
            <w:hideMark/>
          </w:tcPr>
          <w:p w14:paraId="3E88417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9,8</w:t>
            </w:r>
          </w:p>
        </w:tc>
        <w:tc>
          <w:tcPr>
            <w:tcW w:w="478" w:type="pct"/>
            <w:noWrap/>
            <w:vAlign w:val="center"/>
            <w:hideMark/>
          </w:tcPr>
          <w:p w14:paraId="0C43653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184,6</w:t>
            </w:r>
          </w:p>
        </w:tc>
      </w:tr>
      <w:tr w:rsidR="00DB18BE" w:rsidRPr="008D3758" w14:paraId="6DBAD7B0"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519B27DF"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4855873A"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Banque Gabonaise et Française Internationale</w:t>
            </w:r>
          </w:p>
        </w:tc>
        <w:tc>
          <w:tcPr>
            <w:tcW w:w="381" w:type="pct"/>
            <w:noWrap/>
            <w:vAlign w:val="center"/>
            <w:hideMark/>
          </w:tcPr>
          <w:p w14:paraId="1431A78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FF45EE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6CEA7A1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7A5BD0C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85,9</w:t>
            </w:r>
          </w:p>
        </w:tc>
        <w:tc>
          <w:tcPr>
            <w:tcW w:w="382" w:type="pct"/>
            <w:noWrap/>
            <w:vAlign w:val="center"/>
            <w:hideMark/>
          </w:tcPr>
          <w:p w14:paraId="2F6624B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93,8</w:t>
            </w:r>
          </w:p>
        </w:tc>
        <w:tc>
          <w:tcPr>
            <w:tcW w:w="446" w:type="pct"/>
            <w:noWrap/>
            <w:vAlign w:val="center"/>
            <w:hideMark/>
          </w:tcPr>
          <w:p w14:paraId="7C9B24A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66DAAA0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179,7</w:t>
            </w:r>
          </w:p>
        </w:tc>
      </w:tr>
      <w:tr w:rsidR="00DB18BE" w:rsidRPr="008D3758" w14:paraId="2CAC306C"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33F17DC3"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5272815F"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ING Belgique</w:t>
            </w:r>
          </w:p>
        </w:tc>
        <w:tc>
          <w:tcPr>
            <w:tcW w:w="381" w:type="pct"/>
            <w:noWrap/>
            <w:vAlign w:val="center"/>
            <w:hideMark/>
          </w:tcPr>
          <w:p w14:paraId="0DDA0A0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00C08E3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61B656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140E39C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00CC259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32CB13E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169,7</w:t>
            </w:r>
          </w:p>
        </w:tc>
        <w:tc>
          <w:tcPr>
            <w:tcW w:w="478" w:type="pct"/>
            <w:noWrap/>
            <w:vAlign w:val="center"/>
            <w:hideMark/>
          </w:tcPr>
          <w:p w14:paraId="33C877E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169,7</w:t>
            </w:r>
          </w:p>
        </w:tc>
      </w:tr>
      <w:tr w:rsidR="00DB18BE" w:rsidRPr="008D3758" w14:paraId="2B6A81A2"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64CA5F1C"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42AF9C63"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Israel Discount Bank</w:t>
            </w:r>
          </w:p>
        </w:tc>
        <w:tc>
          <w:tcPr>
            <w:tcW w:w="381" w:type="pct"/>
            <w:noWrap/>
            <w:vAlign w:val="center"/>
            <w:hideMark/>
          </w:tcPr>
          <w:p w14:paraId="660F50A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49572C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46115E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3B92486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15,2</w:t>
            </w:r>
          </w:p>
        </w:tc>
        <w:tc>
          <w:tcPr>
            <w:tcW w:w="382" w:type="pct"/>
            <w:noWrap/>
            <w:vAlign w:val="center"/>
            <w:hideMark/>
          </w:tcPr>
          <w:p w14:paraId="75F0C9E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122,3</w:t>
            </w:r>
          </w:p>
        </w:tc>
        <w:tc>
          <w:tcPr>
            <w:tcW w:w="446" w:type="pct"/>
            <w:noWrap/>
            <w:vAlign w:val="center"/>
            <w:hideMark/>
          </w:tcPr>
          <w:p w14:paraId="317E49A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29,0</w:t>
            </w:r>
          </w:p>
        </w:tc>
        <w:tc>
          <w:tcPr>
            <w:tcW w:w="478" w:type="pct"/>
            <w:noWrap/>
            <w:vAlign w:val="center"/>
            <w:hideMark/>
          </w:tcPr>
          <w:p w14:paraId="54DC886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166,5</w:t>
            </w:r>
          </w:p>
        </w:tc>
      </w:tr>
      <w:tr w:rsidR="00DB18BE" w:rsidRPr="008D3758" w14:paraId="1BDE1EED"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FFBFAFF"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70D8C5A0"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Deutsche Bank</w:t>
            </w:r>
          </w:p>
        </w:tc>
        <w:tc>
          <w:tcPr>
            <w:tcW w:w="381" w:type="pct"/>
            <w:noWrap/>
            <w:vAlign w:val="center"/>
            <w:hideMark/>
          </w:tcPr>
          <w:p w14:paraId="472285C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127330D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682539C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7726CF2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6E4E92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92,9</w:t>
            </w:r>
          </w:p>
        </w:tc>
        <w:tc>
          <w:tcPr>
            <w:tcW w:w="446" w:type="pct"/>
            <w:noWrap/>
            <w:vAlign w:val="center"/>
            <w:hideMark/>
          </w:tcPr>
          <w:p w14:paraId="36D2223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69,3</w:t>
            </w:r>
          </w:p>
        </w:tc>
        <w:tc>
          <w:tcPr>
            <w:tcW w:w="478" w:type="pct"/>
            <w:noWrap/>
            <w:vAlign w:val="center"/>
            <w:hideMark/>
          </w:tcPr>
          <w:p w14:paraId="36775AA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162,2</w:t>
            </w:r>
          </w:p>
        </w:tc>
      </w:tr>
      <w:tr w:rsidR="00DB18BE" w:rsidRPr="008D3758" w14:paraId="46135864" w14:textId="77777777" w:rsidTr="00C97E82">
        <w:trPr>
          <w:trHeight w:val="66"/>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3355248B"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6467B60C"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Crédit Suisse</w:t>
            </w:r>
          </w:p>
        </w:tc>
        <w:tc>
          <w:tcPr>
            <w:tcW w:w="381" w:type="pct"/>
            <w:noWrap/>
            <w:vAlign w:val="center"/>
            <w:hideMark/>
          </w:tcPr>
          <w:p w14:paraId="79BFC41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CD3CA5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405D61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1EF3784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144,9</w:t>
            </w:r>
          </w:p>
        </w:tc>
        <w:tc>
          <w:tcPr>
            <w:tcW w:w="382" w:type="pct"/>
            <w:noWrap/>
            <w:vAlign w:val="center"/>
            <w:hideMark/>
          </w:tcPr>
          <w:p w14:paraId="7D5993D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708A198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7D01B89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144,9</w:t>
            </w:r>
          </w:p>
        </w:tc>
      </w:tr>
      <w:tr w:rsidR="00DB18BE" w:rsidRPr="008D3758" w14:paraId="2D999601"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6F32BE94"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08C63432"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japonaise</w:t>
            </w:r>
            <w:proofErr w:type="spellEnd"/>
          </w:p>
        </w:tc>
        <w:tc>
          <w:tcPr>
            <w:tcW w:w="381" w:type="pct"/>
            <w:noWrap/>
            <w:vAlign w:val="center"/>
            <w:hideMark/>
          </w:tcPr>
          <w:p w14:paraId="36CD228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6B2700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59,8</w:t>
            </w:r>
          </w:p>
        </w:tc>
        <w:tc>
          <w:tcPr>
            <w:tcW w:w="382" w:type="pct"/>
            <w:noWrap/>
            <w:vAlign w:val="center"/>
            <w:hideMark/>
          </w:tcPr>
          <w:p w14:paraId="367FC3D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5E88AAC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80,7</w:t>
            </w:r>
          </w:p>
        </w:tc>
        <w:tc>
          <w:tcPr>
            <w:tcW w:w="382" w:type="pct"/>
            <w:noWrap/>
            <w:vAlign w:val="center"/>
            <w:hideMark/>
          </w:tcPr>
          <w:p w14:paraId="3C0B88E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2190CBA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4AE0D00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140,5</w:t>
            </w:r>
          </w:p>
        </w:tc>
      </w:tr>
      <w:tr w:rsidR="00DB18BE" w:rsidRPr="008D3758" w14:paraId="78ED04B3"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781C68B2"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74E967AD"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 xml:space="preserve">Fonds </w:t>
            </w:r>
            <w:proofErr w:type="spellStart"/>
            <w:r w:rsidRPr="0033426E">
              <w:rPr>
                <w:rFonts w:ascii="Times New Roman" w:eastAsia="Times New Roman" w:hAnsi="Times New Roman" w:cs="Times New Roman"/>
                <w:color w:val="000000"/>
                <w:lang w:val="en-US"/>
              </w:rPr>
              <w:t>arabes</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bilatéraux</w:t>
            </w:r>
            <w:proofErr w:type="spellEnd"/>
          </w:p>
        </w:tc>
        <w:tc>
          <w:tcPr>
            <w:tcW w:w="381" w:type="pct"/>
            <w:noWrap/>
            <w:vAlign w:val="center"/>
            <w:hideMark/>
          </w:tcPr>
          <w:p w14:paraId="393B512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23,1</w:t>
            </w:r>
          </w:p>
        </w:tc>
        <w:tc>
          <w:tcPr>
            <w:tcW w:w="382" w:type="pct"/>
            <w:noWrap/>
            <w:vAlign w:val="center"/>
            <w:hideMark/>
          </w:tcPr>
          <w:p w14:paraId="33A5485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9,9</w:t>
            </w:r>
          </w:p>
        </w:tc>
        <w:tc>
          <w:tcPr>
            <w:tcW w:w="382" w:type="pct"/>
            <w:noWrap/>
            <w:vAlign w:val="center"/>
            <w:hideMark/>
          </w:tcPr>
          <w:p w14:paraId="66D61A0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17,0</w:t>
            </w:r>
          </w:p>
        </w:tc>
        <w:tc>
          <w:tcPr>
            <w:tcW w:w="381" w:type="pct"/>
            <w:noWrap/>
            <w:vAlign w:val="center"/>
            <w:hideMark/>
          </w:tcPr>
          <w:p w14:paraId="3EB0B31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22,3</w:t>
            </w:r>
          </w:p>
        </w:tc>
        <w:tc>
          <w:tcPr>
            <w:tcW w:w="382" w:type="pct"/>
            <w:noWrap/>
            <w:vAlign w:val="center"/>
            <w:hideMark/>
          </w:tcPr>
          <w:p w14:paraId="1BD3569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15ACD10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15,6</w:t>
            </w:r>
          </w:p>
        </w:tc>
        <w:tc>
          <w:tcPr>
            <w:tcW w:w="478" w:type="pct"/>
            <w:noWrap/>
            <w:vAlign w:val="center"/>
            <w:hideMark/>
          </w:tcPr>
          <w:p w14:paraId="21DB663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88,0</w:t>
            </w:r>
          </w:p>
        </w:tc>
      </w:tr>
      <w:tr w:rsidR="00DB18BE" w:rsidRPr="008D3758" w14:paraId="7822C774"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37DA3420"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490E7515"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 xml:space="preserve">Bank </w:t>
            </w:r>
            <w:proofErr w:type="spellStart"/>
            <w:r w:rsidRPr="0033426E">
              <w:rPr>
                <w:rFonts w:ascii="Times New Roman" w:eastAsia="Times New Roman" w:hAnsi="Times New Roman" w:cs="Times New Roman"/>
                <w:color w:val="000000"/>
                <w:lang w:val="en-US"/>
              </w:rPr>
              <w:t>Hapoalim</w:t>
            </w:r>
            <w:proofErr w:type="spellEnd"/>
          </w:p>
        </w:tc>
        <w:tc>
          <w:tcPr>
            <w:tcW w:w="381" w:type="pct"/>
            <w:noWrap/>
            <w:vAlign w:val="center"/>
            <w:hideMark/>
          </w:tcPr>
          <w:p w14:paraId="4AAE8F1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5B3D40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EDAABC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25FC957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11,0</w:t>
            </w:r>
          </w:p>
        </w:tc>
        <w:tc>
          <w:tcPr>
            <w:tcW w:w="382" w:type="pct"/>
            <w:noWrap/>
            <w:vAlign w:val="center"/>
            <w:hideMark/>
          </w:tcPr>
          <w:p w14:paraId="65FF85B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67,5</w:t>
            </w:r>
          </w:p>
        </w:tc>
        <w:tc>
          <w:tcPr>
            <w:tcW w:w="446" w:type="pct"/>
            <w:noWrap/>
            <w:vAlign w:val="center"/>
            <w:hideMark/>
          </w:tcPr>
          <w:p w14:paraId="16B8DAB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4CABDBF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78,5</w:t>
            </w:r>
          </w:p>
        </w:tc>
      </w:tr>
      <w:tr w:rsidR="00DB18BE" w:rsidRPr="008D3758" w14:paraId="7E9819E2"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694AB1D6"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719552F4"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Bank Leumi</w:t>
            </w:r>
          </w:p>
        </w:tc>
        <w:tc>
          <w:tcPr>
            <w:tcW w:w="381" w:type="pct"/>
            <w:noWrap/>
            <w:vAlign w:val="center"/>
            <w:hideMark/>
          </w:tcPr>
          <w:p w14:paraId="089C504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6FC0948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A0EC5A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33C0692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78F222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491E57A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73,9</w:t>
            </w:r>
          </w:p>
        </w:tc>
        <w:tc>
          <w:tcPr>
            <w:tcW w:w="478" w:type="pct"/>
            <w:noWrap/>
            <w:vAlign w:val="center"/>
            <w:hideMark/>
          </w:tcPr>
          <w:p w14:paraId="2C16B7D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73,9</w:t>
            </w:r>
          </w:p>
        </w:tc>
      </w:tr>
      <w:tr w:rsidR="00DB18BE" w:rsidRPr="008D3758" w14:paraId="3A57B518"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C25DE53"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43CEED4B"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Kredietbank</w:t>
            </w:r>
            <w:proofErr w:type="spellEnd"/>
            <w:r w:rsidRPr="0033426E">
              <w:rPr>
                <w:rFonts w:ascii="Times New Roman" w:eastAsia="Times New Roman" w:hAnsi="Times New Roman" w:cs="Times New Roman"/>
                <w:color w:val="000000"/>
                <w:lang w:val="en-US"/>
              </w:rPr>
              <w:t>, Abb Insurance, Cera Bank</w:t>
            </w:r>
          </w:p>
        </w:tc>
        <w:tc>
          <w:tcPr>
            <w:tcW w:w="381" w:type="pct"/>
            <w:noWrap/>
            <w:vAlign w:val="center"/>
            <w:hideMark/>
          </w:tcPr>
          <w:p w14:paraId="7472399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5D189D3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1455145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1EFA05A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73,5</w:t>
            </w:r>
          </w:p>
        </w:tc>
        <w:tc>
          <w:tcPr>
            <w:tcW w:w="382" w:type="pct"/>
            <w:noWrap/>
            <w:vAlign w:val="center"/>
            <w:hideMark/>
          </w:tcPr>
          <w:p w14:paraId="78B7AC6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395E22B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6B65C58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73,5</w:t>
            </w:r>
          </w:p>
        </w:tc>
      </w:tr>
      <w:tr w:rsidR="00DB18BE" w:rsidRPr="008D3758" w14:paraId="3E4C9BAA"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51CB26AB"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79975CDD"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coréenne</w:t>
            </w:r>
            <w:proofErr w:type="spellEnd"/>
          </w:p>
        </w:tc>
        <w:tc>
          <w:tcPr>
            <w:tcW w:w="381" w:type="pct"/>
            <w:noWrap/>
            <w:vAlign w:val="center"/>
            <w:hideMark/>
          </w:tcPr>
          <w:p w14:paraId="3ED275F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67,5</w:t>
            </w:r>
          </w:p>
        </w:tc>
        <w:tc>
          <w:tcPr>
            <w:tcW w:w="382" w:type="pct"/>
            <w:noWrap/>
            <w:vAlign w:val="center"/>
            <w:hideMark/>
          </w:tcPr>
          <w:p w14:paraId="2B04129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564A1BD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741B2A5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513576D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0B1D31E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7A0F76C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67,5</w:t>
            </w:r>
          </w:p>
        </w:tc>
      </w:tr>
      <w:tr w:rsidR="00DB18BE" w:rsidRPr="008D3758" w14:paraId="5C2160B1"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1BFCADD7"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47A5C5DB"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Communauté Economique des Etats de l'Afrique de l'Ouest</w:t>
            </w:r>
          </w:p>
        </w:tc>
        <w:tc>
          <w:tcPr>
            <w:tcW w:w="381" w:type="pct"/>
            <w:noWrap/>
            <w:vAlign w:val="center"/>
            <w:hideMark/>
          </w:tcPr>
          <w:p w14:paraId="3DA4379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3,0</w:t>
            </w:r>
          </w:p>
        </w:tc>
        <w:tc>
          <w:tcPr>
            <w:tcW w:w="382" w:type="pct"/>
            <w:noWrap/>
            <w:vAlign w:val="center"/>
            <w:hideMark/>
          </w:tcPr>
          <w:p w14:paraId="5FF5EF0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8DECDF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11,5</w:t>
            </w:r>
          </w:p>
        </w:tc>
        <w:tc>
          <w:tcPr>
            <w:tcW w:w="381" w:type="pct"/>
            <w:noWrap/>
            <w:vAlign w:val="center"/>
            <w:hideMark/>
          </w:tcPr>
          <w:p w14:paraId="16900C9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20,8</w:t>
            </w:r>
          </w:p>
        </w:tc>
        <w:tc>
          <w:tcPr>
            <w:tcW w:w="382" w:type="pct"/>
            <w:noWrap/>
            <w:vAlign w:val="center"/>
            <w:hideMark/>
          </w:tcPr>
          <w:p w14:paraId="2F40D05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20,9</w:t>
            </w:r>
          </w:p>
        </w:tc>
        <w:tc>
          <w:tcPr>
            <w:tcW w:w="446" w:type="pct"/>
            <w:noWrap/>
            <w:vAlign w:val="center"/>
            <w:hideMark/>
          </w:tcPr>
          <w:p w14:paraId="64860D6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8,5</w:t>
            </w:r>
          </w:p>
        </w:tc>
        <w:tc>
          <w:tcPr>
            <w:tcW w:w="478" w:type="pct"/>
            <w:noWrap/>
            <w:vAlign w:val="center"/>
            <w:hideMark/>
          </w:tcPr>
          <w:p w14:paraId="05BDC45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64,7</w:t>
            </w:r>
          </w:p>
        </w:tc>
      </w:tr>
      <w:tr w:rsidR="00DB18BE" w:rsidRPr="008D3758" w14:paraId="6D6FE0C5"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07875D84"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6F1B440D"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 xml:space="preserve">Banque </w:t>
            </w:r>
            <w:proofErr w:type="spellStart"/>
            <w:r w:rsidRPr="0033426E">
              <w:rPr>
                <w:rFonts w:ascii="Times New Roman" w:eastAsia="Times New Roman" w:hAnsi="Times New Roman" w:cs="Times New Roman"/>
                <w:color w:val="000000"/>
              </w:rPr>
              <w:t>Tcheque</w:t>
            </w:r>
            <w:proofErr w:type="spellEnd"/>
            <w:r w:rsidRPr="0033426E">
              <w:rPr>
                <w:rFonts w:ascii="Times New Roman" w:eastAsia="Times New Roman" w:hAnsi="Times New Roman" w:cs="Times New Roman"/>
                <w:color w:val="000000"/>
              </w:rPr>
              <w:t xml:space="preserve"> </w:t>
            </w:r>
            <w:proofErr w:type="spellStart"/>
            <w:r w:rsidRPr="0033426E">
              <w:rPr>
                <w:rFonts w:ascii="Times New Roman" w:eastAsia="Times New Roman" w:hAnsi="Times New Roman" w:cs="Times New Roman"/>
                <w:color w:val="000000"/>
              </w:rPr>
              <w:t>Ceskoslovenska</w:t>
            </w:r>
            <w:proofErr w:type="spellEnd"/>
            <w:r w:rsidRPr="0033426E">
              <w:rPr>
                <w:rFonts w:ascii="Times New Roman" w:eastAsia="Times New Roman" w:hAnsi="Times New Roman" w:cs="Times New Roman"/>
                <w:color w:val="000000"/>
              </w:rPr>
              <w:t xml:space="preserve"> </w:t>
            </w:r>
            <w:proofErr w:type="spellStart"/>
            <w:r w:rsidRPr="0033426E">
              <w:rPr>
                <w:rFonts w:ascii="Times New Roman" w:eastAsia="Times New Roman" w:hAnsi="Times New Roman" w:cs="Times New Roman"/>
                <w:color w:val="000000"/>
              </w:rPr>
              <w:t>Obchodni</w:t>
            </w:r>
            <w:proofErr w:type="spellEnd"/>
            <w:r w:rsidRPr="0033426E">
              <w:rPr>
                <w:rFonts w:ascii="Times New Roman" w:eastAsia="Times New Roman" w:hAnsi="Times New Roman" w:cs="Times New Roman"/>
                <w:color w:val="000000"/>
              </w:rPr>
              <w:t xml:space="preserve"> Banka, A.S</w:t>
            </w:r>
          </w:p>
        </w:tc>
        <w:tc>
          <w:tcPr>
            <w:tcW w:w="381" w:type="pct"/>
            <w:noWrap/>
            <w:vAlign w:val="center"/>
            <w:hideMark/>
          </w:tcPr>
          <w:p w14:paraId="040EA24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0746BD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D5AD09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59,0</w:t>
            </w:r>
          </w:p>
        </w:tc>
        <w:tc>
          <w:tcPr>
            <w:tcW w:w="381" w:type="pct"/>
            <w:noWrap/>
            <w:vAlign w:val="center"/>
            <w:hideMark/>
          </w:tcPr>
          <w:p w14:paraId="3001A38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9EC188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01752D9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07629EB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59,0</w:t>
            </w:r>
          </w:p>
        </w:tc>
      </w:tr>
      <w:tr w:rsidR="00DB18BE" w:rsidRPr="008D3758" w14:paraId="64E9D374"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780EC86E"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6A2C2AE8"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Crédit Agricole Corporate and Investment Bank</w:t>
            </w:r>
          </w:p>
        </w:tc>
        <w:tc>
          <w:tcPr>
            <w:tcW w:w="381" w:type="pct"/>
            <w:noWrap/>
            <w:vAlign w:val="center"/>
            <w:hideMark/>
          </w:tcPr>
          <w:p w14:paraId="3B76E55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5B4A0DE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3035C8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52,8</w:t>
            </w:r>
          </w:p>
        </w:tc>
        <w:tc>
          <w:tcPr>
            <w:tcW w:w="381" w:type="pct"/>
            <w:noWrap/>
            <w:vAlign w:val="center"/>
            <w:hideMark/>
          </w:tcPr>
          <w:p w14:paraId="7302C26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BE8A4D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3708813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5C5285F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52,8</w:t>
            </w:r>
          </w:p>
        </w:tc>
      </w:tr>
      <w:tr w:rsidR="00DB18BE" w:rsidRPr="008D3758" w14:paraId="26BDE02D"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796205F8"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408BEC76"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 xml:space="preserve">Union </w:t>
            </w:r>
            <w:proofErr w:type="spellStart"/>
            <w:r w:rsidRPr="0033426E">
              <w:rPr>
                <w:rFonts w:ascii="Times New Roman" w:eastAsia="Times New Roman" w:hAnsi="Times New Roman" w:cs="Times New Roman"/>
                <w:color w:val="000000"/>
                <w:lang w:val="en-US"/>
              </w:rPr>
              <w:t>Européenne</w:t>
            </w:r>
            <w:proofErr w:type="spellEnd"/>
          </w:p>
        </w:tc>
        <w:tc>
          <w:tcPr>
            <w:tcW w:w="381" w:type="pct"/>
            <w:noWrap/>
            <w:vAlign w:val="center"/>
            <w:hideMark/>
          </w:tcPr>
          <w:p w14:paraId="52FB3DF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0B84F11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23,0</w:t>
            </w:r>
          </w:p>
        </w:tc>
        <w:tc>
          <w:tcPr>
            <w:tcW w:w="382" w:type="pct"/>
            <w:noWrap/>
            <w:vAlign w:val="center"/>
            <w:hideMark/>
          </w:tcPr>
          <w:p w14:paraId="0620E5D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371DC8E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0CB0824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11,2</w:t>
            </w:r>
          </w:p>
        </w:tc>
        <w:tc>
          <w:tcPr>
            <w:tcW w:w="446" w:type="pct"/>
            <w:noWrap/>
            <w:vAlign w:val="center"/>
            <w:hideMark/>
          </w:tcPr>
          <w:p w14:paraId="6A81F6F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7,2</w:t>
            </w:r>
          </w:p>
        </w:tc>
        <w:tc>
          <w:tcPr>
            <w:tcW w:w="478" w:type="pct"/>
            <w:noWrap/>
            <w:vAlign w:val="center"/>
            <w:hideMark/>
          </w:tcPr>
          <w:p w14:paraId="16ED400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41,3</w:t>
            </w:r>
          </w:p>
        </w:tc>
      </w:tr>
      <w:tr w:rsidR="00DB18BE" w:rsidRPr="008D3758" w14:paraId="0A95B22C"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5D4DE873"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10DB7645"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BPI France</w:t>
            </w:r>
          </w:p>
        </w:tc>
        <w:tc>
          <w:tcPr>
            <w:tcW w:w="381" w:type="pct"/>
            <w:noWrap/>
            <w:vAlign w:val="center"/>
            <w:hideMark/>
          </w:tcPr>
          <w:p w14:paraId="4E54FD8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D8EC9F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59E6926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7D8B171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5C01A47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14,0</w:t>
            </w:r>
          </w:p>
        </w:tc>
        <w:tc>
          <w:tcPr>
            <w:tcW w:w="446" w:type="pct"/>
            <w:noWrap/>
            <w:vAlign w:val="center"/>
            <w:hideMark/>
          </w:tcPr>
          <w:p w14:paraId="46107F9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26,4</w:t>
            </w:r>
          </w:p>
        </w:tc>
        <w:tc>
          <w:tcPr>
            <w:tcW w:w="478" w:type="pct"/>
            <w:noWrap/>
            <w:vAlign w:val="center"/>
            <w:hideMark/>
          </w:tcPr>
          <w:p w14:paraId="01FAB8F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40,4</w:t>
            </w:r>
          </w:p>
        </w:tc>
      </w:tr>
      <w:tr w:rsidR="00DB18BE" w:rsidRPr="008D3758" w14:paraId="0BF2B575"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BE0F371"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6FE7FC06"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ING France</w:t>
            </w:r>
          </w:p>
        </w:tc>
        <w:tc>
          <w:tcPr>
            <w:tcW w:w="381" w:type="pct"/>
            <w:noWrap/>
            <w:vAlign w:val="center"/>
            <w:hideMark/>
          </w:tcPr>
          <w:p w14:paraId="31BC55C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1344CA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6E6D587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73E7B71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1B68539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0C5C688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35,0</w:t>
            </w:r>
          </w:p>
        </w:tc>
        <w:tc>
          <w:tcPr>
            <w:tcW w:w="478" w:type="pct"/>
            <w:noWrap/>
            <w:vAlign w:val="center"/>
            <w:hideMark/>
          </w:tcPr>
          <w:p w14:paraId="5023E41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35,0</w:t>
            </w:r>
          </w:p>
        </w:tc>
      </w:tr>
      <w:tr w:rsidR="00DB18BE" w:rsidRPr="008D3758" w14:paraId="45CE3680"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7927EE37"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0BEAB456"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JP Morgan Chase</w:t>
            </w:r>
          </w:p>
        </w:tc>
        <w:tc>
          <w:tcPr>
            <w:tcW w:w="381" w:type="pct"/>
            <w:noWrap/>
            <w:vAlign w:val="center"/>
            <w:hideMark/>
          </w:tcPr>
          <w:p w14:paraId="4615009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EC36C6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1A2382D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5F5E510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056A5B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32,8</w:t>
            </w:r>
          </w:p>
        </w:tc>
        <w:tc>
          <w:tcPr>
            <w:tcW w:w="446" w:type="pct"/>
            <w:noWrap/>
            <w:vAlign w:val="center"/>
            <w:hideMark/>
          </w:tcPr>
          <w:p w14:paraId="571F940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717F904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32,8</w:t>
            </w:r>
          </w:p>
        </w:tc>
      </w:tr>
      <w:tr w:rsidR="00DB18BE" w:rsidRPr="008D3758" w14:paraId="1DFDBBD9"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130DB687"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10200D59"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Banque Nationale de Paris &amp; PARIBAS</w:t>
            </w:r>
          </w:p>
        </w:tc>
        <w:tc>
          <w:tcPr>
            <w:tcW w:w="381" w:type="pct"/>
            <w:noWrap/>
            <w:vAlign w:val="center"/>
            <w:hideMark/>
          </w:tcPr>
          <w:p w14:paraId="38ACBA9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557E1F1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627BD46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43914B5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32,5</w:t>
            </w:r>
          </w:p>
        </w:tc>
        <w:tc>
          <w:tcPr>
            <w:tcW w:w="382" w:type="pct"/>
            <w:noWrap/>
            <w:vAlign w:val="center"/>
            <w:hideMark/>
          </w:tcPr>
          <w:p w14:paraId="3804181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101D92F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599AAD7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32,5</w:t>
            </w:r>
          </w:p>
        </w:tc>
      </w:tr>
      <w:tr w:rsidR="00DB18BE" w:rsidRPr="008D3758" w14:paraId="4A126F8A"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A1C32D9"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16D77F75"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Commerzbank</w:t>
            </w:r>
          </w:p>
        </w:tc>
        <w:tc>
          <w:tcPr>
            <w:tcW w:w="381" w:type="pct"/>
            <w:noWrap/>
            <w:vAlign w:val="center"/>
            <w:hideMark/>
          </w:tcPr>
          <w:p w14:paraId="6441701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3D74F75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B42BE0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5A809CB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1309A6C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30,9</w:t>
            </w:r>
          </w:p>
        </w:tc>
        <w:tc>
          <w:tcPr>
            <w:tcW w:w="446" w:type="pct"/>
            <w:noWrap/>
            <w:vAlign w:val="center"/>
            <w:hideMark/>
          </w:tcPr>
          <w:p w14:paraId="744ECE0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0E4361F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30,9</w:t>
            </w:r>
          </w:p>
        </w:tc>
      </w:tr>
      <w:tr w:rsidR="00DB18BE" w:rsidRPr="008D3758" w14:paraId="13F9DF78" w14:textId="77777777" w:rsidTr="00C97E82">
        <w:trPr>
          <w:trHeight w:val="82"/>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404DD20E"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04804386"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Sotrad</w:t>
            </w:r>
            <w:proofErr w:type="spellEnd"/>
            <w:r w:rsidRPr="0033426E">
              <w:rPr>
                <w:rFonts w:ascii="Times New Roman" w:eastAsia="Times New Roman" w:hAnsi="Times New Roman" w:cs="Times New Roman"/>
                <w:color w:val="000000"/>
                <w:lang w:val="en-US"/>
              </w:rPr>
              <w:t xml:space="preserve"> Water</w:t>
            </w:r>
          </w:p>
        </w:tc>
        <w:tc>
          <w:tcPr>
            <w:tcW w:w="381" w:type="pct"/>
            <w:noWrap/>
            <w:vAlign w:val="center"/>
            <w:hideMark/>
          </w:tcPr>
          <w:p w14:paraId="47AB166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0986C25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11DA261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78F36FA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E0F682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201C992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27,1</w:t>
            </w:r>
          </w:p>
        </w:tc>
        <w:tc>
          <w:tcPr>
            <w:tcW w:w="478" w:type="pct"/>
            <w:noWrap/>
            <w:vAlign w:val="center"/>
            <w:hideMark/>
          </w:tcPr>
          <w:p w14:paraId="042B80D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27,1</w:t>
            </w:r>
          </w:p>
        </w:tc>
      </w:tr>
      <w:tr w:rsidR="00DB18BE" w:rsidRPr="008D3758" w14:paraId="2F58D192"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73FEB6A3"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0DB18653"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Bank of Africa. BMCE Bank Group</w:t>
            </w:r>
          </w:p>
        </w:tc>
        <w:tc>
          <w:tcPr>
            <w:tcW w:w="381" w:type="pct"/>
            <w:noWrap/>
            <w:vAlign w:val="center"/>
            <w:hideMark/>
          </w:tcPr>
          <w:p w14:paraId="6E7AE26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B4CC23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AC2A8F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28D808F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02DD607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27,0</w:t>
            </w:r>
          </w:p>
        </w:tc>
        <w:tc>
          <w:tcPr>
            <w:tcW w:w="446" w:type="pct"/>
            <w:noWrap/>
            <w:vAlign w:val="center"/>
            <w:hideMark/>
          </w:tcPr>
          <w:p w14:paraId="01C9D86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377F728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27,0</w:t>
            </w:r>
          </w:p>
        </w:tc>
      </w:tr>
      <w:tr w:rsidR="00DB18BE" w:rsidRPr="008D3758" w14:paraId="0C9D71A5" w14:textId="77777777" w:rsidTr="00C97E82">
        <w:trPr>
          <w:trHeight w:val="116"/>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7D6C92E5"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494C589F"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Organisation des Pays Exportateurs de Pétrole</w:t>
            </w:r>
          </w:p>
        </w:tc>
        <w:tc>
          <w:tcPr>
            <w:tcW w:w="381" w:type="pct"/>
            <w:noWrap/>
            <w:vAlign w:val="center"/>
            <w:hideMark/>
          </w:tcPr>
          <w:p w14:paraId="10F0A84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6,8</w:t>
            </w:r>
          </w:p>
        </w:tc>
        <w:tc>
          <w:tcPr>
            <w:tcW w:w="382" w:type="pct"/>
            <w:noWrap/>
            <w:vAlign w:val="center"/>
            <w:hideMark/>
          </w:tcPr>
          <w:p w14:paraId="7B7551F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5ED628D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16,5</w:t>
            </w:r>
          </w:p>
        </w:tc>
        <w:tc>
          <w:tcPr>
            <w:tcW w:w="381" w:type="pct"/>
            <w:noWrap/>
            <w:vAlign w:val="center"/>
            <w:hideMark/>
          </w:tcPr>
          <w:p w14:paraId="58EA0EF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64DA09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0B162F1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6D19AA0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23,3</w:t>
            </w:r>
          </w:p>
        </w:tc>
      </w:tr>
      <w:tr w:rsidR="00DB18BE" w:rsidRPr="008D3758" w14:paraId="3DDB7AE6" w14:textId="77777777" w:rsidTr="00C97E82">
        <w:trPr>
          <w:trHeight w:val="62"/>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0F1D6DFB"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77110202"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Système</w:t>
            </w:r>
            <w:proofErr w:type="spellEnd"/>
            <w:r w:rsidRPr="0033426E">
              <w:rPr>
                <w:rFonts w:ascii="Times New Roman" w:eastAsia="Times New Roman" w:hAnsi="Times New Roman" w:cs="Times New Roman"/>
                <w:color w:val="000000"/>
                <w:lang w:val="en-US"/>
              </w:rPr>
              <w:t xml:space="preserve"> des Nations </w:t>
            </w:r>
            <w:proofErr w:type="spellStart"/>
            <w:r w:rsidRPr="0033426E">
              <w:rPr>
                <w:rFonts w:ascii="Times New Roman" w:eastAsia="Times New Roman" w:hAnsi="Times New Roman" w:cs="Times New Roman"/>
                <w:color w:val="000000"/>
                <w:lang w:val="en-US"/>
              </w:rPr>
              <w:t>Unies</w:t>
            </w:r>
            <w:proofErr w:type="spellEnd"/>
          </w:p>
        </w:tc>
        <w:tc>
          <w:tcPr>
            <w:tcW w:w="381" w:type="pct"/>
            <w:noWrap/>
            <w:vAlign w:val="center"/>
            <w:hideMark/>
          </w:tcPr>
          <w:p w14:paraId="6287000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019361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123D85A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9,8</w:t>
            </w:r>
          </w:p>
        </w:tc>
        <w:tc>
          <w:tcPr>
            <w:tcW w:w="381" w:type="pct"/>
            <w:noWrap/>
            <w:vAlign w:val="center"/>
            <w:hideMark/>
          </w:tcPr>
          <w:p w14:paraId="5D3DE5A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A9F630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3FA5C71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10,3</w:t>
            </w:r>
          </w:p>
        </w:tc>
        <w:tc>
          <w:tcPr>
            <w:tcW w:w="478" w:type="pct"/>
            <w:noWrap/>
            <w:vAlign w:val="center"/>
            <w:hideMark/>
          </w:tcPr>
          <w:p w14:paraId="55D3EA9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20,0</w:t>
            </w:r>
          </w:p>
        </w:tc>
      </w:tr>
      <w:tr w:rsidR="00DB18BE" w:rsidRPr="008D3758" w14:paraId="3E79CC62" w14:textId="77777777" w:rsidTr="00C97E82">
        <w:trPr>
          <w:trHeight w:val="164"/>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8068D71"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1E6CF142"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Initial Coin Offering</w:t>
            </w:r>
          </w:p>
        </w:tc>
        <w:tc>
          <w:tcPr>
            <w:tcW w:w="381" w:type="pct"/>
            <w:noWrap/>
            <w:vAlign w:val="center"/>
            <w:hideMark/>
          </w:tcPr>
          <w:p w14:paraId="5470363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6FDC892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A86D80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221AD21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5,6</w:t>
            </w:r>
          </w:p>
        </w:tc>
        <w:tc>
          <w:tcPr>
            <w:tcW w:w="382" w:type="pct"/>
            <w:noWrap/>
            <w:vAlign w:val="center"/>
            <w:hideMark/>
          </w:tcPr>
          <w:p w14:paraId="79F9DFA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020688E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4FBDC6A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5,6</w:t>
            </w:r>
          </w:p>
        </w:tc>
      </w:tr>
      <w:tr w:rsidR="00DB18BE" w:rsidRPr="008D3758" w14:paraId="066671EB" w14:textId="77777777" w:rsidTr="00C97E82">
        <w:trPr>
          <w:trHeight w:val="109"/>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61A2976D"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359829E8"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Unicreditbank</w:t>
            </w:r>
            <w:proofErr w:type="spellEnd"/>
          </w:p>
        </w:tc>
        <w:tc>
          <w:tcPr>
            <w:tcW w:w="381" w:type="pct"/>
            <w:noWrap/>
            <w:vAlign w:val="center"/>
            <w:hideMark/>
          </w:tcPr>
          <w:p w14:paraId="298C860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0EFF28E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6DD084F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73893B1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2ADA37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0A652E0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4,6</w:t>
            </w:r>
          </w:p>
        </w:tc>
        <w:tc>
          <w:tcPr>
            <w:tcW w:w="478" w:type="pct"/>
            <w:noWrap/>
            <w:vAlign w:val="center"/>
            <w:hideMark/>
          </w:tcPr>
          <w:p w14:paraId="66A2962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4,6</w:t>
            </w:r>
          </w:p>
        </w:tc>
      </w:tr>
      <w:tr w:rsidR="00DB18BE" w:rsidRPr="008D3758" w14:paraId="51213AF7" w14:textId="77777777" w:rsidTr="00C97E82">
        <w:trPr>
          <w:trHeight w:val="198"/>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32CF680"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0EF953D6"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Agences et Fonds affiliés au SNU</w:t>
            </w:r>
          </w:p>
        </w:tc>
        <w:tc>
          <w:tcPr>
            <w:tcW w:w="381" w:type="pct"/>
            <w:noWrap/>
            <w:vAlign w:val="center"/>
            <w:hideMark/>
          </w:tcPr>
          <w:p w14:paraId="0E11E93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602CF73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3813D13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6B4E109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CDF09A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3,5</w:t>
            </w:r>
          </w:p>
        </w:tc>
        <w:tc>
          <w:tcPr>
            <w:tcW w:w="446" w:type="pct"/>
            <w:noWrap/>
            <w:vAlign w:val="center"/>
            <w:hideMark/>
          </w:tcPr>
          <w:p w14:paraId="038250A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395D736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3,5</w:t>
            </w:r>
          </w:p>
        </w:tc>
      </w:tr>
      <w:tr w:rsidR="00DB18BE" w:rsidRPr="008D3758" w14:paraId="3D0838D4"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02DFFBF0"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65D0D05F"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espagnole</w:t>
            </w:r>
          </w:p>
        </w:tc>
        <w:tc>
          <w:tcPr>
            <w:tcW w:w="381" w:type="pct"/>
            <w:noWrap/>
            <w:vAlign w:val="center"/>
            <w:hideMark/>
          </w:tcPr>
          <w:p w14:paraId="16D6B07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53CC1E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6E7EB1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4A32132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E16153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30399CF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2,0</w:t>
            </w:r>
          </w:p>
        </w:tc>
        <w:tc>
          <w:tcPr>
            <w:tcW w:w="478" w:type="pct"/>
            <w:noWrap/>
            <w:vAlign w:val="center"/>
            <w:hideMark/>
          </w:tcPr>
          <w:p w14:paraId="2D47F82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2,0</w:t>
            </w:r>
          </w:p>
        </w:tc>
      </w:tr>
      <w:tr w:rsidR="00C97E82" w:rsidRPr="008D3758" w14:paraId="226C43BE" w14:textId="77777777" w:rsidTr="00C97E82">
        <w:trPr>
          <w:trHeight w:val="124"/>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7F78E11F" w14:textId="77777777" w:rsidR="00DB18BE" w:rsidRPr="0033426E" w:rsidRDefault="00DB18BE" w:rsidP="005178B7">
            <w:pPr>
              <w:rPr>
                <w:rFonts w:ascii="Times New Roman" w:eastAsia="Times New Roman" w:hAnsi="Times New Roman" w:cs="Times New Roman"/>
                <w:color w:val="000000"/>
                <w:lang w:val="en-US"/>
              </w:rPr>
            </w:pPr>
          </w:p>
        </w:tc>
        <w:tc>
          <w:tcPr>
            <w:tcW w:w="1462" w:type="pct"/>
            <w:shd w:val="clear" w:color="auto" w:fill="C9C9C9" w:themeFill="accent3" w:themeFillTint="99"/>
            <w:vAlign w:val="center"/>
            <w:hideMark/>
          </w:tcPr>
          <w:p w14:paraId="5B6166BC"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lang w:val="en-US"/>
              </w:rPr>
            </w:pPr>
            <w:r w:rsidRPr="0033426E">
              <w:rPr>
                <w:rFonts w:ascii="Times New Roman" w:eastAsia="Times New Roman" w:hAnsi="Times New Roman" w:cs="Times New Roman"/>
                <w:b/>
                <w:color w:val="000000"/>
                <w:lang w:val="en-US"/>
              </w:rPr>
              <w:t>S/total prêt</w:t>
            </w:r>
          </w:p>
        </w:tc>
        <w:tc>
          <w:tcPr>
            <w:tcW w:w="381" w:type="pct"/>
            <w:shd w:val="clear" w:color="auto" w:fill="C9C9C9" w:themeFill="accent3" w:themeFillTint="99"/>
            <w:vAlign w:val="center"/>
            <w:hideMark/>
          </w:tcPr>
          <w:p w14:paraId="42AF198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992,9</w:t>
            </w:r>
          </w:p>
        </w:tc>
        <w:tc>
          <w:tcPr>
            <w:tcW w:w="382" w:type="pct"/>
            <w:shd w:val="clear" w:color="auto" w:fill="C9C9C9" w:themeFill="accent3" w:themeFillTint="99"/>
            <w:vAlign w:val="center"/>
            <w:hideMark/>
          </w:tcPr>
          <w:p w14:paraId="52734B1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910,9</w:t>
            </w:r>
          </w:p>
        </w:tc>
        <w:tc>
          <w:tcPr>
            <w:tcW w:w="382" w:type="pct"/>
            <w:shd w:val="clear" w:color="auto" w:fill="C9C9C9" w:themeFill="accent3" w:themeFillTint="99"/>
            <w:vAlign w:val="center"/>
            <w:hideMark/>
          </w:tcPr>
          <w:p w14:paraId="2C13FB7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1 838,2</w:t>
            </w:r>
          </w:p>
        </w:tc>
        <w:tc>
          <w:tcPr>
            <w:tcW w:w="381" w:type="pct"/>
            <w:shd w:val="clear" w:color="auto" w:fill="C9C9C9" w:themeFill="accent3" w:themeFillTint="99"/>
            <w:vAlign w:val="center"/>
            <w:hideMark/>
          </w:tcPr>
          <w:p w14:paraId="15A386E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3 020,7</w:t>
            </w:r>
          </w:p>
        </w:tc>
        <w:tc>
          <w:tcPr>
            <w:tcW w:w="382" w:type="pct"/>
            <w:shd w:val="clear" w:color="auto" w:fill="C9C9C9" w:themeFill="accent3" w:themeFillTint="99"/>
            <w:vAlign w:val="center"/>
            <w:hideMark/>
          </w:tcPr>
          <w:p w14:paraId="3D7A66D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2 409,0</w:t>
            </w:r>
          </w:p>
        </w:tc>
        <w:tc>
          <w:tcPr>
            <w:tcW w:w="446" w:type="pct"/>
            <w:shd w:val="clear" w:color="auto" w:fill="C9C9C9" w:themeFill="accent3" w:themeFillTint="99"/>
            <w:vAlign w:val="center"/>
            <w:hideMark/>
          </w:tcPr>
          <w:p w14:paraId="1BC81EA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1 461,2</w:t>
            </w:r>
          </w:p>
        </w:tc>
        <w:tc>
          <w:tcPr>
            <w:tcW w:w="478" w:type="pct"/>
            <w:shd w:val="clear" w:color="auto" w:fill="C9C9C9" w:themeFill="accent3" w:themeFillTint="99"/>
            <w:vAlign w:val="center"/>
            <w:hideMark/>
          </w:tcPr>
          <w:p w14:paraId="674D7AC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10 632,9</w:t>
            </w:r>
          </w:p>
        </w:tc>
      </w:tr>
      <w:tr w:rsidR="00DB18BE" w:rsidRPr="008D3758" w14:paraId="70AECB7C"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restart"/>
            <w:noWrap/>
            <w:vAlign w:val="center"/>
            <w:hideMark/>
          </w:tcPr>
          <w:p w14:paraId="2E6F97E2" w14:textId="77777777" w:rsidR="00DB18BE" w:rsidRPr="0033426E" w:rsidRDefault="00DB18BE" w:rsidP="005178B7">
            <w:pPr>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Don</w:t>
            </w:r>
          </w:p>
        </w:tc>
        <w:tc>
          <w:tcPr>
            <w:tcW w:w="1462" w:type="pct"/>
            <w:noWrap/>
            <w:vAlign w:val="center"/>
            <w:hideMark/>
          </w:tcPr>
          <w:p w14:paraId="0A227400"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américaine</w:t>
            </w:r>
          </w:p>
        </w:tc>
        <w:tc>
          <w:tcPr>
            <w:tcW w:w="381" w:type="pct"/>
            <w:noWrap/>
            <w:vAlign w:val="center"/>
            <w:hideMark/>
          </w:tcPr>
          <w:p w14:paraId="66C8CEA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28,5</w:t>
            </w:r>
          </w:p>
        </w:tc>
        <w:tc>
          <w:tcPr>
            <w:tcW w:w="382" w:type="pct"/>
            <w:noWrap/>
            <w:vAlign w:val="center"/>
            <w:hideMark/>
          </w:tcPr>
          <w:p w14:paraId="40AC044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298,1</w:t>
            </w:r>
          </w:p>
        </w:tc>
        <w:tc>
          <w:tcPr>
            <w:tcW w:w="382" w:type="pct"/>
            <w:noWrap/>
            <w:vAlign w:val="center"/>
            <w:hideMark/>
          </w:tcPr>
          <w:p w14:paraId="222BFE9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1,8</w:t>
            </w:r>
          </w:p>
        </w:tc>
        <w:tc>
          <w:tcPr>
            <w:tcW w:w="381" w:type="pct"/>
            <w:noWrap/>
            <w:vAlign w:val="center"/>
            <w:hideMark/>
          </w:tcPr>
          <w:p w14:paraId="0CD1C90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671B09C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135231F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5354A0E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328,4</w:t>
            </w:r>
          </w:p>
        </w:tc>
      </w:tr>
      <w:tr w:rsidR="00DB18BE" w:rsidRPr="008D3758" w14:paraId="6C452E59" w14:textId="77777777" w:rsidTr="00C97E82">
        <w:trPr>
          <w:trHeight w:val="14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7CC14C01"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1E8DBB3A"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Système</w:t>
            </w:r>
            <w:proofErr w:type="spellEnd"/>
            <w:r w:rsidRPr="0033426E">
              <w:rPr>
                <w:rFonts w:ascii="Times New Roman" w:eastAsia="Times New Roman" w:hAnsi="Times New Roman" w:cs="Times New Roman"/>
                <w:color w:val="000000"/>
                <w:lang w:val="en-US"/>
              </w:rPr>
              <w:t xml:space="preserve"> des Nations </w:t>
            </w:r>
            <w:proofErr w:type="spellStart"/>
            <w:r w:rsidRPr="0033426E">
              <w:rPr>
                <w:rFonts w:ascii="Times New Roman" w:eastAsia="Times New Roman" w:hAnsi="Times New Roman" w:cs="Times New Roman"/>
                <w:color w:val="000000"/>
                <w:lang w:val="en-US"/>
              </w:rPr>
              <w:t>Unies</w:t>
            </w:r>
            <w:proofErr w:type="spellEnd"/>
          </w:p>
        </w:tc>
        <w:tc>
          <w:tcPr>
            <w:tcW w:w="381" w:type="pct"/>
            <w:noWrap/>
            <w:vAlign w:val="center"/>
            <w:hideMark/>
          </w:tcPr>
          <w:p w14:paraId="3E54531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39,0</w:t>
            </w:r>
          </w:p>
        </w:tc>
        <w:tc>
          <w:tcPr>
            <w:tcW w:w="382" w:type="pct"/>
            <w:noWrap/>
            <w:vAlign w:val="center"/>
            <w:hideMark/>
          </w:tcPr>
          <w:p w14:paraId="4404B44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111,7</w:t>
            </w:r>
          </w:p>
        </w:tc>
        <w:tc>
          <w:tcPr>
            <w:tcW w:w="382" w:type="pct"/>
            <w:noWrap/>
            <w:vAlign w:val="center"/>
            <w:hideMark/>
          </w:tcPr>
          <w:p w14:paraId="0386067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17,9</w:t>
            </w:r>
          </w:p>
        </w:tc>
        <w:tc>
          <w:tcPr>
            <w:tcW w:w="381" w:type="pct"/>
            <w:noWrap/>
            <w:vAlign w:val="center"/>
            <w:hideMark/>
          </w:tcPr>
          <w:p w14:paraId="47B25C1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6,3</w:t>
            </w:r>
          </w:p>
        </w:tc>
        <w:tc>
          <w:tcPr>
            <w:tcW w:w="382" w:type="pct"/>
            <w:noWrap/>
            <w:vAlign w:val="center"/>
            <w:hideMark/>
          </w:tcPr>
          <w:p w14:paraId="2084CBC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64,3</w:t>
            </w:r>
          </w:p>
        </w:tc>
        <w:tc>
          <w:tcPr>
            <w:tcW w:w="446" w:type="pct"/>
            <w:noWrap/>
            <w:vAlign w:val="center"/>
            <w:hideMark/>
          </w:tcPr>
          <w:p w14:paraId="218A8C2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7,6</w:t>
            </w:r>
          </w:p>
        </w:tc>
        <w:tc>
          <w:tcPr>
            <w:tcW w:w="478" w:type="pct"/>
            <w:noWrap/>
            <w:vAlign w:val="center"/>
            <w:hideMark/>
          </w:tcPr>
          <w:p w14:paraId="5B306FF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246,8</w:t>
            </w:r>
          </w:p>
        </w:tc>
      </w:tr>
      <w:tr w:rsidR="00DB18BE" w:rsidRPr="008D3758" w14:paraId="701D4A77" w14:textId="77777777" w:rsidTr="00C97E82">
        <w:trPr>
          <w:trHeight w:val="86"/>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35100CAF"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43C37542"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Fonds Mondial</w:t>
            </w:r>
          </w:p>
        </w:tc>
        <w:tc>
          <w:tcPr>
            <w:tcW w:w="381" w:type="pct"/>
            <w:noWrap/>
            <w:vAlign w:val="center"/>
            <w:hideMark/>
          </w:tcPr>
          <w:p w14:paraId="3C763D1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1F128C9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5A7A87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92,3</w:t>
            </w:r>
          </w:p>
        </w:tc>
        <w:tc>
          <w:tcPr>
            <w:tcW w:w="381" w:type="pct"/>
            <w:noWrap/>
            <w:vAlign w:val="center"/>
            <w:hideMark/>
          </w:tcPr>
          <w:p w14:paraId="2BF7890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525054D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6ED395A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151,8</w:t>
            </w:r>
          </w:p>
        </w:tc>
        <w:tc>
          <w:tcPr>
            <w:tcW w:w="478" w:type="pct"/>
            <w:noWrap/>
            <w:vAlign w:val="center"/>
            <w:hideMark/>
          </w:tcPr>
          <w:p w14:paraId="4620B71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244,1</w:t>
            </w:r>
          </w:p>
        </w:tc>
      </w:tr>
      <w:tr w:rsidR="00DB18BE" w:rsidRPr="008D3758" w14:paraId="255862B4"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EBEB842"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65AF8DB9"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 xml:space="preserve">Union </w:t>
            </w:r>
            <w:proofErr w:type="spellStart"/>
            <w:r w:rsidRPr="0033426E">
              <w:rPr>
                <w:rFonts w:ascii="Times New Roman" w:eastAsia="Times New Roman" w:hAnsi="Times New Roman" w:cs="Times New Roman"/>
                <w:color w:val="000000"/>
                <w:lang w:val="en-US"/>
              </w:rPr>
              <w:t>Européenne</w:t>
            </w:r>
            <w:proofErr w:type="spellEnd"/>
          </w:p>
        </w:tc>
        <w:tc>
          <w:tcPr>
            <w:tcW w:w="381" w:type="pct"/>
            <w:noWrap/>
            <w:vAlign w:val="center"/>
            <w:hideMark/>
          </w:tcPr>
          <w:p w14:paraId="1ADCD29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35,9</w:t>
            </w:r>
          </w:p>
        </w:tc>
        <w:tc>
          <w:tcPr>
            <w:tcW w:w="382" w:type="pct"/>
            <w:noWrap/>
            <w:vAlign w:val="center"/>
            <w:hideMark/>
          </w:tcPr>
          <w:p w14:paraId="2486CEC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74,4</w:t>
            </w:r>
          </w:p>
        </w:tc>
        <w:tc>
          <w:tcPr>
            <w:tcW w:w="382" w:type="pct"/>
            <w:noWrap/>
            <w:vAlign w:val="center"/>
            <w:hideMark/>
          </w:tcPr>
          <w:p w14:paraId="62B79AC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9,1</w:t>
            </w:r>
          </w:p>
        </w:tc>
        <w:tc>
          <w:tcPr>
            <w:tcW w:w="381" w:type="pct"/>
            <w:noWrap/>
            <w:vAlign w:val="center"/>
            <w:hideMark/>
          </w:tcPr>
          <w:p w14:paraId="38B9D97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28,2</w:t>
            </w:r>
          </w:p>
        </w:tc>
        <w:tc>
          <w:tcPr>
            <w:tcW w:w="382" w:type="pct"/>
            <w:noWrap/>
            <w:vAlign w:val="center"/>
            <w:hideMark/>
          </w:tcPr>
          <w:p w14:paraId="4CD8E99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4,9</w:t>
            </w:r>
          </w:p>
        </w:tc>
        <w:tc>
          <w:tcPr>
            <w:tcW w:w="446" w:type="pct"/>
            <w:noWrap/>
            <w:vAlign w:val="center"/>
            <w:hideMark/>
          </w:tcPr>
          <w:p w14:paraId="388668F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44,8</w:t>
            </w:r>
          </w:p>
        </w:tc>
        <w:tc>
          <w:tcPr>
            <w:tcW w:w="478" w:type="pct"/>
            <w:noWrap/>
            <w:vAlign w:val="center"/>
            <w:hideMark/>
          </w:tcPr>
          <w:p w14:paraId="177602D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197,3</w:t>
            </w:r>
          </w:p>
        </w:tc>
      </w:tr>
      <w:tr w:rsidR="00DB18BE" w:rsidRPr="008D3758" w14:paraId="34C87FA8"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4ACF5062"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0E4B93E6"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allemande</w:t>
            </w:r>
          </w:p>
        </w:tc>
        <w:tc>
          <w:tcPr>
            <w:tcW w:w="381" w:type="pct"/>
            <w:noWrap/>
            <w:vAlign w:val="center"/>
            <w:hideMark/>
          </w:tcPr>
          <w:p w14:paraId="04759F4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19,5</w:t>
            </w:r>
          </w:p>
        </w:tc>
        <w:tc>
          <w:tcPr>
            <w:tcW w:w="382" w:type="pct"/>
            <w:noWrap/>
            <w:vAlign w:val="center"/>
            <w:hideMark/>
          </w:tcPr>
          <w:p w14:paraId="2F6CD7B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14,6</w:t>
            </w:r>
          </w:p>
        </w:tc>
        <w:tc>
          <w:tcPr>
            <w:tcW w:w="382" w:type="pct"/>
            <w:noWrap/>
            <w:vAlign w:val="center"/>
            <w:hideMark/>
          </w:tcPr>
          <w:p w14:paraId="7D9B53C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24,7</w:t>
            </w:r>
          </w:p>
        </w:tc>
        <w:tc>
          <w:tcPr>
            <w:tcW w:w="381" w:type="pct"/>
            <w:noWrap/>
            <w:vAlign w:val="center"/>
            <w:hideMark/>
          </w:tcPr>
          <w:p w14:paraId="4AEAC9A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54,6</w:t>
            </w:r>
          </w:p>
        </w:tc>
        <w:tc>
          <w:tcPr>
            <w:tcW w:w="382" w:type="pct"/>
            <w:noWrap/>
            <w:vAlign w:val="center"/>
            <w:hideMark/>
          </w:tcPr>
          <w:p w14:paraId="2C46A79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36,8</w:t>
            </w:r>
          </w:p>
        </w:tc>
        <w:tc>
          <w:tcPr>
            <w:tcW w:w="446" w:type="pct"/>
            <w:noWrap/>
            <w:vAlign w:val="center"/>
            <w:hideMark/>
          </w:tcPr>
          <w:p w14:paraId="2D9928B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24,3</w:t>
            </w:r>
          </w:p>
        </w:tc>
        <w:tc>
          <w:tcPr>
            <w:tcW w:w="478" w:type="pct"/>
            <w:noWrap/>
            <w:vAlign w:val="center"/>
            <w:hideMark/>
          </w:tcPr>
          <w:p w14:paraId="67BC104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174,4</w:t>
            </w:r>
          </w:p>
        </w:tc>
      </w:tr>
      <w:tr w:rsidR="00DB18BE" w:rsidRPr="008D3758" w14:paraId="0BB2227A"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0AD6150B"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51F205A3"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japonaise</w:t>
            </w:r>
            <w:proofErr w:type="spellEnd"/>
          </w:p>
        </w:tc>
        <w:tc>
          <w:tcPr>
            <w:tcW w:w="381" w:type="pct"/>
            <w:noWrap/>
            <w:vAlign w:val="center"/>
            <w:hideMark/>
          </w:tcPr>
          <w:p w14:paraId="4CCF125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22,4</w:t>
            </w:r>
          </w:p>
        </w:tc>
        <w:tc>
          <w:tcPr>
            <w:tcW w:w="382" w:type="pct"/>
            <w:noWrap/>
            <w:vAlign w:val="center"/>
            <w:hideMark/>
          </w:tcPr>
          <w:p w14:paraId="3F002C9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5,6</w:t>
            </w:r>
          </w:p>
        </w:tc>
        <w:tc>
          <w:tcPr>
            <w:tcW w:w="382" w:type="pct"/>
            <w:noWrap/>
            <w:vAlign w:val="center"/>
            <w:hideMark/>
          </w:tcPr>
          <w:p w14:paraId="04BB562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28,1</w:t>
            </w:r>
          </w:p>
        </w:tc>
        <w:tc>
          <w:tcPr>
            <w:tcW w:w="381" w:type="pct"/>
            <w:noWrap/>
            <w:vAlign w:val="center"/>
            <w:hideMark/>
          </w:tcPr>
          <w:p w14:paraId="21E5D47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59,6</w:t>
            </w:r>
          </w:p>
        </w:tc>
        <w:tc>
          <w:tcPr>
            <w:tcW w:w="382" w:type="pct"/>
            <w:noWrap/>
            <w:vAlign w:val="center"/>
            <w:hideMark/>
          </w:tcPr>
          <w:p w14:paraId="0914A41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25,9</w:t>
            </w:r>
          </w:p>
        </w:tc>
        <w:tc>
          <w:tcPr>
            <w:tcW w:w="446" w:type="pct"/>
            <w:noWrap/>
            <w:vAlign w:val="center"/>
            <w:hideMark/>
          </w:tcPr>
          <w:p w14:paraId="77E7A51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9,2</w:t>
            </w:r>
          </w:p>
        </w:tc>
        <w:tc>
          <w:tcPr>
            <w:tcW w:w="478" w:type="pct"/>
            <w:noWrap/>
            <w:vAlign w:val="center"/>
            <w:hideMark/>
          </w:tcPr>
          <w:p w14:paraId="0CB4B5E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150,9</w:t>
            </w:r>
          </w:p>
        </w:tc>
      </w:tr>
      <w:tr w:rsidR="00DB18BE" w:rsidRPr="008D3758" w14:paraId="72446F98"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4BE15C77"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1FA51946"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Gavi Alliance</w:t>
            </w:r>
          </w:p>
        </w:tc>
        <w:tc>
          <w:tcPr>
            <w:tcW w:w="381" w:type="pct"/>
            <w:noWrap/>
            <w:vAlign w:val="center"/>
            <w:hideMark/>
          </w:tcPr>
          <w:p w14:paraId="1BC7565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11,6</w:t>
            </w:r>
          </w:p>
        </w:tc>
        <w:tc>
          <w:tcPr>
            <w:tcW w:w="382" w:type="pct"/>
            <w:noWrap/>
            <w:vAlign w:val="center"/>
            <w:hideMark/>
          </w:tcPr>
          <w:p w14:paraId="49472AA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24,1</w:t>
            </w:r>
          </w:p>
        </w:tc>
        <w:tc>
          <w:tcPr>
            <w:tcW w:w="382" w:type="pct"/>
            <w:noWrap/>
            <w:vAlign w:val="center"/>
            <w:hideMark/>
          </w:tcPr>
          <w:p w14:paraId="4A3B4E1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14,4</w:t>
            </w:r>
          </w:p>
        </w:tc>
        <w:tc>
          <w:tcPr>
            <w:tcW w:w="381" w:type="pct"/>
            <w:noWrap/>
            <w:vAlign w:val="center"/>
            <w:hideMark/>
          </w:tcPr>
          <w:p w14:paraId="602F758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12,4</w:t>
            </w:r>
          </w:p>
        </w:tc>
        <w:tc>
          <w:tcPr>
            <w:tcW w:w="382" w:type="pct"/>
            <w:noWrap/>
            <w:vAlign w:val="center"/>
            <w:hideMark/>
          </w:tcPr>
          <w:p w14:paraId="17BCF6E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4759494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475DBDB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62,5</w:t>
            </w:r>
          </w:p>
        </w:tc>
      </w:tr>
      <w:tr w:rsidR="00DB18BE" w:rsidRPr="008D3758" w14:paraId="45784F94"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467A110E"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53ED2339"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Groupe de la Banque Mondiale</w:t>
            </w:r>
          </w:p>
        </w:tc>
        <w:tc>
          <w:tcPr>
            <w:tcW w:w="381" w:type="pct"/>
            <w:noWrap/>
            <w:vAlign w:val="center"/>
            <w:hideMark/>
          </w:tcPr>
          <w:p w14:paraId="4B6D131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3281CA2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5,3</w:t>
            </w:r>
          </w:p>
        </w:tc>
        <w:tc>
          <w:tcPr>
            <w:tcW w:w="382" w:type="pct"/>
            <w:noWrap/>
            <w:vAlign w:val="center"/>
            <w:hideMark/>
          </w:tcPr>
          <w:p w14:paraId="3834CC2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21,7</w:t>
            </w:r>
          </w:p>
        </w:tc>
        <w:tc>
          <w:tcPr>
            <w:tcW w:w="381" w:type="pct"/>
            <w:noWrap/>
            <w:vAlign w:val="center"/>
            <w:hideMark/>
          </w:tcPr>
          <w:p w14:paraId="5C88BE6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15,1</w:t>
            </w:r>
          </w:p>
        </w:tc>
        <w:tc>
          <w:tcPr>
            <w:tcW w:w="382" w:type="pct"/>
            <w:noWrap/>
            <w:vAlign w:val="center"/>
            <w:hideMark/>
          </w:tcPr>
          <w:p w14:paraId="04FE0F4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16,2</w:t>
            </w:r>
          </w:p>
        </w:tc>
        <w:tc>
          <w:tcPr>
            <w:tcW w:w="446" w:type="pct"/>
            <w:noWrap/>
            <w:vAlign w:val="center"/>
            <w:hideMark/>
          </w:tcPr>
          <w:p w14:paraId="219DBD3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3B6FA77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58,3</w:t>
            </w:r>
          </w:p>
        </w:tc>
      </w:tr>
      <w:tr w:rsidR="00DB18BE" w:rsidRPr="008D3758" w14:paraId="4980E844"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3391C851"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7ABEA64F"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Agences et Fonds affiliés au SNU</w:t>
            </w:r>
          </w:p>
        </w:tc>
        <w:tc>
          <w:tcPr>
            <w:tcW w:w="381" w:type="pct"/>
            <w:noWrap/>
            <w:vAlign w:val="center"/>
            <w:hideMark/>
          </w:tcPr>
          <w:p w14:paraId="7EFF319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5,4</w:t>
            </w:r>
          </w:p>
        </w:tc>
        <w:tc>
          <w:tcPr>
            <w:tcW w:w="382" w:type="pct"/>
            <w:noWrap/>
            <w:vAlign w:val="center"/>
            <w:hideMark/>
          </w:tcPr>
          <w:p w14:paraId="1F1D4DB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3,9</w:t>
            </w:r>
          </w:p>
        </w:tc>
        <w:tc>
          <w:tcPr>
            <w:tcW w:w="382" w:type="pct"/>
            <w:noWrap/>
            <w:vAlign w:val="center"/>
            <w:hideMark/>
          </w:tcPr>
          <w:p w14:paraId="423BF8D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1,2</w:t>
            </w:r>
          </w:p>
        </w:tc>
        <w:tc>
          <w:tcPr>
            <w:tcW w:w="381" w:type="pct"/>
            <w:noWrap/>
            <w:vAlign w:val="center"/>
            <w:hideMark/>
          </w:tcPr>
          <w:p w14:paraId="11C63E4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23,0</w:t>
            </w:r>
          </w:p>
        </w:tc>
        <w:tc>
          <w:tcPr>
            <w:tcW w:w="382" w:type="pct"/>
            <w:noWrap/>
            <w:vAlign w:val="center"/>
            <w:hideMark/>
          </w:tcPr>
          <w:p w14:paraId="7D4EF78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0,3</w:t>
            </w:r>
          </w:p>
        </w:tc>
        <w:tc>
          <w:tcPr>
            <w:tcW w:w="446" w:type="pct"/>
            <w:noWrap/>
            <w:vAlign w:val="center"/>
            <w:hideMark/>
          </w:tcPr>
          <w:p w14:paraId="597B3E4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0,5</w:t>
            </w:r>
          </w:p>
        </w:tc>
        <w:tc>
          <w:tcPr>
            <w:tcW w:w="478" w:type="pct"/>
            <w:noWrap/>
            <w:vAlign w:val="center"/>
            <w:hideMark/>
          </w:tcPr>
          <w:p w14:paraId="6810044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34,3</w:t>
            </w:r>
          </w:p>
        </w:tc>
      </w:tr>
      <w:tr w:rsidR="00DB18BE" w:rsidRPr="008D3758" w14:paraId="10A18DE3"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715B55B0"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57F32ABC"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française</w:t>
            </w:r>
          </w:p>
        </w:tc>
        <w:tc>
          <w:tcPr>
            <w:tcW w:w="381" w:type="pct"/>
            <w:noWrap/>
            <w:vAlign w:val="center"/>
            <w:hideMark/>
          </w:tcPr>
          <w:p w14:paraId="26BB5A6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5,0</w:t>
            </w:r>
          </w:p>
        </w:tc>
        <w:tc>
          <w:tcPr>
            <w:tcW w:w="382" w:type="pct"/>
            <w:noWrap/>
            <w:vAlign w:val="center"/>
            <w:hideMark/>
          </w:tcPr>
          <w:p w14:paraId="7C8898D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7,2</w:t>
            </w:r>
          </w:p>
        </w:tc>
        <w:tc>
          <w:tcPr>
            <w:tcW w:w="382" w:type="pct"/>
            <w:noWrap/>
            <w:vAlign w:val="center"/>
            <w:hideMark/>
          </w:tcPr>
          <w:p w14:paraId="1F5BF4A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16,2</w:t>
            </w:r>
          </w:p>
        </w:tc>
        <w:tc>
          <w:tcPr>
            <w:tcW w:w="381" w:type="pct"/>
            <w:noWrap/>
            <w:vAlign w:val="center"/>
            <w:hideMark/>
          </w:tcPr>
          <w:p w14:paraId="25C66DD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8706E2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1,6</w:t>
            </w:r>
          </w:p>
        </w:tc>
        <w:tc>
          <w:tcPr>
            <w:tcW w:w="446" w:type="pct"/>
            <w:noWrap/>
            <w:vAlign w:val="center"/>
            <w:hideMark/>
          </w:tcPr>
          <w:p w14:paraId="1C3FA07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0,6</w:t>
            </w:r>
          </w:p>
        </w:tc>
        <w:tc>
          <w:tcPr>
            <w:tcW w:w="478" w:type="pct"/>
            <w:noWrap/>
            <w:vAlign w:val="center"/>
            <w:hideMark/>
          </w:tcPr>
          <w:p w14:paraId="4FFBF98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30,7</w:t>
            </w:r>
          </w:p>
        </w:tc>
      </w:tr>
      <w:tr w:rsidR="00DB18BE" w:rsidRPr="008D3758" w14:paraId="46F3793C"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0CCF404"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71B9F9EB"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chinoise</w:t>
            </w:r>
            <w:proofErr w:type="spellEnd"/>
          </w:p>
        </w:tc>
        <w:tc>
          <w:tcPr>
            <w:tcW w:w="381" w:type="pct"/>
            <w:noWrap/>
            <w:vAlign w:val="center"/>
            <w:hideMark/>
          </w:tcPr>
          <w:p w14:paraId="06B59C9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13,1</w:t>
            </w:r>
          </w:p>
        </w:tc>
        <w:tc>
          <w:tcPr>
            <w:tcW w:w="382" w:type="pct"/>
            <w:noWrap/>
            <w:vAlign w:val="center"/>
            <w:hideMark/>
          </w:tcPr>
          <w:p w14:paraId="004610C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1AFE385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16,8</w:t>
            </w:r>
          </w:p>
        </w:tc>
        <w:tc>
          <w:tcPr>
            <w:tcW w:w="381" w:type="pct"/>
            <w:noWrap/>
            <w:vAlign w:val="center"/>
            <w:hideMark/>
          </w:tcPr>
          <w:p w14:paraId="25C38B1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59BAD4E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6F8697ED"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197F628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29,9</w:t>
            </w:r>
          </w:p>
        </w:tc>
      </w:tr>
      <w:tr w:rsidR="00DB18BE" w:rsidRPr="008D3758" w14:paraId="06299B23"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057EC260"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6AF38C9A"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canadienne</w:t>
            </w:r>
            <w:proofErr w:type="spellEnd"/>
          </w:p>
        </w:tc>
        <w:tc>
          <w:tcPr>
            <w:tcW w:w="381" w:type="pct"/>
            <w:noWrap/>
            <w:vAlign w:val="center"/>
            <w:hideMark/>
          </w:tcPr>
          <w:p w14:paraId="1C65E4D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0C08A70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2FBB33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3,8</w:t>
            </w:r>
          </w:p>
        </w:tc>
        <w:tc>
          <w:tcPr>
            <w:tcW w:w="381" w:type="pct"/>
            <w:noWrap/>
            <w:vAlign w:val="center"/>
            <w:hideMark/>
          </w:tcPr>
          <w:p w14:paraId="4D174DB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9,4</w:t>
            </w:r>
          </w:p>
        </w:tc>
        <w:tc>
          <w:tcPr>
            <w:tcW w:w="382" w:type="pct"/>
            <w:noWrap/>
            <w:vAlign w:val="center"/>
            <w:hideMark/>
          </w:tcPr>
          <w:p w14:paraId="120D9F0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3,5</w:t>
            </w:r>
          </w:p>
        </w:tc>
        <w:tc>
          <w:tcPr>
            <w:tcW w:w="446" w:type="pct"/>
            <w:noWrap/>
            <w:vAlign w:val="center"/>
            <w:hideMark/>
          </w:tcPr>
          <w:p w14:paraId="2F99B95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376704A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16,6</w:t>
            </w:r>
          </w:p>
        </w:tc>
      </w:tr>
      <w:tr w:rsidR="00DB18BE" w:rsidRPr="008D3758" w14:paraId="5A79812A"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053150DB"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4FF78B71"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Union Economique et Monétaire Ouest Africaine</w:t>
            </w:r>
          </w:p>
        </w:tc>
        <w:tc>
          <w:tcPr>
            <w:tcW w:w="381" w:type="pct"/>
            <w:noWrap/>
            <w:vAlign w:val="center"/>
            <w:hideMark/>
          </w:tcPr>
          <w:p w14:paraId="66AD5C7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8,9</w:t>
            </w:r>
          </w:p>
        </w:tc>
        <w:tc>
          <w:tcPr>
            <w:tcW w:w="382" w:type="pct"/>
            <w:noWrap/>
            <w:vAlign w:val="center"/>
            <w:hideMark/>
          </w:tcPr>
          <w:p w14:paraId="23C243F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0,3</w:t>
            </w:r>
          </w:p>
        </w:tc>
        <w:tc>
          <w:tcPr>
            <w:tcW w:w="382" w:type="pct"/>
            <w:noWrap/>
            <w:vAlign w:val="center"/>
            <w:hideMark/>
          </w:tcPr>
          <w:p w14:paraId="6EB512D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339FEAD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0,9</w:t>
            </w:r>
          </w:p>
        </w:tc>
        <w:tc>
          <w:tcPr>
            <w:tcW w:w="382" w:type="pct"/>
            <w:noWrap/>
            <w:vAlign w:val="center"/>
            <w:hideMark/>
          </w:tcPr>
          <w:p w14:paraId="1900166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0,1</w:t>
            </w:r>
          </w:p>
        </w:tc>
        <w:tc>
          <w:tcPr>
            <w:tcW w:w="446" w:type="pct"/>
            <w:noWrap/>
            <w:vAlign w:val="center"/>
            <w:hideMark/>
          </w:tcPr>
          <w:p w14:paraId="3367B23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2C2D21E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10,2</w:t>
            </w:r>
          </w:p>
        </w:tc>
      </w:tr>
      <w:tr w:rsidR="00DB18BE" w:rsidRPr="008D3758" w14:paraId="7FB074DB"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025D0C97"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46B8B8A6"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3426E">
              <w:rPr>
                <w:rFonts w:ascii="Times New Roman" w:eastAsia="Times New Roman" w:hAnsi="Times New Roman" w:cs="Times New Roman"/>
                <w:color w:val="000000"/>
              </w:rPr>
              <w:t>Groupe de la Banque Africaine de Développement</w:t>
            </w:r>
          </w:p>
        </w:tc>
        <w:tc>
          <w:tcPr>
            <w:tcW w:w="381" w:type="pct"/>
            <w:noWrap/>
            <w:vAlign w:val="center"/>
            <w:hideMark/>
          </w:tcPr>
          <w:p w14:paraId="3790903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1,2</w:t>
            </w:r>
          </w:p>
        </w:tc>
        <w:tc>
          <w:tcPr>
            <w:tcW w:w="382" w:type="pct"/>
            <w:noWrap/>
            <w:vAlign w:val="center"/>
            <w:hideMark/>
          </w:tcPr>
          <w:p w14:paraId="3FF8C17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4,9</w:t>
            </w:r>
          </w:p>
        </w:tc>
        <w:tc>
          <w:tcPr>
            <w:tcW w:w="382" w:type="pct"/>
            <w:noWrap/>
            <w:vAlign w:val="center"/>
            <w:hideMark/>
          </w:tcPr>
          <w:p w14:paraId="4523541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775CD57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0,8</w:t>
            </w:r>
          </w:p>
        </w:tc>
        <w:tc>
          <w:tcPr>
            <w:tcW w:w="382" w:type="pct"/>
            <w:noWrap/>
            <w:vAlign w:val="center"/>
            <w:hideMark/>
          </w:tcPr>
          <w:p w14:paraId="3F76D09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4C2BE7F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4B6F161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6,9</w:t>
            </w:r>
          </w:p>
        </w:tc>
      </w:tr>
      <w:tr w:rsidR="00DB18BE" w:rsidRPr="008D3758" w14:paraId="482609D3"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F7FEE58"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59E77850"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 xml:space="preserve">Fonds </w:t>
            </w:r>
            <w:proofErr w:type="spellStart"/>
            <w:r w:rsidRPr="0033426E">
              <w:rPr>
                <w:rFonts w:ascii="Times New Roman" w:eastAsia="Times New Roman" w:hAnsi="Times New Roman" w:cs="Times New Roman"/>
                <w:color w:val="000000"/>
                <w:lang w:val="en-US"/>
              </w:rPr>
              <w:t>arabes</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bilatéraux</w:t>
            </w:r>
            <w:proofErr w:type="spellEnd"/>
          </w:p>
        </w:tc>
        <w:tc>
          <w:tcPr>
            <w:tcW w:w="381" w:type="pct"/>
            <w:noWrap/>
            <w:vAlign w:val="center"/>
            <w:hideMark/>
          </w:tcPr>
          <w:p w14:paraId="1FFF86C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3,8</w:t>
            </w:r>
          </w:p>
        </w:tc>
        <w:tc>
          <w:tcPr>
            <w:tcW w:w="382" w:type="pct"/>
            <w:noWrap/>
            <w:vAlign w:val="center"/>
            <w:hideMark/>
          </w:tcPr>
          <w:p w14:paraId="28E35C5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355A1E5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5D4BCEC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404928F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51B6A40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66BEFE1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3,8</w:t>
            </w:r>
          </w:p>
        </w:tc>
      </w:tr>
      <w:tr w:rsidR="00DB18BE" w:rsidRPr="008D3758" w14:paraId="3D8E7476"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7653C535"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06C16F21"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roofErr w:type="spellStart"/>
            <w:r w:rsidRPr="0033426E">
              <w:rPr>
                <w:rFonts w:ascii="Times New Roman" w:eastAsia="Times New Roman" w:hAnsi="Times New Roman" w:cs="Times New Roman"/>
                <w:color w:val="000000"/>
                <w:lang w:val="en-US"/>
              </w:rPr>
              <w:t>Coopération</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marocaine</w:t>
            </w:r>
            <w:proofErr w:type="spellEnd"/>
          </w:p>
        </w:tc>
        <w:tc>
          <w:tcPr>
            <w:tcW w:w="381" w:type="pct"/>
            <w:noWrap/>
            <w:vAlign w:val="center"/>
            <w:hideMark/>
          </w:tcPr>
          <w:p w14:paraId="45D0F59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C6B83D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1,0</w:t>
            </w:r>
          </w:p>
        </w:tc>
        <w:tc>
          <w:tcPr>
            <w:tcW w:w="382" w:type="pct"/>
            <w:noWrap/>
            <w:vAlign w:val="center"/>
            <w:hideMark/>
          </w:tcPr>
          <w:p w14:paraId="43ACC57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5620264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2A69F0B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3D43DA9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6F26C63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1,0</w:t>
            </w:r>
          </w:p>
        </w:tc>
      </w:tr>
      <w:tr w:rsidR="00DB18BE" w:rsidRPr="008D3758" w14:paraId="0440509C"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1D1695EE"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068294BF"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 xml:space="preserve">Fonds </w:t>
            </w:r>
            <w:proofErr w:type="spellStart"/>
            <w:r w:rsidRPr="0033426E">
              <w:rPr>
                <w:rFonts w:ascii="Times New Roman" w:eastAsia="Times New Roman" w:hAnsi="Times New Roman" w:cs="Times New Roman"/>
                <w:color w:val="000000"/>
                <w:lang w:val="en-US"/>
              </w:rPr>
              <w:t>arabes</w:t>
            </w:r>
            <w:proofErr w:type="spellEnd"/>
            <w:r w:rsidRPr="0033426E">
              <w:rPr>
                <w:rFonts w:ascii="Times New Roman" w:eastAsia="Times New Roman" w:hAnsi="Times New Roman" w:cs="Times New Roman"/>
                <w:color w:val="000000"/>
                <w:lang w:val="en-US"/>
              </w:rPr>
              <w:t xml:space="preserve"> </w:t>
            </w:r>
            <w:proofErr w:type="spellStart"/>
            <w:r w:rsidRPr="0033426E">
              <w:rPr>
                <w:rFonts w:ascii="Times New Roman" w:eastAsia="Times New Roman" w:hAnsi="Times New Roman" w:cs="Times New Roman"/>
                <w:color w:val="000000"/>
                <w:lang w:val="en-US"/>
              </w:rPr>
              <w:t>multilatéraux</w:t>
            </w:r>
            <w:proofErr w:type="spellEnd"/>
          </w:p>
        </w:tc>
        <w:tc>
          <w:tcPr>
            <w:tcW w:w="381" w:type="pct"/>
            <w:noWrap/>
            <w:vAlign w:val="center"/>
            <w:hideMark/>
          </w:tcPr>
          <w:p w14:paraId="5A91093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091BC57F"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0,5</w:t>
            </w:r>
          </w:p>
        </w:tc>
        <w:tc>
          <w:tcPr>
            <w:tcW w:w="382" w:type="pct"/>
            <w:noWrap/>
            <w:vAlign w:val="center"/>
            <w:hideMark/>
          </w:tcPr>
          <w:p w14:paraId="0974614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0,2</w:t>
            </w:r>
          </w:p>
        </w:tc>
        <w:tc>
          <w:tcPr>
            <w:tcW w:w="381" w:type="pct"/>
            <w:noWrap/>
            <w:vAlign w:val="center"/>
            <w:hideMark/>
          </w:tcPr>
          <w:p w14:paraId="50C5510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3CC1C6F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70FADAA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62A237B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0,7</w:t>
            </w:r>
          </w:p>
        </w:tc>
      </w:tr>
      <w:tr w:rsidR="00C97E82" w:rsidRPr="008D3758" w14:paraId="05001BA2"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32611E14" w14:textId="77777777" w:rsidR="00DB18BE" w:rsidRPr="0033426E" w:rsidRDefault="00DB18BE" w:rsidP="005178B7">
            <w:pPr>
              <w:rPr>
                <w:rFonts w:ascii="Times New Roman" w:eastAsia="Times New Roman" w:hAnsi="Times New Roman" w:cs="Times New Roman"/>
                <w:color w:val="000000"/>
                <w:lang w:val="en-US"/>
              </w:rPr>
            </w:pPr>
          </w:p>
        </w:tc>
        <w:tc>
          <w:tcPr>
            <w:tcW w:w="1462" w:type="pct"/>
            <w:shd w:val="clear" w:color="auto" w:fill="C9C9C9" w:themeFill="accent3" w:themeFillTint="99"/>
            <w:vAlign w:val="center"/>
            <w:hideMark/>
          </w:tcPr>
          <w:p w14:paraId="52CBC1F3"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b/>
                <w:color w:val="000000"/>
                <w:lang w:val="en-US"/>
              </w:rPr>
              <w:t>S/total don</w:t>
            </w:r>
          </w:p>
        </w:tc>
        <w:tc>
          <w:tcPr>
            <w:tcW w:w="381" w:type="pct"/>
            <w:shd w:val="clear" w:color="auto" w:fill="C9C9C9" w:themeFill="accent3" w:themeFillTint="99"/>
            <w:vAlign w:val="center"/>
            <w:hideMark/>
          </w:tcPr>
          <w:p w14:paraId="6DDC7B9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194,1</w:t>
            </w:r>
          </w:p>
        </w:tc>
        <w:tc>
          <w:tcPr>
            <w:tcW w:w="382" w:type="pct"/>
            <w:shd w:val="clear" w:color="auto" w:fill="C9C9C9" w:themeFill="accent3" w:themeFillTint="99"/>
            <w:vAlign w:val="center"/>
            <w:hideMark/>
          </w:tcPr>
          <w:p w14:paraId="3E7D3FE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551,9</w:t>
            </w:r>
          </w:p>
        </w:tc>
        <w:tc>
          <w:tcPr>
            <w:tcW w:w="382" w:type="pct"/>
            <w:shd w:val="clear" w:color="auto" w:fill="C9C9C9" w:themeFill="accent3" w:themeFillTint="99"/>
            <w:vAlign w:val="center"/>
            <w:hideMark/>
          </w:tcPr>
          <w:p w14:paraId="6609F6E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248,2</w:t>
            </w:r>
          </w:p>
        </w:tc>
        <w:tc>
          <w:tcPr>
            <w:tcW w:w="381" w:type="pct"/>
            <w:shd w:val="clear" w:color="auto" w:fill="C9C9C9" w:themeFill="accent3" w:themeFillTint="99"/>
            <w:vAlign w:val="center"/>
            <w:hideMark/>
          </w:tcPr>
          <w:p w14:paraId="275208A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210,2</w:t>
            </w:r>
          </w:p>
        </w:tc>
        <w:tc>
          <w:tcPr>
            <w:tcW w:w="382" w:type="pct"/>
            <w:shd w:val="clear" w:color="auto" w:fill="C9C9C9" w:themeFill="accent3" w:themeFillTint="99"/>
            <w:vAlign w:val="center"/>
            <w:hideMark/>
          </w:tcPr>
          <w:p w14:paraId="11220D57"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153,6</w:t>
            </w:r>
          </w:p>
        </w:tc>
        <w:tc>
          <w:tcPr>
            <w:tcW w:w="446" w:type="pct"/>
            <w:shd w:val="clear" w:color="auto" w:fill="C9C9C9" w:themeFill="accent3" w:themeFillTint="99"/>
            <w:vAlign w:val="center"/>
            <w:hideMark/>
          </w:tcPr>
          <w:p w14:paraId="626677F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239,5</w:t>
            </w:r>
          </w:p>
        </w:tc>
        <w:tc>
          <w:tcPr>
            <w:tcW w:w="478" w:type="pct"/>
            <w:shd w:val="clear" w:color="auto" w:fill="C9C9C9" w:themeFill="accent3" w:themeFillTint="99"/>
            <w:vAlign w:val="center"/>
            <w:hideMark/>
          </w:tcPr>
          <w:p w14:paraId="1014B21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1 597,3</w:t>
            </w:r>
          </w:p>
        </w:tc>
      </w:tr>
      <w:tr w:rsidR="00DB18BE" w:rsidRPr="008D3758" w14:paraId="13548C82"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restart"/>
            <w:noWrap/>
            <w:vAlign w:val="center"/>
            <w:hideMark/>
          </w:tcPr>
          <w:p w14:paraId="7030C714" w14:textId="77777777" w:rsidR="00DB18BE" w:rsidRPr="0033426E" w:rsidRDefault="00DB18BE" w:rsidP="005178B7">
            <w:pPr>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C2D</w:t>
            </w:r>
          </w:p>
        </w:tc>
        <w:tc>
          <w:tcPr>
            <w:tcW w:w="1462" w:type="pct"/>
            <w:noWrap/>
            <w:vAlign w:val="center"/>
            <w:hideMark/>
          </w:tcPr>
          <w:p w14:paraId="1A523112"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Coopération française</w:t>
            </w:r>
          </w:p>
        </w:tc>
        <w:tc>
          <w:tcPr>
            <w:tcW w:w="381" w:type="pct"/>
            <w:noWrap/>
            <w:vAlign w:val="center"/>
            <w:hideMark/>
          </w:tcPr>
          <w:p w14:paraId="5E313B1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295,8</w:t>
            </w:r>
          </w:p>
        </w:tc>
        <w:tc>
          <w:tcPr>
            <w:tcW w:w="382" w:type="pct"/>
            <w:noWrap/>
            <w:vAlign w:val="center"/>
            <w:hideMark/>
          </w:tcPr>
          <w:p w14:paraId="21B56429"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40,0</w:t>
            </w:r>
          </w:p>
        </w:tc>
        <w:tc>
          <w:tcPr>
            <w:tcW w:w="382" w:type="pct"/>
            <w:noWrap/>
            <w:vAlign w:val="center"/>
            <w:hideMark/>
          </w:tcPr>
          <w:p w14:paraId="46D03B3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33,9</w:t>
            </w:r>
          </w:p>
        </w:tc>
        <w:tc>
          <w:tcPr>
            <w:tcW w:w="381" w:type="pct"/>
            <w:noWrap/>
            <w:vAlign w:val="center"/>
            <w:hideMark/>
          </w:tcPr>
          <w:p w14:paraId="3D7C3094"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12,9</w:t>
            </w:r>
          </w:p>
        </w:tc>
        <w:tc>
          <w:tcPr>
            <w:tcW w:w="382" w:type="pct"/>
            <w:noWrap/>
            <w:vAlign w:val="center"/>
            <w:hideMark/>
          </w:tcPr>
          <w:p w14:paraId="60606CD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4,1</w:t>
            </w:r>
          </w:p>
        </w:tc>
        <w:tc>
          <w:tcPr>
            <w:tcW w:w="446" w:type="pct"/>
            <w:noWrap/>
            <w:vAlign w:val="center"/>
            <w:hideMark/>
          </w:tcPr>
          <w:p w14:paraId="6E3B599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0,4</w:t>
            </w:r>
          </w:p>
        </w:tc>
        <w:tc>
          <w:tcPr>
            <w:tcW w:w="478" w:type="pct"/>
            <w:noWrap/>
            <w:vAlign w:val="center"/>
            <w:hideMark/>
          </w:tcPr>
          <w:p w14:paraId="75E9545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387,2</w:t>
            </w:r>
          </w:p>
        </w:tc>
      </w:tr>
      <w:tr w:rsidR="00DB18BE" w:rsidRPr="008D3758" w14:paraId="7FF2B425" w14:textId="77777777" w:rsidTr="00C97E82">
        <w:trPr>
          <w:trHeight w:val="69"/>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2D9F0C0D" w14:textId="77777777" w:rsidR="00DB18BE" w:rsidRPr="0033426E" w:rsidRDefault="00DB18BE" w:rsidP="005178B7">
            <w:pPr>
              <w:rPr>
                <w:rFonts w:ascii="Times New Roman" w:eastAsia="Times New Roman" w:hAnsi="Times New Roman" w:cs="Times New Roman"/>
                <w:color w:val="000000"/>
                <w:lang w:val="en-US"/>
              </w:rPr>
            </w:pPr>
          </w:p>
        </w:tc>
        <w:tc>
          <w:tcPr>
            <w:tcW w:w="1462" w:type="pct"/>
            <w:noWrap/>
            <w:vAlign w:val="center"/>
            <w:hideMark/>
          </w:tcPr>
          <w:p w14:paraId="499E2ABC"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Coopération espagnole</w:t>
            </w:r>
          </w:p>
        </w:tc>
        <w:tc>
          <w:tcPr>
            <w:tcW w:w="381" w:type="pct"/>
            <w:noWrap/>
            <w:vAlign w:val="center"/>
            <w:hideMark/>
          </w:tcPr>
          <w:p w14:paraId="53DA4A3C"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785EB4C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34,2</w:t>
            </w:r>
          </w:p>
        </w:tc>
        <w:tc>
          <w:tcPr>
            <w:tcW w:w="382" w:type="pct"/>
            <w:noWrap/>
            <w:vAlign w:val="center"/>
            <w:hideMark/>
          </w:tcPr>
          <w:p w14:paraId="64499C4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1" w:type="pct"/>
            <w:noWrap/>
            <w:vAlign w:val="center"/>
            <w:hideMark/>
          </w:tcPr>
          <w:p w14:paraId="76FDC20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382" w:type="pct"/>
            <w:noWrap/>
            <w:vAlign w:val="center"/>
            <w:hideMark/>
          </w:tcPr>
          <w:p w14:paraId="0009B67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46" w:type="pct"/>
            <w:noWrap/>
            <w:vAlign w:val="center"/>
            <w:hideMark/>
          </w:tcPr>
          <w:p w14:paraId="0FAA2CA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0,0</w:t>
            </w:r>
          </w:p>
        </w:tc>
        <w:tc>
          <w:tcPr>
            <w:tcW w:w="478" w:type="pct"/>
            <w:noWrap/>
            <w:vAlign w:val="center"/>
            <w:hideMark/>
          </w:tcPr>
          <w:p w14:paraId="0E80D83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34,2</w:t>
            </w:r>
          </w:p>
        </w:tc>
      </w:tr>
      <w:tr w:rsidR="00C97E82" w:rsidRPr="008D3758" w14:paraId="4815A082"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704" w:type="pct"/>
            <w:vMerge/>
            <w:vAlign w:val="center"/>
            <w:hideMark/>
          </w:tcPr>
          <w:p w14:paraId="1CF5F01D" w14:textId="77777777" w:rsidR="00DB18BE" w:rsidRPr="0033426E" w:rsidRDefault="00DB18BE" w:rsidP="005178B7">
            <w:pPr>
              <w:rPr>
                <w:rFonts w:ascii="Times New Roman" w:eastAsia="Times New Roman" w:hAnsi="Times New Roman" w:cs="Times New Roman"/>
                <w:color w:val="000000"/>
                <w:lang w:val="en-US"/>
              </w:rPr>
            </w:pPr>
          </w:p>
        </w:tc>
        <w:tc>
          <w:tcPr>
            <w:tcW w:w="1462" w:type="pct"/>
            <w:shd w:val="clear" w:color="auto" w:fill="C9C9C9" w:themeFill="accent3" w:themeFillTint="99"/>
            <w:vAlign w:val="center"/>
            <w:hideMark/>
          </w:tcPr>
          <w:p w14:paraId="220955F0" w14:textId="77777777" w:rsidR="00DB18BE" w:rsidRPr="0033426E" w:rsidRDefault="00DB18BE" w:rsidP="005178B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3426E">
              <w:rPr>
                <w:rFonts w:ascii="Times New Roman" w:eastAsia="Times New Roman" w:hAnsi="Times New Roman" w:cs="Times New Roman"/>
                <w:b/>
                <w:color w:val="000000"/>
                <w:lang w:val="en-US"/>
              </w:rPr>
              <w:t>S/total C2D</w:t>
            </w:r>
          </w:p>
        </w:tc>
        <w:tc>
          <w:tcPr>
            <w:tcW w:w="381" w:type="pct"/>
            <w:shd w:val="clear" w:color="auto" w:fill="C9C9C9" w:themeFill="accent3" w:themeFillTint="99"/>
            <w:vAlign w:val="center"/>
            <w:hideMark/>
          </w:tcPr>
          <w:p w14:paraId="5B32A403"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295,8</w:t>
            </w:r>
          </w:p>
        </w:tc>
        <w:tc>
          <w:tcPr>
            <w:tcW w:w="382" w:type="pct"/>
            <w:shd w:val="clear" w:color="auto" w:fill="C9C9C9" w:themeFill="accent3" w:themeFillTint="99"/>
            <w:vAlign w:val="center"/>
            <w:hideMark/>
          </w:tcPr>
          <w:p w14:paraId="40CB0066"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74,2</w:t>
            </w:r>
          </w:p>
        </w:tc>
        <w:tc>
          <w:tcPr>
            <w:tcW w:w="382" w:type="pct"/>
            <w:shd w:val="clear" w:color="auto" w:fill="C9C9C9" w:themeFill="accent3" w:themeFillTint="99"/>
            <w:vAlign w:val="center"/>
            <w:hideMark/>
          </w:tcPr>
          <w:p w14:paraId="46DB25D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33,9</w:t>
            </w:r>
          </w:p>
        </w:tc>
        <w:tc>
          <w:tcPr>
            <w:tcW w:w="381" w:type="pct"/>
            <w:shd w:val="clear" w:color="auto" w:fill="C9C9C9" w:themeFill="accent3" w:themeFillTint="99"/>
            <w:vAlign w:val="center"/>
            <w:hideMark/>
          </w:tcPr>
          <w:p w14:paraId="604697D1"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12,9</w:t>
            </w:r>
          </w:p>
        </w:tc>
        <w:tc>
          <w:tcPr>
            <w:tcW w:w="382" w:type="pct"/>
            <w:shd w:val="clear" w:color="auto" w:fill="C9C9C9" w:themeFill="accent3" w:themeFillTint="99"/>
            <w:vAlign w:val="center"/>
            <w:hideMark/>
          </w:tcPr>
          <w:p w14:paraId="0F3B256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4,1</w:t>
            </w:r>
          </w:p>
        </w:tc>
        <w:tc>
          <w:tcPr>
            <w:tcW w:w="446" w:type="pct"/>
            <w:shd w:val="clear" w:color="auto" w:fill="C9C9C9" w:themeFill="accent3" w:themeFillTint="99"/>
            <w:vAlign w:val="center"/>
            <w:hideMark/>
          </w:tcPr>
          <w:p w14:paraId="6B1709FA"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8D3758">
              <w:rPr>
                <w:rFonts w:ascii="Times New Roman" w:eastAsia="Times New Roman" w:hAnsi="Times New Roman" w:cs="Times New Roman"/>
                <w:color w:val="000000"/>
                <w:sz w:val="18"/>
                <w:szCs w:val="18"/>
                <w:lang w:val="en-US"/>
              </w:rPr>
              <w:t>0,4</w:t>
            </w:r>
          </w:p>
        </w:tc>
        <w:tc>
          <w:tcPr>
            <w:tcW w:w="478" w:type="pct"/>
            <w:shd w:val="clear" w:color="auto" w:fill="C9C9C9" w:themeFill="accent3" w:themeFillTint="99"/>
            <w:vAlign w:val="center"/>
            <w:hideMark/>
          </w:tcPr>
          <w:p w14:paraId="6DE6BE0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421,4</w:t>
            </w:r>
          </w:p>
        </w:tc>
      </w:tr>
      <w:tr w:rsidR="00DB18BE" w:rsidRPr="008D3758" w14:paraId="2DFD5AD1" w14:textId="77777777" w:rsidTr="00C97E82">
        <w:trPr>
          <w:trHeight w:val="50"/>
        </w:trPr>
        <w:tc>
          <w:tcPr>
            <w:cnfStyle w:val="001000000000" w:firstRow="0" w:lastRow="0" w:firstColumn="1" w:lastColumn="0" w:oddVBand="0" w:evenVBand="0" w:oddHBand="0" w:evenHBand="0" w:firstRowFirstColumn="0" w:firstRowLastColumn="0" w:lastRowFirstColumn="0" w:lastRowLastColumn="0"/>
            <w:tcW w:w="2167" w:type="pct"/>
            <w:gridSpan w:val="2"/>
            <w:shd w:val="clear" w:color="auto" w:fill="92D050"/>
            <w:vAlign w:val="center"/>
            <w:hideMark/>
          </w:tcPr>
          <w:p w14:paraId="00BB8674" w14:textId="77777777" w:rsidR="00DB18BE" w:rsidRPr="0033426E" w:rsidRDefault="00DB18BE" w:rsidP="005178B7">
            <w:pPr>
              <w:rPr>
                <w:rFonts w:ascii="Times New Roman" w:eastAsia="Times New Roman" w:hAnsi="Times New Roman" w:cs="Times New Roman"/>
                <w:color w:val="000000"/>
                <w:lang w:val="en-US"/>
              </w:rPr>
            </w:pPr>
            <w:r w:rsidRPr="0033426E">
              <w:rPr>
                <w:rFonts w:ascii="Times New Roman" w:eastAsia="Times New Roman" w:hAnsi="Times New Roman" w:cs="Times New Roman"/>
                <w:color w:val="000000"/>
                <w:lang w:val="en-US"/>
              </w:rPr>
              <w:t>TOTAL</w:t>
            </w:r>
          </w:p>
        </w:tc>
        <w:tc>
          <w:tcPr>
            <w:tcW w:w="381" w:type="pct"/>
            <w:shd w:val="clear" w:color="auto" w:fill="92D050"/>
            <w:vAlign w:val="center"/>
            <w:hideMark/>
          </w:tcPr>
          <w:p w14:paraId="3521C0D8"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1 482,8</w:t>
            </w:r>
          </w:p>
        </w:tc>
        <w:tc>
          <w:tcPr>
            <w:tcW w:w="382" w:type="pct"/>
            <w:shd w:val="clear" w:color="auto" w:fill="92D050"/>
            <w:vAlign w:val="center"/>
            <w:hideMark/>
          </w:tcPr>
          <w:p w14:paraId="6AEFFAD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1 537,0</w:t>
            </w:r>
          </w:p>
        </w:tc>
        <w:tc>
          <w:tcPr>
            <w:tcW w:w="382" w:type="pct"/>
            <w:shd w:val="clear" w:color="auto" w:fill="92D050"/>
            <w:vAlign w:val="center"/>
            <w:hideMark/>
          </w:tcPr>
          <w:p w14:paraId="1377877B"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2 120,3</w:t>
            </w:r>
          </w:p>
        </w:tc>
        <w:tc>
          <w:tcPr>
            <w:tcW w:w="381" w:type="pct"/>
            <w:shd w:val="clear" w:color="auto" w:fill="92D050"/>
            <w:vAlign w:val="center"/>
            <w:hideMark/>
          </w:tcPr>
          <w:p w14:paraId="6B95225E"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3 243,8</w:t>
            </w:r>
          </w:p>
        </w:tc>
        <w:tc>
          <w:tcPr>
            <w:tcW w:w="382" w:type="pct"/>
            <w:shd w:val="clear" w:color="auto" w:fill="92D050"/>
            <w:vAlign w:val="center"/>
            <w:hideMark/>
          </w:tcPr>
          <w:p w14:paraId="53546230"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2 566,7</w:t>
            </w:r>
          </w:p>
        </w:tc>
        <w:tc>
          <w:tcPr>
            <w:tcW w:w="446" w:type="pct"/>
            <w:shd w:val="clear" w:color="auto" w:fill="92D050"/>
            <w:vAlign w:val="center"/>
            <w:hideMark/>
          </w:tcPr>
          <w:p w14:paraId="6747B6F5"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1 701,1</w:t>
            </w:r>
          </w:p>
        </w:tc>
        <w:tc>
          <w:tcPr>
            <w:tcW w:w="478" w:type="pct"/>
            <w:shd w:val="clear" w:color="auto" w:fill="92D050"/>
            <w:vAlign w:val="center"/>
            <w:hideMark/>
          </w:tcPr>
          <w:p w14:paraId="4542C7F2" w14:textId="77777777" w:rsidR="00DB18BE" w:rsidRPr="008D3758" w:rsidRDefault="00DB18BE" w:rsidP="005178B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lang w:val="en-US"/>
              </w:rPr>
            </w:pPr>
            <w:r w:rsidRPr="008D3758">
              <w:rPr>
                <w:rFonts w:ascii="Times New Roman" w:eastAsia="Times New Roman" w:hAnsi="Times New Roman" w:cs="Times New Roman"/>
                <w:b/>
                <w:color w:val="000000"/>
                <w:sz w:val="18"/>
                <w:szCs w:val="18"/>
                <w:lang w:val="en-US"/>
              </w:rPr>
              <w:t>12 651,6</w:t>
            </w:r>
          </w:p>
        </w:tc>
      </w:tr>
    </w:tbl>
    <w:p w14:paraId="08A293C2" w14:textId="3D3030EC" w:rsidR="00D71A5F" w:rsidRDefault="00746E7A" w:rsidP="00746E7A">
      <w:pPr>
        <w:rPr>
          <w:rFonts w:ascii="Times New Roman" w:hAnsi="Times New Roman" w:cs="Times New Roman"/>
          <w:sz w:val="24"/>
          <w:szCs w:val="24"/>
        </w:rPr>
      </w:pPr>
      <w:r w:rsidRPr="00746E7A">
        <w:rPr>
          <w:rFonts w:ascii="Calibri" w:eastAsia="Calibri" w:hAnsi="Calibri" w:cs="Times New Roman"/>
          <w:b/>
          <w:color w:val="1F3864" w:themeColor="accent1" w:themeShade="80"/>
          <w:sz w:val="20"/>
          <w:szCs w:val="20"/>
        </w:rPr>
        <w:t>Source : COMOREX</w:t>
      </w:r>
    </w:p>
    <w:p w14:paraId="07B4C979" w14:textId="77777777" w:rsidR="004B7F51" w:rsidRDefault="004B7F51" w:rsidP="00547EEE">
      <w:pPr>
        <w:spacing w:after="0" w:line="240" w:lineRule="auto"/>
        <w:jc w:val="both"/>
        <w:rPr>
          <w:rFonts w:ascii="Times New Roman" w:hAnsi="Times New Roman" w:cs="Times New Roman"/>
          <w:sz w:val="24"/>
          <w:szCs w:val="24"/>
        </w:rPr>
      </w:pPr>
    </w:p>
    <w:p w14:paraId="50DD844F" w14:textId="3DA1DC02" w:rsidR="00C07B32" w:rsidRPr="004B7F51" w:rsidRDefault="00547EEE" w:rsidP="00547EEE">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La cartographie de partenaires financiers de la Côte d’Ivoire est repartie entre les partenaires bilatéraux, multilatéraux et commerciaux. La coopération multilatérale reste la source de coopération la plus privilégiée avec un montant de </w:t>
      </w:r>
      <w:r w:rsidRPr="00A74006">
        <w:rPr>
          <w:rFonts w:ascii="Times New Roman" w:hAnsi="Times New Roman" w:cs="Times New Roman"/>
          <w:b/>
          <w:bCs/>
          <w:sz w:val="24"/>
          <w:szCs w:val="24"/>
        </w:rPr>
        <w:t>5 254,6 milliards de francs CFA, soit 41,5%, de 2016 à 2021</w:t>
      </w:r>
      <w:r>
        <w:rPr>
          <w:rFonts w:ascii="Times New Roman" w:hAnsi="Times New Roman" w:cs="Times New Roman"/>
          <w:sz w:val="24"/>
          <w:szCs w:val="24"/>
        </w:rPr>
        <w:t xml:space="preserve">, suivie de la coopération commerciale </w:t>
      </w:r>
      <w:r w:rsidRPr="00A74006">
        <w:rPr>
          <w:rFonts w:ascii="Times New Roman" w:hAnsi="Times New Roman" w:cs="Times New Roman"/>
          <w:b/>
          <w:bCs/>
          <w:sz w:val="24"/>
          <w:szCs w:val="24"/>
        </w:rPr>
        <w:t>(32.1%)</w:t>
      </w:r>
      <w:r>
        <w:rPr>
          <w:rFonts w:ascii="Times New Roman" w:hAnsi="Times New Roman" w:cs="Times New Roman"/>
          <w:sz w:val="24"/>
          <w:szCs w:val="24"/>
        </w:rPr>
        <w:t xml:space="preserve"> et de la coopération bilatérale </w:t>
      </w:r>
      <w:r w:rsidRPr="00A74006">
        <w:rPr>
          <w:rFonts w:ascii="Times New Roman" w:hAnsi="Times New Roman" w:cs="Times New Roman"/>
          <w:b/>
          <w:bCs/>
          <w:sz w:val="24"/>
          <w:szCs w:val="24"/>
        </w:rPr>
        <w:t>(26.4%).</w:t>
      </w:r>
    </w:p>
    <w:p w14:paraId="10FCBE98" w14:textId="77777777" w:rsidR="00746E7A" w:rsidRPr="00E43FC8" w:rsidRDefault="00746E7A" w:rsidP="00547EEE">
      <w:pPr>
        <w:spacing w:after="0" w:line="240" w:lineRule="auto"/>
        <w:jc w:val="both"/>
        <w:rPr>
          <w:rFonts w:ascii="Times New Roman" w:hAnsi="Times New Roman" w:cs="Times New Roman"/>
        </w:rPr>
      </w:pPr>
    </w:p>
    <w:p w14:paraId="7E418C67" w14:textId="6E3BA4AE" w:rsidR="00114617" w:rsidRPr="00A7701E" w:rsidRDefault="008A79F1" w:rsidP="008A79F1">
      <w:pPr>
        <w:pStyle w:val="Lgende"/>
        <w:rPr>
          <w:b/>
          <w:bCs/>
          <w:i w:val="0"/>
          <w:iCs w:val="0"/>
          <w:color w:val="1F4E79" w:themeColor="accent5" w:themeShade="80"/>
        </w:rPr>
      </w:pPr>
      <w:bookmarkStart w:id="18" w:name="_Toc112407814"/>
      <w:r>
        <w:t xml:space="preserve">Figure </w:t>
      </w:r>
      <w:r w:rsidR="00EF46BE">
        <w:t>7</w:t>
      </w:r>
      <w:r w:rsidR="00ED6215">
        <w:t xml:space="preserve"> </w:t>
      </w:r>
      <w:r>
        <w:t>:</w:t>
      </w:r>
      <w:r w:rsidR="00ED6215">
        <w:t xml:space="preserve"> </w:t>
      </w:r>
      <w:r w:rsidRPr="004C0C77">
        <w:t>Répartition des financements extérieurs mobilisés de 2012 à 2020 par type de donateurs (%)</w:t>
      </w:r>
      <w:bookmarkEnd w:id="18"/>
    </w:p>
    <w:p w14:paraId="19B41BA6" w14:textId="77777777" w:rsidR="00547EEE" w:rsidRDefault="00547EEE" w:rsidP="00547EEE">
      <w:pPr>
        <w:spacing w:after="0" w:line="240" w:lineRule="auto"/>
        <w:jc w:val="both"/>
        <w:rPr>
          <w:rFonts w:ascii="Times New Roman" w:hAnsi="Times New Roman" w:cs="Times New Roman"/>
          <w:sz w:val="24"/>
          <w:szCs w:val="24"/>
        </w:rPr>
      </w:pPr>
      <w:r>
        <w:rPr>
          <w:noProof/>
        </w:rPr>
        <w:drawing>
          <wp:inline distT="0" distB="0" distL="0" distR="0" wp14:anchorId="565DF8F8" wp14:editId="4EB32C26">
            <wp:extent cx="6013450" cy="2292350"/>
            <wp:effectExtent l="0" t="0" r="6350" b="12700"/>
            <wp:docPr id="13" name="Graphique 13">
              <a:extLst xmlns:a="http://schemas.openxmlformats.org/drawingml/2006/main">
                <a:ext uri="{FF2B5EF4-FFF2-40B4-BE49-F238E27FC236}">
                  <a16:creationId xmlns:a16="http://schemas.microsoft.com/office/drawing/2014/main" id="{DC3CD8AF-0292-8FCF-4791-2D560C683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956EFF" w14:textId="5D299FE4" w:rsidR="00547EEE" w:rsidRPr="00E43FC8" w:rsidRDefault="00547EEE" w:rsidP="00547EEE">
      <w:pPr>
        <w:rPr>
          <w:rFonts w:ascii="Calibri" w:eastAsia="Calibri" w:hAnsi="Calibri" w:cs="Times New Roman"/>
          <w:b/>
          <w:color w:val="1F3864" w:themeColor="accent1" w:themeShade="80"/>
          <w:sz w:val="20"/>
          <w:szCs w:val="20"/>
        </w:rPr>
      </w:pPr>
      <w:r w:rsidRPr="00CD571E">
        <w:rPr>
          <w:rFonts w:ascii="Calibri" w:eastAsia="Calibri" w:hAnsi="Calibri" w:cs="Times New Roman"/>
          <w:b/>
          <w:color w:val="1F3864" w:themeColor="accent1" w:themeShade="80"/>
          <w:sz w:val="20"/>
          <w:szCs w:val="20"/>
        </w:rPr>
        <w:t>Source : MEF/PGFE</w:t>
      </w:r>
      <w:r w:rsidR="00C07B32">
        <w:rPr>
          <w:rFonts w:ascii="Calibri" w:eastAsia="Calibri" w:hAnsi="Calibri" w:cs="Times New Roman"/>
          <w:b/>
          <w:color w:val="1F3864" w:themeColor="accent1" w:themeShade="80"/>
          <w:sz w:val="20"/>
          <w:szCs w:val="20"/>
        </w:rPr>
        <w:t>.</w:t>
      </w:r>
    </w:p>
    <w:p w14:paraId="58CFEF3F" w14:textId="77777777" w:rsidR="00547EEE" w:rsidRDefault="00547EEE" w:rsidP="00547E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Toutefois, en analysant les données de 2012 à 2020, la coopération multilatérale reste la source prédominante avec </w:t>
      </w:r>
      <w:r w:rsidRPr="00A74006">
        <w:rPr>
          <w:rFonts w:ascii="Times New Roman" w:hAnsi="Times New Roman" w:cs="Times New Roman"/>
          <w:b/>
          <w:bCs/>
          <w:sz w:val="24"/>
          <w:szCs w:val="24"/>
        </w:rPr>
        <w:t>47.5%</w:t>
      </w:r>
      <w:r>
        <w:rPr>
          <w:rFonts w:ascii="Times New Roman" w:hAnsi="Times New Roman" w:cs="Times New Roman"/>
          <w:sz w:val="24"/>
          <w:szCs w:val="24"/>
        </w:rPr>
        <w:t xml:space="preserve"> des montants mobilisés, la coopération bilatérale représentait </w:t>
      </w:r>
      <w:r w:rsidRPr="00A74006">
        <w:rPr>
          <w:rFonts w:ascii="Times New Roman" w:hAnsi="Times New Roman" w:cs="Times New Roman"/>
          <w:b/>
          <w:bCs/>
          <w:sz w:val="24"/>
          <w:szCs w:val="24"/>
        </w:rPr>
        <w:t>33.9%,</w:t>
      </w:r>
      <w:r>
        <w:rPr>
          <w:rFonts w:ascii="Times New Roman" w:hAnsi="Times New Roman" w:cs="Times New Roman"/>
          <w:sz w:val="24"/>
          <w:szCs w:val="24"/>
        </w:rPr>
        <w:t xml:space="preserve"> suivi de la coopération commerciale </w:t>
      </w:r>
      <w:r w:rsidRPr="00A74006">
        <w:rPr>
          <w:rFonts w:ascii="Times New Roman" w:hAnsi="Times New Roman" w:cs="Times New Roman"/>
          <w:b/>
          <w:bCs/>
          <w:sz w:val="24"/>
          <w:szCs w:val="24"/>
        </w:rPr>
        <w:t>18.6%.</w:t>
      </w:r>
    </w:p>
    <w:p w14:paraId="3C1A3015" w14:textId="77777777" w:rsidR="00547EEE" w:rsidRDefault="00547EEE" w:rsidP="00547EEE">
      <w:pPr>
        <w:spacing w:after="0" w:line="240" w:lineRule="auto"/>
        <w:jc w:val="both"/>
      </w:pPr>
    </w:p>
    <w:p w14:paraId="694E558F" w14:textId="2F9118E6" w:rsidR="00547EEE" w:rsidRDefault="0033296B" w:rsidP="003378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Sur la période 2012-2020, le SNU avec </w:t>
      </w:r>
      <w:r w:rsidR="00CD5B96">
        <w:rPr>
          <w:rFonts w:ascii="Times New Roman" w:hAnsi="Times New Roman" w:cs="Times New Roman"/>
          <w:sz w:val="24"/>
          <w:szCs w:val="24"/>
        </w:rPr>
        <w:t>343,3 milliards de FCFA reste un partenaire important de la Côte d’Ivoire au niveau des fonds mobilisés dans le cadre des appuis/programmes extérieurs, après les traditionnels partenaires que sont le groupe de la Banque Mondiale (2793,1 milliards de FCFA), le FMI (1531 milliards de FCFA), le groupe de la BAD (1146,7 milliards de FCFA).</w:t>
      </w:r>
    </w:p>
    <w:p w14:paraId="6042F90F" w14:textId="59DA43B1" w:rsidR="00E333BD" w:rsidRDefault="00E333BD" w:rsidP="00304B95">
      <w:pPr>
        <w:pStyle w:val="Titre2"/>
        <w:rPr>
          <w:rFonts w:ascii="Times New Roman" w:eastAsiaTheme="minorHAnsi" w:hAnsi="Times New Roman" w:cs="Times New Roman"/>
          <w:color w:val="auto"/>
          <w:sz w:val="24"/>
          <w:szCs w:val="24"/>
        </w:rPr>
      </w:pPr>
    </w:p>
    <w:p w14:paraId="1106F161" w14:textId="5C2ACE5A" w:rsidR="0021760B" w:rsidRDefault="009238B7" w:rsidP="0021760B">
      <w:pPr>
        <w:keepNext/>
        <w:keepLines/>
        <w:spacing w:before="40" w:after="0"/>
        <w:outlineLvl w:val="1"/>
        <w:rPr>
          <w:rFonts w:asciiTheme="majorHAnsi" w:eastAsiaTheme="majorEastAsia" w:hAnsiTheme="majorHAnsi" w:cstheme="majorBidi"/>
          <w:color w:val="2F5496" w:themeColor="accent1" w:themeShade="BF"/>
          <w:sz w:val="26"/>
          <w:szCs w:val="26"/>
        </w:rPr>
      </w:pPr>
      <w:bookmarkStart w:id="19" w:name="_Toc139363439"/>
      <w:r>
        <w:rPr>
          <w:rFonts w:asciiTheme="majorHAnsi" w:eastAsiaTheme="majorEastAsia" w:hAnsiTheme="majorHAnsi" w:cstheme="majorBidi"/>
          <w:color w:val="2F5496" w:themeColor="accent1" w:themeShade="BF"/>
          <w:sz w:val="26"/>
          <w:szCs w:val="26"/>
        </w:rPr>
        <w:t>b</w:t>
      </w:r>
      <w:r w:rsidR="0021760B" w:rsidRPr="0021760B">
        <w:rPr>
          <w:rFonts w:asciiTheme="majorHAnsi" w:eastAsiaTheme="majorEastAsia" w:hAnsiTheme="majorHAnsi" w:cstheme="majorBidi"/>
          <w:color w:val="2F5496" w:themeColor="accent1" w:themeShade="BF"/>
          <w:sz w:val="26"/>
          <w:szCs w:val="26"/>
        </w:rPr>
        <w:t xml:space="preserve">. </w:t>
      </w:r>
      <w:r w:rsidR="0021760B">
        <w:rPr>
          <w:rFonts w:asciiTheme="majorHAnsi" w:eastAsiaTheme="majorEastAsia" w:hAnsiTheme="majorHAnsi" w:cstheme="majorBidi"/>
          <w:color w:val="2F5496" w:themeColor="accent1" w:themeShade="BF"/>
          <w:sz w:val="26"/>
          <w:szCs w:val="26"/>
        </w:rPr>
        <w:t>Contribution des Nations Unies</w:t>
      </w:r>
      <w:r w:rsidR="0021760B" w:rsidRPr="0021760B">
        <w:rPr>
          <w:rFonts w:asciiTheme="majorHAnsi" w:eastAsiaTheme="majorEastAsia" w:hAnsiTheme="majorHAnsi" w:cstheme="majorBidi"/>
          <w:color w:val="2F5496" w:themeColor="accent1" w:themeShade="BF"/>
          <w:sz w:val="26"/>
          <w:szCs w:val="26"/>
        </w:rPr>
        <w:t xml:space="preserve"> </w:t>
      </w:r>
      <w:r w:rsidR="00857D1D">
        <w:rPr>
          <w:rFonts w:asciiTheme="majorHAnsi" w:eastAsiaTheme="majorEastAsia" w:hAnsiTheme="majorHAnsi" w:cstheme="majorBidi"/>
          <w:color w:val="2F5496" w:themeColor="accent1" w:themeShade="BF"/>
          <w:sz w:val="26"/>
          <w:szCs w:val="26"/>
        </w:rPr>
        <w:t xml:space="preserve">au </w:t>
      </w:r>
      <w:r w:rsidR="0021760B" w:rsidRPr="0021760B">
        <w:rPr>
          <w:rFonts w:asciiTheme="majorHAnsi" w:eastAsiaTheme="majorEastAsia" w:hAnsiTheme="majorHAnsi" w:cstheme="majorBidi"/>
          <w:color w:val="2F5496" w:themeColor="accent1" w:themeShade="BF"/>
          <w:sz w:val="26"/>
          <w:szCs w:val="26"/>
        </w:rPr>
        <w:t>groupe Consultatif pour le financement du PND</w:t>
      </w:r>
      <w:bookmarkEnd w:id="19"/>
    </w:p>
    <w:p w14:paraId="713B3CB7" w14:textId="77777777" w:rsidR="00046BCD" w:rsidRPr="0021760B" w:rsidRDefault="00046BCD" w:rsidP="0021760B">
      <w:pPr>
        <w:keepNext/>
        <w:keepLines/>
        <w:spacing w:before="40" w:after="0"/>
        <w:outlineLvl w:val="1"/>
        <w:rPr>
          <w:rFonts w:asciiTheme="majorHAnsi" w:eastAsiaTheme="majorEastAsia" w:hAnsiTheme="majorHAnsi" w:cstheme="majorBidi"/>
          <w:color w:val="2F5496" w:themeColor="accent1" w:themeShade="BF"/>
          <w:sz w:val="26"/>
          <w:szCs w:val="26"/>
        </w:rPr>
      </w:pPr>
    </w:p>
    <w:p w14:paraId="5865BE0F" w14:textId="77777777" w:rsidR="0021760B" w:rsidRPr="0021760B" w:rsidRDefault="0021760B" w:rsidP="0021760B">
      <w:pPr>
        <w:autoSpaceDE w:val="0"/>
        <w:autoSpaceDN w:val="0"/>
        <w:adjustRightInd w:val="0"/>
        <w:spacing w:after="0" w:line="240" w:lineRule="auto"/>
        <w:jc w:val="both"/>
        <w:rPr>
          <w:rFonts w:ascii="Times New Roman" w:hAnsi="Times New Roman" w:cs="Times New Roman"/>
          <w:sz w:val="24"/>
          <w:szCs w:val="24"/>
        </w:rPr>
      </w:pPr>
      <w:r w:rsidRPr="0021760B">
        <w:rPr>
          <w:rFonts w:ascii="Times New Roman" w:hAnsi="Times New Roman" w:cs="Times New Roman"/>
          <w:sz w:val="24"/>
          <w:szCs w:val="24"/>
        </w:rPr>
        <w:t xml:space="preserve">Lors du Groupe Consultatif (GC) tenu le 15 juin 2022 pour le financement du PND 2021-2025, 25 partenaires au développement ont fait des annonces. L’objectif visé était de mobiliser auprès des partenaires au développement un montant de 15,5 milliards de dollars (9 335,6 milliards de FCFA). Au final, les annonces de financement des partenaires au développement s’élèvent à plus 26 milliards de dollars représentant une réalisation de l’objectif du groupe consultatif de 168,2%. Afin de permettre une comparabilité, ces partenaires ont été, selon la nature de leur institution, organisés en 5 catégories comme le montre le tableau ci-dessous. </w:t>
      </w:r>
    </w:p>
    <w:p w14:paraId="523937A4" w14:textId="77777777" w:rsidR="0021760B" w:rsidRPr="0021760B" w:rsidRDefault="0021760B" w:rsidP="0021760B">
      <w:pPr>
        <w:jc w:val="both"/>
        <w:rPr>
          <w:rFonts w:ascii="Times New Roman" w:hAnsi="Times New Roman" w:cs="Times New Roman"/>
        </w:rPr>
      </w:pPr>
    </w:p>
    <w:p w14:paraId="78186185" w14:textId="77777777" w:rsidR="0021760B" w:rsidRPr="0021760B" w:rsidRDefault="0021760B" w:rsidP="0021760B">
      <w:pPr>
        <w:jc w:val="both"/>
        <w:rPr>
          <w:rFonts w:ascii="Times New Roman" w:hAnsi="Times New Roman" w:cs="Times New Roman"/>
          <w:sz w:val="24"/>
          <w:szCs w:val="24"/>
        </w:rPr>
      </w:pPr>
      <w:r w:rsidRPr="0021760B">
        <w:rPr>
          <w:rFonts w:ascii="Times New Roman" w:hAnsi="Times New Roman" w:cs="Times New Roman"/>
          <w:sz w:val="24"/>
          <w:szCs w:val="24"/>
        </w:rPr>
        <w:t xml:space="preserve">Outre la catégorisation des partenaires au développement, le tableau ci-dessous met en évidence les montants globaux, d’une part, issus des annonces effectuées au GC de 2016 et d’autre part, les financements nouveaux sur la période 2021-2025 en distinguant les financements acquis et ceux à mobiliser. En 2016, les annonces faites au GC s’élevaient à 15083,25 millions de USD. Sur la période 2021-2025, le montant total des annonces s’établit à </w:t>
      </w:r>
      <w:r w:rsidRPr="0021760B">
        <w:rPr>
          <w:rFonts w:ascii="Times New Roman" w:hAnsi="Times New Roman" w:cs="Times New Roman"/>
          <w:b/>
          <w:bCs/>
          <w:sz w:val="24"/>
          <w:szCs w:val="24"/>
        </w:rPr>
        <w:t>26179,57 millions USD dont 34,16% de financements acquis et 65,84%</w:t>
      </w:r>
      <w:r w:rsidRPr="0021760B">
        <w:rPr>
          <w:rFonts w:ascii="Times New Roman" w:hAnsi="Times New Roman" w:cs="Times New Roman"/>
          <w:sz w:val="24"/>
          <w:szCs w:val="24"/>
        </w:rPr>
        <w:t xml:space="preserve"> de financements à mobiliser. Le pourcentage relativement important de financements à mobiliser après quasiment deux ans de mise en œuvre du PND indique de réelles opportunités qui se trouvent conforter par la phase de formulation de leur stratégie d’intervention dans laquelle se trouvent certains partenaires. </w:t>
      </w:r>
    </w:p>
    <w:p w14:paraId="5A622E71" w14:textId="77777777" w:rsidR="0021760B" w:rsidRPr="0021760B" w:rsidRDefault="0021760B" w:rsidP="0021760B">
      <w:pPr>
        <w:jc w:val="both"/>
        <w:rPr>
          <w:rFonts w:ascii="Times New Roman" w:hAnsi="Times New Roman" w:cs="Times New Roman"/>
          <w:sz w:val="24"/>
          <w:szCs w:val="24"/>
        </w:rPr>
      </w:pPr>
      <w:r w:rsidRPr="0021760B">
        <w:rPr>
          <w:rFonts w:ascii="Times New Roman" w:hAnsi="Times New Roman" w:cs="Times New Roman"/>
          <w:sz w:val="24"/>
          <w:szCs w:val="24"/>
        </w:rPr>
        <w:t xml:space="preserve">Sur la base des annonces pour la période </w:t>
      </w:r>
      <w:r w:rsidRPr="0021760B">
        <w:rPr>
          <w:rFonts w:ascii="Times New Roman" w:hAnsi="Times New Roman" w:cs="Times New Roman"/>
          <w:b/>
          <w:bCs/>
          <w:sz w:val="24"/>
          <w:szCs w:val="24"/>
        </w:rPr>
        <w:t>2021-2025,</w:t>
      </w:r>
      <w:r w:rsidRPr="0021760B">
        <w:rPr>
          <w:rFonts w:ascii="Times New Roman" w:hAnsi="Times New Roman" w:cs="Times New Roman"/>
          <w:sz w:val="24"/>
          <w:szCs w:val="24"/>
        </w:rPr>
        <w:t xml:space="preserve"> la catégorie Banques de Développement est la pr</w:t>
      </w:r>
      <w:r w:rsidRPr="0021760B">
        <w:rPr>
          <w:rFonts w:ascii="Times New Roman" w:hAnsi="Times New Roman" w:cs="Times New Roman"/>
          <w:b/>
          <w:bCs/>
          <w:sz w:val="24"/>
          <w:szCs w:val="24"/>
        </w:rPr>
        <w:t xml:space="preserve">emière pourvoyeuse de ressources avec 69,10%, </w:t>
      </w:r>
      <w:r w:rsidRPr="0021760B">
        <w:rPr>
          <w:rFonts w:ascii="Times New Roman" w:hAnsi="Times New Roman" w:cs="Times New Roman"/>
          <w:sz w:val="24"/>
          <w:szCs w:val="24"/>
        </w:rPr>
        <w:t>suivie des Bailleurs Bilatéraux et du SNU avec respectivement</w:t>
      </w:r>
      <w:r w:rsidRPr="0021760B">
        <w:rPr>
          <w:rFonts w:ascii="Times New Roman" w:hAnsi="Times New Roman" w:cs="Times New Roman"/>
          <w:b/>
          <w:bCs/>
          <w:sz w:val="24"/>
          <w:szCs w:val="24"/>
        </w:rPr>
        <w:t xml:space="preserve"> 28,41% et 2,49%.</w:t>
      </w:r>
    </w:p>
    <w:p w14:paraId="282B38A1" w14:textId="77777777" w:rsidR="00925C05" w:rsidRDefault="00DF6E7F" w:rsidP="00DF6E7F">
      <w:pPr>
        <w:pStyle w:val="Lgende"/>
        <w:keepNext/>
      </w:pPr>
      <w:r>
        <w:t xml:space="preserve">Tableau </w:t>
      </w:r>
      <w:proofErr w:type="gramStart"/>
      <w:r>
        <w:t>2:</w:t>
      </w:r>
      <w:proofErr w:type="gramEnd"/>
      <w:r>
        <w:t xml:space="preserve"> </w:t>
      </w:r>
      <w:r w:rsidRPr="00E23101">
        <w:t xml:space="preserve"> </w:t>
      </w:r>
      <w:r w:rsidR="0021760B" w:rsidRPr="0021760B">
        <w:t xml:space="preserve"> </w:t>
      </w:r>
    </w:p>
    <w:p w14:paraId="1D283602" w14:textId="7C83A05B" w:rsidR="00925C05" w:rsidRDefault="00925C05" w:rsidP="00925C05">
      <w:pPr>
        <w:pStyle w:val="Lgende"/>
        <w:keepNext/>
      </w:pPr>
      <w:bookmarkStart w:id="20" w:name="_Toc139379660"/>
      <w:r>
        <w:t xml:space="preserve">Tableau </w:t>
      </w:r>
      <w:r>
        <w:fldChar w:fldCharType="begin"/>
      </w:r>
      <w:r>
        <w:instrText xml:space="preserve"> SEQ Tableau \* ARABIC </w:instrText>
      </w:r>
      <w:r>
        <w:fldChar w:fldCharType="separate"/>
      </w:r>
      <w:r>
        <w:rPr>
          <w:noProof/>
        </w:rPr>
        <w:t>2</w:t>
      </w:r>
      <w:r>
        <w:fldChar w:fldCharType="end"/>
      </w:r>
      <w:proofErr w:type="gramStart"/>
      <w:r>
        <w:t xml:space="preserve"> :</w:t>
      </w:r>
      <w:r w:rsidRPr="00B33691">
        <w:t>Montants</w:t>
      </w:r>
      <w:proofErr w:type="gramEnd"/>
      <w:r w:rsidRPr="00B33691">
        <w:t xml:space="preserve"> globaux par catégorie de PTF au groupe consultatif 2021-2025</w:t>
      </w:r>
      <w:bookmarkEnd w:id="20"/>
    </w:p>
    <w:p w14:paraId="039C7A19" w14:textId="205CEE35" w:rsidR="0021760B" w:rsidRPr="00DF6E7F" w:rsidRDefault="0021760B" w:rsidP="00DF6E7F">
      <w:pPr>
        <w:pStyle w:val="Lgende"/>
        <w:keepNext/>
      </w:pPr>
      <w:r w:rsidRPr="0021760B">
        <w:t>Montants globaux par catégorie de PTF au groupe consultatif 2021-2025</w:t>
      </w:r>
    </w:p>
    <w:tbl>
      <w:tblPr>
        <w:tblpPr w:leftFromText="141" w:rightFromText="141" w:vertAnchor="text" w:horzAnchor="margin" w:tblpY="8"/>
        <w:tblW w:w="9771" w:type="dxa"/>
        <w:tblCellMar>
          <w:left w:w="70" w:type="dxa"/>
          <w:right w:w="70" w:type="dxa"/>
        </w:tblCellMar>
        <w:tblLook w:val="04A0" w:firstRow="1" w:lastRow="0" w:firstColumn="1" w:lastColumn="0" w:noHBand="0" w:noVBand="1"/>
      </w:tblPr>
      <w:tblGrid>
        <w:gridCol w:w="2686"/>
        <w:gridCol w:w="1388"/>
        <w:gridCol w:w="1431"/>
        <w:gridCol w:w="1232"/>
        <w:gridCol w:w="1729"/>
        <w:gridCol w:w="1305"/>
      </w:tblGrid>
      <w:tr w:rsidR="0021760B" w:rsidRPr="0021760B" w14:paraId="0478A2A1" w14:textId="77777777" w:rsidTr="00083DCE">
        <w:trPr>
          <w:trHeight w:val="576"/>
        </w:trPr>
        <w:tc>
          <w:tcPr>
            <w:tcW w:w="2686"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504CAC7" w14:textId="77777777" w:rsidR="0021760B" w:rsidRPr="0021760B" w:rsidRDefault="0021760B" w:rsidP="0021760B">
            <w:pPr>
              <w:spacing w:after="0" w:line="240" w:lineRule="auto"/>
              <w:jc w:val="center"/>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 xml:space="preserve">Catégories des Partenaires au Développement </w:t>
            </w:r>
          </w:p>
        </w:tc>
        <w:tc>
          <w:tcPr>
            <w:tcW w:w="1388"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3E408E3" w14:textId="77777777" w:rsidR="0021760B" w:rsidRPr="0021760B" w:rsidRDefault="0021760B" w:rsidP="0021760B">
            <w:pPr>
              <w:spacing w:after="0" w:line="240" w:lineRule="auto"/>
              <w:jc w:val="center"/>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Annonce au GC de 2016 (millions USD)</w:t>
            </w:r>
            <w:r w:rsidRPr="0021760B">
              <w:rPr>
                <w:rFonts w:ascii="Calibri" w:eastAsia="Times New Roman" w:hAnsi="Calibri" w:cs="Calibri"/>
                <w:color w:val="000000"/>
                <w:sz w:val="16"/>
                <w:szCs w:val="16"/>
                <w:lang w:eastAsia="fr-CI"/>
              </w:rPr>
              <w:t> </w:t>
            </w:r>
          </w:p>
        </w:tc>
        <w:tc>
          <w:tcPr>
            <w:tcW w:w="2663"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1E35C914" w14:textId="77777777" w:rsidR="0021760B" w:rsidRPr="0021760B" w:rsidRDefault="0021760B" w:rsidP="0021760B">
            <w:pPr>
              <w:spacing w:after="0" w:line="240" w:lineRule="auto"/>
              <w:jc w:val="center"/>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Financements nouveaux sur 2021-2025</w:t>
            </w:r>
          </w:p>
        </w:tc>
        <w:tc>
          <w:tcPr>
            <w:tcW w:w="1729" w:type="dxa"/>
            <w:tcBorders>
              <w:top w:val="single" w:sz="4" w:space="0" w:color="auto"/>
              <w:left w:val="single" w:sz="4" w:space="0" w:color="auto"/>
              <w:bottom w:val="nil"/>
              <w:right w:val="nil"/>
            </w:tcBorders>
            <w:shd w:val="clear" w:color="auto" w:fill="auto"/>
            <w:vAlign w:val="center"/>
            <w:hideMark/>
          </w:tcPr>
          <w:p w14:paraId="106FCB3A" w14:textId="77777777" w:rsidR="0021760B" w:rsidRPr="0021760B" w:rsidRDefault="0021760B" w:rsidP="0021760B">
            <w:pPr>
              <w:spacing w:after="0" w:line="240" w:lineRule="auto"/>
              <w:jc w:val="center"/>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Total de l'annonce</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D42412" w14:textId="77777777" w:rsidR="0021760B" w:rsidRPr="0021760B" w:rsidRDefault="0021760B" w:rsidP="0021760B">
            <w:pPr>
              <w:spacing w:after="0" w:line="240" w:lineRule="auto"/>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 xml:space="preserve"> Contribution des PTF (%)</w:t>
            </w:r>
          </w:p>
        </w:tc>
      </w:tr>
      <w:tr w:rsidR="0021760B" w:rsidRPr="0021760B" w14:paraId="28BD065B" w14:textId="77777777" w:rsidTr="00083DCE">
        <w:trPr>
          <w:trHeight w:val="288"/>
        </w:trPr>
        <w:tc>
          <w:tcPr>
            <w:tcW w:w="2686" w:type="dxa"/>
            <w:vMerge/>
            <w:tcBorders>
              <w:top w:val="single" w:sz="8" w:space="0" w:color="auto"/>
              <w:left w:val="single" w:sz="4" w:space="0" w:color="auto"/>
              <w:bottom w:val="single" w:sz="8" w:space="0" w:color="000000"/>
              <w:right w:val="single" w:sz="4" w:space="0" w:color="auto"/>
            </w:tcBorders>
            <w:vAlign w:val="center"/>
            <w:hideMark/>
          </w:tcPr>
          <w:p w14:paraId="2303B708" w14:textId="77777777" w:rsidR="0021760B" w:rsidRPr="0021760B" w:rsidRDefault="0021760B" w:rsidP="0021760B">
            <w:pPr>
              <w:spacing w:after="0" w:line="240" w:lineRule="auto"/>
              <w:rPr>
                <w:rFonts w:ascii="Calibri" w:eastAsia="Times New Roman" w:hAnsi="Calibri" w:cs="Calibri"/>
                <w:b/>
                <w:bCs/>
                <w:color w:val="000000"/>
                <w:lang w:eastAsia="fr-CI"/>
              </w:rPr>
            </w:pPr>
          </w:p>
        </w:tc>
        <w:tc>
          <w:tcPr>
            <w:tcW w:w="1388" w:type="dxa"/>
            <w:vMerge/>
            <w:tcBorders>
              <w:top w:val="single" w:sz="8" w:space="0" w:color="auto"/>
              <w:left w:val="single" w:sz="4" w:space="0" w:color="auto"/>
              <w:bottom w:val="single" w:sz="8" w:space="0" w:color="000000"/>
              <w:right w:val="single" w:sz="4" w:space="0" w:color="auto"/>
            </w:tcBorders>
            <w:vAlign w:val="center"/>
            <w:hideMark/>
          </w:tcPr>
          <w:p w14:paraId="60917EC1" w14:textId="77777777" w:rsidR="0021760B" w:rsidRPr="0021760B" w:rsidRDefault="0021760B" w:rsidP="0021760B">
            <w:pPr>
              <w:spacing w:after="0" w:line="240" w:lineRule="auto"/>
              <w:rPr>
                <w:rFonts w:ascii="Calibri" w:eastAsia="Times New Roman" w:hAnsi="Calibri" w:cs="Calibri"/>
                <w:b/>
                <w:bCs/>
                <w:color w:val="000000"/>
                <w:lang w:eastAsia="fr-CI"/>
              </w:rPr>
            </w:pPr>
          </w:p>
        </w:tc>
        <w:tc>
          <w:tcPr>
            <w:tcW w:w="2663" w:type="dxa"/>
            <w:gridSpan w:val="2"/>
            <w:vMerge/>
            <w:tcBorders>
              <w:top w:val="single" w:sz="8" w:space="0" w:color="auto"/>
              <w:left w:val="single" w:sz="4" w:space="0" w:color="auto"/>
              <w:bottom w:val="single" w:sz="8" w:space="0" w:color="000000"/>
              <w:right w:val="single" w:sz="4" w:space="0" w:color="auto"/>
            </w:tcBorders>
            <w:vAlign w:val="center"/>
            <w:hideMark/>
          </w:tcPr>
          <w:p w14:paraId="48B88B94" w14:textId="77777777" w:rsidR="0021760B" w:rsidRPr="0021760B" w:rsidRDefault="0021760B" w:rsidP="0021760B">
            <w:pPr>
              <w:spacing w:after="0" w:line="240" w:lineRule="auto"/>
              <w:rPr>
                <w:rFonts w:ascii="Calibri" w:eastAsia="Times New Roman" w:hAnsi="Calibri" w:cs="Calibri"/>
                <w:b/>
                <w:bCs/>
                <w:color w:val="000000"/>
                <w:lang w:eastAsia="fr-CI"/>
              </w:rPr>
            </w:pPr>
          </w:p>
        </w:tc>
        <w:tc>
          <w:tcPr>
            <w:tcW w:w="1729" w:type="dxa"/>
            <w:tcBorders>
              <w:top w:val="nil"/>
              <w:left w:val="single" w:sz="4" w:space="0" w:color="auto"/>
              <w:bottom w:val="nil"/>
              <w:right w:val="nil"/>
            </w:tcBorders>
            <w:shd w:val="clear" w:color="auto" w:fill="auto"/>
            <w:vAlign w:val="center"/>
            <w:hideMark/>
          </w:tcPr>
          <w:p w14:paraId="6ACF81F5" w14:textId="77777777" w:rsidR="0021760B" w:rsidRPr="0021760B" w:rsidRDefault="0021760B" w:rsidP="0021760B">
            <w:pPr>
              <w:spacing w:after="0" w:line="240" w:lineRule="auto"/>
              <w:jc w:val="center"/>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pour la Période</w:t>
            </w: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35B98200" w14:textId="77777777" w:rsidR="0021760B" w:rsidRPr="0021760B" w:rsidRDefault="0021760B" w:rsidP="0021760B">
            <w:pPr>
              <w:spacing w:after="0" w:line="240" w:lineRule="auto"/>
              <w:rPr>
                <w:rFonts w:ascii="Calibri" w:eastAsia="Times New Roman" w:hAnsi="Calibri" w:cs="Calibri"/>
                <w:b/>
                <w:bCs/>
                <w:color w:val="000000"/>
                <w:lang w:eastAsia="fr-CI"/>
              </w:rPr>
            </w:pPr>
          </w:p>
        </w:tc>
      </w:tr>
      <w:tr w:rsidR="0021760B" w:rsidRPr="0021760B" w14:paraId="61D0DCA4" w14:textId="77777777" w:rsidTr="00083DCE">
        <w:trPr>
          <w:trHeight w:val="300"/>
        </w:trPr>
        <w:tc>
          <w:tcPr>
            <w:tcW w:w="2686" w:type="dxa"/>
            <w:vMerge/>
            <w:tcBorders>
              <w:top w:val="single" w:sz="8" w:space="0" w:color="auto"/>
              <w:left w:val="single" w:sz="4" w:space="0" w:color="auto"/>
              <w:bottom w:val="single" w:sz="8" w:space="0" w:color="000000"/>
              <w:right w:val="single" w:sz="4" w:space="0" w:color="auto"/>
            </w:tcBorders>
            <w:vAlign w:val="center"/>
            <w:hideMark/>
          </w:tcPr>
          <w:p w14:paraId="76A9880E" w14:textId="77777777" w:rsidR="0021760B" w:rsidRPr="0021760B" w:rsidRDefault="0021760B" w:rsidP="0021760B">
            <w:pPr>
              <w:spacing w:after="0" w:line="240" w:lineRule="auto"/>
              <w:rPr>
                <w:rFonts w:ascii="Calibri" w:eastAsia="Times New Roman" w:hAnsi="Calibri" w:cs="Calibri"/>
                <w:b/>
                <w:bCs/>
                <w:color w:val="000000"/>
                <w:lang w:eastAsia="fr-CI"/>
              </w:rPr>
            </w:pPr>
          </w:p>
        </w:tc>
        <w:tc>
          <w:tcPr>
            <w:tcW w:w="1388" w:type="dxa"/>
            <w:vMerge/>
            <w:tcBorders>
              <w:top w:val="single" w:sz="8" w:space="0" w:color="auto"/>
              <w:left w:val="single" w:sz="4" w:space="0" w:color="auto"/>
              <w:bottom w:val="single" w:sz="8" w:space="0" w:color="000000"/>
              <w:right w:val="single" w:sz="4" w:space="0" w:color="auto"/>
            </w:tcBorders>
            <w:vAlign w:val="center"/>
            <w:hideMark/>
          </w:tcPr>
          <w:p w14:paraId="60D5675D" w14:textId="77777777" w:rsidR="0021760B" w:rsidRPr="0021760B" w:rsidRDefault="0021760B" w:rsidP="0021760B">
            <w:pPr>
              <w:spacing w:after="0" w:line="240" w:lineRule="auto"/>
              <w:rPr>
                <w:rFonts w:ascii="Calibri" w:eastAsia="Times New Roman" w:hAnsi="Calibri" w:cs="Calibri"/>
                <w:b/>
                <w:bCs/>
                <w:color w:val="000000"/>
                <w:lang w:eastAsia="fr-CI"/>
              </w:rPr>
            </w:pPr>
          </w:p>
        </w:tc>
        <w:tc>
          <w:tcPr>
            <w:tcW w:w="2663" w:type="dxa"/>
            <w:gridSpan w:val="2"/>
            <w:vMerge/>
            <w:tcBorders>
              <w:top w:val="single" w:sz="8" w:space="0" w:color="auto"/>
              <w:left w:val="single" w:sz="4" w:space="0" w:color="auto"/>
              <w:bottom w:val="single" w:sz="8" w:space="0" w:color="000000"/>
              <w:right w:val="single" w:sz="4" w:space="0" w:color="auto"/>
            </w:tcBorders>
            <w:vAlign w:val="center"/>
            <w:hideMark/>
          </w:tcPr>
          <w:p w14:paraId="75EB3260" w14:textId="77777777" w:rsidR="0021760B" w:rsidRPr="0021760B" w:rsidRDefault="0021760B" w:rsidP="0021760B">
            <w:pPr>
              <w:spacing w:after="0" w:line="240" w:lineRule="auto"/>
              <w:rPr>
                <w:rFonts w:ascii="Calibri" w:eastAsia="Times New Roman" w:hAnsi="Calibri" w:cs="Calibri"/>
                <w:b/>
                <w:bCs/>
                <w:color w:val="000000"/>
                <w:lang w:eastAsia="fr-CI"/>
              </w:rPr>
            </w:pPr>
          </w:p>
        </w:tc>
        <w:tc>
          <w:tcPr>
            <w:tcW w:w="1729" w:type="dxa"/>
            <w:tcBorders>
              <w:top w:val="nil"/>
              <w:left w:val="single" w:sz="4" w:space="0" w:color="auto"/>
              <w:bottom w:val="nil"/>
              <w:right w:val="nil"/>
            </w:tcBorders>
            <w:shd w:val="clear" w:color="auto" w:fill="auto"/>
            <w:vAlign w:val="center"/>
            <w:hideMark/>
          </w:tcPr>
          <w:p w14:paraId="5AF873AD" w14:textId="77777777" w:rsidR="0021760B" w:rsidRPr="0021760B" w:rsidRDefault="0021760B" w:rsidP="0021760B">
            <w:pPr>
              <w:spacing w:after="0" w:line="240" w:lineRule="auto"/>
              <w:jc w:val="center"/>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2021-2025</w:t>
            </w: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087A95C8" w14:textId="77777777" w:rsidR="0021760B" w:rsidRPr="0021760B" w:rsidRDefault="0021760B" w:rsidP="0021760B">
            <w:pPr>
              <w:spacing w:after="0" w:line="240" w:lineRule="auto"/>
              <w:rPr>
                <w:rFonts w:ascii="Calibri" w:eastAsia="Times New Roman" w:hAnsi="Calibri" w:cs="Calibri"/>
                <w:b/>
                <w:bCs/>
                <w:color w:val="000000"/>
                <w:lang w:eastAsia="fr-CI"/>
              </w:rPr>
            </w:pPr>
          </w:p>
        </w:tc>
      </w:tr>
      <w:tr w:rsidR="0021760B" w:rsidRPr="0021760B" w14:paraId="040B5248" w14:textId="77777777" w:rsidTr="00083DCE">
        <w:trPr>
          <w:trHeight w:val="588"/>
        </w:trPr>
        <w:tc>
          <w:tcPr>
            <w:tcW w:w="2686" w:type="dxa"/>
            <w:vMerge/>
            <w:tcBorders>
              <w:top w:val="single" w:sz="8" w:space="0" w:color="auto"/>
              <w:left w:val="single" w:sz="4" w:space="0" w:color="auto"/>
              <w:bottom w:val="single" w:sz="4" w:space="0" w:color="auto"/>
              <w:right w:val="single" w:sz="4" w:space="0" w:color="auto"/>
            </w:tcBorders>
            <w:vAlign w:val="center"/>
            <w:hideMark/>
          </w:tcPr>
          <w:p w14:paraId="24AD6841" w14:textId="77777777" w:rsidR="0021760B" w:rsidRPr="0021760B" w:rsidRDefault="0021760B" w:rsidP="0021760B">
            <w:pPr>
              <w:spacing w:after="0" w:line="240" w:lineRule="auto"/>
              <w:rPr>
                <w:rFonts w:ascii="Calibri" w:eastAsia="Times New Roman" w:hAnsi="Calibri" w:cs="Calibri"/>
                <w:b/>
                <w:bCs/>
                <w:color w:val="000000"/>
                <w:lang w:eastAsia="fr-CI"/>
              </w:rPr>
            </w:pPr>
          </w:p>
        </w:tc>
        <w:tc>
          <w:tcPr>
            <w:tcW w:w="1388" w:type="dxa"/>
            <w:vMerge/>
            <w:tcBorders>
              <w:top w:val="single" w:sz="8" w:space="0" w:color="auto"/>
              <w:left w:val="single" w:sz="4" w:space="0" w:color="auto"/>
              <w:bottom w:val="single" w:sz="4" w:space="0" w:color="auto"/>
              <w:right w:val="single" w:sz="4" w:space="0" w:color="auto"/>
            </w:tcBorders>
            <w:vAlign w:val="center"/>
            <w:hideMark/>
          </w:tcPr>
          <w:p w14:paraId="2B8555F0" w14:textId="77777777" w:rsidR="0021760B" w:rsidRPr="0021760B" w:rsidRDefault="0021760B" w:rsidP="0021760B">
            <w:pPr>
              <w:spacing w:after="0" w:line="240" w:lineRule="auto"/>
              <w:rPr>
                <w:rFonts w:ascii="Calibri" w:eastAsia="Times New Roman" w:hAnsi="Calibri" w:cs="Calibri"/>
                <w:b/>
                <w:bCs/>
                <w:color w:val="000000"/>
                <w:lang w:eastAsia="fr-CI"/>
              </w:rPr>
            </w:pPr>
          </w:p>
        </w:tc>
        <w:tc>
          <w:tcPr>
            <w:tcW w:w="1431" w:type="dxa"/>
            <w:tcBorders>
              <w:top w:val="nil"/>
              <w:left w:val="single" w:sz="4" w:space="0" w:color="auto"/>
              <w:bottom w:val="single" w:sz="4" w:space="0" w:color="auto"/>
              <w:right w:val="single" w:sz="4" w:space="0" w:color="auto"/>
            </w:tcBorders>
            <w:shd w:val="clear" w:color="auto" w:fill="auto"/>
            <w:vAlign w:val="center"/>
            <w:hideMark/>
          </w:tcPr>
          <w:p w14:paraId="353EA73D" w14:textId="77777777" w:rsidR="0021760B" w:rsidRPr="0021760B" w:rsidRDefault="0021760B" w:rsidP="0021760B">
            <w:pPr>
              <w:spacing w:after="0" w:line="240" w:lineRule="auto"/>
              <w:jc w:val="center"/>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 xml:space="preserve">Financements acquis </w:t>
            </w:r>
          </w:p>
        </w:tc>
        <w:tc>
          <w:tcPr>
            <w:tcW w:w="1232" w:type="dxa"/>
            <w:tcBorders>
              <w:top w:val="nil"/>
              <w:left w:val="single" w:sz="4" w:space="0" w:color="auto"/>
              <w:bottom w:val="single" w:sz="4" w:space="0" w:color="auto"/>
              <w:right w:val="single" w:sz="4" w:space="0" w:color="auto"/>
            </w:tcBorders>
            <w:shd w:val="clear" w:color="auto" w:fill="auto"/>
            <w:vAlign w:val="center"/>
            <w:hideMark/>
          </w:tcPr>
          <w:p w14:paraId="3FA29AD7" w14:textId="77777777" w:rsidR="0021760B" w:rsidRPr="0021760B" w:rsidRDefault="0021760B" w:rsidP="0021760B">
            <w:pPr>
              <w:spacing w:after="0" w:line="240" w:lineRule="auto"/>
              <w:jc w:val="center"/>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Montants à mobiliser</w:t>
            </w:r>
          </w:p>
        </w:tc>
        <w:tc>
          <w:tcPr>
            <w:tcW w:w="1729" w:type="dxa"/>
            <w:tcBorders>
              <w:top w:val="nil"/>
              <w:left w:val="single" w:sz="4" w:space="0" w:color="auto"/>
              <w:bottom w:val="single" w:sz="4" w:space="0" w:color="auto"/>
              <w:right w:val="nil"/>
            </w:tcBorders>
            <w:shd w:val="clear" w:color="auto" w:fill="auto"/>
            <w:vAlign w:val="center"/>
            <w:hideMark/>
          </w:tcPr>
          <w:p w14:paraId="5C1AEF1D" w14:textId="77777777" w:rsidR="0021760B" w:rsidRPr="0021760B" w:rsidRDefault="0021760B" w:rsidP="0021760B">
            <w:pPr>
              <w:spacing w:after="0" w:line="240" w:lineRule="auto"/>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 xml:space="preserve">     (millions USD)</w:t>
            </w: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1054108B" w14:textId="77777777" w:rsidR="0021760B" w:rsidRPr="0021760B" w:rsidRDefault="0021760B" w:rsidP="0021760B">
            <w:pPr>
              <w:spacing w:after="0" w:line="240" w:lineRule="auto"/>
              <w:rPr>
                <w:rFonts w:ascii="Calibri" w:eastAsia="Times New Roman" w:hAnsi="Calibri" w:cs="Calibri"/>
                <w:b/>
                <w:bCs/>
                <w:color w:val="000000"/>
                <w:lang w:eastAsia="fr-CI"/>
              </w:rPr>
            </w:pPr>
          </w:p>
        </w:tc>
      </w:tr>
      <w:tr w:rsidR="0021760B" w:rsidRPr="0021760B" w14:paraId="32234FB8" w14:textId="77777777" w:rsidTr="00083DCE">
        <w:trPr>
          <w:trHeight w:val="300"/>
        </w:trPr>
        <w:tc>
          <w:tcPr>
            <w:tcW w:w="2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046F5" w14:textId="77777777" w:rsidR="0021760B" w:rsidRPr="0021760B" w:rsidRDefault="0021760B" w:rsidP="0021760B">
            <w:pPr>
              <w:spacing w:after="0" w:line="240" w:lineRule="auto"/>
              <w:rPr>
                <w:rFonts w:ascii="Calibri" w:eastAsia="Times New Roman" w:hAnsi="Calibri" w:cs="Calibri"/>
                <w:color w:val="000000"/>
                <w:lang w:eastAsia="fr-CI"/>
              </w:rPr>
            </w:pPr>
            <w:r w:rsidRPr="0021760B">
              <w:rPr>
                <w:rFonts w:ascii="Calibri" w:eastAsia="Times New Roman" w:hAnsi="Calibri" w:cs="Calibri"/>
                <w:color w:val="000000"/>
                <w:lang w:eastAsia="fr-CI"/>
              </w:rPr>
              <w:t>BANQUES DE DEVELOPPEMENT</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F04B0"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10776,05</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3AC0D"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5416,047208</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C5FF0"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12675,3467</w:t>
            </w:r>
          </w:p>
        </w:tc>
        <w:tc>
          <w:tcPr>
            <w:tcW w:w="1729" w:type="dxa"/>
            <w:tcBorders>
              <w:top w:val="single" w:sz="4" w:space="0" w:color="auto"/>
              <w:left w:val="single" w:sz="4" w:space="0" w:color="auto"/>
              <w:bottom w:val="single" w:sz="4" w:space="0" w:color="auto"/>
              <w:right w:val="nil"/>
            </w:tcBorders>
            <w:shd w:val="clear" w:color="auto" w:fill="auto"/>
            <w:noWrap/>
            <w:vAlign w:val="center"/>
            <w:hideMark/>
          </w:tcPr>
          <w:p w14:paraId="765965B5"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18091,39389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FC3B1" w14:textId="77777777" w:rsidR="0021760B" w:rsidRPr="0021760B" w:rsidRDefault="0021760B" w:rsidP="0021760B">
            <w:pPr>
              <w:spacing w:after="0" w:line="240" w:lineRule="auto"/>
              <w:jc w:val="right"/>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69,11</w:t>
            </w:r>
          </w:p>
        </w:tc>
      </w:tr>
      <w:tr w:rsidR="0021760B" w:rsidRPr="0021760B" w14:paraId="56ED5E23" w14:textId="77777777" w:rsidTr="00083DCE">
        <w:trPr>
          <w:trHeight w:val="300"/>
        </w:trPr>
        <w:tc>
          <w:tcPr>
            <w:tcW w:w="2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60756" w14:textId="77777777" w:rsidR="0021760B" w:rsidRPr="0021760B" w:rsidRDefault="0021760B" w:rsidP="0021760B">
            <w:pPr>
              <w:spacing w:after="0" w:line="240" w:lineRule="auto"/>
              <w:rPr>
                <w:rFonts w:ascii="Calibri" w:eastAsia="Times New Roman" w:hAnsi="Calibri" w:cs="Calibri"/>
                <w:color w:val="000000"/>
                <w:lang w:eastAsia="fr-CI"/>
              </w:rPr>
            </w:pPr>
            <w:r w:rsidRPr="0021760B">
              <w:rPr>
                <w:rFonts w:ascii="Calibri" w:eastAsia="Times New Roman" w:hAnsi="Calibri" w:cs="Calibri"/>
                <w:color w:val="000000"/>
                <w:lang w:eastAsia="fr-CI"/>
              </w:rPr>
              <w:t>BAILLEURS BILATEREAUX</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41847"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3763,1</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31D0"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3255,248172</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7C01F"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4182,2635</w:t>
            </w:r>
          </w:p>
        </w:tc>
        <w:tc>
          <w:tcPr>
            <w:tcW w:w="1729" w:type="dxa"/>
            <w:tcBorders>
              <w:top w:val="single" w:sz="4" w:space="0" w:color="auto"/>
              <w:left w:val="single" w:sz="4" w:space="0" w:color="auto"/>
              <w:bottom w:val="single" w:sz="4" w:space="0" w:color="auto"/>
              <w:right w:val="nil"/>
            </w:tcBorders>
            <w:shd w:val="clear" w:color="auto" w:fill="auto"/>
            <w:noWrap/>
            <w:vAlign w:val="center"/>
            <w:hideMark/>
          </w:tcPr>
          <w:p w14:paraId="05F22AA6"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7437,511672</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ADD6D" w14:textId="77777777" w:rsidR="0021760B" w:rsidRPr="0021760B" w:rsidRDefault="0021760B" w:rsidP="0021760B">
            <w:pPr>
              <w:spacing w:after="0" w:line="240" w:lineRule="auto"/>
              <w:jc w:val="right"/>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28,41</w:t>
            </w:r>
          </w:p>
        </w:tc>
      </w:tr>
      <w:tr w:rsidR="0021760B" w:rsidRPr="0021760B" w14:paraId="0E593553" w14:textId="77777777" w:rsidTr="00083DCE">
        <w:trPr>
          <w:trHeight w:val="300"/>
        </w:trPr>
        <w:tc>
          <w:tcPr>
            <w:tcW w:w="2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13FC0" w14:textId="77777777" w:rsidR="0021760B" w:rsidRPr="0021760B" w:rsidRDefault="0021760B" w:rsidP="0021760B">
            <w:pPr>
              <w:spacing w:after="0" w:line="240" w:lineRule="auto"/>
              <w:rPr>
                <w:rFonts w:ascii="Calibri" w:eastAsia="Times New Roman" w:hAnsi="Calibri" w:cs="Calibri"/>
                <w:color w:val="000000"/>
                <w:lang w:eastAsia="fr-CI"/>
              </w:rPr>
            </w:pPr>
            <w:r w:rsidRPr="0021760B">
              <w:rPr>
                <w:rFonts w:ascii="Calibri" w:eastAsia="Times New Roman" w:hAnsi="Calibri" w:cs="Calibri"/>
                <w:color w:val="000000"/>
                <w:lang w:eastAsia="fr-CI"/>
              </w:rPr>
              <w:t>FONDS ARABES</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79D30"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61EC5" w14:textId="77777777" w:rsidR="0021760B" w:rsidRPr="0021760B" w:rsidRDefault="0021760B" w:rsidP="0021760B">
            <w:pPr>
              <w:spacing w:after="0" w:line="240" w:lineRule="auto"/>
              <w:jc w:val="right"/>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7275C" w14:textId="77777777" w:rsidR="0021760B" w:rsidRPr="0021760B" w:rsidRDefault="0021760B" w:rsidP="0021760B">
            <w:pPr>
              <w:spacing w:after="0" w:line="240" w:lineRule="auto"/>
              <w:jc w:val="right"/>
              <w:rPr>
                <w:rFonts w:ascii="Times New Roman" w:eastAsia="Times New Roman" w:hAnsi="Times New Roman" w:cs="Times New Roman"/>
                <w:b/>
                <w:bCs/>
                <w:color w:val="000000"/>
                <w:sz w:val="20"/>
                <w:szCs w:val="20"/>
                <w:lang w:eastAsia="fr-CI"/>
              </w:rPr>
            </w:pPr>
            <w:r w:rsidRPr="0021760B">
              <w:rPr>
                <w:rFonts w:ascii="Times New Roman" w:eastAsia="Times New Roman" w:hAnsi="Times New Roman" w:cs="Times New Roman"/>
                <w:b/>
                <w:bCs/>
                <w:color w:val="000000"/>
                <w:sz w:val="20"/>
                <w:szCs w:val="20"/>
                <w:lang w:eastAsia="fr-CI"/>
              </w:rPr>
              <w:t>-</w:t>
            </w:r>
          </w:p>
        </w:tc>
        <w:tc>
          <w:tcPr>
            <w:tcW w:w="1729" w:type="dxa"/>
            <w:tcBorders>
              <w:top w:val="single" w:sz="4" w:space="0" w:color="auto"/>
              <w:left w:val="single" w:sz="4" w:space="0" w:color="auto"/>
              <w:bottom w:val="single" w:sz="4" w:space="0" w:color="auto"/>
              <w:right w:val="nil"/>
            </w:tcBorders>
            <w:shd w:val="clear" w:color="auto" w:fill="auto"/>
            <w:noWrap/>
            <w:vAlign w:val="center"/>
            <w:hideMark/>
          </w:tcPr>
          <w:p w14:paraId="201DCC51" w14:textId="77777777" w:rsidR="0021760B" w:rsidRPr="0021760B" w:rsidRDefault="0021760B" w:rsidP="0021760B">
            <w:pPr>
              <w:spacing w:after="0" w:line="240" w:lineRule="auto"/>
              <w:jc w:val="right"/>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 </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3F560" w14:textId="77777777" w:rsidR="0021760B" w:rsidRPr="0021760B" w:rsidRDefault="0021760B" w:rsidP="0021760B">
            <w:pPr>
              <w:spacing w:after="0" w:line="240" w:lineRule="auto"/>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 </w:t>
            </w:r>
          </w:p>
        </w:tc>
      </w:tr>
      <w:tr w:rsidR="0021760B" w:rsidRPr="0021760B" w14:paraId="64F20F1A" w14:textId="77777777" w:rsidTr="00083DCE">
        <w:trPr>
          <w:trHeight w:val="300"/>
        </w:trPr>
        <w:tc>
          <w:tcPr>
            <w:tcW w:w="2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F75A4" w14:textId="77777777" w:rsidR="0021760B" w:rsidRPr="0021760B" w:rsidRDefault="0021760B" w:rsidP="0021760B">
            <w:pPr>
              <w:spacing w:after="0" w:line="240" w:lineRule="auto"/>
              <w:rPr>
                <w:rFonts w:ascii="Calibri" w:eastAsia="Times New Roman" w:hAnsi="Calibri" w:cs="Calibri"/>
                <w:color w:val="000000"/>
                <w:lang w:eastAsia="fr-CI"/>
              </w:rPr>
            </w:pPr>
            <w:r w:rsidRPr="0021760B">
              <w:rPr>
                <w:rFonts w:ascii="Calibri" w:eastAsia="Times New Roman" w:hAnsi="Calibri" w:cs="Calibri"/>
                <w:color w:val="000000"/>
                <w:lang w:eastAsia="fr-CI"/>
              </w:rPr>
              <w:t>ONG INTERNATIONALE</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0C8CD"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44,1</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45177" w14:textId="77777777" w:rsidR="0021760B" w:rsidRPr="0021760B" w:rsidRDefault="0021760B" w:rsidP="0021760B">
            <w:pPr>
              <w:spacing w:after="0" w:line="240" w:lineRule="auto"/>
              <w:jc w:val="right"/>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618C7" w14:textId="77777777" w:rsidR="0021760B" w:rsidRPr="0021760B" w:rsidRDefault="0021760B" w:rsidP="0021760B">
            <w:pPr>
              <w:spacing w:after="0" w:line="240" w:lineRule="auto"/>
              <w:jc w:val="right"/>
              <w:rPr>
                <w:rFonts w:ascii="Times New Roman" w:eastAsia="Times New Roman" w:hAnsi="Times New Roman" w:cs="Times New Roman"/>
                <w:b/>
                <w:bCs/>
                <w:color w:val="000000"/>
                <w:sz w:val="20"/>
                <w:szCs w:val="20"/>
                <w:lang w:eastAsia="fr-CI"/>
              </w:rPr>
            </w:pPr>
            <w:r w:rsidRPr="0021760B">
              <w:rPr>
                <w:rFonts w:ascii="Times New Roman" w:eastAsia="Times New Roman" w:hAnsi="Times New Roman" w:cs="Times New Roman"/>
                <w:b/>
                <w:bCs/>
                <w:color w:val="000000"/>
                <w:sz w:val="20"/>
                <w:szCs w:val="20"/>
                <w:lang w:eastAsia="fr-CI"/>
              </w:rPr>
              <w:t>-</w:t>
            </w:r>
          </w:p>
        </w:tc>
        <w:tc>
          <w:tcPr>
            <w:tcW w:w="1729" w:type="dxa"/>
            <w:tcBorders>
              <w:top w:val="single" w:sz="4" w:space="0" w:color="auto"/>
              <w:left w:val="single" w:sz="4" w:space="0" w:color="auto"/>
              <w:bottom w:val="single" w:sz="4" w:space="0" w:color="auto"/>
              <w:right w:val="nil"/>
            </w:tcBorders>
            <w:shd w:val="clear" w:color="auto" w:fill="auto"/>
            <w:noWrap/>
            <w:vAlign w:val="center"/>
            <w:hideMark/>
          </w:tcPr>
          <w:p w14:paraId="6BF135E6"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DADD2" w14:textId="77777777" w:rsidR="0021760B" w:rsidRPr="0021760B" w:rsidRDefault="0021760B" w:rsidP="0021760B">
            <w:pPr>
              <w:spacing w:after="0" w:line="240" w:lineRule="auto"/>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 </w:t>
            </w:r>
          </w:p>
        </w:tc>
      </w:tr>
      <w:tr w:rsidR="0021760B" w:rsidRPr="0021760B" w14:paraId="0DB644E0" w14:textId="77777777" w:rsidTr="00083DCE">
        <w:trPr>
          <w:trHeight w:val="300"/>
        </w:trPr>
        <w:tc>
          <w:tcPr>
            <w:tcW w:w="2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A5307" w14:textId="77777777" w:rsidR="0021760B" w:rsidRPr="0021760B" w:rsidRDefault="0021760B" w:rsidP="0021760B">
            <w:pPr>
              <w:spacing w:after="0" w:line="240" w:lineRule="auto"/>
              <w:rPr>
                <w:rFonts w:ascii="Calibri" w:eastAsia="Times New Roman" w:hAnsi="Calibri" w:cs="Calibri"/>
                <w:color w:val="000000"/>
                <w:lang w:eastAsia="fr-CI"/>
              </w:rPr>
            </w:pPr>
            <w:r w:rsidRPr="0021760B">
              <w:rPr>
                <w:rFonts w:ascii="Calibri" w:eastAsia="Times New Roman" w:hAnsi="Calibri" w:cs="Calibri"/>
                <w:color w:val="000000"/>
                <w:lang w:eastAsia="fr-CI"/>
              </w:rPr>
              <w:t xml:space="preserve">GROUPE SNU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013AE"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500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FAF69"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272,3596803</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927A2"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378,308949</w:t>
            </w:r>
          </w:p>
        </w:tc>
        <w:tc>
          <w:tcPr>
            <w:tcW w:w="1729" w:type="dxa"/>
            <w:tcBorders>
              <w:top w:val="single" w:sz="4" w:space="0" w:color="auto"/>
              <w:left w:val="single" w:sz="4" w:space="0" w:color="auto"/>
              <w:bottom w:val="single" w:sz="4" w:space="0" w:color="auto"/>
              <w:right w:val="nil"/>
            </w:tcBorders>
            <w:shd w:val="clear" w:color="auto" w:fill="auto"/>
            <w:noWrap/>
            <w:vAlign w:val="center"/>
            <w:hideMark/>
          </w:tcPr>
          <w:p w14:paraId="15425F8D" w14:textId="77777777" w:rsidR="0021760B" w:rsidRPr="0021760B" w:rsidRDefault="0021760B" w:rsidP="0021760B">
            <w:pPr>
              <w:spacing w:after="0" w:line="240" w:lineRule="auto"/>
              <w:jc w:val="right"/>
              <w:rPr>
                <w:rFonts w:ascii="Calibri" w:eastAsia="Times New Roman" w:hAnsi="Calibri" w:cs="Calibri"/>
                <w:color w:val="000000"/>
                <w:lang w:eastAsia="fr-CI"/>
              </w:rPr>
            </w:pPr>
            <w:r w:rsidRPr="0021760B">
              <w:rPr>
                <w:rFonts w:ascii="Calibri" w:eastAsia="Times New Roman" w:hAnsi="Calibri" w:cs="Calibri"/>
                <w:color w:val="000000"/>
                <w:lang w:eastAsia="fr-CI"/>
              </w:rPr>
              <w:t>650,668629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854B4" w14:textId="77777777" w:rsidR="0021760B" w:rsidRPr="0021760B" w:rsidRDefault="0021760B" w:rsidP="0021760B">
            <w:pPr>
              <w:spacing w:after="0" w:line="240" w:lineRule="auto"/>
              <w:jc w:val="right"/>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2,49</w:t>
            </w:r>
          </w:p>
        </w:tc>
      </w:tr>
      <w:tr w:rsidR="0021760B" w:rsidRPr="0021760B" w14:paraId="7C9C5C5C" w14:textId="77777777" w:rsidTr="00083DCE">
        <w:trPr>
          <w:trHeight w:val="300"/>
        </w:trPr>
        <w:tc>
          <w:tcPr>
            <w:tcW w:w="2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D03CB" w14:textId="77777777" w:rsidR="0021760B" w:rsidRPr="0021760B" w:rsidRDefault="0021760B" w:rsidP="0021760B">
            <w:pPr>
              <w:spacing w:after="0" w:line="240" w:lineRule="auto"/>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TOTAL GENERAL</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741FC" w14:textId="77777777" w:rsidR="0021760B" w:rsidRPr="0021760B" w:rsidRDefault="0021760B" w:rsidP="0021760B">
            <w:pPr>
              <w:spacing w:after="0" w:line="240" w:lineRule="auto"/>
              <w:jc w:val="right"/>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15083,25</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4614" w14:textId="77777777" w:rsidR="0021760B" w:rsidRPr="0021760B" w:rsidRDefault="0021760B" w:rsidP="0021760B">
            <w:pPr>
              <w:spacing w:after="0" w:line="240" w:lineRule="auto"/>
              <w:jc w:val="right"/>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8943,66</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C2589" w14:textId="77777777" w:rsidR="0021760B" w:rsidRPr="0021760B" w:rsidRDefault="0021760B" w:rsidP="0021760B">
            <w:pPr>
              <w:spacing w:after="0" w:line="240" w:lineRule="auto"/>
              <w:jc w:val="right"/>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17235,92</w:t>
            </w:r>
          </w:p>
        </w:tc>
        <w:tc>
          <w:tcPr>
            <w:tcW w:w="1729" w:type="dxa"/>
            <w:tcBorders>
              <w:top w:val="single" w:sz="4" w:space="0" w:color="auto"/>
              <w:left w:val="single" w:sz="4" w:space="0" w:color="auto"/>
              <w:bottom w:val="single" w:sz="4" w:space="0" w:color="auto"/>
              <w:right w:val="nil"/>
            </w:tcBorders>
            <w:shd w:val="clear" w:color="auto" w:fill="auto"/>
            <w:noWrap/>
            <w:vAlign w:val="center"/>
            <w:hideMark/>
          </w:tcPr>
          <w:p w14:paraId="7278E26A" w14:textId="77777777" w:rsidR="0021760B" w:rsidRPr="0021760B" w:rsidRDefault="0021760B" w:rsidP="0021760B">
            <w:pPr>
              <w:spacing w:after="0" w:line="240" w:lineRule="auto"/>
              <w:jc w:val="right"/>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26 179,57</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3010F" w14:textId="77777777" w:rsidR="0021760B" w:rsidRPr="0021760B" w:rsidRDefault="0021760B" w:rsidP="0021760B">
            <w:pPr>
              <w:spacing w:after="0" w:line="240" w:lineRule="auto"/>
              <w:rPr>
                <w:rFonts w:ascii="Calibri" w:eastAsia="Times New Roman" w:hAnsi="Calibri" w:cs="Calibri"/>
                <w:b/>
                <w:bCs/>
                <w:color w:val="000000"/>
                <w:lang w:eastAsia="fr-CI"/>
              </w:rPr>
            </w:pPr>
            <w:r w:rsidRPr="0021760B">
              <w:rPr>
                <w:rFonts w:ascii="Calibri" w:eastAsia="Times New Roman" w:hAnsi="Calibri" w:cs="Calibri"/>
                <w:b/>
                <w:bCs/>
                <w:color w:val="000000"/>
                <w:lang w:eastAsia="fr-CI"/>
              </w:rPr>
              <w:t>               100</w:t>
            </w:r>
          </w:p>
        </w:tc>
      </w:tr>
    </w:tbl>
    <w:p w14:paraId="1590334E" w14:textId="77777777" w:rsidR="0021760B" w:rsidRPr="0021760B" w:rsidRDefault="0021760B" w:rsidP="0021760B">
      <w:pPr>
        <w:jc w:val="both"/>
        <w:rPr>
          <w:rFonts w:ascii="Cambria" w:hAnsi="Cambria"/>
          <w:b/>
          <w:bCs/>
          <w:sz w:val="18"/>
          <w:szCs w:val="18"/>
        </w:rPr>
      </w:pPr>
      <w:r w:rsidRPr="0021760B">
        <w:rPr>
          <w:rFonts w:ascii="Cambria" w:hAnsi="Cambria"/>
          <w:b/>
          <w:bCs/>
          <w:sz w:val="18"/>
          <w:szCs w:val="18"/>
        </w:rPr>
        <w:t xml:space="preserve">Source : </w:t>
      </w:r>
      <w:proofErr w:type="spellStart"/>
      <w:r w:rsidRPr="0021760B">
        <w:rPr>
          <w:rFonts w:ascii="Cambria" w:hAnsi="Cambria"/>
          <w:b/>
          <w:bCs/>
          <w:sz w:val="18"/>
          <w:szCs w:val="18"/>
        </w:rPr>
        <w:t>Gc_PND</w:t>
      </w:r>
      <w:proofErr w:type="spellEnd"/>
      <w:r w:rsidRPr="0021760B">
        <w:rPr>
          <w:rFonts w:ascii="Cambria" w:hAnsi="Cambria"/>
          <w:b/>
          <w:bCs/>
          <w:sz w:val="18"/>
          <w:szCs w:val="18"/>
        </w:rPr>
        <w:t xml:space="preserve"> 2021-2025.</w:t>
      </w:r>
    </w:p>
    <w:p w14:paraId="2A888B9A" w14:textId="5A3C64AD" w:rsidR="00E333BD" w:rsidRDefault="00E333BD" w:rsidP="00E333BD"/>
    <w:p w14:paraId="59EF31D7" w14:textId="77777777" w:rsidR="00857D1D" w:rsidRDefault="00857D1D" w:rsidP="00E333BD"/>
    <w:p w14:paraId="0BBFE6E6" w14:textId="08953983" w:rsidR="00E333BD" w:rsidRDefault="00E333BD" w:rsidP="00E333BD"/>
    <w:p w14:paraId="5FCC01F9" w14:textId="30748DD1" w:rsidR="00046BCD" w:rsidRDefault="00046BCD" w:rsidP="00E333BD"/>
    <w:p w14:paraId="02715509" w14:textId="50D7E008" w:rsidR="00046BCD" w:rsidRDefault="00046BCD" w:rsidP="00E333BD"/>
    <w:p w14:paraId="04BA81BB" w14:textId="020F9FDB" w:rsidR="00046BCD" w:rsidRDefault="00046BCD" w:rsidP="00E333BD"/>
    <w:p w14:paraId="2C743B86" w14:textId="021C488C" w:rsidR="00046BCD" w:rsidRDefault="00046BCD" w:rsidP="00E333BD"/>
    <w:p w14:paraId="1217C435" w14:textId="34CED237" w:rsidR="00046BCD" w:rsidRDefault="00046BCD" w:rsidP="00E333BD"/>
    <w:p w14:paraId="7D6351DB" w14:textId="66484281" w:rsidR="00046BCD" w:rsidRDefault="00046BCD" w:rsidP="00E333BD"/>
    <w:p w14:paraId="7D2C4A1E" w14:textId="27245963" w:rsidR="00046BCD" w:rsidRDefault="00046BCD" w:rsidP="00E333BD"/>
    <w:p w14:paraId="3885E170" w14:textId="0326618E" w:rsidR="00046BCD" w:rsidRDefault="00046BCD" w:rsidP="00E333BD"/>
    <w:p w14:paraId="72792C38" w14:textId="1D7034CE" w:rsidR="00046BCD" w:rsidRDefault="00046BCD" w:rsidP="00E333BD"/>
    <w:p w14:paraId="74A67483" w14:textId="77777777" w:rsidR="00745A04" w:rsidRDefault="00745A04" w:rsidP="00E333BD"/>
    <w:p w14:paraId="360A1B64" w14:textId="77777777" w:rsidR="00C97E82" w:rsidRDefault="00C97E82" w:rsidP="00E333BD"/>
    <w:p w14:paraId="1C3A322B" w14:textId="77777777" w:rsidR="00C97E82" w:rsidRDefault="00C97E82" w:rsidP="00E333BD"/>
    <w:p w14:paraId="49E01DCA" w14:textId="35E3AC0B" w:rsidR="00046BCD" w:rsidRDefault="00046BCD" w:rsidP="00E333BD"/>
    <w:p w14:paraId="7A4BFDC8" w14:textId="77777777" w:rsidR="00046BCD" w:rsidRDefault="00046BCD" w:rsidP="00E333BD"/>
    <w:p w14:paraId="5C0982A1" w14:textId="060D3FA2" w:rsidR="00E333BD" w:rsidRPr="00857D1D" w:rsidRDefault="00680F6A" w:rsidP="00A8446A">
      <w:pPr>
        <w:pStyle w:val="Paragraphedeliste"/>
        <w:numPr>
          <w:ilvl w:val="0"/>
          <w:numId w:val="34"/>
        </w:numPr>
        <w:rPr>
          <w:b/>
          <w:bCs/>
          <w:color w:val="0070C0"/>
          <w:sz w:val="28"/>
          <w:szCs w:val="28"/>
        </w:rPr>
      </w:pPr>
      <w:r w:rsidRPr="00857D1D">
        <w:rPr>
          <w:b/>
          <w:bCs/>
          <w:color w:val="0070C0"/>
          <w:sz w:val="28"/>
          <w:szCs w:val="28"/>
        </w:rPr>
        <w:t>La Stratégie de mobilisation des ressources pour le fonctionnement et le Programme du PNUD Côte d’Ivoire</w:t>
      </w:r>
    </w:p>
    <w:p w14:paraId="3B1F693F" w14:textId="24F3B3E2" w:rsidR="00C30208" w:rsidRPr="00304B95" w:rsidRDefault="0021760B" w:rsidP="00A8446A">
      <w:pPr>
        <w:pStyle w:val="Titre2"/>
        <w:numPr>
          <w:ilvl w:val="0"/>
          <w:numId w:val="31"/>
        </w:numPr>
      </w:pPr>
      <w:bookmarkStart w:id="21" w:name="_Toc139363440"/>
      <w:bookmarkEnd w:id="8"/>
      <w:bookmarkEnd w:id="10"/>
      <w:r>
        <w:t>Evolution des volumes de financements du PNUD Côte d’Ivoire</w:t>
      </w:r>
      <w:bookmarkEnd w:id="21"/>
    </w:p>
    <w:p w14:paraId="436BF878" w14:textId="77777777" w:rsidR="00DF6E7F" w:rsidRDefault="00DF6E7F" w:rsidP="00DF6E7F">
      <w:pPr>
        <w:pStyle w:val="Lgende"/>
        <w:keepNext/>
      </w:pPr>
    </w:p>
    <w:p w14:paraId="3C0B478A" w14:textId="77777777" w:rsidR="00925C05" w:rsidRDefault="00DF6E7F" w:rsidP="00DF6E7F">
      <w:pPr>
        <w:pStyle w:val="Lgende"/>
        <w:keepNext/>
      </w:pPr>
      <w:r>
        <w:t xml:space="preserve">Tableau  3 : </w:t>
      </w:r>
    </w:p>
    <w:p w14:paraId="17C44ACF" w14:textId="12BBE7C2" w:rsidR="00925C05" w:rsidRDefault="00925C05" w:rsidP="00925C05">
      <w:pPr>
        <w:pStyle w:val="Lgende"/>
        <w:keepNext/>
      </w:pPr>
      <w:bookmarkStart w:id="22" w:name="_Toc139379661"/>
      <w:r>
        <w:t xml:space="preserve">Tableau </w:t>
      </w:r>
      <w:r>
        <w:fldChar w:fldCharType="begin"/>
      </w:r>
      <w:r>
        <w:instrText xml:space="preserve"> SEQ Tableau \* ARABIC </w:instrText>
      </w:r>
      <w:r>
        <w:fldChar w:fldCharType="separate"/>
      </w:r>
      <w:r>
        <w:rPr>
          <w:noProof/>
        </w:rPr>
        <w:t>3</w:t>
      </w:r>
      <w:r>
        <w:fldChar w:fldCharType="end"/>
      </w:r>
      <w:r>
        <w:t xml:space="preserve"> : </w:t>
      </w:r>
      <w:r w:rsidRPr="004D230E">
        <w:t>Mobilisation des ressources</w:t>
      </w:r>
      <w:bookmarkEnd w:id="22"/>
    </w:p>
    <w:p w14:paraId="6A78D15C" w14:textId="2B85834F" w:rsidR="00DF6E7F" w:rsidRDefault="00DF6E7F" w:rsidP="00DF6E7F">
      <w:pPr>
        <w:pStyle w:val="Lgende"/>
        <w:keepNext/>
      </w:pPr>
      <w:r w:rsidRPr="0077320F">
        <w:t>Mobilisation des ressources</w:t>
      </w:r>
    </w:p>
    <w:p w14:paraId="5A769B40" w14:textId="7FA36DE4" w:rsidR="00AD4386" w:rsidRPr="00C97E82" w:rsidRDefault="00D312C1" w:rsidP="00C97E82">
      <w:r w:rsidRPr="00D312C1">
        <w:rPr>
          <w:noProof/>
        </w:rPr>
        <w:drawing>
          <wp:inline distT="0" distB="0" distL="0" distR="0" wp14:anchorId="2C2D986B" wp14:editId="058A74A1">
            <wp:extent cx="6210935" cy="45110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935" cy="4511040"/>
                    </a:xfrm>
                    <a:prstGeom prst="rect">
                      <a:avLst/>
                    </a:prstGeom>
                    <a:noFill/>
                    <a:ln>
                      <a:noFill/>
                    </a:ln>
                  </pic:spPr>
                </pic:pic>
              </a:graphicData>
            </a:graphic>
          </wp:inline>
        </w:drawing>
      </w:r>
      <w:r>
        <w:t>Source : CO_PNUD</w:t>
      </w:r>
      <w:r w:rsidR="00584B1F">
        <w:t>.</w:t>
      </w:r>
    </w:p>
    <w:p w14:paraId="3A3B070E" w14:textId="797CE381" w:rsidR="00046BCD" w:rsidRDefault="0085196D" w:rsidP="00857D1D">
      <w:pPr>
        <w:jc w:val="both"/>
        <w:rPr>
          <w:rFonts w:ascii="Times New Roman" w:hAnsi="Times New Roman" w:cs="Times New Roman"/>
          <w:sz w:val="24"/>
          <w:szCs w:val="24"/>
        </w:rPr>
      </w:pPr>
      <w:r w:rsidRPr="00857D1D">
        <w:rPr>
          <w:rFonts w:ascii="Times New Roman" w:hAnsi="Times New Roman" w:cs="Times New Roman"/>
          <w:sz w:val="24"/>
          <w:szCs w:val="24"/>
        </w:rPr>
        <w:t>Le graphique ci-dessous donne à vue d’œil, la situation et les perspectives</w:t>
      </w:r>
      <w:r w:rsidR="007A5C6B" w:rsidRPr="00857D1D">
        <w:rPr>
          <w:rFonts w:ascii="Times New Roman" w:hAnsi="Times New Roman" w:cs="Times New Roman"/>
          <w:sz w:val="24"/>
          <w:szCs w:val="24"/>
        </w:rPr>
        <w:t xml:space="preserve"> de financement</w:t>
      </w:r>
      <w:r w:rsidR="006F3B95" w:rsidRPr="00857D1D">
        <w:rPr>
          <w:rFonts w:ascii="Times New Roman" w:hAnsi="Times New Roman" w:cs="Times New Roman"/>
          <w:sz w:val="24"/>
          <w:szCs w:val="24"/>
        </w:rPr>
        <w:t xml:space="preserve"> du PNUD Côte d’Ivoire</w:t>
      </w:r>
      <w:r w:rsidR="00F7508F" w:rsidRPr="00857D1D">
        <w:rPr>
          <w:rFonts w:ascii="Times New Roman" w:hAnsi="Times New Roman" w:cs="Times New Roman"/>
          <w:sz w:val="24"/>
          <w:szCs w:val="24"/>
        </w:rPr>
        <w:t xml:space="preserve">. On remarque </w:t>
      </w:r>
      <w:proofErr w:type="gramStart"/>
      <w:r w:rsidR="00F7508F" w:rsidRPr="00857D1D">
        <w:rPr>
          <w:rFonts w:ascii="Times New Roman" w:hAnsi="Times New Roman" w:cs="Times New Roman"/>
          <w:sz w:val="24"/>
          <w:szCs w:val="24"/>
        </w:rPr>
        <w:t>qu</w:t>
      </w:r>
      <w:r w:rsidR="00195E24">
        <w:rPr>
          <w:rFonts w:ascii="Times New Roman" w:hAnsi="Times New Roman" w:cs="Times New Roman"/>
          <w:sz w:val="24"/>
          <w:szCs w:val="24"/>
        </w:rPr>
        <w:t>’</w:t>
      </w:r>
      <w:r w:rsidR="00F7508F" w:rsidRPr="00857D1D">
        <w:rPr>
          <w:rFonts w:ascii="Times New Roman" w:hAnsi="Times New Roman" w:cs="Times New Roman"/>
          <w:sz w:val="24"/>
          <w:szCs w:val="24"/>
        </w:rPr>
        <w:t xml:space="preserve"> hormis</w:t>
      </w:r>
      <w:proofErr w:type="gramEnd"/>
      <w:r w:rsidR="00F7508F" w:rsidRPr="00857D1D">
        <w:rPr>
          <w:rFonts w:ascii="Times New Roman" w:hAnsi="Times New Roman" w:cs="Times New Roman"/>
          <w:sz w:val="24"/>
          <w:szCs w:val="24"/>
        </w:rPr>
        <w:t xml:space="preserve"> les fon</w:t>
      </w:r>
      <w:r w:rsidR="00265CE7" w:rsidRPr="00857D1D">
        <w:rPr>
          <w:rFonts w:ascii="Times New Roman" w:hAnsi="Times New Roman" w:cs="Times New Roman"/>
          <w:sz w:val="24"/>
          <w:szCs w:val="24"/>
        </w:rPr>
        <w:t xml:space="preserve">ds </w:t>
      </w:r>
      <w:proofErr w:type="spellStart"/>
      <w:r w:rsidR="00265CE7" w:rsidRPr="00857D1D">
        <w:rPr>
          <w:rFonts w:ascii="Times New Roman" w:hAnsi="Times New Roman" w:cs="Times New Roman"/>
          <w:sz w:val="24"/>
          <w:szCs w:val="24"/>
        </w:rPr>
        <w:t>cost</w:t>
      </w:r>
      <w:proofErr w:type="spellEnd"/>
      <w:r w:rsidR="00265CE7" w:rsidRPr="00857D1D">
        <w:rPr>
          <w:rFonts w:ascii="Times New Roman" w:hAnsi="Times New Roman" w:cs="Times New Roman"/>
          <w:sz w:val="24"/>
          <w:szCs w:val="24"/>
        </w:rPr>
        <w:t>-sharing</w:t>
      </w:r>
      <w:r w:rsidR="0073035F" w:rsidRPr="00857D1D">
        <w:rPr>
          <w:rFonts w:ascii="Times New Roman" w:hAnsi="Times New Roman" w:cs="Times New Roman"/>
          <w:sz w:val="24"/>
          <w:szCs w:val="24"/>
        </w:rPr>
        <w:t xml:space="preserve"> qui affichent une tendance croissante, tous les autres</w:t>
      </w:r>
      <w:r w:rsidR="00C44C83" w:rsidRPr="00857D1D">
        <w:rPr>
          <w:rFonts w:ascii="Times New Roman" w:hAnsi="Times New Roman" w:cs="Times New Roman"/>
          <w:sz w:val="24"/>
          <w:szCs w:val="24"/>
        </w:rPr>
        <w:t xml:space="preserve"> fonds ont une tendance plate traduisant des perspectives faible</w:t>
      </w:r>
      <w:r w:rsidR="00FE62DF" w:rsidRPr="00857D1D">
        <w:rPr>
          <w:rFonts w:ascii="Times New Roman" w:hAnsi="Times New Roman" w:cs="Times New Roman"/>
          <w:sz w:val="24"/>
          <w:szCs w:val="24"/>
        </w:rPr>
        <w:t>s</w:t>
      </w:r>
      <w:r w:rsidR="00C44C83" w:rsidRPr="00857D1D">
        <w:rPr>
          <w:rFonts w:ascii="Times New Roman" w:hAnsi="Times New Roman" w:cs="Times New Roman"/>
          <w:sz w:val="24"/>
          <w:szCs w:val="24"/>
        </w:rPr>
        <w:t xml:space="preserve"> d’accroissement des financements.</w:t>
      </w:r>
      <w:r w:rsidR="00FE62DF" w:rsidRPr="00857D1D">
        <w:rPr>
          <w:rFonts w:ascii="Times New Roman" w:hAnsi="Times New Roman" w:cs="Times New Roman"/>
          <w:sz w:val="24"/>
          <w:szCs w:val="24"/>
        </w:rPr>
        <w:t xml:space="preserve"> Il est attendu une augment</w:t>
      </w:r>
      <w:r w:rsidR="00884953" w:rsidRPr="00857D1D">
        <w:rPr>
          <w:rFonts w:ascii="Times New Roman" w:hAnsi="Times New Roman" w:cs="Times New Roman"/>
          <w:sz w:val="24"/>
          <w:szCs w:val="24"/>
        </w:rPr>
        <w:t>ation d</w:t>
      </w:r>
      <w:r w:rsidR="00FE62DF" w:rsidRPr="00857D1D">
        <w:rPr>
          <w:rFonts w:ascii="Times New Roman" w:hAnsi="Times New Roman" w:cs="Times New Roman"/>
          <w:sz w:val="24"/>
          <w:szCs w:val="24"/>
        </w:rPr>
        <w:t xml:space="preserve">es fonds </w:t>
      </w:r>
      <w:proofErr w:type="spellStart"/>
      <w:r w:rsidR="00FE62DF" w:rsidRPr="00857D1D">
        <w:rPr>
          <w:rFonts w:ascii="Times New Roman" w:hAnsi="Times New Roman" w:cs="Times New Roman"/>
          <w:sz w:val="24"/>
          <w:szCs w:val="24"/>
        </w:rPr>
        <w:t>cost</w:t>
      </w:r>
      <w:proofErr w:type="spellEnd"/>
      <w:r w:rsidR="00FE62DF" w:rsidRPr="00857D1D">
        <w:rPr>
          <w:rFonts w:ascii="Times New Roman" w:hAnsi="Times New Roman" w:cs="Times New Roman"/>
          <w:sz w:val="24"/>
          <w:szCs w:val="24"/>
        </w:rPr>
        <w:t xml:space="preserve">-sharing </w:t>
      </w:r>
      <w:r w:rsidR="00884953" w:rsidRPr="00857D1D">
        <w:rPr>
          <w:rFonts w:ascii="Times New Roman" w:hAnsi="Times New Roman" w:cs="Times New Roman"/>
          <w:sz w:val="24"/>
          <w:szCs w:val="24"/>
        </w:rPr>
        <w:t xml:space="preserve">en 2023 avant que hausse ne se </w:t>
      </w:r>
      <w:r w:rsidR="00AD4386">
        <w:rPr>
          <w:rFonts w:ascii="Times New Roman" w:hAnsi="Times New Roman" w:cs="Times New Roman"/>
          <w:sz w:val="24"/>
          <w:szCs w:val="24"/>
        </w:rPr>
        <w:t>f</w:t>
      </w:r>
      <w:r w:rsidR="00884953" w:rsidRPr="00857D1D">
        <w:rPr>
          <w:rFonts w:ascii="Times New Roman" w:hAnsi="Times New Roman" w:cs="Times New Roman"/>
          <w:sz w:val="24"/>
          <w:szCs w:val="24"/>
        </w:rPr>
        <w:t>asse à partir de 2024. Concernant, les fonds verts et thématiques, les fonds du gouvernement et les fonds TRAC, les projections restent faibles si aucune stratégie efficace n’est mise en œuvre pour attirer de nouveaux financements</w:t>
      </w:r>
    </w:p>
    <w:p w14:paraId="32D59F2B" w14:textId="77777777" w:rsidR="0024479B" w:rsidRDefault="0024479B" w:rsidP="00857D1D">
      <w:pPr>
        <w:jc w:val="both"/>
        <w:rPr>
          <w:rFonts w:ascii="Times New Roman" w:hAnsi="Times New Roman" w:cs="Times New Roman"/>
          <w:sz w:val="24"/>
          <w:szCs w:val="24"/>
        </w:rPr>
      </w:pPr>
    </w:p>
    <w:p w14:paraId="52EAC3E2" w14:textId="77777777" w:rsidR="005235E2" w:rsidRDefault="005235E2" w:rsidP="00857D1D">
      <w:pPr>
        <w:jc w:val="both"/>
        <w:rPr>
          <w:rFonts w:ascii="Times New Roman" w:hAnsi="Times New Roman" w:cs="Times New Roman"/>
          <w:sz w:val="24"/>
          <w:szCs w:val="24"/>
        </w:rPr>
      </w:pPr>
    </w:p>
    <w:p w14:paraId="2537DE69" w14:textId="2B062B87" w:rsidR="00EF46BE" w:rsidRPr="005235E2" w:rsidRDefault="005235E2" w:rsidP="005235E2">
      <w:pPr>
        <w:pStyle w:val="Lgende"/>
      </w:pPr>
      <w:r w:rsidRPr="005235E2">
        <w:t xml:space="preserve">  </w:t>
      </w:r>
      <w:r>
        <w:t xml:space="preserve">    </w:t>
      </w:r>
      <w:r w:rsidRPr="005235E2">
        <w:t xml:space="preserve"> </w:t>
      </w:r>
      <w:r w:rsidR="00EF46BE" w:rsidRPr="005235E2">
        <w:t>Figure 8 : Evolution des volumes de financements du PNUD Côte d’Ivoire</w:t>
      </w:r>
    </w:p>
    <w:p w14:paraId="590A050B" w14:textId="174109D5" w:rsidR="00EF1DA3" w:rsidRDefault="0085196D" w:rsidP="00A8446A">
      <w:pPr>
        <w:jc w:val="center"/>
      </w:pPr>
      <w:r>
        <w:rPr>
          <w:noProof/>
        </w:rPr>
        <w:drawing>
          <wp:inline distT="0" distB="0" distL="0" distR="0" wp14:anchorId="3522FFBB" wp14:editId="44A3ADF8">
            <wp:extent cx="5911850" cy="2876550"/>
            <wp:effectExtent l="0" t="0" r="12700" b="0"/>
            <wp:docPr id="6" name="Graphique 6">
              <a:extLst xmlns:a="http://schemas.openxmlformats.org/drawingml/2006/main">
                <a:ext uri="{FF2B5EF4-FFF2-40B4-BE49-F238E27FC236}">
                  <a16:creationId xmlns:a16="http://schemas.microsoft.com/office/drawing/2014/main" id="{9D972D55-A525-DF5E-3646-13FF467B8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7BE557" w14:textId="7389688D" w:rsidR="00EF1DA3" w:rsidRPr="00D312C1" w:rsidRDefault="0024479B" w:rsidP="00D312C1">
      <w:r>
        <w:t>Source : CO</w:t>
      </w:r>
    </w:p>
    <w:p w14:paraId="6A05AD97" w14:textId="4A022928" w:rsidR="00EF1DA3" w:rsidRDefault="00EF1DA3" w:rsidP="00EF1DA3">
      <w:pPr>
        <w:pStyle w:val="Titre2"/>
        <w:numPr>
          <w:ilvl w:val="0"/>
          <w:numId w:val="31"/>
        </w:numPr>
      </w:pPr>
      <w:bookmarkStart w:id="23" w:name="_Toc139363441"/>
      <w:r>
        <w:t xml:space="preserve">Cartographie des </w:t>
      </w:r>
      <w:r w:rsidR="003E080C">
        <w:t>perspectives de mobilisation de ressources</w:t>
      </w:r>
      <w:bookmarkEnd w:id="23"/>
      <w:r>
        <w:t xml:space="preserve"> </w:t>
      </w:r>
    </w:p>
    <w:p w14:paraId="16997658" w14:textId="64E41CED" w:rsidR="00EF1DA3" w:rsidRDefault="00EF1DA3" w:rsidP="00EF1DA3"/>
    <w:p w14:paraId="3E9322C7" w14:textId="6A7A3DBF" w:rsidR="00AF31FC" w:rsidRPr="00324DFB" w:rsidRDefault="00AF31FC" w:rsidP="00AF31FC">
      <w:pPr>
        <w:rPr>
          <w:rFonts w:ascii="Times New Roman" w:eastAsia="Times New Roman" w:hAnsi="Times New Roman" w:cs="Times New Roman"/>
          <w:sz w:val="24"/>
          <w:szCs w:val="24"/>
          <w:lang w:eastAsia="fr-FR"/>
        </w:rPr>
      </w:pPr>
      <w:r w:rsidRPr="004A6E7B">
        <w:rPr>
          <w:rFonts w:ascii="Times New Roman" w:eastAsia="Times New Roman" w:hAnsi="Times New Roman" w:cs="Times New Roman"/>
          <w:sz w:val="24"/>
          <w:szCs w:val="24"/>
          <w:lang w:eastAsia="fr-FR"/>
        </w:rPr>
        <w:t>Les partenaires nécessaires/désirés pour obtenir les meilleurs résultats pour le cycle 2021</w:t>
      </w:r>
      <w:r w:rsidR="004814B4">
        <w:rPr>
          <w:rFonts w:ascii="Times New Roman" w:eastAsia="Times New Roman" w:hAnsi="Times New Roman" w:cs="Times New Roman"/>
          <w:sz w:val="24"/>
          <w:szCs w:val="24"/>
          <w:lang w:eastAsia="fr-FR"/>
        </w:rPr>
        <w:t>-</w:t>
      </w:r>
      <w:r w:rsidRPr="004A6E7B">
        <w:rPr>
          <w:rFonts w:ascii="Times New Roman" w:eastAsia="Times New Roman" w:hAnsi="Times New Roman" w:cs="Times New Roman"/>
          <w:sz w:val="24"/>
          <w:szCs w:val="24"/>
          <w:lang w:eastAsia="fr-FR"/>
        </w:rPr>
        <w:t>2025 sont répertoriés dans le tableau suivant</w:t>
      </w:r>
      <w:r>
        <w:rPr>
          <w:rFonts w:ascii="Times New Roman" w:eastAsia="Times New Roman" w:hAnsi="Times New Roman" w:cs="Times New Roman"/>
          <w:sz w:val="24"/>
          <w:szCs w:val="24"/>
          <w:lang w:eastAsia="fr-FR"/>
        </w:rPr>
        <w:t>.</w:t>
      </w:r>
      <w:r w:rsidR="00C16C25">
        <w:rPr>
          <w:rFonts w:ascii="Times New Roman" w:eastAsia="Times New Roman" w:hAnsi="Times New Roman" w:cs="Times New Roman"/>
          <w:sz w:val="24"/>
          <w:szCs w:val="24"/>
          <w:lang w:eastAsia="fr-FR"/>
        </w:rPr>
        <w:t xml:space="preserve"> </w:t>
      </w:r>
    </w:p>
    <w:p w14:paraId="3388EF0F" w14:textId="77777777" w:rsidR="0024479B" w:rsidRDefault="0024479B" w:rsidP="00AF31FC">
      <w:pPr>
        <w:pStyle w:val="Lgende"/>
        <w:keepNext/>
      </w:pPr>
      <w:bookmarkStart w:id="24" w:name="_Toc139379662"/>
    </w:p>
    <w:p w14:paraId="2DA9FBA5" w14:textId="123FC583" w:rsidR="00AF31FC" w:rsidRDefault="00925C05" w:rsidP="00AF31FC">
      <w:pPr>
        <w:pStyle w:val="Lgende"/>
        <w:keepNext/>
      </w:pPr>
      <w:r>
        <w:t xml:space="preserve">Tableau </w:t>
      </w:r>
      <w:r>
        <w:fldChar w:fldCharType="begin"/>
      </w:r>
      <w:r>
        <w:instrText xml:space="preserve"> SEQ Tableau \* ARABIC </w:instrText>
      </w:r>
      <w:r>
        <w:fldChar w:fldCharType="separate"/>
      </w:r>
      <w:r>
        <w:rPr>
          <w:noProof/>
        </w:rPr>
        <w:t>4</w:t>
      </w:r>
      <w:r>
        <w:fldChar w:fldCharType="end"/>
      </w:r>
      <w:r>
        <w:t xml:space="preserve"> : </w:t>
      </w:r>
      <w:r w:rsidRPr="00ED0BBE">
        <w:t xml:space="preserve">Financements des partenaires suivant les axes stratégiques du CPD Initiales en </w:t>
      </w:r>
      <w:proofErr w:type="gramStart"/>
      <w:r w:rsidRPr="00ED0BBE">
        <w:t>Décembre</w:t>
      </w:r>
      <w:proofErr w:type="gramEnd"/>
      <w:r w:rsidRPr="00ED0BBE">
        <w:t xml:space="preserve"> 2022.</w:t>
      </w:r>
      <w:bookmarkEnd w:id="24"/>
    </w:p>
    <w:tbl>
      <w:tblPr>
        <w:tblW w:w="9955" w:type="dxa"/>
        <w:tblCellMar>
          <w:left w:w="70" w:type="dxa"/>
          <w:right w:w="70" w:type="dxa"/>
        </w:tblCellMar>
        <w:tblLook w:val="04A0" w:firstRow="1" w:lastRow="0" w:firstColumn="1" w:lastColumn="0" w:noHBand="0" w:noVBand="1"/>
      </w:tblPr>
      <w:tblGrid>
        <w:gridCol w:w="1084"/>
        <w:gridCol w:w="1413"/>
        <w:gridCol w:w="853"/>
        <w:gridCol w:w="1018"/>
        <w:gridCol w:w="1762"/>
        <w:gridCol w:w="1037"/>
        <w:gridCol w:w="2788"/>
      </w:tblGrid>
      <w:tr w:rsidR="00C16C25" w:rsidRPr="00C16C25" w14:paraId="764AE9C9" w14:textId="77777777" w:rsidTr="00374578">
        <w:trPr>
          <w:trHeight w:val="697"/>
        </w:trPr>
        <w:tc>
          <w:tcPr>
            <w:tcW w:w="2497" w:type="dxa"/>
            <w:gridSpan w:val="2"/>
            <w:tcBorders>
              <w:top w:val="single" w:sz="8" w:space="0" w:color="BDD6EE"/>
              <w:left w:val="single" w:sz="8" w:space="0" w:color="BDD6EE"/>
              <w:bottom w:val="single" w:sz="12" w:space="0" w:color="9CC2E5"/>
              <w:right w:val="single" w:sz="8" w:space="0" w:color="BDD6EE"/>
            </w:tcBorders>
            <w:shd w:val="clear" w:color="000000" w:fill="70AD47"/>
            <w:vAlign w:val="center"/>
            <w:hideMark/>
          </w:tcPr>
          <w:p w14:paraId="129F5C5E" w14:textId="77777777" w:rsidR="00C16C25" w:rsidRPr="00C16C25" w:rsidRDefault="00C16C25" w:rsidP="00C16C25">
            <w:pPr>
              <w:spacing w:after="0" w:line="240" w:lineRule="auto"/>
              <w:jc w:val="center"/>
              <w:rPr>
                <w:rFonts w:ascii="Calibri" w:eastAsia="Times New Roman" w:hAnsi="Calibri" w:cs="Calibri"/>
                <w:b/>
                <w:bCs/>
                <w:color w:val="000000"/>
                <w:sz w:val="20"/>
                <w:szCs w:val="20"/>
                <w:lang w:eastAsia="fr-CI"/>
              </w:rPr>
            </w:pPr>
            <w:r w:rsidRPr="00C16C25">
              <w:rPr>
                <w:rFonts w:ascii="Calibri" w:eastAsia="Times New Roman" w:hAnsi="Calibri" w:cs="Calibri"/>
                <w:b/>
                <w:bCs/>
                <w:color w:val="000000"/>
                <w:sz w:val="20"/>
                <w:szCs w:val="20"/>
                <w:lang w:eastAsia="fr-CI"/>
              </w:rPr>
              <w:t xml:space="preserve">Source of </w:t>
            </w:r>
            <w:proofErr w:type="spellStart"/>
            <w:r w:rsidRPr="00C16C25">
              <w:rPr>
                <w:rFonts w:ascii="Calibri" w:eastAsia="Times New Roman" w:hAnsi="Calibri" w:cs="Calibri"/>
                <w:b/>
                <w:bCs/>
                <w:color w:val="000000"/>
                <w:sz w:val="20"/>
                <w:szCs w:val="20"/>
                <w:lang w:eastAsia="fr-CI"/>
              </w:rPr>
              <w:t>Funding</w:t>
            </w:r>
            <w:proofErr w:type="spellEnd"/>
          </w:p>
        </w:tc>
        <w:tc>
          <w:tcPr>
            <w:tcW w:w="853" w:type="dxa"/>
            <w:tcBorders>
              <w:top w:val="single" w:sz="8" w:space="0" w:color="BDD6EE"/>
              <w:left w:val="nil"/>
              <w:bottom w:val="single" w:sz="12" w:space="0" w:color="9CC2E5"/>
              <w:right w:val="single" w:sz="8" w:space="0" w:color="BDD6EE"/>
            </w:tcBorders>
            <w:shd w:val="clear" w:color="000000" w:fill="70AD47"/>
            <w:vAlign w:val="center"/>
            <w:hideMark/>
          </w:tcPr>
          <w:p w14:paraId="06A74237" w14:textId="77777777" w:rsidR="00C16C25" w:rsidRPr="00C16C25" w:rsidRDefault="00C16C25" w:rsidP="00C16C25">
            <w:pPr>
              <w:spacing w:after="0" w:line="240" w:lineRule="auto"/>
              <w:jc w:val="center"/>
              <w:rPr>
                <w:rFonts w:ascii="Calibri" w:eastAsia="Times New Roman" w:hAnsi="Calibri" w:cs="Calibri"/>
                <w:b/>
                <w:bCs/>
                <w:color w:val="000000"/>
                <w:sz w:val="20"/>
                <w:szCs w:val="20"/>
                <w:lang w:eastAsia="fr-CI"/>
              </w:rPr>
            </w:pPr>
            <w:proofErr w:type="spellStart"/>
            <w:r w:rsidRPr="00C16C25">
              <w:rPr>
                <w:rFonts w:ascii="Calibri" w:eastAsia="Times New Roman" w:hAnsi="Calibri" w:cs="Calibri"/>
                <w:b/>
                <w:bCs/>
                <w:color w:val="000000"/>
                <w:sz w:val="20"/>
                <w:szCs w:val="20"/>
                <w:lang w:eastAsia="fr-CI"/>
              </w:rPr>
              <w:t>Amount</w:t>
            </w:r>
            <w:proofErr w:type="spellEnd"/>
            <w:r w:rsidRPr="00C16C25">
              <w:rPr>
                <w:rFonts w:ascii="Calibri" w:eastAsia="Times New Roman" w:hAnsi="Calibri" w:cs="Calibri"/>
                <w:b/>
                <w:bCs/>
                <w:color w:val="000000"/>
                <w:sz w:val="20"/>
                <w:szCs w:val="20"/>
                <w:lang w:eastAsia="fr-CI"/>
              </w:rPr>
              <w:t xml:space="preserve"> ($US 1,000)</w:t>
            </w:r>
          </w:p>
        </w:tc>
        <w:tc>
          <w:tcPr>
            <w:tcW w:w="2780" w:type="dxa"/>
            <w:gridSpan w:val="2"/>
            <w:tcBorders>
              <w:top w:val="single" w:sz="8" w:space="0" w:color="BDD6EE"/>
              <w:left w:val="nil"/>
              <w:bottom w:val="single" w:sz="12" w:space="0" w:color="9CC2E5"/>
              <w:right w:val="single" w:sz="8" w:space="0" w:color="BDD6EE"/>
            </w:tcBorders>
            <w:shd w:val="clear" w:color="000000" w:fill="70AD47"/>
            <w:vAlign w:val="center"/>
            <w:hideMark/>
          </w:tcPr>
          <w:p w14:paraId="59A3F712" w14:textId="77777777" w:rsidR="00C16C25" w:rsidRPr="00C16C25" w:rsidRDefault="00C16C25" w:rsidP="00C16C25">
            <w:pPr>
              <w:spacing w:after="0" w:line="240" w:lineRule="auto"/>
              <w:jc w:val="center"/>
              <w:rPr>
                <w:rFonts w:ascii="Calibri" w:eastAsia="Times New Roman" w:hAnsi="Calibri" w:cs="Calibri"/>
                <w:b/>
                <w:bCs/>
                <w:color w:val="000000"/>
                <w:sz w:val="20"/>
                <w:szCs w:val="20"/>
                <w:lang w:eastAsia="fr-CI"/>
              </w:rPr>
            </w:pPr>
            <w:r w:rsidRPr="00C16C25">
              <w:rPr>
                <w:rFonts w:ascii="Calibri" w:eastAsia="Times New Roman" w:hAnsi="Calibri" w:cs="Calibri"/>
                <w:b/>
                <w:bCs/>
                <w:color w:val="000000"/>
                <w:sz w:val="20"/>
                <w:szCs w:val="20"/>
                <w:lang w:eastAsia="fr-CI"/>
              </w:rPr>
              <w:t>Domaines/Thématiques</w:t>
            </w:r>
          </w:p>
        </w:tc>
        <w:tc>
          <w:tcPr>
            <w:tcW w:w="3825" w:type="dxa"/>
            <w:gridSpan w:val="2"/>
            <w:tcBorders>
              <w:top w:val="single" w:sz="8" w:space="0" w:color="BDD6EE"/>
              <w:left w:val="nil"/>
              <w:bottom w:val="single" w:sz="12" w:space="0" w:color="9CC2E5"/>
              <w:right w:val="single" w:sz="8" w:space="0" w:color="BDD6EE"/>
            </w:tcBorders>
            <w:shd w:val="clear" w:color="000000" w:fill="70AD47"/>
            <w:vAlign w:val="center"/>
            <w:hideMark/>
          </w:tcPr>
          <w:p w14:paraId="024A4522" w14:textId="77777777" w:rsidR="00C16C25" w:rsidRPr="00C16C25" w:rsidRDefault="00C16C25" w:rsidP="00C16C25">
            <w:pPr>
              <w:spacing w:after="0" w:line="240" w:lineRule="auto"/>
              <w:jc w:val="center"/>
              <w:rPr>
                <w:rFonts w:ascii="Calibri" w:eastAsia="Times New Roman" w:hAnsi="Calibri" w:cs="Calibri"/>
                <w:b/>
                <w:bCs/>
                <w:color w:val="000000"/>
                <w:sz w:val="20"/>
                <w:szCs w:val="20"/>
                <w:lang w:eastAsia="fr-CI"/>
              </w:rPr>
            </w:pPr>
            <w:r w:rsidRPr="00C16C25">
              <w:rPr>
                <w:rFonts w:ascii="Calibri" w:eastAsia="Times New Roman" w:hAnsi="Calibri" w:cs="Calibri"/>
                <w:b/>
                <w:bCs/>
                <w:color w:val="000000"/>
                <w:sz w:val="20"/>
                <w:szCs w:val="20"/>
                <w:lang w:eastAsia="fr-CI"/>
              </w:rPr>
              <w:t xml:space="preserve">Niveau d’exécution/Commentaire/observations </w:t>
            </w:r>
          </w:p>
        </w:tc>
      </w:tr>
      <w:tr w:rsidR="00C16C25" w:rsidRPr="00C16C25" w14:paraId="569AFA1A" w14:textId="77777777" w:rsidTr="00374578">
        <w:trPr>
          <w:trHeight w:val="500"/>
        </w:trPr>
        <w:tc>
          <w:tcPr>
            <w:tcW w:w="1084" w:type="dxa"/>
            <w:tcBorders>
              <w:top w:val="nil"/>
              <w:left w:val="single" w:sz="8" w:space="0" w:color="BDD6EE"/>
              <w:bottom w:val="nil"/>
              <w:right w:val="single" w:sz="8" w:space="0" w:color="BDD6EE"/>
            </w:tcBorders>
            <w:shd w:val="clear" w:color="000000" w:fill="70AD47"/>
            <w:vAlign w:val="center"/>
            <w:hideMark/>
          </w:tcPr>
          <w:p w14:paraId="32F7CC51"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 </w:t>
            </w:r>
          </w:p>
        </w:tc>
        <w:tc>
          <w:tcPr>
            <w:tcW w:w="1413" w:type="dxa"/>
            <w:vMerge w:val="restart"/>
            <w:tcBorders>
              <w:top w:val="nil"/>
              <w:left w:val="single" w:sz="8" w:space="0" w:color="BDD6EE"/>
              <w:bottom w:val="single" w:sz="8" w:space="0" w:color="BDD6EE"/>
              <w:right w:val="single" w:sz="8" w:space="0" w:color="BDD6EE"/>
            </w:tcBorders>
            <w:shd w:val="clear" w:color="auto" w:fill="auto"/>
            <w:vAlign w:val="center"/>
            <w:hideMark/>
          </w:tcPr>
          <w:p w14:paraId="6766196A"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Programme d’Investissement Public (PIP)</w:t>
            </w:r>
          </w:p>
        </w:tc>
        <w:tc>
          <w:tcPr>
            <w:tcW w:w="853" w:type="dxa"/>
            <w:vMerge w:val="restart"/>
            <w:tcBorders>
              <w:top w:val="nil"/>
              <w:left w:val="single" w:sz="8" w:space="0" w:color="BDD6EE"/>
              <w:bottom w:val="single" w:sz="8" w:space="0" w:color="BDD6EE"/>
              <w:right w:val="single" w:sz="8" w:space="0" w:color="BDD6EE"/>
            </w:tcBorders>
            <w:shd w:val="clear" w:color="auto" w:fill="auto"/>
            <w:vAlign w:val="center"/>
            <w:hideMark/>
          </w:tcPr>
          <w:p w14:paraId="52E9D71E"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1602</w:t>
            </w:r>
          </w:p>
        </w:tc>
        <w:tc>
          <w:tcPr>
            <w:tcW w:w="2780" w:type="dxa"/>
            <w:gridSpan w:val="2"/>
            <w:vMerge w:val="restart"/>
            <w:tcBorders>
              <w:top w:val="single" w:sz="12" w:space="0" w:color="9CC2E5"/>
              <w:left w:val="single" w:sz="8" w:space="0" w:color="BDD6EE"/>
              <w:bottom w:val="single" w:sz="8" w:space="0" w:color="BDD6EE"/>
              <w:right w:val="single" w:sz="8" w:space="0" w:color="BDD6EE"/>
            </w:tcBorders>
            <w:shd w:val="clear" w:color="auto" w:fill="auto"/>
            <w:vAlign w:val="center"/>
            <w:hideMark/>
          </w:tcPr>
          <w:p w14:paraId="6FEE6B0B"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Gouvernance forestière</w:t>
            </w:r>
          </w:p>
        </w:tc>
        <w:tc>
          <w:tcPr>
            <w:tcW w:w="3825" w:type="dxa"/>
            <w:gridSpan w:val="2"/>
            <w:vMerge w:val="restart"/>
            <w:tcBorders>
              <w:top w:val="single" w:sz="12" w:space="0" w:color="9CC2E5"/>
              <w:left w:val="single" w:sz="8" w:space="0" w:color="BDD6EE"/>
              <w:bottom w:val="single" w:sz="8" w:space="0" w:color="BDD6EE"/>
              <w:right w:val="single" w:sz="8" w:space="0" w:color="BDD6EE"/>
            </w:tcBorders>
            <w:shd w:val="clear" w:color="auto" w:fill="auto"/>
            <w:vAlign w:val="center"/>
            <w:hideMark/>
          </w:tcPr>
          <w:p w14:paraId="288D7A56"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 xml:space="preserve">Prodoc disponible à programmer au PIP en fonction de l'évolution des discussions avec le MINEDD/BEI/UE et le niveau de maturité du pipeline </w:t>
            </w:r>
          </w:p>
        </w:tc>
      </w:tr>
      <w:tr w:rsidR="00C16C25" w:rsidRPr="00C16C25" w14:paraId="107245EC" w14:textId="77777777" w:rsidTr="00374578">
        <w:trPr>
          <w:trHeight w:val="290"/>
        </w:trPr>
        <w:tc>
          <w:tcPr>
            <w:tcW w:w="1084" w:type="dxa"/>
            <w:tcBorders>
              <w:top w:val="nil"/>
              <w:left w:val="single" w:sz="8" w:space="0" w:color="BDD6EE"/>
              <w:bottom w:val="nil"/>
              <w:right w:val="single" w:sz="8" w:space="0" w:color="BDD6EE"/>
            </w:tcBorders>
            <w:shd w:val="clear" w:color="000000" w:fill="70AD47"/>
            <w:vAlign w:val="center"/>
            <w:hideMark/>
          </w:tcPr>
          <w:p w14:paraId="12798E84" w14:textId="77777777" w:rsidR="00C16C25" w:rsidRPr="00C16C25" w:rsidRDefault="00C16C25" w:rsidP="00C16C25">
            <w:pPr>
              <w:spacing w:after="0" w:line="240" w:lineRule="auto"/>
              <w:jc w:val="center"/>
              <w:rPr>
                <w:rFonts w:ascii="Calibri" w:eastAsia="Times New Roman" w:hAnsi="Calibri" w:cs="Calibri"/>
                <w:color w:val="FFFFFF"/>
                <w:sz w:val="18"/>
                <w:szCs w:val="18"/>
                <w:lang w:eastAsia="fr-CI"/>
              </w:rPr>
            </w:pPr>
            <w:r w:rsidRPr="00C16C25">
              <w:rPr>
                <w:rFonts w:ascii="Calibri" w:eastAsia="Times New Roman" w:hAnsi="Calibri" w:cs="Calibri"/>
                <w:color w:val="FFFFFF"/>
                <w:sz w:val="18"/>
                <w:szCs w:val="18"/>
                <w:lang w:eastAsia="fr-CI"/>
              </w:rPr>
              <w:t> </w:t>
            </w:r>
          </w:p>
        </w:tc>
        <w:tc>
          <w:tcPr>
            <w:tcW w:w="1413" w:type="dxa"/>
            <w:vMerge/>
            <w:tcBorders>
              <w:top w:val="nil"/>
              <w:left w:val="single" w:sz="8" w:space="0" w:color="BDD6EE"/>
              <w:bottom w:val="single" w:sz="8" w:space="0" w:color="BDD6EE"/>
              <w:right w:val="single" w:sz="8" w:space="0" w:color="BDD6EE"/>
            </w:tcBorders>
            <w:vAlign w:val="center"/>
            <w:hideMark/>
          </w:tcPr>
          <w:p w14:paraId="5C5D13FA"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p>
        </w:tc>
        <w:tc>
          <w:tcPr>
            <w:tcW w:w="853" w:type="dxa"/>
            <w:vMerge/>
            <w:tcBorders>
              <w:top w:val="nil"/>
              <w:left w:val="single" w:sz="8" w:space="0" w:color="BDD6EE"/>
              <w:bottom w:val="single" w:sz="8" w:space="0" w:color="BDD6EE"/>
              <w:right w:val="single" w:sz="8" w:space="0" w:color="BDD6EE"/>
            </w:tcBorders>
            <w:vAlign w:val="center"/>
            <w:hideMark/>
          </w:tcPr>
          <w:p w14:paraId="79D4363C"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p>
        </w:tc>
        <w:tc>
          <w:tcPr>
            <w:tcW w:w="2780" w:type="dxa"/>
            <w:gridSpan w:val="2"/>
            <w:vMerge/>
            <w:tcBorders>
              <w:top w:val="single" w:sz="12" w:space="0" w:color="9CC2E5"/>
              <w:left w:val="single" w:sz="8" w:space="0" w:color="BDD6EE"/>
              <w:bottom w:val="single" w:sz="8" w:space="0" w:color="BDD6EE"/>
              <w:right w:val="single" w:sz="8" w:space="0" w:color="BDD6EE"/>
            </w:tcBorders>
            <w:vAlign w:val="center"/>
            <w:hideMark/>
          </w:tcPr>
          <w:p w14:paraId="5D318286"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p>
        </w:tc>
        <w:tc>
          <w:tcPr>
            <w:tcW w:w="3825" w:type="dxa"/>
            <w:gridSpan w:val="2"/>
            <w:vMerge/>
            <w:tcBorders>
              <w:top w:val="single" w:sz="12" w:space="0" w:color="9CC2E5"/>
              <w:left w:val="single" w:sz="8" w:space="0" w:color="BDD6EE"/>
              <w:bottom w:val="single" w:sz="8" w:space="0" w:color="BDD6EE"/>
              <w:right w:val="single" w:sz="8" w:space="0" w:color="BDD6EE"/>
            </w:tcBorders>
            <w:vAlign w:val="center"/>
            <w:hideMark/>
          </w:tcPr>
          <w:p w14:paraId="4F6929B8"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p>
        </w:tc>
      </w:tr>
      <w:tr w:rsidR="00C16C25" w:rsidRPr="00C16C25" w14:paraId="119219E8" w14:textId="77777777" w:rsidTr="00374578">
        <w:trPr>
          <w:trHeight w:val="697"/>
        </w:trPr>
        <w:tc>
          <w:tcPr>
            <w:tcW w:w="1084" w:type="dxa"/>
            <w:tcBorders>
              <w:top w:val="nil"/>
              <w:left w:val="single" w:sz="8" w:space="0" w:color="BDD6EE"/>
              <w:bottom w:val="nil"/>
              <w:right w:val="single" w:sz="8" w:space="0" w:color="BDD6EE"/>
            </w:tcBorders>
            <w:shd w:val="clear" w:color="000000" w:fill="70AD47"/>
            <w:vAlign w:val="center"/>
            <w:hideMark/>
          </w:tcPr>
          <w:p w14:paraId="0AF12C8E" w14:textId="77777777" w:rsidR="00C16C25" w:rsidRPr="00C16C25" w:rsidRDefault="00C16C25" w:rsidP="00C16C25">
            <w:pPr>
              <w:spacing w:after="0" w:line="240" w:lineRule="auto"/>
              <w:jc w:val="center"/>
              <w:rPr>
                <w:rFonts w:ascii="Calibri" w:eastAsia="Times New Roman" w:hAnsi="Calibri" w:cs="Calibri"/>
                <w:color w:val="FFFFFF"/>
                <w:sz w:val="18"/>
                <w:szCs w:val="18"/>
                <w:lang w:eastAsia="fr-CI"/>
              </w:rPr>
            </w:pPr>
            <w:r w:rsidRPr="00C16C25">
              <w:rPr>
                <w:rFonts w:ascii="Calibri" w:eastAsia="Times New Roman" w:hAnsi="Calibri" w:cs="Calibri"/>
                <w:color w:val="FFFFFF"/>
                <w:sz w:val="18"/>
                <w:szCs w:val="18"/>
                <w:lang w:eastAsia="fr-CI"/>
              </w:rPr>
              <w:t> </w:t>
            </w:r>
          </w:p>
        </w:tc>
        <w:tc>
          <w:tcPr>
            <w:tcW w:w="1413" w:type="dxa"/>
            <w:vMerge/>
            <w:tcBorders>
              <w:top w:val="nil"/>
              <w:left w:val="single" w:sz="8" w:space="0" w:color="BDD6EE"/>
              <w:bottom w:val="single" w:sz="8" w:space="0" w:color="BDD6EE"/>
              <w:right w:val="single" w:sz="8" w:space="0" w:color="BDD6EE"/>
            </w:tcBorders>
            <w:vAlign w:val="center"/>
            <w:hideMark/>
          </w:tcPr>
          <w:p w14:paraId="6146F171"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p>
        </w:tc>
        <w:tc>
          <w:tcPr>
            <w:tcW w:w="853" w:type="dxa"/>
            <w:tcBorders>
              <w:top w:val="nil"/>
              <w:left w:val="nil"/>
              <w:bottom w:val="single" w:sz="8" w:space="0" w:color="BDD6EE"/>
              <w:right w:val="single" w:sz="8" w:space="0" w:color="BDD6EE"/>
            </w:tcBorders>
            <w:shd w:val="clear" w:color="auto" w:fill="auto"/>
            <w:vAlign w:val="center"/>
            <w:hideMark/>
          </w:tcPr>
          <w:p w14:paraId="79A95C2E"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5600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714252A2"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Développement Communautaire et dynamisation des économies locales</w:t>
            </w:r>
          </w:p>
        </w:tc>
        <w:tc>
          <w:tcPr>
            <w:tcW w:w="3825" w:type="dxa"/>
            <w:gridSpan w:val="2"/>
            <w:tcBorders>
              <w:top w:val="single" w:sz="8" w:space="0" w:color="BDD6EE"/>
              <w:left w:val="nil"/>
              <w:bottom w:val="nil"/>
              <w:right w:val="single" w:sz="8" w:space="0" w:color="BDD6EE"/>
            </w:tcBorders>
            <w:shd w:val="clear" w:color="auto" w:fill="auto"/>
            <w:vAlign w:val="center"/>
            <w:hideMark/>
          </w:tcPr>
          <w:p w14:paraId="18690FDC"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 xml:space="preserve">Le prodoc est disponible et a été signé par les trois Ministères sectoriels concernés ainsi que le government donor costsharing agreement. </w:t>
            </w:r>
          </w:p>
        </w:tc>
      </w:tr>
      <w:tr w:rsidR="00C16C25" w:rsidRPr="00C16C25" w14:paraId="55EBD6F0" w14:textId="77777777" w:rsidTr="00374578">
        <w:trPr>
          <w:trHeight w:val="407"/>
        </w:trPr>
        <w:tc>
          <w:tcPr>
            <w:tcW w:w="1084" w:type="dxa"/>
            <w:tcBorders>
              <w:top w:val="nil"/>
              <w:left w:val="single" w:sz="8" w:space="0" w:color="BDD6EE"/>
              <w:bottom w:val="nil"/>
              <w:right w:val="single" w:sz="8" w:space="0" w:color="BDD6EE"/>
            </w:tcBorders>
            <w:shd w:val="clear" w:color="000000" w:fill="70AD47"/>
            <w:vAlign w:val="center"/>
            <w:hideMark/>
          </w:tcPr>
          <w:p w14:paraId="2CF8887D"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proofErr w:type="spellStart"/>
            <w:r w:rsidRPr="00C16C25">
              <w:rPr>
                <w:rFonts w:ascii="Calibri" w:eastAsia="Times New Roman" w:hAnsi="Calibri" w:cs="Calibri"/>
                <w:b/>
                <w:bCs/>
                <w:color w:val="000000"/>
                <w:sz w:val="18"/>
                <w:szCs w:val="18"/>
                <w:lang w:eastAsia="fr-CI"/>
              </w:rPr>
              <w:t>Government</w:t>
            </w:r>
            <w:proofErr w:type="spellEnd"/>
            <w:r w:rsidRPr="00C16C25">
              <w:rPr>
                <w:rFonts w:ascii="Calibri" w:eastAsia="Times New Roman" w:hAnsi="Calibri" w:cs="Calibri"/>
                <w:b/>
                <w:bCs/>
                <w:color w:val="000000"/>
                <w:sz w:val="18"/>
                <w:szCs w:val="18"/>
                <w:lang w:eastAsia="fr-CI"/>
              </w:rPr>
              <w:t xml:space="preserve"> </w:t>
            </w:r>
            <w:proofErr w:type="spellStart"/>
            <w:r w:rsidRPr="00C16C25">
              <w:rPr>
                <w:rFonts w:ascii="Calibri" w:eastAsia="Times New Roman" w:hAnsi="Calibri" w:cs="Calibri"/>
                <w:b/>
                <w:bCs/>
                <w:color w:val="000000"/>
                <w:sz w:val="18"/>
                <w:szCs w:val="18"/>
                <w:lang w:eastAsia="fr-CI"/>
              </w:rPr>
              <w:t>financing</w:t>
            </w:r>
            <w:proofErr w:type="spellEnd"/>
          </w:p>
        </w:tc>
        <w:tc>
          <w:tcPr>
            <w:tcW w:w="1413" w:type="dxa"/>
            <w:vMerge/>
            <w:tcBorders>
              <w:top w:val="nil"/>
              <w:left w:val="single" w:sz="8" w:space="0" w:color="BDD6EE"/>
              <w:bottom w:val="single" w:sz="8" w:space="0" w:color="BDD6EE"/>
              <w:right w:val="single" w:sz="8" w:space="0" w:color="BDD6EE"/>
            </w:tcBorders>
            <w:vAlign w:val="center"/>
            <w:hideMark/>
          </w:tcPr>
          <w:p w14:paraId="5598E785"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p>
        </w:tc>
        <w:tc>
          <w:tcPr>
            <w:tcW w:w="853" w:type="dxa"/>
            <w:tcBorders>
              <w:top w:val="nil"/>
              <w:left w:val="nil"/>
              <w:bottom w:val="single" w:sz="8" w:space="0" w:color="BDD6EE"/>
              <w:right w:val="single" w:sz="8" w:space="0" w:color="BDD6EE"/>
            </w:tcBorders>
            <w:shd w:val="clear" w:color="auto" w:fill="auto"/>
            <w:vAlign w:val="center"/>
            <w:hideMark/>
          </w:tcPr>
          <w:p w14:paraId="65F6B76D"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4000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44E7AFD5"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 xml:space="preserve">Soutien à l’innovation entrepreneuriale </w:t>
            </w:r>
          </w:p>
        </w:tc>
        <w:tc>
          <w:tcPr>
            <w:tcW w:w="3825" w:type="dxa"/>
            <w:gridSpan w:val="2"/>
            <w:tcBorders>
              <w:top w:val="nil"/>
              <w:left w:val="nil"/>
              <w:bottom w:val="nil"/>
              <w:right w:val="single" w:sz="8" w:space="0" w:color="BDD6EE"/>
            </w:tcBorders>
            <w:shd w:val="clear" w:color="auto" w:fill="auto"/>
            <w:vAlign w:val="center"/>
            <w:hideMark/>
          </w:tcPr>
          <w:p w14:paraId="0751530D"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 xml:space="preserve">Prodoc adoptés en attente de financement PIP. Faire le plaidoyer pour un </w:t>
            </w:r>
            <w:proofErr w:type="spellStart"/>
            <w:r w:rsidRPr="00C16C25">
              <w:rPr>
                <w:rFonts w:ascii="Calibri" w:eastAsia="Times New Roman" w:hAnsi="Calibri" w:cs="Calibri"/>
                <w:color w:val="000000"/>
                <w:sz w:val="18"/>
                <w:szCs w:val="18"/>
                <w:lang w:eastAsia="fr-CI"/>
              </w:rPr>
              <w:t>Cost</w:t>
            </w:r>
            <w:proofErr w:type="spellEnd"/>
            <w:r w:rsidRPr="00C16C25">
              <w:rPr>
                <w:rFonts w:ascii="Calibri" w:eastAsia="Times New Roman" w:hAnsi="Calibri" w:cs="Calibri"/>
                <w:color w:val="000000"/>
                <w:sz w:val="18"/>
                <w:szCs w:val="18"/>
                <w:lang w:eastAsia="fr-CI"/>
              </w:rPr>
              <w:t xml:space="preserve"> sharing agreement avec le Gouvernement</w:t>
            </w:r>
          </w:p>
        </w:tc>
      </w:tr>
      <w:tr w:rsidR="00C16C25" w:rsidRPr="00C16C25" w14:paraId="432BC9F5" w14:textId="77777777" w:rsidTr="00374578">
        <w:trPr>
          <w:trHeight w:val="651"/>
        </w:trPr>
        <w:tc>
          <w:tcPr>
            <w:tcW w:w="1084" w:type="dxa"/>
            <w:tcBorders>
              <w:top w:val="nil"/>
              <w:left w:val="single" w:sz="8" w:space="0" w:color="BDD6EE"/>
              <w:bottom w:val="nil"/>
              <w:right w:val="single" w:sz="8" w:space="0" w:color="BDD6EE"/>
            </w:tcBorders>
            <w:shd w:val="clear" w:color="000000" w:fill="70AD47"/>
            <w:vAlign w:val="center"/>
            <w:hideMark/>
          </w:tcPr>
          <w:p w14:paraId="53A19E63"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vMerge/>
            <w:tcBorders>
              <w:top w:val="nil"/>
              <w:left w:val="single" w:sz="8" w:space="0" w:color="BDD6EE"/>
              <w:bottom w:val="single" w:sz="8" w:space="0" w:color="BDD6EE"/>
              <w:right w:val="single" w:sz="8" w:space="0" w:color="BDD6EE"/>
            </w:tcBorders>
            <w:vAlign w:val="center"/>
            <w:hideMark/>
          </w:tcPr>
          <w:p w14:paraId="7A4616B3"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p>
        </w:tc>
        <w:tc>
          <w:tcPr>
            <w:tcW w:w="853" w:type="dxa"/>
            <w:tcBorders>
              <w:top w:val="nil"/>
              <w:left w:val="nil"/>
              <w:bottom w:val="single" w:sz="8" w:space="0" w:color="BDD6EE"/>
              <w:right w:val="single" w:sz="8" w:space="0" w:color="BDD6EE"/>
            </w:tcBorders>
            <w:shd w:val="clear" w:color="auto" w:fill="auto"/>
            <w:vAlign w:val="center"/>
            <w:hideMark/>
          </w:tcPr>
          <w:p w14:paraId="6DE1CFF4"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1 680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0AF3B875"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Réforme de l’administration et modernisation de l’Etat</w:t>
            </w:r>
          </w:p>
        </w:tc>
        <w:tc>
          <w:tcPr>
            <w:tcW w:w="3825" w:type="dxa"/>
            <w:gridSpan w:val="2"/>
            <w:tcBorders>
              <w:top w:val="nil"/>
              <w:left w:val="nil"/>
              <w:bottom w:val="nil"/>
              <w:right w:val="single" w:sz="8" w:space="0" w:color="BDD6EE"/>
            </w:tcBorders>
            <w:shd w:val="clear" w:color="auto" w:fill="auto"/>
            <w:vAlign w:val="center"/>
            <w:hideMark/>
          </w:tcPr>
          <w:p w14:paraId="42F81AE0"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Faire un suivi avec la Cellule de coordination du MPD pour l’allocation effective des ressources</w:t>
            </w:r>
          </w:p>
        </w:tc>
      </w:tr>
      <w:tr w:rsidR="00C16C25" w:rsidRPr="00DF6E7F" w14:paraId="4F07675B" w14:textId="77777777" w:rsidTr="00374578">
        <w:trPr>
          <w:trHeight w:val="616"/>
        </w:trPr>
        <w:tc>
          <w:tcPr>
            <w:tcW w:w="1084" w:type="dxa"/>
            <w:tcBorders>
              <w:top w:val="nil"/>
              <w:left w:val="single" w:sz="8" w:space="0" w:color="BDD6EE"/>
              <w:bottom w:val="nil"/>
              <w:right w:val="single" w:sz="8" w:space="0" w:color="BDD6EE"/>
            </w:tcBorders>
            <w:shd w:val="clear" w:color="000000" w:fill="70AD47"/>
            <w:vAlign w:val="center"/>
            <w:hideMark/>
          </w:tcPr>
          <w:p w14:paraId="01EF99E5"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vMerge/>
            <w:tcBorders>
              <w:top w:val="nil"/>
              <w:left w:val="single" w:sz="8" w:space="0" w:color="BDD6EE"/>
              <w:bottom w:val="single" w:sz="8" w:space="0" w:color="BDD6EE"/>
              <w:right w:val="single" w:sz="8" w:space="0" w:color="BDD6EE"/>
            </w:tcBorders>
            <w:vAlign w:val="center"/>
            <w:hideMark/>
          </w:tcPr>
          <w:p w14:paraId="5FEF8A28"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p>
        </w:tc>
        <w:tc>
          <w:tcPr>
            <w:tcW w:w="853" w:type="dxa"/>
            <w:tcBorders>
              <w:top w:val="nil"/>
              <w:left w:val="nil"/>
              <w:bottom w:val="single" w:sz="8" w:space="0" w:color="BDD6EE"/>
              <w:right w:val="single" w:sz="8" w:space="0" w:color="BDD6EE"/>
            </w:tcBorders>
            <w:shd w:val="clear" w:color="auto" w:fill="auto"/>
            <w:vAlign w:val="center"/>
            <w:hideMark/>
          </w:tcPr>
          <w:p w14:paraId="03940192"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4480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600CEAC5"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Etat de droit et Droits humains</w:t>
            </w:r>
          </w:p>
        </w:tc>
        <w:tc>
          <w:tcPr>
            <w:tcW w:w="3825" w:type="dxa"/>
            <w:gridSpan w:val="2"/>
            <w:tcBorders>
              <w:top w:val="nil"/>
              <w:left w:val="nil"/>
              <w:bottom w:val="nil"/>
              <w:right w:val="single" w:sz="8" w:space="0" w:color="BDD6EE"/>
            </w:tcBorders>
            <w:shd w:val="clear" w:color="auto" w:fill="auto"/>
            <w:vAlign w:val="center"/>
            <w:hideMark/>
          </w:tcPr>
          <w:p w14:paraId="6A977243" w14:textId="77777777" w:rsidR="00C16C25" w:rsidRPr="00C16C25" w:rsidRDefault="00C16C25" w:rsidP="00C16C25">
            <w:pPr>
              <w:spacing w:after="0" w:line="240" w:lineRule="auto"/>
              <w:rPr>
                <w:rFonts w:ascii="Calibri" w:eastAsia="Times New Roman" w:hAnsi="Calibri" w:cs="Calibri"/>
                <w:color w:val="000000"/>
                <w:sz w:val="18"/>
                <w:szCs w:val="18"/>
                <w:lang w:val="en-US" w:eastAsia="fr-CI"/>
              </w:rPr>
            </w:pPr>
            <w:r w:rsidRPr="00C16C25">
              <w:rPr>
                <w:rFonts w:ascii="Calibri" w:eastAsia="Times New Roman" w:hAnsi="Calibri" w:cs="Calibri"/>
                <w:color w:val="000000"/>
                <w:sz w:val="18"/>
                <w:szCs w:val="18"/>
                <w:lang w:eastAsia="fr-CI"/>
              </w:rPr>
              <w:t xml:space="preserve">Prodoc signé. Ressources non encore mobilisées. </w:t>
            </w:r>
            <w:r w:rsidRPr="00C16C25">
              <w:rPr>
                <w:rFonts w:ascii="Calibri" w:eastAsia="Times New Roman" w:hAnsi="Calibri" w:cs="Calibri"/>
                <w:color w:val="000000"/>
                <w:sz w:val="18"/>
                <w:szCs w:val="18"/>
                <w:lang w:val="en-US" w:eastAsia="fr-CI"/>
              </w:rPr>
              <w:t>Le government donor costsharing agreement est signé</w:t>
            </w:r>
          </w:p>
        </w:tc>
      </w:tr>
      <w:tr w:rsidR="00C16C25" w:rsidRPr="00C16C25" w14:paraId="243155B7" w14:textId="77777777" w:rsidTr="00374578">
        <w:trPr>
          <w:trHeight w:val="290"/>
        </w:trPr>
        <w:tc>
          <w:tcPr>
            <w:tcW w:w="1084" w:type="dxa"/>
            <w:tcBorders>
              <w:top w:val="nil"/>
              <w:left w:val="single" w:sz="8" w:space="0" w:color="BDD6EE"/>
              <w:bottom w:val="nil"/>
              <w:right w:val="single" w:sz="8" w:space="0" w:color="BDD6EE"/>
            </w:tcBorders>
            <w:shd w:val="clear" w:color="000000" w:fill="70AD47"/>
            <w:vAlign w:val="center"/>
            <w:hideMark/>
          </w:tcPr>
          <w:p w14:paraId="6A14E0ED" w14:textId="77777777" w:rsidR="00C16C25" w:rsidRPr="00C16C25" w:rsidRDefault="00C16C25" w:rsidP="00C16C25">
            <w:pPr>
              <w:spacing w:after="0" w:line="240" w:lineRule="auto"/>
              <w:rPr>
                <w:rFonts w:ascii="Calibri" w:eastAsia="Times New Roman" w:hAnsi="Calibri" w:cs="Calibri"/>
                <w:color w:val="000000"/>
                <w:lang w:val="en-US" w:eastAsia="fr-CI"/>
              </w:rPr>
            </w:pPr>
            <w:r w:rsidRPr="00C16C25">
              <w:rPr>
                <w:rFonts w:ascii="Calibri" w:eastAsia="Times New Roman" w:hAnsi="Calibri" w:cs="Calibri"/>
                <w:color w:val="000000"/>
                <w:lang w:val="en-US" w:eastAsia="fr-CI"/>
              </w:rPr>
              <w:t> </w:t>
            </w:r>
          </w:p>
        </w:tc>
        <w:tc>
          <w:tcPr>
            <w:tcW w:w="1413" w:type="dxa"/>
            <w:vMerge/>
            <w:tcBorders>
              <w:top w:val="nil"/>
              <w:left w:val="single" w:sz="8" w:space="0" w:color="BDD6EE"/>
              <w:bottom w:val="single" w:sz="8" w:space="0" w:color="BDD6EE"/>
              <w:right w:val="single" w:sz="8" w:space="0" w:color="BDD6EE"/>
            </w:tcBorders>
            <w:vAlign w:val="center"/>
            <w:hideMark/>
          </w:tcPr>
          <w:p w14:paraId="3E05E041" w14:textId="77777777" w:rsidR="00C16C25" w:rsidRPr="00C16C25" w:rsidRDefault="00C16C25" w:rsidP="00C16C25">
            <w:pPr>
              <w:spacing w:after="0" w:line="240" w:lineRule="auto"/>
              <w:rPr>
                <w:rFonts w:ascii="Calibri" w:eastAsia="Times New Roman" w:hAnsi="Calibri" w:cs="Calibri"/>
                <w:b/>
                <w:bCs/>
                <w:color w:val="000000"/>
                <w:sz w:val="18"/>
                <w:szCs w:val="18"/>
                <w:lang w:val="en-US" w:eastAsia="fr-CI"/>
              </w:rPr>
            </w:pPr>
          </w:p>
        </w:tc>
        <w:tc>
          <w:tcPr>
            <w:tcW w:w="853" w:type="dxa"/>
            <w:tcBorders>
              <w:top w:val="nil"/>
              <w:left w:val="nil"/>
              <w:bottom w:val="single" w:sz="8" w:space="0" w:color="BDD6EE"/>
              <w:right w:val="single" w:sz="8" w:space="0" w:color="BDD6EE"/>
            </w:tcBorders>
            <w:shd w:val="clear" w:color="auto" w:fill="auto"/>
            <w:vAlign w:val="center"/>
            <w:hideMark/>
          </w:tcPr>
          <w:p w14:paraId="0278F6A2"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500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759A503B"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Gouvernance locale</w:t>
            </w:r>
          </w:p>
        </w:tc>
        <w:tc>
          <w:tcPr>
            <w:tcW w:w="3825" w:type="dxa"/>
            <w:gridSpan w:val="2"/>
            <w:tcBorders>
              <w:top w:val="nil"/>
              <w:left w:val="nil"/>
              <w:bottom w:val="nil"/>
              <w:right w:val="single" w:sz="8" w:space="0" w:color="BDD6EE"/>
            </w:tcBorders>
            <w:shd w:val="clear" w:color="auto" w:fill="auto"/>
            <w:vAlign w:val="bottom"/>
            <w:hideMark/>
          </w:tcPr>
          <w:p w14:paraId="3C04EE28"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Prodoc signé, ressources pas encore mobilisées</w:t>
            </w:r>
          </w:p>
        </w:tc>
      </w:tr>
      <w:tr w:rsidR="00C16C25" w:rsidRPr="00C16C25" w14:paraId="4D9D6EA9" w14:textId="77777777" w:rsidTr="00374578">
        <w:trPr>
          <w:trHeight w:val="290"/>
        </w:trPr>
        <w:tc>
          <w:tcPr>
            <w:tcW w:w="1084" w:type="dxa"/>
            <w:tcBorders>
              <w:top w:val="nil"/>
              <w:left w:val="single" w:sz="8" w:space="0" w:color="BDD6EE"/>
              <w:bottom w:val="nil"/>
              <w:right w:val="single" w:sz="8" w:space="0" w:color="BDD6EE"/>
            </w:tcBorders>
            <w:shd w:val="clear" w:color="000000" w:fill="70AD47"/>
            <w:vAlign w:val="center"/>
            <w:hideMark/>
          </w:tcPr>
          <w:p w14:paraId="13B21783"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vMerge/>
            <w:tcBorders>
              <w:top w:val="nil"/>
              <w:left w:val="single" w:sz="8" w:space="0" w:color="BDD6EE"/>
              <w:bottom w:val="single" w:sz="8" w:space="0" w:color="BDD6EE"/>
              <w:right w:val="single" w:sz="8" w:space="0" w:color="BDD6EE"/>
            </w:tcBorders>
            <w:vAlign w:val="center"/>
            <w:hideMark/>
          </w:tcPr>
          <w:p w14:paraId="323CC1C0"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p>
        </w:tc>
        <w:tc>
          <w:tcPr>
            <w:tcW w:w="853" w:type="dxa"/>
            <w:tcBorders>
              <w:top w:val="nil"/>
              <w:left w:val="nil"/>
              <w:bottom w:val="single" w:sz="8" w:space="0" w:color="BDD6EE"/>
              <w:right w:val="single" w:sz="8" w:space="0" w:color="BDD6EE"/>
            </w:tcBorders>
            <w:shd w:val="clear" w:color="auto" w:fill="auto"/>
            <w:vAlign w:val="center"/>
            <w:hideMark/>
          </w:tcPr>
          <w:p w14:paraId="5FE1AF53"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3 000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700FF56A"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Réforme Institutionnelle PHASE 2</w:t>
            </w:r>
          </w:p>
        </w:tc>
        <w:tc>
          <w:tcPr>
            <w:tcW w:w="3825" w:type="dxa"/>
            <w:gridSpan w:val="2"/>
            <w:tcBorders>
              <w:top w:val="nil"/>
              <w:left w:val="nil"/>
              <w:bottom w:val="nil"/>
              <w:right w:val="single" w:sz="8" w:space="0" w:color="BDD6EE"/>
            </w:tcBorders>
            <w:shd w:val="clear" w:color="auto" w:fill="auto"/>
            <w:vAlign w:val="bottom"/>
            <w:hideMark/>
          </w:tcPr>
          <w:p w14:paraId="2F46E3C9"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Prodoc signé. Ressources non encore mobilisées</w:t>
            </w:r>
          </w:p>
        </w:tc>
      </w:tr>
      <w:tr w:rsidR="00C16C25" w:rsidRPr="00C16C25" w14:paraId="6715B268" w14:textId="77777777" w:rsidTr="00374578">
        <w:trPr>
          <w:trHeight w:val="674"/>
        </w:trPr>
        <w:tc>
          <w:tcPr>
            <w:tcW w:w="1084" w:type="dxa"/>
            <w:tcBorders>
              <w:top w:val="nil"/>
              <w:left w:val="single" w:sz="8" w:space="0" w:color="BDD6EE"/>
              <w:bottom w:val="nil"/>
              <w:right w:val="single" w:sz="8" w:space="0" w:color="BDD6EE"/>
            </w:tcBorders>
            <w:shd w:val="clear" w:color="000000" w:fill="70AD47"/>
            <w:vAlign w:val="center"/>
            <w:hideMark/>
          </w:tcPr>
          <w:p w14:paraId="2BAB1EAA"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vMerge/>
            <w:tcBorders>
              <w:top w:val="nil"/>
              <w:left w:val="single" w:sz="8" w:space="0" w:color="BDD6EE"/>
              <w:bottom w:val="single" w:sz="8" w:space="0" w:color="BDD6EE"/>
              <w:right w:val="single" w:sz="8" w:space="0" w:color="BDD6EE"/>
            </w:tcBorders>
            <w:vAlign w:val="center"/>
            <w:hideMark/>
          </w:tcPr>
          <w:p w14:paraId="5EC42E5B"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p>
        </w:tc>
        <w:tc>
          <w:tcPr>
            <w:tcW w:w="853" w:type="dxa"/>
            <w:tcBorders>
              <w:top w:val="nil"/>
              <w:left w:val="nil"/>
              <w:bottom w:val="single" w:sz="8" w:space="0" w:color="BDD6EE"/>
              <w:right w:val="single" w:sz="8" w:space="0" w:color="BDD6EE"/>
            </w:tcBorders>
            <w:shd w:val="clear" w:color="auto" w:fill="auto"/>
            <w:vAlign w:val="center"/>
            <w:hideMark/>
          </w:tcPr>
          <w:p w14:paraId="273347A8"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1 493</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7550AF66"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Appui à la lutte contre la pollution des eaux (Economie Bleue)</w:t>
            </w:r>
          </w:p>
        </w:tc>
        <w:tc>
          <w:tcPr>
            <w:tcW w:w="3825" w:type="dxa"/>
            <w:gridSpan w:val="2"/>
            <w:tcBorders>
              <w:top w:val="nil"/>
              <w:left w:val="nil"/>
              <w:bottom w:val="nil"/>
              <w:right w:val="single" w:sz="8" w:space="0" w:color="BDD6EE"/>
            </w:tcBorders>
            <w:shd w:val="clear" w:color="auto" w:fill="auto"/>
            <w:vAlign w:val="bottom"/>
            <w:hideMark/>
          </w:tcPr>
          <w:p w14:paraId="3365E52D"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val="fr-FR" w:eastAsia="fr-CI"/>
              </w:rPr>
              <w:t xml:space="preserve">La note conceptuelle soumise par le PNUE a été approuvée par le secrétariat du FEM et la formulation du </w:t>
            </w:r>
            <w:proofErr w:type="spellStart"/>
            <w:r w:rsidRPr="00C16C25">
              <w:rPr>
                <w:rFonts w:ascii="Calibri" w:eastAsia="Times New Roman" w:hAnsi="Calibri" w:cs="Calibri"/>
                <w:color w:val="000000"/>
                <w:sz w:val="18"/>
                <w:szCs w:val="18"/>
                <w:lang w:val="fr-FR" w:eastAsia="fr-CI"/>
              </w:rPr>
              <w:t>prodoc</w:t>
            </w:r>
            <w:proofErr w:type="spellEnd"/>
            <w:r w:rsidRPr="00C16C25">
              <w:rPr>
                <w:rFonts w:ascii="Calibri" w:eastAsia="Times New Roman" w:hAnsi="Calibri" w:cs="Calibri"/>
                <w:color w:val="000000"/>
                <w:sz w:val="18"/>
                <w:szCs w:val="18"/>
                <w:lang w:val="fr-FR" w:eastAsia="fr-CI"/>
              </w:rPr>
              <w:t xml:space="preserve"> va être lancée à travers le recrutement d’un consultant par le PNUE.</w:t>
            </w:r>
          </w:p>
        </w:tc>
      </w:tr>
      <w:tr w:rsidR="00C16C25" w:rsidRPr="00DF6E7F" w14:paraId="0DB67F22" w14:textId="77777777" w:rsidTr="00374578">
        <w:trPr>
          <w:trHeight w:val="546"/>
        </w:trPr>
        <w:tc>
          <w:tcPr>
            <w:tcW w:w="1084" w:type="dxa"/>
            <w:tcBorders>
              <w:top w:val="nil"/>
              <w:left w:val="single" w:sz="8" w:space="0" w:color="BDD6EE"/>
              <w:bottom w:val="nil"/>
              <w:right w:val="single" w:sz="8" w:space="0" w:color="BDD6EE"/>
            </w:tcBorders>
            <w:shd w:val="clear" w:color="000000" w:fill="70AD47"/>
            <w:vAlign w:val="center"/>
            <w:hideMark/>
          </w:tcPr>
          <w:p w14:paraId="466A2F6D"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vMerge/>
            <w:tcBorders>
              <w:top w:val="nil"/>
              <w:left w:val="single" w:sz="8" w:space="0" w:color="BDD6EE"/>
              <w:bottom w:val="single" w:sz="8" w:space="0" w:color="BDD6EE"/>
              <w:right w:val="single" w:sz="8" w:space="0" w:color="BDD6EE"/>
            </w:tcBorders>
            <w:vAlign w:val="center"/>
            <w:hideMark/>
          </w:tcPr>
          <w:p w14:paraId="72AA34CC"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p>
        </w:tc>
        <w:tc>
          <w:tcPr>
            <w:tcW w:w="853" w:type="dxa"/>
            <w:tcBorders>
              <w:top w:val="nil"/>
              <w:left w:val="nil"/>
              <w:bottom w:val="single" w:sz="8" w:space="0" w:color="BDD6EE"/>
              <w:right w:val="single" w:sz="8" w:space="0" w:color="BDD6EE"/>
            </w:tcBorders>
            <w:shd w:val="clear" w:color="auto" w:fill="auto"/>
            <w:vAlign w:val="center"/>
            <w:hideMark/>
          </w:tcPr>
          <w:p w14:paraId="06B86BE7"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1 076</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6C101EB5" w14:textId="32DD4760"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Emancipation politique économique des jeunes  et des femmes en CI</w:t>
            </w:r>
          </w:p>
        </w:tc>
        <w:tc>
          <w:tcPr>
            <w:tcW w:w="3825" w:type="dxa"/>
            <w:gridSpan w:val="2"/>
            <w:tcBorders>
              <w:top w:val="nil"/>
              <w:left w:val="nil"/>
              <w:bottom w:val="nil"/>
              <w:right w:val="single" w:sz="8" w:space="0" w:color="BDD6EE"/>
            </w:tcBorders>
            <w:shd w:val="clear" w:color="auto" w:fill="auto"/>
            <w:vAlign w:val="center"/>
            <w:hideMark/>
          </w:tcPr>
          <w:p w14:paraId="417702E2" w14:textId="4C3399C7" w:rsidR="00C16C25" w:rsidRPr="00C16C25" w:rsidRDefault="00C16C25" w:rsidP="00C16C25">
            <w:pPr>
              <w:spacing w:after="0" w:line="240" w:lineRule="auto"/>
              <w:rPr>
                <w:rFonts w:ascii="Calibri" w:eastAsia="Times New Roman" w:hAnsi="Calibri" w:cs="Calibri"/>
                <w:color w:val="000000"/>
                <w:sz w:val="18"/>
                <w:szCs w:val="18"/>
                <w:lang w:val="en-US" w:eastAsia="fr-CI"/>
              </w:rPr>
            </w:pPr>
            <w:r w:rsidRPr="00C16C25">
              <w:rPr>
                <w:rFonts w:ascii="Calibri" w:eastAsia="Times New Roman" w:hAnsi="Calibri" w:cs="Calibri"/>
                <w:color w:val="000000"/>
                <w:sz w:val="18"/>
                <w:szCs w:val="18"/>
                <w:lang w:eastAsia="fr-CI"/>
              </w:rPr>
              <w:t xml:space="preserve">Prodoc signé. Ressources non encore mobilisées. </w:t>
            </w:r>
            <w:r w:rsidRPr="00C16C25">
              <w:rPr>
                <w:rFonts w:ascii="Calibri" w:eastAsia="Times New Roman" w:hAnsi="Calibri" w:cs="Calibri"/>
                <w:color w:val="000000"/>
                <w:sz w:val="18"/>
                <w:szCs w:val="18"/>
                <w:lang w:val="en-US" w:eastAsia="fr-CI"/>
              </w:rPr>
              <w:t>Le government donor costsharing agreement est signé</w:t>
            </w:r>
          </w:p>
        </w:tc>
      </w:tr>
      <w:tr w:rsidR="00C16C25" w:rsidRPr="00C16C25" w14:paraId="740C6CA6" w14:textId="77777777" w:rsidTr="00374578">
        <w:trPr>
          <w:trHeight w:val="290"/>
        </w:trPr>
        <w:tc>
          <w:tcPr>
            <w:tcW w:w="1084" w:type="dxa"/>
            <w:tcBorders>
              <w:top w:val="nil"/>
              <w:left w:val="single" w:sz="8" w:space="0" w:color="BDD6EE"/>
              <w:bottom w:val="nil"/>
              <w:right w:val="single" w:sz="8" w:space="0" w:color="BDD6EE"/>
            </w:tcBorders>
            <w:shd w:val="clear" w:color="000000" w:fill="70AD47"/>
            <w:vAlign w:val="center"/>
            <w:hideMark/>
          </w:tcPr>
          <w:p w14:paraId="2D37E576" w14:textId="77777777" w:rsidR="00C16C25" w:rsidRPr="00C16C25" w:rsidRDefault="00C16C25" w:rsidP="00C16C25">
            <w:pPr>
              <w:spacing w:after="0" w:line="240" w:lineRule="auto"/>
              <w:rPr>
                <w:rFonts w:ascii="Calibri" w:eastAsia="Times New Roman" w:hAnsi="Calibri" w:cs="Calibri"/>
                <w:color w:val="000000"/>
                <w:lang w:val="en-US" w:eastAsia="fr-CI"/>
              </w:rPr>
            </w:pPr>
            <w:r w:rsidRPr="00C16C25">
              <w:rPr>
                <w:rFonts w:ascii="Calibri" w:eastAsia="Times New Roman" w:hAnsi="Calibri" w:cs="Calibri"/>
                <w:color w:val="000000"/>
                <w:lang w:val="en-US" w:eastAsia="fr-CI"/>
              </w:rPr>
              <w:t> </w:t>
            </w:r>
          </w:p>
        </w:tc>
        <w:tc>
          <w:tcPr>
            <w:tcW w:w="1413" w:type="dxa"/>
            <w:tcBorders>
              <w:top w:val="nil"/>
              <w:left w:val="nil"/>
              <w:bottom w:val="single" w:sz="8" w:space="0" w:color="BDD6EE"/>
              <w:right w:val="single" w:sz="8" w:space="0" w:color="BDD6EE"/>
            </w:tcBorders>
            <w:shd w:val="clear" w:color="000000" w:fill="D9D9D9"/>
            <w:vAlign w:val="center"/>
            <w:hideMark/>
          </w:tcPr>
          <w:p w14:paraId="546ABCDA"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Total PIP</w:t>
            </w:r>
          </w:p>
        </w:tc>
        <w:tc>
          <w:tcPr>
            <w:tcW w:w="853" w:type="dxa"/>
            <w:tcBorders>
              <w:top w:val="nil"/>
              <w:left w:val="nil"/>
              <w:bottom w:val="single" w:sz="8" w:space="0" w:color="BDD6EE"/>
              <w:right w:val="single" w:sz="8" w:space="0" w:color="BDD6EE"/>
            </w:tcBorders>
            <w:shd w:val="clear" w:color="000000" w:fill="D9D9D9"/>
            <w:vAlign w:val="center"/>
            <w:hideMark/>
          </w:tcPr>
          <w:p w14:paraId="1DDBE0FF" w14:textId="77777777" w:rsidR="00C16C25" w:rsidRPr="00C16C25" w:rsidRDefault="00C16C25" w:rsidP="00C16C25">
            <w:pPr>
              <w:spacing w:after="0" w:line="240" w:lineRule="auto"/>
              <w:jc w:val="center"/>
              <w:rPr>
                <w:rFonts w:ascii="Calibri" w:eastAsia="Times New Roman" w:hAnsi="Calibri" w:cs="Calibri"/>
                <w:b/>
                <w:bCs/>
                <w:color w:val="000000"/>
                <w:sz w:val="20"/>
                <w:szCs w:val="20"/>
                <w:lang w:eastAsia="fr-CI"/>
              </w:rPr>
            </w:pPr>
            <w:r w:rsidRPr="00C16C25">
              <w:rPr>
                <w:rFonts w:ascii="Calibri" w:eastAsia="Times New Roman" w:hAnsi="Calibri" w:cs="Calibri"/>
                <w:b/>
                <w:bCs/>
                <w:color w:val="000000"/>
                <w:sz w:val="20"/>
                <w:szCs w:val="20"/>
                <w:lang w:eastAsia="fr-CI"/>
              </w:rPr>
              <w:t>23 431</w:t>
            </w:r>
          </w:p>
        </w:tc>
        <w:tc>
          <w:tcPr>
            <w:tcW w:w="6605" w:type="dxa"/>
            <w:gridSpan w:val="4"/>
            <w:tcBorders>
              <w:top w:val="single" w:sz="8" w:space="0" w:color="BDD6EE"/>
              <w:left w:val="nil"/>
              <w:bottom w:val="single" w:sz="8" w:space="0" w:color="BDD6EE"/>
              <w:right w:val="single" w:sz="8" w:space="0" w:color="BDD6EE"/>
            </w:tcBorders>
            <w:shd w:val="clear" w:color="000000" w:fill="D9D9D9"/>
            <w:vAlign w:val="center"/>
            <w:hideMark/>
          </w:tcPr>
          <w:p w14:paraId="17535C66"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 </w:t>
            </w:r>
          </w:p>
        </w:tc>
      </w:tr>
      <w:tr w:rsidR="00C16C25" w:rsidRPr="00C16C25" w14:paraId="72C7CA4F" w14:textId="77777777" w:rsidTr="00374578">
        <w:trPr>
          <w:trHeight w:val="453"/>
        </w:trPr>
        <w:tc>
          <w:tcPr>
            <w:tcW w:w="1084" w:type="dxa"/>
            <w:tcBorders>
              <w:top w:val="nil"/>
              <w:left w:val="single" w:sz="8" w:space="0" w:color="BDD6EE"/>
              <w:bottom w:val="nil"/>
              <w:right w:val="single" w:sz="8" w:space="0" w:color="BDD6EE"/>
            </w:tcBorders>
            <w:shd w:val="clear" w:color="000000" w:fill="70AD47"/>
            <w:vAlign w:val="center"/>
            <w:hideMark/>
          </w:tcPr>
          <w:p w14:paraId="4855C9C7"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xml:space="preserve">Bailleurs </w:t>
            </w:r>
          </w:p>
        </w:tc>
        <w:tc>
          <w:tcPr>
            <w:tcW w:w="1413" w:type="dxa"/>
            <w:tcBorders>
              <w:top w:val="nil"/>
              <w:left w:val="nil"/>
              <w:bottom w:val="single" w:sz="8" w:space="0" w:color="BDD6EE"/>
              <w:right w:val="single" w:sz="8" w:space="0" w:color="BDD6EE"/>
            </w:tcBorders>
            <w:shd w:val="clear" w:color="auto" w:fill="auto"/>
            <w:vAlign w:val="center"/>
            <w:hideMark/>
          </w:tcPr>
          <w:p w14:paraId="1E2AB2EF"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Japon</w:t>
            </w:r>
          </w:p>
        </w:tc>
        <w:tc>
          <w:tcPr>
            <w:tcW w:w="853" w:type="dxa"/>
            <w:tcBorders>
              <w:top w:val="nil"/>
              <w:left w:val="nil"/>
              <w:bottom w:val="single" w:sz="8" w:space="0" w:color="BDD6EE"/>
              <w:right w:val="single" w:sz="8" w:space="0" w:color="BDD6EE"/>
            </w:tcBorders>
            <w:shd w:val="clear" w:color="auto" w:fill="auto"/>
            <w:vAlign w:val="center"/>
            <w:hideMark/>
          </w:tcPr>
          <w:p w14:paraId="671F33EB"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1000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3317A7F2"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Climate promise proposal</w:t>
            </w:r>
          </w:p>
        </w:tc>
        <w:tc>
          <w:tcPr>
            <w:tcW w:w="3825" w:type="dxa"/>
            <w:gridSpan w:val="2"/>
            <w:tcBorders>
              <w:top w:val="single" w:sz="8" w:space="0" w:color="BDD6EE"/>
              <w:left w:val="nil"/>
              <w:bottom w:val="single" w:sz="8" w:space="0" w:color="BDD6EE"/>
              <w:right w:val="single" w:sz="8" w:space="0" w:color="BDD6EE"/>
            </w:tcBorders>
            <w:shd w:val="clear" w:color="auto" w:fill="auto"/>
            <w:vAlign w:val="center"/>
            <w:hideMark/>
          </w:tcPr>
          <w:p w14:paraId="2D92C622"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La note conceptuelle est en cours de finalisation pour soumission d’ici le 12 aout 2022 au Bailleur</w:t>
            </w:r>
          </w:p>
        </w:tc>
      </w:tr>
      <w:tr w:rsidR="00C16C25" w:rsidRPr="00C16C25" w14:paraId="681DF8C2" w14:textId="77777777" w:rsidTr="00374578">
        <w:trPr>
          <w:trHeight w:val="476"/>
        </w:trPr>
        <w:tc>
          <w:tcPr>
            <w:tcW w:w="1084" w:type="dxa"/>
            <w:tcBorders>
              <w:top w:val="nil"/>
              <w:left w:val="single" w:sz="8" w:space="0" w:color="BDD6EE"/>
              <w:bottom w:val="nil"/>
              <w:right w:val="single" w:sz="8" w:space="0" w:color="BDD6EE"/>
            </w:tcBorders>
            <w:shd w:val="clear" w:color="000000" w:fill="70AD47"/>
            <w:vAlign w:val="center"/>
            <w:hideMark/>
          </w:tcPr>
          <w:p w14:paraId="75A92F3C"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tcBorders>
              <w:top w:val="nil"/>
              <w:left w:val="nil"/>
              <w:bottom w:val="single" w:sz="8" w:space="0" w:color="BDD6EE"/>
              <w:right w:val="single" w:sz="8" w:space="0" w:color="BDD6EE"/>
            </w:tcBorders>
            <w:shd w:val="clear" w:color="auto" w:fill="auto"/>
            <w:vAlign w:val="center"/>
            <w:hideMark/>
          </w:tcPr>
          <w:p w14:paraId="7685F86B"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JICA</w:t>
            </w:r>
          </w:p>
        </w:tc>
        <w:tc>
          <w:tcPr>
            <w:tcW w:w="853" w:type="dxa"/>
            <w:tcBorders>
              <w:top w:val="nil"/>
              <w:left w:val="nil"/>
              <w:bottom w:val="single" w:sz="8" w:space="0" w:color="BDD6EE"/>
              <w:right w:val="single" w:sz="8" w:space="0" w:color="BDD6EE"/>
            </w:tcBorders>
            <w:shd w:val="clear" w:color="auto" w:fill="auto"/>
            <w:vAlign w:val="center"/>
            <w:hideMark/>
          </w:tcPr>
          <w:p w14:paraId="0C98292B"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3000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447019AF" w14:textId="06BAFC5D"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Renforcement de la participation des collectivités   cohésion sociale</w:t>
            </w:r>
          </w:p>
        </w:tc>
        <w:tc>
          <w:tcPr>
            <w:tcW w:w="3825" w:type="dxa"/>
            <w:gridSpan w:val="2"/>
            <w:tcBorders>
              <w:top w:val="single" w:sz="8" w:space="0" w:color="BDD6EE"/>
              <w:left w:val="nil"/>
              <w:bottom w:val="single" w:sz="8" w:space="0" w:color="BDD6EE"/>
              <w:right w:val="single" w:sz="8" w:space="0" w:color="BDD6EE"/>
            </w:tcBorders>
            <w:shd w:val="clear" w:color="auto" w:fill="auto"/>
            <w:vAlign w:val="center"/>
            <w:hideMark/>
          </w:tcPr>
          <w:p w14:paraId="1B9617DB"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Prodoc soumis à la JICA le 05/08 en attente de leur feedback</w:t>
            </w:r>
          </w:p>
        </w:tc>
      </w:tr>
      <w:tr w:rsidR="00C16C25" w:rsidRPr="00C16C25" w14:paraId="5631EC18" w14:textId="77777777" w:rsidTr="00374578">
        <w:trPr>
          <w:trHeight w:val="314"/>
        </w:trPr>
        <w:tc>
          <w:tcPr>
            <w:tcW w:w="1084" w:type="dxa"/>
            <w:tcBorders>
              <w:top w:val="nil"/>
              <w:left w:val="single" w:sz="8" w:space="0" w:color="BDD6EE"/>
              <w:bottom w:val="nil"/>
              <w:right w:val="single" w:sz="8" w:space="0" w:color="BDD6EE"/>
            </w:tcBorders>
            <w:shd w:val="clear" w:color="000000" w:fill="70AD47"/>
            <w:vAlign w:val="center"/>
            <w:hideMark/>
          </w:tcPr>
          <w:p w14:paraId="60DD2043"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tcBorders>
              <w:top w:val="nil"/>
              <w:left w:val="nil"/>
              <w:bottom w:val="single" w:sz="8" w:space="0" w:color="BDD6EE"/>
              <w:right w:val="single" w:sz="8" w:space="0" w:color="BDD6EE"/>
            </w:tcBorders>
            <w:shd w:val="clear" w:color="auto" w:fill="auto"/>
            <w:vAlign w:val="center"/>
            <w:hideMark/>
          </w:tcPr>
          <w:p w14:paraId="1E2B98DD"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JAPON</w:t>
            </w:r>
          </w:p>
        </w:tc>
        <w:tc>
          <w:tcPr>
            <w:tcW w:w="853" w:type="dxa"/>
            <w:tcBorders>
              <w:top w:val="nil"/>
              <w:left w:val="nil"/>
              <w:bottom w:val="single" w:sz="8" w:space="0" w:color="BDD6EE"/>
              <w:right w:val="single" w:sz="8" w:space="0" w:color="BDD6EE"/>
            </w:tcBorders>
            <w:shd w:val="clear" w:color="auto" w:fill="auto"/>
            <w:vAlign w:val="center"/>
            <w:hideMark/>
          </w:tcPr>
          <w:p w14:paraId="099406B1"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3500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0ED174D1"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Prevention Catastrophe</w:t>
            </w:r>
          </w:p>
        </w:tc>
        <w:tc>
          <w:tcPr>
            <w:tcW w:w="3825" w:type="dxa"/>
            <w:gridSpan w:val="2"/>
            <w:tcBorders>
              <w:top w:val="single" w:sz="8" w:space="0" w:color="BDD6EE"/>
              <w:left w:val="nil"/>
              <w:bottom w:val="single" w:sz="8" w:space="0" w:color="BDD6EE"/>
              <w:right w:val="single" w:sz="8" w:space="0" w:color="BDD6EE"/>
            </w:tcBorders>
            <w:shd w:val="clear" w:color="auto" w:fill="auto"/>
            <w:vAlign w:val="center"/>
            <w:hideMark/>
          </w:tcPr>
          <w:p w14:paraId="147B3877" w14:textId="5D4B0B6F"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Proposition transmise en attente de Fed back</w:t>
            </w:r>
          </w:p>
        </w:tc>
      </w:tr>
      <w:tr w:rsidR="00C16C25" w:rsidRPr="00C16C25" w14:paraId="2BA02167" w14:textId="77777777" w:rsidTr="00374578">
        <w:trPr>
          <w:trHeight w:val="290"/>
        </w:trPr>
        <w:tc>
          <w:tcPr>
            <w:tcW w:w="1084" w:type="dxa"/>
            <w:tcBorders>
              <w:top w:val="nil"/>
              <w:left w:val="nil"/>
              <w:bottom w:val="nil"/>
              <w:right w:val="nil"/>
            </w:tcBorders>
            <w:shd w:val="clear" w:color="000000" w:fill="70AD47"/>
            <w:noWrap/>
            <w:vAlign w:val="bottom"/>
            <w:hideMark/>
          </w:tcPr>
          <w:p w14:paraId="543B3DC4"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tcBorders>
              <w:top w:val="nil"/>
              <w:left w:val="nil"/>
              <w:bottom w:val="nil"/>
              <w:right w:val="single" w:sz="8" w:space="0" w:color="BDD6EE"/>
            </w:tcBorders>
            <w:shd w:val="clear" w:color="auto" w:fill="auto"/>
            <w:vAlign w:val="center"/>
            <w:hideMark/>
          </w:tcPr>
          <w:p w14:paraId="7FBD7B5D"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Bailleurs</w:t>
            </w:r>
          </w:p>
        </w:tc>
        <w:tc>
          <w:tcPr>
            <w:tcW w:w="853" w:type="dxa"/>
            <w:tcBorders>
              <w:top w:val="nil"/>
              <w:left w:val="nil"/>
              <w:bottom w:val="nil"/>
              <w:right w:val="single" w:sz="8" w:space="0" w:color="BDD6EE"/>
            </w:tcBorders>
            <w:shd w:val="clear" w:color="auto" w:fill="auto"/>
            <w:vAlign w:val="center"/>
            <w:hideMark/>
          </w:tcPr>
          <w:p w14:paraId="2332A5F5"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1160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6915758D" w14:textId="42C8F861"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Prevention de conflit Projet Régional</w:t>
            </w:r>
          </w:p>
        </w:tc>
        <w:tc>
          <w:tcPr>
            <w:tcW w:w="3825" w:type="dxa"/>
            <w:gridSpan w:val="2"/>
            <w:tcBorders>
              <w:top w:val="single" w:sz="8" w:space="0" w:color="BDD6EE"/>
              <w:left w:val="nil"/>
              <w:bottom w:val="single" w:sz="8" w:space="0" w:color="BDD6EE"/>
              <w:right w:val="single" w:sz="8" w:space="0" w:color="BDD6EE"/>
            </w:tcBorders>
            <w:shd w:val="clear" w:color="auto" w:fill="auto"/>
            <w:vAlign w:val="center"/>
            <w:hideMark/>
          </w:tcPr>
          <w:p w14:paraId="774BA259" w14:textId="434F43FD"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Prodoc finalisé soumission de la proposition aux partenaires</w:t>
            </w:r>
          </w:p>
        </w:tc>
      </w:tr>
      <w:tr w:rsidR="00C16C25" w:rsidRPr="00C16C25" w14:paraId="231AB955" w14:textId="77777777" w:rsidTr="00374578">
        <w:trPr>
          <w:trHeight w:val="290"/>
        </w:trPr>
        <w:tc>
          <w:tcPr>
            <w:tcW w:w="1084" w:type="dxa"/>
            <w:tcBorders>
              <w:top w:val="nil"/>
              <w:left w:val="single" w:sz="8" w:space="0" w:color="BDD6EE"/>
              <w:bottom w:val="nil"/>
              <w:right w:val="single" w:sz="8" w:space="0" w:color="BDD6EE"/>
            </w:tcBorders>
            <w:shd w:val="clear" w:color="000000" w:fill="70AD47"/>
            <w:vAlign w:val="center"/>
            <w:hideMark/>
          </w:tcPr>
          <w:p w14:paraId="392E23A4"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tcBorders>
              <w:top w:val="nil"/>
              <w:left w:val="nil"/>
              <w:bottom w:val="single" w:sz="8" w:space="0" w:color="BDD6EE"/>
              <w:right w:val="single" w:sz="8" w:space="0" w:color="BDD6EE"/>
            </w:tcBorders>
            <w:shd w:val="clear" w:color="auto" w:fill="auto"/>
            <w:vAlign w:val="center"/>
            <w:hideMark/>
          </w:tcPr>
          <w:p w14:paraId="3A1A1F66"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PNUD</w:t>
            </w:r>
          </w:p>
        </w:tc>
        <w:tc>
          <w:tcPr>
            <w:tcW w:w="853" w:type="dxa"/>
            <w:tcBorders>
              <w:top w:val="nil"/>
              <w:left w:val="nil"/>
              <w:bottom w:val="single" w:sz="8" w:space="0" w:color="BDD6EE"/>
              <w:right w:val="single" w:sz="8" w:space="0" w:color="BDD6EE"/>
            </w:tcBorders>
            <w:shd w:val="clear" w:color="auto" w:fill="auto"/>
            <w:vAlign w:val="center"/>
            <w:hideMark/>
          </w:tcPr>
          <w:p w14:paraId="17335736"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800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27A56D37" w14:textId="329D5C06"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Projet Régional Corridor</w:t>
            </w:r>
          </w:p>
        </w:tc>
        <w:tc>
          <w:tcPr>
            <w:tcW w:w="3825" w:type="dxa"/>
            <w:gridSpan w:val="2"/>
            <w:tcBorders>
              <w:top w:val="single" w:sz="8" w:space="0" w:color="BDD6EE"/>
              <w:left w:val="nil"/>
              <w:bottom w:val="single" w:sz="8" w:space="0" w:color="BDD6EE"/>
              <w:right w:val="single" w:sz="8" w:space="0" w:color="BDD6EE"/>
            </w:tcBorders>
            <w:shd w:val="clear" w:color="auto" w:fill="auto"/>
            <w:vAlign w:val="center"/>
            <w:hideMark/>
          </w:tcPr>
          <w:p w14:paraId="105B8C1C"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Prodoc finalisé. Soumission de la proposition aux partenaires</w:t>
            </w:r>
          </w:p>
        </w:tc>
      </w:tr>
      <w:tr w:rsidR="00C16C25" w:rsidRPr="00C16C25" w14:paraId="5C05804F" w14:textId="77777777" w:rsidTr="00374578">
        <w:trPr>
          <w:trHeight w:val="674"/>
        </w:trPr>
        <w:tc>
          <w:tcPr>
            <w:tcW w:w="1084" w:type="dxa"/>
            <w:tcBorders>
              <w:top w:val="nil"/>
              <w:left w:val="single" w:sz="8" w:space="0" w:color="BDD6EE"/>
              <w:bottom w:val="nil"/>
              <w:right w:val="single" w:sz="8" w:space="0" w:color="BDD6EE"/>
            </w:tcBorders>
            <w:shd w:val="clear" w:color="000000" w:fill="70AD47"/>
            <w:vAlign w:val="center"/>
            <w:hideMark/>
          </w:tcPr>
          <w:p w14:paraId="5344BD55"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tcBorders>
              <w:top w:val="nil"/>
              <w:left w:val="nil"/>
              <w:bottom w:val="single" w:sz="8" w:space="0" w:color="BDD6EE"/>
              <w:right w:val="single" w:sz="8" w:space="0" w:color="BDD6EE"/>
            </w:tcBorders>
            <w:shd w:val="clear" w:color="auto" w:fill="auto"/>
            <w:vAlign w:val="center"/>
            <w:hideMark/>
          </w:tcPr>
          <w:p w14:paraId="0F203C59"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USA</w:t>
            </w:r>
          </w:p>
        </w:tc>
        <w:tc>
          <w:tcPr>
            <w:tcW w:w="853" w:type="dxa"/>
            <w:tcBorders>
              <w:top w:val="nil"/>
              <w:left w:val="nil"/>
              <w:bottom w:val="single" w:sz="8" w:space="0" w:color="BDD6EE"/>
              <w:right w:val="single" w:sz="8" w:space="0" w:color="BDD6EE"/>
            </w:tcBorders>
            <w:shd w:val="clear" w:color="auto" w:fill="auto"/>
            <w:vAlign w:val="center"/>
            <w:hideMark/>
          </w:tcPr>
          <w:p w14:paraId="62B7ED55"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2000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4518CF43" w14:textId="77777777" w:rsidR="00C16C25" w:rsidRPr="00C16C25" w:rsidRDefault="00C16C25" w:rsidP="00C16C25">
            <w:pPr>
              <w:spacing w:after="0" w:line="240" w:lineRule="auto"/>
              <w:rPr>
                <w:rFonts w:ascii="Calibri" w:eastAsia="Times New Roman" w:hAnsi="Calibri" w:cs="Calibri"/>
                <w:color w:val="000000"/>
                <w:sz w:val="18"/>
                <w:szCs w:val="18"/>
                <w:lang w:val="en-US" w:eastAsia="fr-CI"/>
              </w:rPr>
            </w:pPr>
            <w:r w:rsidRPr="00C16C25">
              <w:rPr>
                <w:rFonts w:ascii="Calibri" w:eastAsia="Times New Roman" w:hAnsi="Calibri" w:cs="Calibri"/>
                <w:color w:val="000000"/>
                <w:sz w:val="18"/>
                <w:szCs w:val="18"/>
                <w:lang w:val="en-US" w:eastAsia="fr-CI"/>
              </w:rPr>
              <w:t>Support the strengthening of access to justice and the modernization of the judicial institution</w:t>
            </w:r>
          </w:p>
        </w:tc>
        <w:tc>
          <w:tcPr>
            <w:tcW w:w="3825" w:type="dxa"/>
            <w:gridSpan w:val="2"/>
            <w:tcBorders>
              <w:top w:val="single" w:sz="8" w:space="0" w:color="BDD6EE"/>
              <w:left w:val="nil"/>
              <w:bottom w:val="single" w:sz="8" w:space="0" w:color="BDD6EE"/>
              <w:right w:val="single" w:sz="8" w:space="0" w:color="BDD6EE"/>
            </w:tcBorders>
            <w:shd w:val="clear" w:color="auto" w:fill="auto"/>
            <w:vAlign w:val="center"/>
            <w:hideMark/>
          </w:tcPr>
          <w:p w14:paraId="63D42111"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 xml:space="preserve">Premier draft du Prodoc soumis à l’ambassade des USA le 01/08. </w:t>
            </w:r>
          </w:p>
        </w:tc>
      </w:tr>
      <w:tr w:rsidR="00C16C25" w:rsidRPr="00C16C25" w14:paraId="7DE13C42" w14:textId="77777777" w:rsidTr="00374578">
        <w:trPr>
          <w:trHeight w:val="290"/>
        </w:trPr>
        <w:tc>
          <w:tcPr>
            <w:tcW w:w="1084" w:type="dxa"/>
            <w:tcBorders>
              <w:top w:val="nil"/>
              <w:left w:val="single" w:sz="8" w:space="0" w:color="BDD6EE"/>
              <w:bottom w:val="single" w:sz="8" w:space="0" w:color="BDD6EE"/>
              <w:right w:val="single" w:sz="8" w:space="0" w:color="BDD6EE"/>
            </w:tcBorders>
            <w:shd w:val="clear" w:color="000000" w:fill="70AD47"/>
            <w:vAlign w:val="center"/>
            <w:hideMark/>
          </w:tcPr>
          <w:p w14:paraId="5A184F8F"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tcBorders>
              <w:top w:val="nil"/>
              <w:left w:val="nil"/>
              <w:bottom w:val="single" w:sz="8" w:space="0" w:color="BDD6EE"/>
              <w:right w:val="single" w:sz="8" w:space="0" w:color="BDD6EE"/>
            </w:tcBorders>
            <w:shd w:val="clear" w:color="000000" w:fill="D9D9D9"/>
            <w:vAlign w:val="center"/>
            <w:hideMark/>
          </w:tcPr>
          <w:p w14:paraId="71B0FA43"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 </w:t>
            </w:r>
          </w:p>
        </w:tc>
        <w:tc>
          <w:tcPr>
            <w:tcW w:w="853" w:type="dxa"/>
            <w:tcBorders>
              <w:top w:val="nil"/>
              <w:left w:val="nil"/>
              <w:bottom w:val="single" w:sz="8" w:space="0" w:color="BDD6EE"/>
              <w:right w:val="single" w:sz="8" w:space="0" w:color="BDD6EE"/>
            </w:tcBorders>
            <w:shd w:val="clear" w:color="000000" w:fill="D9D9D9"/>
            <w:vAlign w:val="center"/>
            <w:hideMark/>
          </w:tcPr>
          <w:p w14:paraId="2D7DC9F6" w14:textId="3BB41E5B" w:rsidR="00C16C25" w:rsidRPr="00C16C25" w:rsidRDefault="00374578" w:rsidP="00C16C25">
            <w:pPr>
              <w:spacing w:after="0" w:line="240" w:lineRule="auto"/>
              <w:jc w:val="center"/>
              <w:rPr>
                <w:rFonts w:ascii="Calibri" w:eastAsia="Times New Roman" w:hAnsi="Calibri" w:cs="Calibri"/>
                <w:b/>
                <w:bCs/>
                <w:color w:val="000000"/>
                <w:sz w:val="20"/>
                <w:szCs w:val="20"/>
                <w:lang w:eastAsia="fr-CI"/>
              </w:rPr>
            </w:pPr>
            <w:r>
              <w:rPr>
                <w:rFonts w:ascii="Calibri" w:eastAsia="Times New Roman" w:hAnsi="Calibri" w:cs="Calibri"/>
                <w:b/>
                <w:bCs/>
                <w:color w:val="000000"/>
                <w:sz w:val="20"/>
                <w:szCs w:val="20"/>
                <w:lang w:eastAsia="fr-CI"/>
              </w:rPr>
              <w:t>11 460</w:t>
            </w:r>
          </w:p>
        </w:tc>
        <w:tc>
          <w:tcPr>
            <w:tcW w:w="1018" w:type="dxa"/>
            <w:tcBorders>
              <w:top w:val="nil"/>
              <w:left w:val="nil"/>
              <w:bottom w:val="single" w:sz="8" w:space="0" w:color="BDD6EE"/>
              <w:right w:val="single" w:sz="8" w:space="0" w:color="BDD6EE"/>
            </w:tcBorders>
            <w:shd w:val="clear" w:color="000000" w:fill="D9D9D9"/>
            <w:vAlign w:val="center"/>
            <w:hideMark/>
          </w:tcPr>
          <w:p w14:paraId="4DB9B251"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 </w:t>
            </w:r>
          </w:p>
        </w:tc>
        <w:tc>
          <w:tcPr>
            <w:tcW w:w="1762" w:type="dxa"/>
            <w:tcBorders>
              <w:top w:val="nil"/>
              <w:left w:val="nil"/>
              <w:bottom w:val="single" w:sz="8" w:space="0" w:color="BDD6EE"/>
              <w:right w:val="single" w:sz="8" w:space="0" w:color="BDD6EE"/>
            </w:tcBorders>
            <w:shd w:val="clear" w:color="000000" w:fill="D9D9D9"/>
            <w:vAlign w:val="center"/>
            <w:hideMark/>
          </w:tcPr>
          <w:p w14:paraId="67FA9FFF"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 </w:t>
            </w:r>
          </w:p>
        </w:tc>
        <w:tc>
          <w:tcPr>
            <w:tcW w:w="1037" w:type="dxa"/>
            <w:tcBorders>
              <w:top w:val="nil"/>
              <w:left w:val="nil"/>
              <w:bottom w:val="single" w:sz="8" w:space="0" w:color="BDD6EE"/>
              <w:right w:val="single" w:sz="8" w:space="0" w:color="BDD6EE"/>
            </w:tcBorders>
            <w:shd w:val="clear" w:color="000000" w:fill="D9D9D9"/>
            <w:vAlign w:val="center"/>
            <w:hideMark/>
          </w:tcPr>
          <w:p w14:paraId="14D8D9EC"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 </w:t>
            </w:r>
          </w:p>
        </w:tc>
        <w:tc>
          <w:tcPr>
            <w:tcW w:w="2788" w:type="dxa"/>
            <w:tcBorders>
              <w:top w:val="nil"/>
              <w:left w:val="nil"/>
              <w:bottom w:val="single" w:sz="8" w:space="0" w:color="BDD6EE"/>
              <w:right w:val="single" w:sz="8" w:space="0" w:color="BDD6EE"/>
            </w:tcBorders>
            <w:shd w:val="clear" w:color="000000" w:fill="D9D9D9"/>
            <w:vAlign w:val="center"/>
            <w:hideMark/>
          </w:tcPr>
          <w:p w14:paraId="5E2CF5DE"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 </w:t>
            </w:r>
          </w:p>
        </w:tc>
      </w:tr>
      <w:tr w:rsidR="00C16C25" w:rsidRPr="00C16C25" w14:paraId="04BA7560" w14:textId="77777777" w:rsidTr="00374578">
        <w:trPr>
          <w:trHeight w:val="639"/>
        </w:trPr>
        <w:tc>
          <w:tcPr>
            <w:tcW w:w="1084" w:type="dxa"/>
            <w:tcBorders>
              <w:top w:val="nil"/>
              <w:left w:val="single" w:sz="8" w:space="0" w:color="BDD6EE"/>
              <w:bottom w:val="nil"/>
              <w:right w:val="single" w:sz="8" w:space="0" w:color="BDD6EE"/>
            </w:tcBorders>
            <w:shd w:val="clear" w:color="000000" w:fill="70AD47"/>
            <w:vAlign w:val="center"/>
            <w:hideMark/>
          </w:tcPr>
          <w:p w14:paraId="44D19E6C"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 </w:t>
            </w:r>
          </w:p>
        </w:tc>
        <w:tc>
          <w:tcPr>
            <w:tcW w:w="1413" w:type="dxa"/>
            <w:tcBorders>
              <w:top w:val="nil"/>
              <w:left w:val="nil"/>
              <w:bottom w:val="nil"/>
              <w:right w:val="single" w:sz="8" w:space="0" w:color="BDD6EE"/>
            </w:tcBorders>
            <w:shd w:val="clear" w:color="auto" w:fill="auto"/>
            <w:vAlign w:val="center"/>
            <w:hideMark/>
          </w:tcPr>
          <w:p w14:paraId="38B7652F"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GCF</w:t>
            </w:r>
          </w:p>
        </w:tc>
        <w:tc>
          <w:tcPr>
            <w:tcW w:w="853" w:type="dxa"/>
            <w:tcBorders>
              <w:top w:val="nil"/>
              <w:left w:val="nil"/>
              <w:bottom w:val="nil"/>
              <w:right w:val="single" w:sz="8" w:space="0" w:color="BDD6EE"/>
            </w:tcBorders>
            <w:shd w:val="clear" w:color="auto" w:fill="auto"/>
            <w:vAlign w:val="center"/>
            <w:hideMark/>
          </w:tcPr>
          <w:p w14:paraId="6EB18EA5"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8000</w:t>
            </w:r>
          </w:p>
        </w:tc>
        <w:tc>
          <w:tcPr>
            <w:tcW w:w="2780" w:type="dxa"/>
            <w:gridSpan w:val="2"/>
            <w:tcBorders>
              <w:top w:val="single" w:sz="8" w:space="0" w:color="BDD6EE"/>
              <w:left w:val="nil"/>
              <w:bottom w:val="nil"/>
              <w:right w:val="single" w:sz="8" w:space="0" w:color="BDD6EE"/>
            </w:tcBorders>
            <w:shd w:val="clear" w:color="auto" w:fill="auto"/>
            <w:vAlign w:val="center"/>
            <w:hideMark/>
          </w:tcPr>
          <w:p w14:paraId="2CBA303A"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Réduction des Risques de Catastrophes</w:t>
            </w:r>
          </w:p>
        </w:tc>
        <w:tc>
          <w:tcPr>
            <w:tcW w:w="3825" w:type="dxa"/>
            <w:gridSpan w:val="2"/>
            <w:tcBorders>
              <w:top w:val="single" w:sz="8" w:space="0" w:color="BDD6EE"/>
              <w:left w:val="nil"/>
              <w:bottom w:val="nil"/>
              <w:right w:val="single" w:sz="8" w:space="0" w:color="BDD6EE"/>
            </w:tcBorders>
            <w:shd w:val="clear" w:color="auto" w:fill="auto"/>
            <w:vAlign w:val="center"/>
            <w:hideMark/>
          </w:tcPr>
          <w:p w14:paraId="7DD8E447"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 xml:space="preserve">La note conceptuelle a été soumise au GCF et des commentaires ont été recueillis. Les travaux sont en cours pour leur prise en compte des commentaires. </w:t>
            </w:r>
          </w:p>
        </w:tc>
      </w:tr>
      <w:tr w:rsidR="00C16C25" w:rsidRPr="00C16C25" w14:paraId="0FFC2CC0" w14:textId="77777777" w:rsidTr="00374578">
        <w:trPr>
          <w:trHeight w:val="465"/>
        </w:trPr>
        <w:tc>
          <w:tcPr>
            <w:tcW w:w="1084" w:type="dxa"/>
            <w:tcBorders>
              <w:top w:val="nil"/>
              <w:left w:val="single" w:sz="8" w:space="0" w:color="BDD6EE"/>
              <w:bottom w:val="nil"/>
              <w:right w:val="single" w:sz="8" w:space="0" w:color="BDD6EE"/>
            </w:tcBorders>
            <w:shd w:val="clear" w:color="000000" w:fill="70AD47"/>
            <w:vAlign w:val="center"/>
            <w:hideMark/>
          </w:tcPr>
          <w:p w14:paraId="0035A7D7"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 </w:t>
            </w:r>
          </w:p>
        </w:tc>
        <w:tc>
          <w:tcPr>
            <w:tcW w:w="1413" w:type="dxa"/>
            <w:tcBorders>
              <w:top w:val="nil"/>
              <w:left w:val="nil"/>
              <w:bottom w:val="nil"/>
              <w:right w:val="single" w:sz="8" w:space="0" w:color="BDD6EE"/>
            </w:tcBorders>
            <w:shd w:val="clear" w:color="auto" w:fill="auto"/>
            <w:vAlign w:val="center"/>
            <w:hideMark/>
          </w:tcPr>
          <w:p w14:paraId="25748CEB"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GCF</w:t>
            </w:r>
          </w:p>
        </w:tc>
        <w:tc>
          <w:tcPr>
            <w:tcW w:w="853" w:type="dxa"/>
            <w:tcBorders>
              <w:top w:val="nil"/>
              <w:left w:val="nil"/>
              <w:bottom w:val="single" w:sz="8" w:space="0" w:color="BDD6EE"/>
              <w:right w:val="single" w:sz="8" w:space="0" w:color="BDD6EE"/>
            </w:tcBorders>
            <w:shd w:val="clear" w:color="auto" w:fill="auto"/>
            <w:vAlign w:val="center"/>
            <w:hideMark/>
          </w:tcPr>
          <w:p w14:paraId="034ED47D"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2500</w:t>
            </w:r>
          </w:p>
        </w:tc>
        <w:tc>
          <w:tcPr>
            <w:tcW w:w="2780" w:type="dxa"/>
            <w:gridSpan w:val="2"/>
            <w:tcBorders>
              <w:top w:val="nil"/>
              <w:left w:val="nil"/>
              <w:bottom w:val="single" w:sz="8" w:space="0" w:color="BDD6EE"/>
              <w:right w:val="single" w:sz="8" w:space="0" w:color="BDD6EE"/>
            </w:tcBorders>
            <w:shd w:val="clear" w:color="auto" w:fill="auto"/>
            <w:vAlign w:val="center"/>
            <w:hideMark/>
          </w:tcPr>
          <w:p w14:paraId="023A7B5B"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 xml:space="preserve">Renforcement de la résilience des communautés côtières à forte vulnérabilités </w:t>
            </w:r>
          </w:p>
        </w:tc>
        <w:tc>
          <w:tcPr>
            <w:tcW w:w="3825" w:type="dxa"/>
            <w:gridSpan w:val="2"/>
            <w:tcBorders>
              <w:top w:val="nil"/>
              <w:left w:val="nil"/>
              <w:bottom w:val="single" w:sz="8" w:space="0" w:color="BDD6EE"/>
              <w:right w:val="single" w:sz="8" w:space="0" w:color="BDD6EE"/>
            </w:tcBorders>
            <w:shd w:val="clear" w:color="auto" w:fill="auto"/>
            <w:vAlign w:val="center"/>
            <w:hideMark/>
          </w:tcPr>
          <w:p w14:paraId="189B1187"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Les échanges sont en cours avec l’UE pour l’appui à la réalisation des études pour soutenir l’élaboration de la note conceptuelle</w:t>
            </w:r>
          </w:p>
        </w:tc>
      </w:tr>
      <w:tr w:rsidR="00C16C25" w:rsidRPr="00C16C25" w14:paraId="7A8D6FE1" w14:textId="77777777" w:rsidTr="00374578">
        <w:trPr>
          <w:trHeight w:val="674"/>
        </w:trPr>
        <w:tc>
          <w:tcPr>
            <w:tcW w:w="1084" w:type="dxa"/>
            <w:tcBorders>
              <w:top w:val="nil"/>
              <w:left w:val="single" w:sz="8" w:space="0" w:color="BDD6EE"/>
              <w:bottom w:val="nil"/>
              <w:right w:val="single" w:sz="8" w:space="0" w:color="BDD6EE"/>
            </w:tcBorders>
            <w:shd w:val="clear" w:color="000000" w:fill="70AD47"/>
            <w:vAlign w:val="center"/>
            <w:hideMark/>
          </w:tcPr>
          <w:p w14:paraId="584D8341"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Funds</w:t>
            </w:r>
          </w:p>
        </w:tc>
        <w:tc>
          <w:tcPr>
            <w:tcW w:w="1413" w:type="dxa"/>
            <w:tcBorders>
              <w:top w:val="nil"/>
              <w:left w:val="nil"/>
              <w:bottom w:val="single" w:sz="8" w:space="0" w:color="BDD6EE"/>
              <w:right w:val="single" w:sz="8" w:space="0" w:color="BDD6EE"/>
            </w:tcBorders>
            <w:shd w:val="clear" w:color="auto" w:fill="auto"/>
            <w:vAlign w:val="center"/>
            <w:hideMark/>
          </w:tcPr>
          <w:p w14:paraId="30B14387" w14:textId="77777777" w:rsidR="00C16C25" w:rsidRPr="00C16C25" w:rsidRDefault="00C16C25" w:rsidP="00C16C25">
            <w:pPr>
              <w:spacing w:after="0" w:line="240" w:lineRule="auto"/>
              <w:jc w:val="center"/>
              <w:rPr>
                <w:rFonts w:ascii="Calibri" w:eastAsia="Times New Roman" w:hAnsi="Calibri" w:cs="Calibri"/>
                <w:color w:val="000000"/>
                <w:lang w:eastAsia="fr-CI"/>
              </w:rPr>
            </w:pPr>
            <w:r w:rsidRPr="00C16C25">
              <w:rPr>
                <w:rFonts w:ascii="Calibri" w:eastAsia="Times New Roman" w:hAnsi="Calibri" w:cs="Calibri"/>
                <w:color w:val="000000"/>
                <w:lang w:eastAsia="fr-CI"/>
              </w:rPr>
              <w:t xml:space="preserve"> GEF</w:t>
            </w:r>
          </w:p>
        </w:tc>
        <w:tc>
          <w:tcPr>
            <w:tcW w:w="853" w:type="dxa"/>
            <w:tcBorders>
              <w:top w:val="nil"/>
              <w:left w:val="nil"/>
              <w:bottom w:val="single" w:sz="8" w:space="0" w:color="BDD6EE"/>
              <w:right w:val="single" w:sz="8" w:space="0" w:color="BDD6EE"/>
            </w:tcBorders>
            <w:shd w:val="clear" w:color="auto" w:fill="auto"/>
            <w:vAlign w:val="center"/>
            <w:hideMark/>
          </w:tcPr>
          <w:p w14:paraId="1B785D6C"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5000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73A4C7BB"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Renforcement de l’action climatique dans les territoires</w:t>
            </w:r>
          </w:p>
        </w:tc>
        <w:tc>
          <w:tcPr>
            <w:tcW w:w="3825" w:type="dxa"/>
            <w:gridSpan w:val="2"/>
            <w:tcBorders>
              <w:top w:val="single" w:sz="8" w:space="0" w:color="BDD6EE"/>
              <w:left w:val="nil"/>
              <w:bottom w:val="single" w:sz="8" w:space="0" w:color="BDD6EE"/>
              <w:right w:val="single" w:sz="8" w:space="0" w:color="BDD6EE"/>
            </w:tcBorders>
            <w:shd w:val="clear" w:color="auto" w:fill="auto"/>
            <w:vAlign w:val="center"/>
            <w:hideMark/>
          </w:tcPr>
          <w:p w14:paraId="138F466D"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La proposition est en cours d’élaboration et le ministère de l’environnement transmettra une requête d’appui au PNUD en tant qu’agence du FEM</w:t>
            </w:r>
          </w:p>
        </w:tc>
      </w:tr>
      <w:tr w:rsidR="00C16C25" w:rsidRPr="00C16C25" w14:paraId="7ABBB902" w14:textId="77777777" w:rsidTr="00374578">
        <w:trPr>
          <w:trHeight w:val="418"/>
        </w:trPr>
        <w:tc>
          <w:tcPr>
            <w:tcW w:w="1084" w:type="dxa"/>
            <w:tcBorders>
              <w:top w:val="nil"/>
              <w:left w:val="single" w:sz="8" w:space="0" w:color="BDD6EE"/>
              <w:bottom w:val="nil"/>
              <w:right w:val="single" w:sz="8" w:space="0" w:color="BDD6EE"/>
            </w:tcBorders>
            <w:shd w:val="clear" w:color="000000" w:fill="70AD47"/>
            <w:vAlign w:val="center"/>
            <w:hideMark/>
          </w:tcPr>
          <w:p w14:paraId="1F09F1FE"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tcBorders>
              <w:top w:val="nil"/>
              <w:left w:val="nil"/>
              <w:bottom w:val="single" w:sz="8" w:space="0" w:color="BDD6EE"/>
              <w:right w:val="single" w:sz="8" w:space="0" w:color="BDD6EE"/>
            </w:tcBorders>
            <w:shd w:val="clear" w:color="auto" w:fill="auto"/>
            <w:vAlign w:val="center"/>
            <w:hideMark/>
          </w:tcPr>
          <w:p w14:paraId="5B955C70" w14:textId="4BBBB5BF" w:rsidR="00C16C25" w:rsidRPr="00C16C25" w:rsidRDefault="00374578" w:rsidP="00C16C25">
            <w:pPr>
              <w:spacing w:after="0" w:line="240" w:lineRule="auto"/>
              <w:jc w:val="center"/>
              <w:rPr>
                <w:rFonts w:ascii="Calibri" w:eastAsia="Times New Roman" w:hAnsi="Calibri" w:cs="Calibri"/>
                <w:color w:val="000000"/>
                <w:lang w:eastAsia="fr-CI"/>
              </w:rPr>
            </w:pPr>
            <w:r>
              <w:rPr>
                <w:rFonts w:ascii="Calibri" w:eastAsia="Times New Roman" w:hAnsi="Calibri" w:cs="Calibri"/>
                <w:color w:val="000000"/>
                <w:lang w:eastAsia="fr-CI"/>
              </w:rPr>
              <w:t>Mastercard</w:t>
            </w:r>
            <w:r w:rsidR="00C16C25" w:rsidRPr="00C16C25">
              <w:rPr>
                <w:rFonts w:ascii="Calibri" w:eastAsia="Times New Roman" w:hAnsi="Calibri" w:cs="Calibri"/>
                <w:color w:val="000000"/>
                <w:lang w:eastAsia="fr-CI"/>
              </w:rPr>
              <w:t> </w:t>
            </w:r>
          </w:p>
        </w:tc>
        <w:tc>
          <w:tcPr>
            <w:tcW w:w="853" w:type="dxa"/>
            <w:tcBorders>
              <w:top w:val="nil"/>
              <w:left w:val="nil"/>
              <w:bottom w:val="single" w:sz="8" w:space="0" w:color="BDD6EE"/>
              <w:right w:val="single" w:sz="8" w:space="0" w:color="BDD6EE"/>
            </w:tcBorders>
            <w:shd w:val="clear" w:color="auto" w:fill="auto"/>
            <w:vAlign w:val="center"/>
            <w:hideMark/>
          </w:tcPr>
          <w:p w14:paraId="0C081340"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3000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2CD73A92"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Appui à l’innovation entrepreneuriale des jeunes</w:t>
            </w:r>
          </w:p>
        </w:tc>
        <w:tc>
          <w:tcPr>
            <w:tcW w:w="3825" w:type="dxa"/>
            <w:gridSpan w:val="2"/>
            <w:tcBorders>
              <w:top w:val="single" w:sz="8" w:space="0" w:color="BDD6EE"/>
              <w:left w:val="nil"/>
              <w:bottom w:val="single" w:sz="8" w:space="0" w:color="BDD6EE"/>
              <w:right w:val="single" w:sz="8" w:space="0" w:color="BDD6EE"/>
            </w:tcBorders>
            <w:shd w:val="clear" w:color="auto" w:fill="auto"/>
            <w:vAlign w:val="center"/>
            <w:hideMark/>
          </w:tcPr>
          <w:p w14:paraId="57EEAEFB"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La proposition a été formulé et soumise au MasterCard</w:t>
            </w:r>
          </w:p>
        </w:tc>
      </w:tr>
      <w:tr w:rsidR="00C16C25" w:rsidRPr="00C16C25" w14:paraId="4B139548" w14:textId="77777777" w:rsidTr="00374578">
        <w:trPr>
          <w:trHeight w:val="465"/>
        </w:trPr>
        <w:tc>
          <w:tcPr>
            <w:tcW w:w="1084" w:type="dxa"/>
            <w:tcBorders>
              <w:top w:val="nil"/>
              <w:left w:val="single" w:sz="8" w:space="0" w:color="BDD6EE"/>
              <w:bottom w:val="nil"/>
              <w:right w:val="single" w:sz="8" w:space="0" w:color="BDD6EE"/>
            </w:tcBorders>
            <w:shd w:val="clear" w:color="000000" w:fill="70AD47"/>
            <w:vAlign w:val="center"/>
            <w:hideMark/>
          </w:tcPr>
          <w:p w14:paraId="0EB57C2A"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tcBorders>
              <w:top w:val="nil"/>
              <w:left w:val="nil"/>
              <w:bottom w:val="single" w:sz="8" w:space="0" w:color="BDD6EE"/>
              <w:right w:val="single" w:sz="8" w:space="0" w:color="BDD6EE"/>
            </w:tcBorders>
            <w:shd w:val="clear" w:color="auto" w:fill="auto"/>
            <w:vAlign w:val="center"/>
            <w:hideMark/>
          </w:tcPr>
          <w:p w14:paraId="6369033D" w14:textId="1214ED47" w:rsidR="00C16C25" w:rsidRPr="00C16C25" w:rsidRDefault="00374578" w:rsidP="00C16C25">
            <w:pPr>
              <w:spacing w:after="0" w:line="240" w:lineRule="auto"/>
              <w:jc w:val="center"/>
              <w:rPr>
                <w:rFonts w:ascii="Calibri" w:eastAsia="Times New Roman" w:hAnsi="Calibri" w:cs="Calibri"/>
                <w:color w:val="000000"/>
                <w:lang w:eastAsia="fr-CI"/>
              </w:rPr>
            </w:pPr>
            <w:r>
              <w:rPr>
                <w:rFonts w:ascii="Calibri" w:eastAsia="Times New Roman" w:hAnsi="Calibri" w:cs="Calibri"/>
                <w:color w:val="000000"/>
                <w:lang w:eastAsia="fr-CI"/>
              </w:rPr>
              <w:t xml:space="preserve">Adaptation </w:t>
            </w:r>
            <w:proofErr w:type="spellStart"/>
            <w:r>
              <w:rPr>
                <w:rFonts w:ascii="Calibri" w:eastAsia="Times New Roman" w:hAnsi="Calibri" w:cs="Calibri"/>
                <w:color w:val="000000"/>
                <w:lang w:eastAsia="fr-CI"/>
              </w:rPr>
              <w:t>Fund</w:t>
            </w:r>
            <w:proofErr w:type="spellEnd"/>
            <w:r w:rsidR="00C16C25" w:rsidRPr="00C16C25">
              <w:rPr>
                <w:rFonts w:ascii="Calibri" w:eastAsia="Times New Roman" w:hAnsi="Calibri" w:cs="Calibri"/>
                <w:color w:val="000000"/>
                <w:lang w:eastAsia="fr-CI"/>
              </w:rPr>
              <w:t> </w:t>
            </w:r>
          </w:p>
        </w:tc>
        <w:tc>
          <w:tcPr>
            <w:tcW w:w="853" w:type="dxa"/>
            <w:tcBorders>
              <w:top w:val="nil"/>
              <w:left w:val="nil"/>
              <w:bottom w:val="single" w:sz="8" w:space="0" w:color="BDD6EE"/>
              <w:right w:val="single" w:sz="8" w:space="0" w:color="BDD6EE"/>
            </w:tcBorders>
            <w:shd w:val="clear" w:color="auto" w:fill="auto"/>
            <w:vAlign w:val="center"/>
            <w:hideMark/>
          </w:tcPr>
          <w:p w14:paraId="4EAE2CE7" w14:textId="77777777" w:rsidR="00C16C25" w:rsidRPr="00C16C25" w:rsidRDefault="00C16C25" w:rsidP="00C16C25">
            <w:pPr>
              <w:spacing w:after="0" w:line="240" w:lineRule="auto"/>
              <w:jc w:val="center"/>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2000</w:t>
            </w:r>
          </w:p>
        </w:tc>
        <w:tc>
          <w:tcPr>
            <w:tcW w:w="2780" w:type="dxa"/>
            <w:gridSpan w:val="2"/>
            <w:tcBorders>
              <w:top w:val="single" w:sz="8" w:space="0" w:color="BDD6EE"/>
              <w:left w:val="nil"/>
              <w:bottom w:val="single" w:sz="8" w:space="0" w:color="BDD6EE"/>
              <w:right w:val="single" w:sz="8" w:space="0" w:color="BDD6EE"/>
            </w:tcBorders>
            <w:shd w:val="clear" w:color="auto" w:fill="auto"/>
            <w:vAlign w:val="center"/>
            <w:hideMark/>
          </w:tcPr>
          <w:p w14:paraId="0AFD696C" w14:textId="77777777" w:rsidR="00C16C25" w:rsidRPr="00C16C25" w:rsidRDefault="00C16C25" w:rsidP="00C16C25">
            <w:pPr>
              <w:spacing w:after="0" w:line="240" w:lineRule="auto"/>
              <w:rPr>
                <w:rFonts w:ascii="Calibri" w:eastAsia="Times New Roman" w:hAnsi="Calibri" w:cs="Calibri"/>
                <w:color w:val="000000"/>
                <w:sz w:val="18"/>
                <w:szCs w:val="18"/>
                <w:lang w:val="en-US" w:eastAsia="fr-CI"/>
              </w:rPr>
            </w:pPr>
            <w:r w:rsidRPr="00C16C25">
              <w:rPr>
                <w:rFonts w:ascii="Calibri" w:eastAsia="Times New Roman" w:hAnsi="Calibri" w:cs="Calibri"/>
                <w:color w:val="000000"/>
                <w:sz w:val="18"/>
                <w:szCs w:val="18"/>
                <w:lang w:val="en-US" w:eastAsia="fr-CI"/>
              </w:rPr>
              <w:t xml:space="preserve">Integrated sustainable Agriculture - Water-Energy commodities for NDC </w:t>
            </w:r>
          </w:p>
        </w:tc>
        <w:tc>
          <w:tcPr>
            <w:tcW w:w="3825" w:type="dxa"/>
            <w:gridSpan w:val="2"/>
            <w:tcBorders>
              <w:top w:val="single" w:sz="8" w:space="0" w:color="BDD6EE"/>
              <w:left w:val="nil"/>
              <w:bottom w:val="single" w:sz="8" w:space="0" w:color="BDD6EE"/>
              <w:right w:val="single" w:sz="8" w:space="0" w:color="BDD6EE"/>
            </w:tcBorders>
            <w:shd w:val="clear" w:color="auto" w:fill="auto"/>
            <w:vAlign w:val="center"/>
            <w:hideMark/>
          </w:tcPr>
          <w:p w14:paraId="36C1FCFF" w14:textId="77777777" w:rsidR="00C16C25" w:rsidRPr="00C16C25" w:rsidRDefault="00C16C25" w:rsidP="00C16C25">
            <w:pPr>
              <w:spacing w:after="0" w:line="240" w:lineRule="auto"/>
              <w:rPr>
                <w:rFonts w:ascii="Calibri" w:eastAsia="Times New Roman" w:hAnsi="Calibri" w:cs="Calibri"/>
                <w:color w:val="000000"/>
                <w:sz w:val="18"/>
                <w:szCs w:val="18"/>
                <w:lang w:eastAsia="fr-CI"/>
              </w:rPr>
            </w:pPr>
            <w:r w:rsidRPr="00C16C25">
              <w:rPr>
                <w:rFonts w:ascii="Calibri" w:eastAsia="Times New Roman" w:hAnsi="Calibri" w:cs="Calibri"/>
                <w:color w:val="000000"/>
                <w:sz w:val="18"/>
                <w:szCs w:val="18"/>
                <w:lang w:eastAsia="fr-CI"/>
              </w:rPr>
              <w:t xml:space="preserve">Le projet a été approuvé par le FA et les échanges sont en cours avec le FIDA pour la prochaine étape de signature du prodoc. </w:t>
            </w:r>
          </w:p>
        </w:tc>
      </w:tr>
      <w:tr w:rsidR="00C16C25" w:rsidRPr="00C16C25" w14:paraId="740052EE" w14:textId="77777777" w:rsidTr="00374578">
        <w:trPr>
          <w:trHeight w:val="290"/>
        </w:trPr>
        <w:tc>
          <w:tcPr>
            <w:tcW w:w="1084" w:type="dxa"/>
            <w:tcBorders>
              <w:top w:val="nil"/>
              <w:left w:val="single" w:sz="8" w:space="0" w:color="BDD6EE"/>
              <w:bottom w:val="single" w:sz="8" w:space="0" w:color="BDD6EE"/>
              <w:right w:val="single" w:sz="8" w:space="0" w:color="BDD6EE"/>
            </w:tcBorders>
            <w:shd w:val="clear" w:color="000000" w:fill="70AD47"/>
            <w:vAlign w:val="center"/>
            <w:hideMark/>
          </w:tcPr>
          <w:p w14:paraId="4952D268" w14:textId="77777777" w:rsidR="00C16C25" w:rsidRPr="00C16C25" w:rsidRDefault="00C16C25" w:rsidP="00C16C25">
            <w:pPr>
              <w:spacing w:after="0" w:line="240" w:lineRule="auto"/>
              <w:rPr>
                <w:rFonts w:ascii="Calibri" w:eastAsia="Times New Roman" w:hAnsi="Calibri" w:cs="Calibri"/>
                <w:color w:val="000000"/>
                <w:lang w:eastAsia="fr-CI"/>
              </w:rPr>
            </w:pPr>
            <w:r w:rsidRPr="00C16C25">
              <w:rPr>
                <w:rFonts w:ascii="Calibri" w:eastAsia="Times New Roman" w:hAnsi="Calibri" w:cs="Calibri"/>
                <w:color w:val="000000"/>
                <w:lang w:eastAsia="fr-CI"/>
              </w:rPr>
              <w:t> </w:t>
            </w:r>
          </w:p>
        </w:tc>
        <w:tc>
          <w:tcPr>
            <w:tcW w:w="1413" w:type="dxa"/>
            <w:tcBorders>
              <w:top w:val="nil"/>
              <w:left w:val="nil"/>
              <w:bottom w:val="single" w:sz="8" w:space="0" w:color="BDD6EE"/>
              <w:right w:val="single" w:sz="8" w:space="0" w:color="BDD6EE"/>
            </w:tcBorders>
            <w:shd w:val="clear" w:color="000000" w:fill="D9D9D9"/>
            <w:vAlign w:val="center"/>
            <w:hideMark/>
          </w:tcPr>
          <w:p w14:paraId="095EC52A" w14:textId="77777777" w:rsidR="00C16C25" w:rsidRPr="00C16C25" w:rsidRDefault="00C16C25" w:rsidP="00C16C25">
            <w:pPr>
              <w:spacing w:after="0" w:line="240" w:lineRule="auto"/>
              <w:jc w:val="center"/>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Total Funds</w:t>
            </w:r>
          </w:p>
        </w:tc>
        <w:tc>
          <w:tcPr>
            <w:tcW w:w="853" w:type="dxa"/>
            <w:tcBorders>
              <w:top w:val="nil"/>
              <w:left w:val="nil"/>
              <w:bottom w:val="single" w:sz="8" w:space="0" w:color="BDD6EE"/>
              <w:right w:val="single" w:sz="8" w:space="0" w:color="BDD6EE"/>
            </w:tcBorders>
            <w:shd w:val="clear" w:color="000000" w:fill="D9D9D9"/>
            <w:vAlign w:val="center"/>
            <w:hideMark/>
          </w:tcPr>
          <w:p w14:paraId="13BE8685" w14:textId="77777777" w:rsidR="00C16C25" w:rsidRPr="00C16C25" w:rsidRDefault="00C16C25" w:rsidP="00C16C25">
            <w:pPr>
              <w:spacing w:after="0" w:line="240" w:lineRule="auto"/>
              <w:jc w:val="center"/>
              <w:rPr>
                <w:rFonts w:ascii="Calibri" w:eastAsia="Times New Roman" w:hAnsi="Calibri" w:cs="Calibri"/>
                <w:b/>
                <w:bCs/>
                <w:color w:val="000000"/>
                <w:sz w:val="20"/>
                <w:szCs w:val="20"/>
                <w:lang w:eastAsia="fr-CI"/>
              </w:rPr>
            </w:pPr>
            <w:r w:rsidRPr="00C16C25">
              <w:rPr>
                <w:rFonts w:ascii="Calibri" w:eastAsia="Times New Roman" w:hAnsi="Calibri" w:cs="Calibri"/>
                <w:b/>
                <w:bCs/>
                <w:color w:val="000000"/>
                <w:sz w:val="20"/>
                <w:szCs w:val="20"/>
                <w:lang w:eastAsia="fr-CI"/>
              </w:rPr>
              <w:t>20500</w:t>
            </w:r>
          </w:p>
        </w:tc>
        <w:tc>
          <w:tcPr>
            <w:tcW w:w="6605" w:type="dxa"/>
            <w:gridSpan w:val="4"/>
            <w:tcBorders>
              <w:top w:val="single" w:sz="8" w:space="0" w:color="BDD6EE"/>
              <w:left w:val="nil"/>
              <w:bottom w:val="single" w:sz="8" w:space="0" w:color="BDD6EE"/>
              <w:right w:val="single" w:sz="8" w:space="0" w:color="BDD6EE"/>
            </w:tcBorders>
            <w:shd w:val="clear" w:color="000000" w:fill="D9D9D9"/>
            <w:vAlign w:val="center"/>
            <w:hideMark/>
          </w:tcPr>
          <w:p w14:paraId="0F3B60E1"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 </w:t>
            </w:r>
          </w:p>
        </w:tc>
      </w:tr>
      <w:tr w:rsidR="00C16C25" w:rsidRPr="00C16C25" w14:paraId="3631E880" w14:textId="77777777" w:rsidTr="00374578">
        <w:trPr>
          <w:trHeight w:val="290"/>
        </w:trPr>
        <w:tc>
          <w:tcPr>
            <w:tcW w:w="2497" w:type="dxa"/>
            <w:gridSpan w:val="2"/>
            <w:tcBorders>
              <w:top w:val="single" w:sz="8" w:space="0" w:color="BDD6EE"/>
              <w:left w:val="single" w:sz="8" w:space="0" w:color="BDD6EE"/>
              <w:bottom w:val="single" w:sz="8" w:space="0" w:color="BDD6EE"/>
              <w:right w:val="single" w:sz="8" w:space="0" w:color="BDD6EE"/>
            </w:tcBorders>
            <w:shd w:val="clear" w:color="000000" w:fill="70AD47"/>
            <w:vAlign w:val="center"/>
            <w:hideMark/>
          </w:tcPr>
          <w:p w14:paraId="4B7A6155"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TOTAL GENREAL</w:t>
            </w:r>
          </w:p>
        </w:tc>
        <w:tc>
          <w:tcPr>
            <w:tcW w:w="853" w:type="dxa"/>
            <w:tcBorders>
              <w:top w:val="nil"/>
              <w:left w:val="nil"/>
              <w:bottom w:val="single" w:sz="8" w:space="0" w:color="BDD6EE"/>
              <w:right w:val="single" w:sz="8" w:space="0" w:color="BDD6EE"/>
            </w:tcBorders>
            <w:shd w:val="clear" w:color="000000" w:fill="70AD47"/>
            <w:vAlign w:val="center"/>
            <w:hideMark/>
          </w:tcPr>
          <w:p w14:paraId="30F4D0DF" w14:textId="63C321F8" w:rsidR="00C16C25" w:rsidRPr="00C16C25" w:rsidRDefault="00374578" w:rsidP="00C16C25">
            <w:pPr>
              <w:spacing w:after="0" w:line="240" w:lineRule="auto"/>
              <w:jc w:val="center"/>
              <w:rPr>
                <w:rFonts w:ascii="Calibri" w:eastAsia="Times New Roman" w:hAnsi="Calibri" w:cs="Calibri"/>
                <w:b/>
                <w:bCs/>
                <w:color w:val="000000"/>
                <w:lang w:eastAsia="fr-CI"/>
              </w:rPr>
            </w:pPr>
            <w:r>
              <w:rPr>
                <w:rFonts w:ascii="Calibri" w:eastAsia="Times New Roman" w:hAnsi="Calibri" w:cs="Calibri"/>
                <w:b/>
                <w:bCs/>
                <w:color w:val="000000"/>
                <w:lang w:eastAsia="fr-CI"/>
              </w:rPr>
              <w:t>55 391</w:t>
            </w:r>
          </w:p>
        </w:tc>
        <w:tc>
          <w:tcPr>
            <w:tcW w:w="6605" w:type="dxa"/>
            <w:gridSpan w:val="4"/>
            <w:tcBorders>
              <w:top w:val="single" w:sz="8" w:space="0" w:color="BDD6EE"/>
              <w:left w:val="nil"/>
              <w:bottom w:val="single" w:sz="8" w:space="0" w:color="BDD6EE"/>
              <w:right w:val="single" w:sz="8" w:space="0" w:color="BDD6EE"/>
            </w:tcBorders>
            <w:shd w:val="clear" w:color="000000" w:fill="70AD47"/>
            <w:vAlign w:val="center"/>
            <w:hideMark/>
          </w:tcPr>
          <w:p w14:paraId="3AFDD06E" w14:textId="77777777" w:rsidR="00C16C25" w:rsidRPr="00C16C25" w:rsidRDefault="00C16C25" w:rsidP="00C16C25">
            <w:pPr>
              <w:spacing w:after="0" w:line="240" w:lineRule="auto"/>
              <w:rPr>
                <w:rFonts w:ascii="Calibri" w:eastAsia="Times New Roman" w:hAnsi="Calibri" w:cs="Calibri"/>
                <w:b/>
                <w:bCs/>
                <w:color w:val="000000"/>
                <w:sz w:val="18"/>
                <w:szCs w:val="18"/>
                <w:lang w:eastAsia="fr-CI"/>
              </w:rPr>
            </w:pPr>
            <w:r w:rsidRPr="00C16C25">
              <w:rPr>
                <w:rFonts w:ascii="Calibri" w:eastAsia="Times New Roman" w:hAnsi="Calibri" w:cs="Calibri"/>
                <w:b/>
                <w:bCs/>
                <w:color w:val="000000"/>
                <w:sz w:val="18"/>
                <w:szCs w:val="18"/>
                <w:lang w:eastAsia="fr-CI"/>
              </w:rPr>
              <w:t> </w:t>
            </w:r>
          </w:p>
        </w:tc>
      </w:tr>
    </w:tbl>
    <w:p w14:paraId="01BF7493" w14:textId="193E1AE5" w:rsidR="006F6890" w:rsidRDefault="00C16C25" w:rsidP="006F6890">
      <w:pPr>
        <w:rPr>
          <w:lang w:val="fr-FR"/>
        </w:rPr>
      </w:pPr>
      <w:r>
        <w:rPr>
          <w:lang w:val="fr-FR"/>
        </w:rPr>
        <w:t xml:space="preserve"> Source : CO</w:t>
      </w:r>
    </w:p>
    <w:p w14:paraId="1E36A104" w14:textId="6E9FBC39" w:rsidR="00EF1DA3" w:rsidRDefault="00EF1DA3" w:rsidP="00EF1DA3"/>
    <w:p w14:paraId="692A41EA" w14:textId="77777777" w:rsidR="0024479B" w:rsidRDefault="0024479B" w:rsidP="00EF1DA3"/>
    <w:p w14:paraId="756EA129" w14:textId="77777777" w:rsidR="0024479B" w:rsidRDefault="0024479B" w:rsidP="00EF1DA3"/>
    <w:p w14:paraId="59D4F3AC" w14:textId="77777777" w:rsidR="0024479B" w:rsidRDefault="0024479B" w:rsidP="00EF1DA3"/>
    <w:p w14:paraId="186749AE" w14:textId="77777777" w:rsidR="0024479B" w:rsidRDefault="0024479B" w:rsidP="00EF1DA3"/>
    <w:p w14:paraId="0ADC601B" w14:textId="77777777" w:rsidR="0024479B" w:rsidRDefault="0024479B" w:rsidP="00EF1DA3"/>
    <w:p w14:paraId="33AE6271" w14:textId="77777777" w:rsidR="0024479B" w:rsidRDefault="0024479B" w:rsidP="00EF1DA3"/>
    <w:p w14:paraId="1355838D" w14:textId="77777777" w:rsidR="0024479B" w:rsidRDefault="0024479B" w:rsidP="00EF1DA3"/>
    <w:p w14:paraId="63EFABA5" w14:textId="77777777" w:rsidR="0024479B" w:rsidRDefault="0024479B" w:rsidP="00EF1DA3"/>
    <w:p w14:paraId="3499A7F5" w14:textId="77777777" w:rsidR="0024479B" w:rsidRDefault="0024479B" w:rsidP="00EF1DA3"/>
    <w:p w14:paraId="5C6973C1" w14:textId="67F2FC3B" w:rsidR="007F0F13" w:rsidRDefault="007F0F13" w:rsidP="007F0F13">
      <w:pPr>
        <w:pStyle w:val="Titre2"/>
        <w:numPr>
          <w:ilvl w:val="0"/>
          <w:numId w:val="31"/>
        </w:numPr>
      </w:pPr>
      <w:bookmarkStart w:id="25" w:name="_Toc139363442"/>
      <w:r>
        <w:t>Etat des lieux de la Mobilisation des Ressources en 2</w:t>
      </w:r>
      <w:r w:rsidR="00467B34">
        <w:t>0</w:t>
      </w:r>
      <w:r>
        <w:t>23 et Perspectives de Mobilisation de Ressources en 2023</w:t>
      </w:r>
      <w:bookmarkEnd w:id="25"/>
      <w:r>
        <w:t xml:space="preserve"> </w:t>
      </w:r>
    </w:p>
    <w:p w14:paraId="5A79BADB" w14:textId="77777777" w:rsidR="000F41F9" w:rsidRDefault="000F41F9" w:rsidP="00EF1DA3"/>
    <w:p w14:paraId="04AE9B31" w14:textId="74B93D0C" w:rsidR="000F41F9" w:rsidRDefault="007F0F13" w:rsidP="00EF1DA3">
      <w:pPr>
        <w:rPr>
          <w:rFonts w:ascii="Times New Roman" w:eastAsia="Times New Roman" w:hAnsi="Times New Roman" w:cs="Times New Roman"/>
          <w:sz w:val="24"/>
          <w:szCs w:val="24"/>
          <w:lang w:eastAsia="fr-FR"/>
        </w:rPr>
      </w:pPr>
      <w:r w:rsidRPr="007F0F13">
        <w:rPr>
          <w:rFonts w:ascii="Times New Roman" w:eastAsia="Times New Roman" w:hAnsi="Times New Roman" w:cs="Times New Roman"/>
          <w:sz w:val="24"/>
          <w:szCs w:val="24"/>
          <w:lang w:eastAsia="fr-FR"/>
        </w:rPr>
        <w:t xml:space="preserve">Le </w:t>
      </w:r>
      <w:r>
        <w:rPr>
          <w:rFonts w:ascii="Times New Roman" w:eastAsia="Times New Roman" w:hAnsi="Times New Roman" w:cs="Times New Roman"/>
          <w:sz w:val="24"/>
          <w:szCs w:val="24"/>
          <w:lang w:eastAsia="fr-FR"/>
        </w:rPr>
        <w:t>suivant présente une cartographie actualisée de l’état des lieux de la Mobilisation des ressources en 2023, et des différentes perspectives de Mobilisation des ressources en cours</w:t>
      </w:r>
    </w:p>
    <w:p w14:paraId="0CE576C0" w14:textId="77777777" w:rsidR="0024479B" w:rsidRPr="0024479B" w:rsidRDefault="0024479B" w:rsidP="00EF1DA3">
      <w:pPr>
        <w:rPr>
          <w:rFonts w:ascii="Times New Roman" w:eastAsia="Times New Roman" w:hAnsi="Times New Roman" w:cs="Times New Roman"/>
          <w:sz w:val="24"/>
          <w:szCs w:val="24"/>
          <w:lang w:eastAsia="fr-FR"/>
        </w:rPr>
      </w:pPr>
    </w:p>
    <w:p w14:paraId="4B09FAC8" w14:textId="5A094D1C" w:rsidR="00243974" w:rsidRPr="00DF6E7F" w:rsidRDefault="00925C05" w:rsidP="00DF6E7F">
      <w:pPr>
        <w:pStyle w:val="Lgende"/>
        <w:keepNext/>
      </w:pPr>
      <w:bookmarkStart w:id="26" w:name="_Toc139379663"/>
      <w:r>
        <w:t xml:space="preserve">Tableau </w:t>
      </w:r>
      <w:r>
        <w:fldChar w:fldCharType="begin"/>
      </w:r>
      <w:r>
        <w:instrText xml:space="preserve"> SEQ Tableau \* ARABIC </w:instrText>
      </w:r>
      <w:r>
        <w:fldChar w:fldCharType="separate"/>
      </w:r>
      <w:r>
        <w:rPr>
          <w:noProof/>
        </w:rPr>
        <w:t>5</w:t>
      </w:r>
      <w:r>
        <w:fldChar w:fldCharType="end"/>
      </w:r>
      <w:r>
        <w:t xml:space="preserve"> : </w:t>
      </w:r>
      <w:r w:rsidRPr="004D5D53">
        <w:t>Etat des lieux de la Mobilisation des Ressources en 2023 et Perspectives de Mobilisation de ressources</w:t>
      </w:r>
      <w:bookmarkEnd w:id="26"/>
    </w:p>
    <w:tbl>
      <w:tblPr>
        <w:tblW w:w="9923" w:type="dxa"/>
        <w:tblInd w:w="-572" w:type="dxa"/>
        <w:tblCellMar>
          <w:left w:w="70" w:type="dxa"/>
          <w:right w:w="70" w:type="dxa"/>
        </w:tblCellMar>
        <w:tblLook w:val="04A0" w:firstRow="1" w:lastRow="0" w:firstColumn="1" w:lastColumn="0" w:noHBand="0" w:noVBand="1"/>
      </w:tblPr>
      <w:tblGrid>
        <w:gridCol w:w="1835"/>
        <w:gridCol w:w="3713"/>
        <w:gridCol w:w="1823"/>
        <w:gridCol w:w="2552"/>
      </w:tblGrid>
      <w:tr w:rsidR="000F41F9" w:rsidRPr="000F41F9" w14:paraId="36A52F83" w14:textId="77777777" w:rsidTr="00243974">
        <w:trPr>
          <w:trHeight w:val="270"/>
        </w:trPr>
        <w:tc>
          <w:tcPr>
            <w:tcW w:w="99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5A5C4" w14:textId="77777777" w:rsidR="000F41F9" w:rsidRPr="000F41F9" w:rsidRDefault="000F41F9" w:rsidP="000F41F9">
            <w:pPr>
              <w:spacing w:after="0" w:line="240" w:lineRule="auto"/>
              <w:jc w:val="center"/>
              <w:rPr>
                <w:rFonts w:ascii="Corbel" w:eastAsia="Times New Roman" w:hAnsi="Corbel" w:cs="Calibri"/>
                <w:b/>
                <w:bCs/>
                <w:color w:val="000000"/>
                <w:sz w:val="18"/>
                <w:szCs w:val="18"/>
                <w:lang w:eastAsia="fr-CI"/>
              </w:rPr>
            </w:pPr>
            <w:r w:rsidRPr="000F41F9">
              <w:rPr>
                <w:rFonts w:ascii="Corbel" w:eastAsia="Times New Roman" w:hAnsi="Corbel" w:cs="Calibri"/>
                <w:b/>
                <w:bCs/>
                <w:color w:val="000000"/>
                <w:sz w:val="18"/>
                <w:szCs w:val="18"/>
                <w:lang w:eastAsia="fr-CI"/>
              </w:rPr>
              <w:t>Ressources mobilisées en 2023 et Projection 2023</w:t>
            </w:r>
          </w:p>
        </w:tc>
      </w:tr>
      <w:tr w:rsidR="000F41F9" w:rsidRPr="000F41F9" w14:paraId="1F53DD24" w14:textId="77777777" w:rsidTr="00243974">
        <w:trPr>
          <w:trHeight w:val="270"/>
        </w:trPr>
        <w:tc>
          <w:tcPr>
            <w:tcW w:w="1835" w:type="dxa"/>
            <w:tcBorders>
              <w:top w:val="nil"/>
              <w:left w:val="single" w:sz="4" w:space="0" w:color="auto"/>
              <w:bottom w:val="single" w:sz="4" w:space="0" w:color="auto"/>
              <w:right w:val="single" w:sz="4" w:space="0" w:color="auto"/>
            </w:tcBorders>
            <w:shd w:val="clear" w:color="auto" w:fill="auto"/>
            <w:noWrap/>
            <w:vAlign w:val="bottom"/>
            <w:hideMark/>
          </w:tcPr>
          <w:p w14:paraId="7A1C9039"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w:t>
            </w:r>
          </w:p>
        </w:tc>
        <w:tc>
          <w:tcPr>
            <w:tcW w:w="3713" w:type="dxa"/>
            <w:tcBorders>
              <w:top w:val="nil"/>
              <w:left w:val="nil"/>
              <w:bottom w:val="single" w:sz="4" w:space="0" w:color="auto"/>
              <w:right w:val="single" w:sz="4" w:space="0" w:color="auto"/>
            </w:tcBorders>
            <w:shd w:val="clear" w:color="auto" w:fill="auto"/>
            <w:noWrap/>
            <w:vAlign w:val="bottom"/>
            <w:hideMark/>
          </w:tcPr>
          <w:p w14:paraId="34D5E088"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w:t>
            </w:r>
          </w:p>
        </w:tc>
        <w:tc>
          <w:tcPr>
            <w:tcW w:w="1823" w:type="dxa"/>
            <w:tcBorders>
              <w:top w:val="nil"/>
              <w:left w:val="nil"/>
              <w:bottom w:val="single" w:sz="4" w:space="0" w:color="auto"/>
              <w:right w:val="single" w:sz="4" w:space="0" w:color="auto"/>
            </w:tcBorders>
            <w:shd w:val="clear" w:color="auto" w:fill="auto"/>
            <w:noWrap/>
            <w:vAlign w:val="bottom"/>
            <w:hideMark/>
          </w:tcPr>
          <w:p w14:paraId="0C1384C5"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w:t>
            </w:r>
          </w:p>
        </w:tc>
        <w:tc>
          <w:tcPr>
            <w:tcW w:w="2552" w:type="dxa"/>
            <w:tcBorders>
              <w:top w:val="nil"/>
              <w:left w:val="nil"/>
              <w:bottom w:val="single" w:sz="4" w:space="0" w:color="auto"/>
              <w:right w:val="single" w:sz="4" w:space="0" w:color="auto"/>
            </w:tcBorders>
            <w:shd w:val="clear" w:color="auto" w:fill="auto"/>
            <w:vAlign w:val="bottom"/>
            <w:hideMark/>
          </w:tcPr>
          <w:p w14:paraId="63D9385B"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w:t>
            </w:r>
          </w:p>
        </w:tc>
      </w:tr>
      <w:tr w:rsidR="000F41F9" w:rsidRPr="000F41F9" w14:paraId="12DC1F89" w14:textId="77777777" w:rsidTr="00243974">
        <w:trPr>
          <w:trHeight w:val="302"/>
        </w:trPr>
        <w:tc>
          <w:tcPr>
            <w:tcW w:w="1835" w:type="dxa"/>
            <w:tcBorders>
              <w:top w:val="nil"/>
              <w:left w:val="single" w:sz="4" w:space="0" w:color="auto"/>
              <w:bottom w:val="single" w:sz="4" w:space="0" w:color="auto"/>
              <w:right w:val="single" w:sz="4" w:space="0" w:color="auto"/>
            </w:tcBorders>
            <w:shd w:val="clear" w:color="000000" w:fill="FFFF00"/>
            <w:noWrap/>
            <w:vAlign w:val="center"/>
            <w:hideMark/>
          </w:tcPr>
          <w:p w14:paraId="6F577F00" w14:textId="77777777" w:rsidR="000F41F9" w:rsidRPr="000F41F9" w:rsidRDefault="000F41F9" w:rsidP="000F41F9">
            <w:pPr>
              <w:spacing w:after="0" w:line="240" w:lineRule="auto"/>
              <w:jc w:val="center"/>
              <w:rPr>
                <w:rFonts w:ascii="Corbel" w:eastAsia="Times New Roman" w:hAnsi="Corbel" w:cs="Calibri"/>
                <w:b/>
                <w:bCs/>
                <w:color w:val="000000"/>
                <w:sz w:val="18"/>
                <w:szCs w:val="18"/>
                <w:lang w:eastAsia="fr-CI"/>
              </w:rPr>
            </w:pPr>
            <w:proofErr w:type="spellStart"/>
            <w:r w:rsidRPr="000F41F9">
              <w:rPr>
                <w:rFonts w:ascii="Corbel" w:eastAsia="Times New Roman" w:hAnsi="Corbel" w:cs="Calibri"/>
                <w:b/>
                <w:bCs/>
                <w:color w:val="000000"/>
                <w:sz w:val="18"/>
                <w:szCs w:val="18"/>
                <w:lang w:eastAsia="fr-CI"/>
              </w:rPr>
              <w:t>Donor</w:t>
            </w:r>
            <w:proofErr w:type="spellEnd"/>
          </w:p>
        </w:tc>
        <w:tc>
          <w:tcPr>
            <w:tcW w:w="3713" w:type="dxa"/>
            <w:tcBorders>
              <w:top w:val="nil"/>
              <w:left w:val="nil"/>
              <w:bottom w:val="single" w:sz="4" w:space="0" w:color="auto"/>
              <w:right w:val="single" w:sz="4" w:space="0" w:color="auto"/>
            </w:tcBorders>
            <w:shd w:val="clear" w:color="000000" w:fill="FFFF00"/>
            <w:noWrap/>
            <w:vAlign w:val="center"/>
            <w:hideMark/>
          </w:tcPr>
          <w:p w14:paraId="0AB00370" w14:textId="77777777" w:rsidR="000F41F9" w:rsidRPr="000F41F9" w:rsidRDefault="000F41F9" w:rsidP="000F41F9">
            <w:pPr>
              <w:spacing w:after="0" w:line="240" w:lineRule="auto"/>
              <w:jc w:val="center"/>
              <w:rPr>
                <w:rFonts w:ascii="Corbel" w:eastAsia="Times New Roman" w:hAnsi="Corbel" w:cs="Calibri"/>
                <w:b/>
                <w:bCs/>
                <w:color w:val="000000"/>
                <w:sz w:val="18"/>
                <w:szCs w:val="18"/>
                <w:lang w:eastAsia="fr-CI"/>
              </w:rPr>
            </w:pPr>
            <w:proofErr w:type="spellStart"/>
            <w:r w:rsidRPr="000F41F9">
              <w:rPr>
                <w:rFonts w:ascii="Corbel" w:eastAsia="Times New Roman" w:hAnsi="Corbel" w:cs="Calibri"/>
                <w:b/>
                <w:bCs/>
                <w:color w:val="000000"/>
                <w:sz w:val="18"/>
                <w:szCs w:val="18"/>
                <w:lang w:eastAsia="fr-CI"/>
              </w:rPr>
              <w:t>Projects</w:t>
            </w:r>
            <w:proofErr w:type="spellEnd"/>
          </w:p>
        </w:tc>
        <w:tc>
          <w:tcPr>
            <w:tcW w:w="1823" w:type="dxa"/>
            <w:tcBorders>
              <w:top w:val="nil"/>
              <w:left w:val="nil"/>
              <w:bottom w:val="single" w:sz="4" w:space="0" w:color="auto"/>
              <w:right w:val="single" w:sz="4" w:space="0" w:color="auto"/>
            </w:tcBorders>
            <w:shd w:val="clear" w:color="000000" w:fill="FFFF00"/>
            <w:noWrap/>
            <w:vAlign w:val="center"/>
            <w:hideMark/>
          </w:tcPr>
          <w:p w14:paraId="1D808A79" w14:textId="77777777" w:rsidR="000F41F9" w:rsidRPr="000F41F9" w:rsidRDefault="000F41F9" w:rsidP="000F41F9">
            <w:pPr>
              <w:spacing w:after="0" w:line="240" w:lineRule="auto"/>
              <w:jc w:val="center"/>
              <w:rPr>
                <w:rFonts w:ascii="Corbel" w:eastAsia="Times New Roman" w:hAnsi="Corbel" w:cs="Calibri"/>
                <w:b/>
                <w:bCs/>
                <w:color w:val="000000"/>
                <w:sz w:val="18"/>
                <w:szCs w:val="18"/>
                <w:lang w:eastAsia="fr-CI"/>
              </w:rPr>
            </w:pPr>
            <w:r w:rsidRPr="000F41F9">
              <w:rPr>
                <w:rFonts w:ascii="Corbel" w:eastAsia="Times New Roman" w:hAnsi="Corbel" w:cs="Calibri"/>
                <w:b/>
                <w:bCs/>
                <w:color w:val="000000"/>
                <w:sz w:val="18"/>
                <w:szCs w:val="18"/>
                <w:lang w:eastAsia="fr-CI"/>
              </w:rPr>
              <w:t>Montant en USD</w:t>
            </w:r>
          </w:p>
        </w:tc>
        <w:tc>
          <w:tcPr>
            <w:tcW w:w="2552" w:type="dxa"/>
            <w:tcBorders>
              <w:top w:val="nil"/>
              <w:left w:val="nil"/>
              <w:bottom w:val="single" w:sz="4" w:space="0" w:color="auto"/>
              <w:right w:val="single" w:sz="4" w:space="0" w:color="auto"/>
            </w:tcBorders>
            <w:shd w:val="clear" w:color="000000" w:fill="FFFF00"/>
            <w:vAlign w:val="center"/>
            <w:hideMark/>
          </w:tcPr>
          <w:p w14:paraId="674D12EE" w14:textId="77777777" w:rsidR="000F41F9" w:rsidRPr="000F41F9" w:rsidRDefault="000F41F9" w:rsidP="000F41F9">
            <w:pPr>
              <w:spacing w:after="0" w:line="240" w:lineRule="auto"/>
              <w:jc w:val="center"/>
              <w:rPr>
                <w:rFonts w:ascii="Corbel" w:eastAsia="Times New Roman" w:hAnsi="Corbel" w:cs="Calibri"/>
                <w:b/>
                <w:bCs/>
                <w:color w:val="000000"/>
                <w:sz w:val="18"/>
                <w:szCs w:val="18"/>
                <w:lang w:eastAsia="fr-CI"/>
              </w:rPr>
            </w:pPr>
            <w:proofErr w:type="spellStart"/>
            <w:r w:rsidRPr="000F41F9">
              <w:rPr>
                <w:rFonts w:ascii="Corbel" w:eastAsia="Times New Roman" w:hAnsi="Corbel" w:cs="Calibri"/>
                <w:b/>
                <w:bCs/>
                <w:color w:val="000000"/>
                <w:sz w:val="18"/>
                <w:szCs w:val="18"/>
                <w:lang w:eastAsia="fr-CI"/>
              </w:rPr>
              <w:t>Comments</w:t>
            </w:r>
            <w:proofErr w:type="spellEnd"/>
          </w:p>
        </w:tc>
      </w:tr>
      <w:tr w:rsidR="000F41F9" w:rsidRPr="000F41F9" w14:paraId="5AE0C32F" w14:textId="77777777" w:rsidTr="00243974">
        <w:trPr>
          <w:trHeight w:val="314"/>
        </w:trPr>
        <w:tc>
          <w:tcPr>
            <w:tcW w:w="9923" w:type="dxa"/>
            <w:gridSpan w:val="4"/>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21B293E7" w14:textId="77777777" w:rsidR="000F41F9" w:rsidRPr="000F41F9" w:rsidRDefault="000F41F9" w:rsidP="000F41F9">
            <w:pPr>
              <w:spacing w:after="0" w:line="240" w:lineRule="auto"/>
              <w:jc w:val="center"/>
              <w:rPr>
                <w:rFonts w:ascii="Corbel" w:eastAsia="Times New Roman" w:hAnsi="Corbel" w:cs="Calibri"/>
                <w:b/>
                <w:bCs/>
                <w:i/>
                <w:iCs/>
                <w:color w:val="000000"/>
                <w:sz w:val="18"/>
                <w:szCs w:val="18"/>
                <w:lang w:eastAsia="fr-CI"/>
              </w:rPr>
            </w:pPr>
            <w:r w:rsidRPr="000F41F9">
              <w:rPr>
                <w:rFonts w:ascii="Corbel" w:eastAsia="Times New Roman" w:hAnsi="Corbel" w:cs="Calibri"/>
                <w:b/>
                <w:bCs/>
                <w:i/>
                <w:iCs/>
                <w:color w:val="000000"/>
                <w:sz w:val="18"/>
                <w:szCs w:val="18"/>
                <w:lang w:eastAsia="fr-CI"/>
              </w:rPr>
              <w:t>Ressources mobilisées</w:t>
            </w:r>
          </w:p>
        </w:tc>
      </w:tr>
      <w:tr w:rsidR="00243974" w:rsidRPr="000F41F9" w14:paraId="2842E2EE" w14:textId="77777777" w:rsidTr="00243974">
        <w:trPr>
          <w:trHeight w:val="460"/>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7BACB9BD"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Union Européenne</w:t>
            </w:r>
          </w:p>
        </w:tc>
        <w:tc>
          <w:tcPr>
            <w:tcW w:w="3713" w:type="dxa"/>
            <w:vMerge w:val="restart"/>
            <w:tcBorders>
              <w:top w:val="nil"/>
              <w:left w:val="single" w:sz="4" w:space="0" w:color="auto"/>
              <w:bottom w:val="single" w:sz="4" w:space="0" w:color="auto"/>
              <w:right w:val="single" w:sz="4" w:space="0" w:color="auto"/>
            </w:tcBorders>
            <w:shd w:val="clear" w:color="auto" w:fill="auto"/>
            <w:vAlign w:val="center"/>
            <w:hideMark/>
          </w:tcPr>
          <w:p w14:paraId="2C5E756E"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xml:space="preserve">Projet d’Appui aux Elections en Côte d’Ivoire (PACE II) </w:t>
            </w:r>
          </w:p>
        </w:tc>
        <w:tc>
          <w:tcPr>
            <w:tcW w:w="1823" w:type="dxa"/>
            <w:tcBorders>
              <w:top w:val="nil"/>
              <w:left w:val="nil"/>
              <w:bottom w:val="single" w:sz="4" w:space="0" w:color="auto"/>
              <w:right w:val="single" w:sz="4" w:space="0" w:color="auto"/>
            </w:tcBorders>
            <w:shd w:val="clear" w:color="auto" w:fill="auto"/>
            <w:noWrap/>
            <w:vAlign w:val="center"/>
            <w:hideMark/>
          </w:tcPr>
          <w:p w14:paraId="3ECBDAD9" w14:textId="77777777" w:rsidR="000F41F9" w:rsidRPr="000F41F9" w:rsidRDefault="000F41F9" w:rsidP="000F41F9">
            <w:pPr>
              <w:spacing w:after="0" w:line="240" w:lineRule="auto"/>
              <w:jc w:val="right"/>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374 722,05</w:t>
            </w:r>
          </w:p>
        </w:tc>
        <w:tc>
          <w:tcPr>
            <w:tcW w:w="2552" w:type="dxa"/>
            <w:tcBorders>
              <w:top w:val="nil"/>
              <w:left w:val="nil"/>
              <w:bottom w:val="single" w:sz="4" w:space="0" w:color="auto"/>
              <w:right w:val="single" w:sz="4" w:space="0" w:color="auto"/>
            </w:tcBorders>
            <w:shd w:val="clear" w:color="auto" w:fill="auto"/>
            <w:vAlign w:val="center"/>
            <w:hideMark/>
          </w:tcPr>
          <w:p w14:paraId="2D97812A" w14:textId="21033BCE" w:rsidR="000F41F9" w:rsidRPr="000F41F9" w:rsidRDefault="004D0040" w:rsidP="000F41F9">
            <w:pPr>
              <w:spacing w:after="0" w:line="240" w:lineRule="auto"/>
              <w:jc w:val="center"/>
              <w:rPr>
                <w:rFonts w:ascii="Corbel" w:eastAsia="Times New Roman" w:hAnsi="Corbel" w:cs="Calibri"/>
                <w:color w:val="000000"/>
                <w:sz w:val="18"/>
                <w:szCs w:val="18"/>
                <w:lang w:eastAsia="fr-CI"/>
              </w:rPr>
            </w:pPr>
            <w:r>
              <w:rPr>
                <w:rFonts w:ascii="Corbel" w:eastAsia="Times New Roman" w:hAnsi="Corbel" w:cs="Calibri"/>
                <w:color w:val="000000"/>
                <w:sz w:val="18"/>
                <w:szCs w:val="18"/>
                <w:lang w:eastAsia="fr-CI"/>
              </w:rPr>
              <w:t>REPORT DE BALANCE 2022</w:t>
            </w:r>
          </w:p>
        </w:tc>
      </w:tr>
      <w:tr w:rsidR="000F41F9" w:rsidRPr="000F41F9" w14:paraId="78C08911" w14:textId="77777777" w:rsidTr="00243974">
        <w:trPr>
          <w:trHeight w:val="490"/>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2908808E"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Canada</w:t>
            </w:r>
          </w:p>
        </w:tc>
        <w:tc>
          <w:tcPr>
            <w:tcW w:w="3713" w:type="dxa"/>
            <w:vMerge/>
            <w:tcBorders>
              <w:top w:val="nil"/>
              <w:left w:val="single" w:sz="4" w:space="0" w:color="auto"/>
              <w:bottom w:val="single" w:sz="4" w:space="0" w:color="auto"/>
              <w:right w:val="single" w:sz="4" w:space="0" w:color="auto"/>
            </w:tcBorders>
            <w:vAlign w:val="center"/>
            <w:hideMark/>
          </w:tcPr>
          <w:p w14:paraId="463894FD"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p>
        </w:tc>
        <w:tc>
          <w:tcPr>
            <w:tcW w:w="1823" w:type="dxa"/>
            <w:tcBorders>
              <w:top w:val="nil"/>
              <w:left w:val="nil"/>
              <w:bottom w:val="single" w:sz="4" w:space="0" w:color="auto"/>
              <w:right w:val="single" w:sz="4" w:space="0" w:color="auto"/>
            </w:tcBorders>
            <w:shd w:val="clear" w:color="auto" w:fill="auto"/>
            <w:noWrap/>
            <w:vAlign w:val="center"/>
            <w:hideMark/>
          </w:tcPr>
          <w:p w14:paraId="03B879BE" w14:textId="77777777" w:rsidR="000F41F9" w:rsidRPr="000F41F9" w:rsidRDefault="000F41F9" w:rsidP="000F41F9">
            <w:pPr>
              <w:spacing w:after="0" w:line="240" w:lineRule="auto"/>
              <w:jc w:val="right"/>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290 624,33</w:t>
            </w:r>
          </w:p>
        </w:tc>
        <w:tc>
          <w:tcPr>
            <w:tcW w:w="2552" w:type="dxa"/>
            <w:tcBorders>
              <w:top w:val="nil"/>
              <w:left w:val="nil"/>
              <w:bottom w:val="single" w:sz="4" w:space="0" w:color="auto"/>
              <w:right w:val="single" w:sz="4" w:space="0" w:color="auto"/>
            </w:tcBorders>
            <w:shd w:val="clear" w:color="auto" w:fill="auto"/>
            <w:vAlign w:val="center"/>
            <w:hideMark/>
          </w:tcPr>
          <w:p w14:paraId="57231A9B" w14:textId="77777777" w:rsidR="000F41F9" w:rsidRPr="000F41F9" w:rsidRDefault="000F41F9" w:rsidP="000F41F9">
            <w:pPr>
              <w:spacing w:after="0" w:line="240" w:lineRule="auto"/>
              <w:jc w:val="center"/>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NC</w:t>
            </w:r>
          </w:p>
        </w:tc>
      </w:tr>
      <w:tr w:rsidR="00243974" w:rsidRPr="000F41F9" w14:paraId="68D08FD0" w14:textId="77777777" w:rsidTr="00243974">
        <w:trPr>
          <w:trHeight w:val="704"/>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0D574C70"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Allemagne</w:t>
            </w:r>
          </w:p>
        </w:tc>
        <w:tc>
          <w:tcPr>
            <w:tcW w:w="3713" w:type="dxa"/>
            <w:tcBorders>
              <w:top w:val="nil"/>
              <w:left w:val="nil"/>
              <w:bottom w:val="single" w:sz="4" w:space="0" w:color="auto"/>
              <w:right w:val="single" w:sz="4" w:space="0" w:color="auto"/>
            </w:tcBorders>
            <w:shd w:val="clear" w:color="auto" w:fill="auto"/>
            <w:vAlign w:val="center"/>
            <w:hideMark/>
          </w:tcPr>
          <w:p w14:paraId="691C1085"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Engagement des jeunes et des femmes pour la prévention des crises, la stabilité sociale, la consolidation de la paix et la réduction de la violence communautaire dans le nord de la Côte d'Ivoire</w:t>
            </w:r>
          </w:p>
        </w:tc>
        <w:tc>
          <w:tcPr>
            <w:tcW w:w="1823" w:type="dxa"/>
            <w:tcBorders>
              <w:top w:val="nil"/>
              <w:left w:val="nil"/>
              <w:bottom w:val="single" w:sz="4" w:space="0" w:color="auto"/>
              <w:right w:val="single" w:sz="4" w:space="0" w:color="auto"/>
            </w:tcBorders>
            <w:shd w:val="clear" w:color="auto" w:fill="auto"/>
            <w:noWrap/>
            <w:vAlign w:val="center"/>
            <w:hideMark/>
          </w:tcPr>
          <w:p w14:paraId="74B2A21E" w14:textId="036776E1" w:rsidR="000F41F9" w:rsidRPr="000F41F9" w:rsidRDefault="000F41F9" w:rsidP="000F41F9">
            <w:pPr>
              <w:spacing w:after="0" w:line="240" w:lineRule="auto"/>
              <w:jc w:val="right"/>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1 61</w:t>
            </w:r>
            <w:r w:rsidR="004D0040">
              <w:rPr>
                <w:rFonts w:ascii="Corbel" w:eastAsia="Times New Roman" w:hAnsi="Corbel" w:cs="Calibri"/>
                <w:color w:val="000000"/>
                <w:sz w:val="18"/>
                <w:szCs w:val="18"/>
                <w:lang w:eastAsia="fr-CI"/>
              </w:rPr>
              <w:t>5</w:t>
            </w:r>
            <w:r w:rsidRPr="000F41F9">
              <w:rPr>
                <w:rFonts w:ascii="Corbel" w:eastAsia="Times New Roman" w:hAnsi="Corbel" w:cs="Calibri"/>
                <w:color w:val="000000"/>
                <w:sz w:val="18"/>
                <w:szCs w:val="18"/>
                <w:lang w:eastAsia="fr-CI"/>
              </w:rPr>
              <w:t xml:space="preserve"> 264,15</w:t>
            </w:r>
          </w:p>
        </w:tc>
        <w:tc>
          <w:tcPr>
            <w:tcW w:w="2552" w:type="dxa"/>
            <w:tcBorders>
              <w:top w:val="nil"/>
              <w:left w:val="nil"/>
              <w:bottom w:val="single" w:sz="4" w:space="0" w:color="auto"/>
              <w:right w:val="single" w:sz="4" w:space="0" w:color="auto"/>
            </w:tcBorders>
            <w:shd w:val="clear" w:color="auto" w:fill="auto"/>
            <w:vAlign w:val="center"/>
            <w:hideMark/>
          </w:tcPr>
          <w:p w14:paraId="04025702" w14:textId="77777777" w:rsidR="000F41F9" w:rsidRPr="000F41F9" w:rsidRDefault="000F41F9" w:rsidP="000F41F9">
            <w:pPr>
              <w:spacing w:after="0" w:line="240" w:lineRule="auto"/>
              <w:jc w:val="center"/>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NC</w:t>
            </w:r>
          </w:p>
        </w:tc>
      </w:tr>
      <w:tr w:rsidR="00243974" w:rsidRPr="000F41F9" w14:paraId="4D161A5E" w14:textId="77777777" w:rsidTr="00243974">
        <w:trPr>
          <w:trHeight w:val="446"/>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2429FF39" w14:textId="1B884E19" w:rsidR="000F41F9" w:rsidRPr="000F41F9" w:rsidRDefault="00243974"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Gouvernement</w:t>
            </w:r>
            <w:r w:rsidR="000F41F9" w:rsidRPr="000F41F9">
              <w:rPr>
                <w:rFonts w:ascii="Corbel" w:eastAsia="Times New Roman" w:hAnsi="Corbel" w:cs="Calibri"/>
                <w:color w:val="000000"/>
                <w:sz w:val="18"/>
                <w:szCs w:val="18"/>
                <w:lang w:eastAsia="fr-CI"/>
              </w:rPr>
              <w:t xml:space="preserve"> CIV</w:t>
            </w:r>
          </w:p>
        </w:tc>
        <w:tc>
          <w:tcPr>
            <w:tcW w:w="3713" w:type="dxa"/>
            <w:tcBorders>
              <w:top w:val="nil"/>
              <w:left w:val="nil"/>
              <w:bottom w:val="single" w:sz="4" w:space="0" w:color="auto"/>
              <w:right w:val="single" w:sz="4" w:space="0" w:color="auto"/>
            </w:tcBorders>
            <w:shd w:val="clear" w:color="auto" w:fill="auto"/>
            <w:vAlign w:val="center"/>
            <w:hideMark/>
          </w:tcPr>
          <w:p w14:paraId="7A30ED51"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xml:space="preserve">Appui à la </w:t>
            </w:r>
            <w:proofErr w:type="spellStart"/>
            <w:r w:rsidRPr="000F41F9">
              <w:rPr>
                <w:rFonts w:ascii="Corbel" w:eastAsia="Times New Roman" w:hAnsi="Corbel" w:cs="Calibri"/>
                <w:color w:val="000000"/>
                <w:sz w:val="18"/>
                <w:szCs w:val="18"/>
                <w:lang w:eastAsia="fr-CI"/>
              </w:rPr>
              <w:t>CoP</w:t>
            </w:r>
            <w:proofErr w:type="spellEnd"/>
            <w:r w:rsidRPr="000F41F9">
              <w:rPr>
                <w:rFonts w:ascii="Corbel" w:eastAsia="Times New Roman" w:hAnsi="Corbel" w:cs="Calibri"/>
                <w:color w:val="000000"/>
                <w:sz w:val="18"/>
                <w:szCs w:val="18"/>
                <w:lang w:eastAsia="fr-CI"/>
              </w:rPr>
              <w:t xml:space="preserve"> 15</w:t>
            </w:r>
          </w:p>
        </w:tc>
        <w:tc>
          <w:tcPr>
            <w:tcW w:w="1823" w:type="dxa"/>
            <w:tcBorders>
              <w:top w:val="nil"/>
              <w:left w:val="nil"/>
              <w:bottom w:val="single" w:sz="4" w:space="0" w:color="auto"/>
              <w:right w:val="single" w:sz="4" w:space="0" w:color="auto"/>
            </w:tcBorders>
            <w:shd w:val="clear" w:color="auto" w:fill="auto"/>
            <w:noWrap/>
            <w:vAlign w:val="center"/>
            <w:hideMark/>
          </w:tcPr>
          <w:p w14:paraId="420D44CC" w14:textId="77777777" w:rsidR="000F41F9" w:rsidRPr="000F41F9" w:rsidRDefault="000F41F9" w:rsidP="000F41F9">
            <w:pPr>
              <w:spacing w:after="0" w:line="240" w:lineRule="auto"/>
              <w:jc w:val="right"/>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646 935,26</w:t>
            </w:r>
          </w:p>
        </w:tc>
        <w:tc>
          <w:tcPr>
            <w:tcW w:w="2552" w:type="dxa"/>
            <w:tcBorders>
              <w:top w:val="nil"/>
              <w:left w:val="nil"/>
              <w:bottom w:val="single" w:sz="4" w:space="0" w:color="auto"/>
              <w:right w:val="single" w:sz="4" w:space="0" w:color="auto"/>
            </w:tcBorders>
            <w:shd w:val="clear" w:color="auto" w:fill="auto"/>
            <w:vAlign w:val="center"/>
            <w:hideMark/>
          </w:tcPr>
          <w:p w14:paraId="12151011" w14:textId="65A7816C" w:rsidR="000F41F9" w:rsidRPr="000F41F9" w:rsidRDefault="004D0040" w:rsidP="000F41F9">
            <w:pPr>
              <w:spacing w:after="0" w:line="240" w:lineRule="auto"/>
              <w:jc w:val="center"/>
              <w:rPr>
                <w:rFonts w:ascii="Corbel" w:eastAsia="Times New Roman" w:hAnsi="Corbel" w:cs="Calibri"/>
                <w:color w:val="000000"/>
                <w:sz w:val="18"/>
                <w:szCs w:val="18"/>
                <w:lang w:eastAsia="fr-CI"/>
              </w:rPr>
            </w:pPr>
            <w:r>
              <w:rPr>
                <w:rFonts w:ascii="Corbel" w:eastAsia="Times New Roman" w:hAnsi="Corbel" w:cs="Calibri"/>
                <w:color w:val="000000"/>
                <w:sz w:val="18"/>
                <w:szCs w:val="18"/>
                <w:lang w:eastAsia="fr-CI"/>
              </w:rPr>
              <w:t>REPORT DE BALANCE 2022</w:t>
            </w:r>
          </w:p>
        </w:tc>
      </w:tr>
      <w:tr w:rsidR="00243974" w:rsidRPr="000F41F9" w14:paraId="69E8763B" w14:textId="77777777" w:rsidTr="00243974">
        <w:trPr>
          <w:trHeight w:val="918"/>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63FE58D8"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UNTFHS</w:t>
            </w:r>
          </w:p>
        </w:tc>
        <w:tc>
          <w:tcPr>
            <w:tcW w:w="3713" w:type="dxa"/>
            <w:tcBorders>
              <w:top w:val="nil"/>
              <w:left w:val="nil"/>
              <w:bottom w:val="single" w:sz="4" w:space="0" w:color="auto"/>
              <w:right w:val="single" w:sz="4" w:space="0" w:color="auto"/>
            </w:tcBorders>
            <w:shd w:val="clear" w:color="auto" w:fill="auto"/>
            <w:vAlign w:val="center"/>
            <w:hideMark/>
          </w:tcPr>
          <w:p w14:paraId="2FA3485C"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xml:space="preserve">Soutien Intégré à la Gestion du Développement Local, à la Promotion de Sociétés Pacifiques et à la Sécurité Humaine dans la Région de Gbêkê, en particulier les quatre localités de Béoumi, </w:t>
            </w:r>
            <w:proofErr w:type="spellStart"/>
            <w:r w:rsidRPr="000F41F9">
              <w:rPr>
                <w:rFonts w:ascii="Corbel" w:eastAsia="Times New Roman" w:hAnsi="Corbel" w:cs="Calibri"/>
                <w:color w:val="000000"/>
                <w:sz w:val="18"/>
                <w:szCs w:val="18"/>
                <w:lang w:eastAsia="fr-CI"/>
              </w:rPr>
              <w:t>Botro</w:t>
            </w:r>
            <w:proofErr w:type="spellEnd"/>
            <w:r w:rsidRPr="000F41F9">
              <w:rPr>
                <w:rFonts w:ascii="Corbel" w:eastAsia="Times New Roman" w:hAnsi="Corbel" w:cs="Calibri"/>
                <w:color w:val="000000"/>
                <w:sz w:val="18"/>
                <w:szCs w:val="18"/>
                <w:lang w:eastAsia="fr-CI"/>
              </w:rPr>
              <w:t xml:space="preserve">, Bouaké et </w:t>
            </w:r>
            <w:proofErr w:type="spellStart"/>
            <w:r w:rsidRPr="000F41F9">
              <w:rPr>
                <w:rFonts w:ascii="Corbel" w:eastAsia="Times New Roman" w:hAnsi="Corbel" w:cs="Calibri"/>
                <w:color w:val="000000"/>
                <w:sz w:val="18"/>
                <w:szCs w:val="18"/>
                <w:lang w:eastAsia="fr-CI"/>
              </w:rPr>
              <w:t>Sakassou</w:t>
            </w:r>
            <w:proofErr w:type="spellEnd"/>
          </w:p>
        </w:tc>
        <w:tc>
          <w:tcPr>
            <w:tcW w:w="1823" w:type="dxa"/>
            <w:tcBorders>
              <w:top w:val="nil"/>
              <w:left w:val="nil"/>
              <w:bottom w:val="single" w:sz="4" w:space="0" w:color="auto"/>
              <w:right w:val="single" w:sz="4" w:space="0" w:color="auto"/>
            </w:tcBorders>
            <w:shd w:val="clear" w:color="auto" w:fill="auto"/>
            <w:noWrap/>
            <w:vAlign w:val="center"/>
            <w:hideMark/>
          </w:tcPr>
          <w:p w14:paraId="261BCEDC" w14:textId="77777777" w:rsidR="000F41F9" w:rsidRPr="000F41F9" w:rsidRDefault="000F41F9" w:rsidP="000F41F9">
            <w:pPr>
              <w:spacing w:after="0" w:line="240" w:lineRule="auto"/>
              <w:jc w:val="right"/>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188 612,11</w:t>
            </w:r>
          </w:p>
        </w:tc>
        <w:tc>
          <w:tcPr>
            <w:tcW w:w="2552" w:type="dxa"/>
            <w:tcBorders>
              <w:top w:val="nil"/>
              <w:left w:val="nil"/>
              <w:bottom w:val="single" w:sz="4" w:space="0" w:color="auto"/>
              <w:right w:val="single" w:sz="4" w:space="0" w:color="auto"/>
            </w:tcBorders>
            <w:shd w:val="clear" w:color="auto" w:fill="auto"/>
            <w:vAlign w:val="center"/>
            <w:hideMark/>
          </w:tcPr>
          <w:p w14:paraId="13DB94CF" w14:textId="77777777" w:rsidR="000F41F9" w:rsidRPr="000F41F9" w:rsidRDefault="000F41F9" w:rsidP="000F41F9">
            <w:pPr>
              <w:spacing w:after="0" w:line="240" w:lineRule="auto"/>
              <w:jc w:val="center"/>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NC</w:t>
            </w:r>
          </w:p>
        </w:tc>
      </w:tr>
      <w:tr w:rsidR="000F41F9" w:rsidRPr="000F41F9" w14:paraId="7D67B2F3" w14:textId="77777777" w:rsidTr="00243974">
        <w:trPr>
          <w:trHeight w:val="60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160C95A5"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BMZ</w:t>
            </w:r>
          </w:p>
        </w:tc>
        <w:tc>
          <w:tcPr>
            <w:tcW w:w="3713" w:type="dxa"/>
            <w:tcBorders>
              <w:top w:val="nil"/>
              <w:left w:val="nil"/>
              <w:bottom w:val="single" w:sz="4" w:space="0" w:color="auto"/>
              <w:right w:val="single" w:sz="4" w:space="0" w:color="auto"/>
            </w:tcBorders>
            <w:shd w:val="clear" w:color="auto" w:fill="auto"/>
            <w:noWrap/>
            <w:vAlign w:val="center"/>
            <w:hideMark/>
          </w:tcPr>
          <w:p w14:paraId="7BD5971B"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NDC Support</w:t>
            </w:r>
          </w:p>
        </w:tc>
        <w:tc>
          <w:tcPr>
            <w:tcW w:w="1823" w:type="dxa"/>
            <w:tcBorders>
              <w:top w:val="nil"/>
              <w:left w:val="nil"/>
              <w:bottom w:val="single" w:sz="4" w:space="0" w:color="auto"/>
              <w:right w:val="single" w:sz="4" w:space="0" w:color="auto"/>
            </w:tcBorders>
            <w:shd w:val="clear" w:color="auto" w:fill="auto"/>
            <w:noWrap/>
            <w:vAlign w:val="center"/>
            <w:hideMark/>
          </w:tcPr>
          <w:p w14:paraId="4C12E18A" w14:textId="77777777" w:rsidR="000F41F9" w:rsidRPr="000F41F9" w:rsidRDefault="000F41F9" w:rsidP="000F41F9">
            <w:pPr>
              <w:spacing w:after="0" w:line="240" w:lineRule="auto"/>
              <w:jc w:val="right"/>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788 400,00</w:t>
            </w:r>
          </w:p>
        </w:tc>
        <w:tc>
          <w:tcPr>
            <w:tcW w:w="2552" w:type="dxa"/>
            <w:tcBorders>
              <w:top w:val="nil"/>
              <w:left w:val="nil"/>
              <w:bottom w:val="single" w:sz="4" w:space="0" w:color="auto"/>
              <w:right w:val="single" w:sz="4" w:space="0" w:color="auto"/>
            </w:tcBorders>
            <w:shd w:val="clear" w:color="auto" w:fill="auto"/>
            <w:vAlign w:val="center"/>
            <w:hideMark/>
          </w:tcPr>
          <w:p w14:paraId="0B63595B"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La DAO transmis au CO. En attente des ressources</w:t>
            </w:r>
          </w:p>
        </w:tc>
      </w:tr>
      <w:tr w:rsidR="000F41F9" w:rsidRPr="000F41F9" w14:paraId="44152BF7" w14:textId="77777777" w:rsidTr="00243974">
        <w:trPr>
          <w:trHeight w:val="390"/>
        </w:trPr>
        <w:tc>
          <w:tcPr>
            <w:tcW w:w="5548" w:type="dxa"/>
            <w:gridSpan w:val="2"/>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0E490BA4" w14:textId="77777777" w:rsidR="000F41F9" w:rsidRPr="000F41F9" w:rsidRDefault="000F41F9" w:rsidP="000F41F9">
            <w:pPr>
              <w:spacing w:after="0" w:line="240" w:lineRule="auto"/>
              <w:jc w:val="center"/>
              <w:rPr>
                <w:rFonts w:ascii="Corbel" w:eastAsia="Times New Roman" w:hAnsi="Corbel" w:cs="Calibri"/>
                <w:b/>
                <w:bCs/>
                <w:color w:val="000000"/>
                <w:sz w:val="18"/>
                <w:szCs w:val="18"/>
                <w:lang w:eastAsia="fr-CI"/>
              </w:rPr>
            </w:pPr>
            <w:r w:rsidRPr="000F41F9">
              <w:rPr>
                <w:rFonts w:ascii="Corbel" w:eastAsia="Times New Roman" w:hAnsi="Corbel" w:cs="Calibri"/>
                <w:b/>
                <w:bCs/>
                <w:color w:val="000000"/>
                <w:sz w:val="18"/>
                <w:szCs w:val="18"/>
                <w:lang w:eastAsia="fr-CI"/>
              </w:rPr>
              <w:t>Total</w:t>
            </w:r>
          </w:p>
        </w:tc>
        <w:tc>
          <w:tcPr>
            <w:tcW w:w="1823" w:type="dxa"/>
            <w:tcBorders>
              <w:top w:val="nil"/>
              <w:left w:val="nil"/>
              <w:bottom w:val="single" w:sz="4" w:space="0" w:color="auto"/>
              <w:right w:val="single" w:sz="4" w:space="0" w:color="auto"/>
            </w:tcBorders>
            <w:shd w:val="clear" w:color="000000" w:fill="B4C6E7"/>
            <w:noWrap/>
            <w:vAlign w:val="center"/>
            <w:hideMark/>
          </w:tcPr>
          <w:p w14:paraId="3D77944F" w14:textId="77777777" w:rsidR="004D0040" w:rsidRDefault="004D0040" w:rsidP="004D0040">
            <w:pPr>
              <w:jc w:val="right"/>
              <w:rPr>
                <w:rFonts w:ascii="Corbel" w:hAnsi="Corbel" w:cs="Calibri"/>
                <w:b/>
                <w:bCs/>
                <w:color w:val="000000"/>
                <w:sz w:val="18"/>
                <w:szCs w:val="18"/>
              </w:rPr>
            </w:pPr>
            <w:r>
              <w:rPr>
                <w:rFonts w:ascii="Corbel" w:hAnsi="Corbel" w:cs="Calibri"/>
                <w:b/>
                <w:bCs/>
                <w:color w:val="000000"/>
                <w:sz w:val="18"/>
                <w:szCs w:val="18"/>
              </w:rPr>
              <w:t>3 904 557,90</w:t>
            </w:r>
          </w:p>
          <w:p w14:paraId="235053B1" w14:textId="4C1848E5" w:rsidR="000F41F9" w:rsidRPr="000F41F9" w:rsidRDefault="000F41F9" w:rsidP="000F41F9">
            <w:pPr>
              <w:spacing w:after="0" w:line="240" w:lineRule="auto"/>
              <w:jc w:val="right"/>
              <w:rPr>
                <w:rFonts w:ascii="Corbel" w:eastAsia="Times New Roman" w:hAnsi="Corbel" w:cs="Calibri"/>
                <w:b/>
                <w:bCs/>
                <w:color w:val="000000"/>
                <w:sz w:val="18"/>
                <w:szCs w:val="18"/>
                <w:lang w:eastAsia="fr-CI"/>
              </w:rPr>
            </w:pPr>
          </w:p>
        </w:tc>
        <w:tc>
          <w:tcPr>
            <w:tcW w:w="2552" w:type="dxa"/>
            <w:tcBorders>
              <w:top w:val="nil"/>
              <w:left w:val="nil"/>
              <w:bottom w:val="single" w:sz="4" w:space="0" w:color="auto"/>
              <w:right w:val="single" w:sz="4" w:space="0" w:color="auto"/>
            </w:tcBorders>
            <w:shd w:val="clear" w:color="000000" w:fill="000000"/>
            <w:vAlign w:val="center"/>
            <w:hideMark/>
          </w:tcPr>
          <w:p w14:paraId="5BA78138" w14:textId="77777777" w:rsidR="000F41F9" w:rsidRPr="000F41F9" w:rsidRDefault="000F41F9" w:rsidP="000F41F9">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w:t>
            </w:r>
          </w:p>
        </w:tc>
      </w:tr>
      <w:tr w:rsidR="0055778B" w:rsidRPr="000F41F9" w14:paraId="46B53699" w14:textId="77777777" w:rsidTr="00FF624A">
        <w:trPr>
          <w:trHeight w:val="302"/>
        </w:trPr>
        <w:tc>
          <w:tcPr>
            <w:tcW w:w="9923" w:type="dxa"/>
            <w:gridSpan w:val="4"/>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0180D698" w14:textId="77777777" w:rsidR="0055778B" w:rsidRPr="000F41F9" w:rsidRDefault="0055778B" w:rsidP="00FF624A">
            <w:pPr>
              <w:spacing w:after="0" w:line="240" w:lineRule="auto"/>
              <w:jc w:val="center"/>
              <w:rPr>
                <w:rFonts w:ascii="Corbel" w:eastAsia="Times New Roman" w:hAnsi="Corbel" w:cs="Calibri"/>
                <w:b/>
                <w:bCs/>
                <w:i/>
                <w:iCs/>
                <w:color w:val="000000"/>
                <w:sz w:val="18"/>
                <w:szCs w:val="18"/>
                <w:lang w:eastAsia="fr-CI"/>
              </w:rPr>
            </w:pPr>
            <w:r w:rsidRPr="000F41F9">
              <w:rPr>
                <w:rFonts w:ascii="Corbel" w:eastAsia="Times New Roman" w:hAnsi="Corbel" w:cs="Calibri"/>
                <w:b/>
                <w:bCs/>
                <w:i/>
                <w:iCs/>
                <w:color w:val="000000"/>
                <w:sz w:val="18"/>
                <w:szCs w:val="18"/>
                <w:lang w:eastAsia="fr-CI"/>
              </w:rPr>
              <w:t>Projection de mobilisation</w:t>
            </w:r>
          </w:p>
        </w:tc>
      </w:tr>
      <w:tr w:rsidR="0055778B" w:rsidRPr="000F41F9" w14:paraId="312CC770" w14:textId="77777777" w:rsidTr="00FF624A">
        <w:trPr>
          <w:trHeight w:val="53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30FC59F6"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Union Européenne</w:t>
            </w:r>
          </w:p>
        </w:tc>
        <w:tc>
          <w:tcPr>
            <w:tcW w:w="3713" w:type="dxa"/>
            <w:tcBorders>
              <w:top w:val="nil"/>
              <w:left w:val="nil"/>
              <w:bottom w:val="single" w:sz="4" w:space="0" w:color="auto"/>
              <w:right w:val="single" w:sz="4" w:space="0" w:color="auto"/>
            </w:tcBorders>
            <w:shd w:val="clear" w:color="auto" w:fill="auto"/>
            <w:vAlign w:val="center"/>
            <w:hideMark/>
          </w:tcPr>
          <w:p w14:paraId="5C13F128"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xml:space="preserve">Projet d’Appui aux Elections en Côte d’Ivoire (PACE II) </w:t>
            </w:r>
          </w:p>
        </w:tc>
        <w:tc>
          <w:tcPr>
            <w:tcW w:w="1823" w:type="dxa"/>
            <w:tcBorders>
              <w:top w:val="nil"/>
              <w:left w:val="nil"/>
              <w:bottom w:val="single" w:sz="4" w:space="0" w:color="auto"/>
              <w:right w:val="single" w:sz="4" w:space="0" w:color="auto"/>
            </w:tcBorders>
            <w:shd w:val="clear" w:color="auto" w:fill="auto"/>
            <w:noWrap/>
            <w:vAlign w:val="center"/>
            <w:hideMark/>
          </w:tcPr>
          <w:p w14:paraId="04176D9E" w14:textId="77777777" w:rsidR="0055778B" w:rsidRPr="000F41F9" w:rsidRDefault="0055778B" w:rsidP="00FF624A">
            <w:pPr>
              <w:spacing w:after="0" w:line="240" w:lineRule="auto"/>
              <w:jc w:val="right"/>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xml:space="preserve">                                          55 000 </w:t>
            </w:r>
          </w:p>
        </w:tc>
        <w:tc>
          <w:tcPr>
            <w:tcW w:w="2552" w:type="dxa"/>
            <w:tcBorders>
              <w:top w:val="nil"/>
              <w:left w:val="nil"/>
              <w:bottom w:val="single" w:sz="4" w:space="0" w:color="auto"/>
              <w:right w:val="single" w:sz="4" w:space="0" w:color="auto"/>
            </w:tcBorders>
            <w:shd w:val="clear" w:color="auto" w:fill="auto"/>
            <w:vAlign w:val="center"/>
            <w:hideMark/>
          </w:tcPr>
          <w:p w14:paraId="11D4F0F6"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Seconde tranche de la convention en cours</w:t>
            </w:r>
          </w:p>
        </w:tc>
      </w:tr>
      <w:tr w:rsidR="0055778B" w:rsidRPr="000F41F9" w14:paraId="0F601CD2" w14:textId="77777777" w:rsidTr="00FF624A">
        <w:trPr>
          <w:trHeight w:val="645"/>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1DEBE4C3"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JICA</w:t>
            </w:r>
          </w:p>
        </w:tc>
        <w:tc>
          <w:tcPr>
            <w:tcW w:w="3713" w:type="dxa"/>
            <w:tcBorders>
              <w:top w:val="nil"/>
              <w:left w:val="nil"/>
              <w:bottom w:val="single" w:sz="4" w:space="0" w:color="auto"/>
              <w:right w:val="single" w:sz="4" w:space="0" w:color="auto"/>
            </w:tcBorders>
            <w:shd w:val="clear" w:color="auto" w:fill="auto"/>
            <w:vAlign w:val="center"/>
            <w:hideMark/>
          </w:tcPr>
          <w:p w14:paraId="7DB3D4D8"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Projet d’appui au renforcement des infrastructures sociales des collectivités locales du Nord de la Côte d’Ivoire</w:t>
            </w:r>
          </w:p>
        </w:tc>
        <w:tc>
          <w:tcPr>
            <w:tcW w:w="1823" w:type="dxa"/>
            <w:tcBorders>
              <w:top w:val="nil"/>
              <w:left w:val="nil"/>
              <w:bottom w:val="single" w:sz="4" w:space="0" w:color="auto"/>
              <w:right w:val="single" w:sz="4" w:space="0" w:color="auto"/>
            </w:tcBorders>
            <w:shd w:val="clear" w:color="auto" w:fill="auto"/>
            <w:noWrap/>
            <w:vAlign w:val="center"/>
            <w:hideMark/>
          </w:tcPr>
          <w:p w14:paraId="76F951A9"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xml:space="preserve">                         3 000 000 </w:t>
            </w:r>
          </w:p>
        </w:tc>
        <w:tc>
          <w:tcPr>
            <w:tcW w:w="2552" w:type="dxa"/>
            <w:tcBorders>
              <w:top w:val="nil"/>
              <w:left w:val="nil"/>
              <w:bottom w:val="single" w:sz="4" w:space="0" w:color="auto"/>
              <w:right w:val="single" w:sz="4" w:space="0" w:color="auto"/>
            </w:tcBorders>
            <w:shd w:val="clear" w:color="auto" w:fill="auto"/>
            <w:vAlign w:val="center"/>
            <w:hideMark/>
          </w:tcPr>
          <w:p w14:paraId="55BEAF83"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Signature prévue pour le mois de septembre 2023</w:t>
            </w:r>
          </w:p>
        </w:tc>
      </w:tr>
      <w:tr w:rsidR="0055778B" w:rsidRPr="000F41F9" w14:paraId="1BA190A4" w14:textId="77777777" w:rsidTr="00FF624A">
        <w:trPr>
          <w:trHeight w:val="587"/>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753E4ACD"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USA</w:t>
            </w:r>
          </w:p>
        </w:tc>
        <w:tc>
          <w:tcPr>
            <w:tcW w:w="3713" w:type="dxa"/>
            <w:tcBorders>
              <w:top w:val="nil"/>
              <w:left w:val="nil"/>
              <w:bottom w:val="single" w:sz="4" w:space="0" w:color="auto"/>
              <w:right w:val="single" w:sz="4" w:space="0" w:color="auto"/>
            </w:tcBorders>
            <w:shd w:val="clear" w:color="auto" w:fill="auto"/>
            <w:vAlign w:val="center"/>
            <w:hideMark/>
          </w:tcPr>
          <w:p w14:paraId="71C8823F" w14:textId="77777777" w:rsidR="0055778B" w:rsidRPr="000F41F9" w:rsidRDefault="0055778B" w:rsidP="00FF624A">
            <w:pPr>
              <w:spacing w:after="0" w:line="240" w:lineRule="auto"/>
              <w:rPr>
                <w:rFonts w:ascii="Corbel" w:eastAsia="Times New Roman" w:hAnsi="Corbel" w:cs="Calibri"/>
                <w:color w:val="000000"/>
                <w:sz w:val="18"/>
                <w:szCs w:val="18"/>
                <w:lang w:val="en-US" w:eastAsia="fr-CI"/>
              </w:rPr>
            </w:pPr>
            <w:r w:rsidRPr="000F41F9">
              <w:rPr>
                <w:rFonts w:ascii="Corbel" w:eastAsia="Times New Roman" w:hAnsi="Corbel" w:cs="Calibri"/>
                <w:color w:val="000000"/>
                <w:sz w:val="18"/>
                <w:szCs w:val="18"/>
                <w:lang w:val="en-US" w:eastAsia="fr-CI"/>
              </w:rPr>
              <w:t>Support the strengthening of access to justice and the modernization of judicial institutions in Côte d’Ivoire</w:t>
            </w:r>
          </w:p>
        </w:tc>
        <w:tc>
          <w:tcPr>
            <w:tcW w:w="1823" w:type="dxa"/>
            <w:tcBorders>
              <w:top w:val="nil"/>
              <w:left w:val="nil"/>
              <w:bottom w:val="single" w:sz="4" w:space="0" w:color="auto"/>
              <w:right w:val="single" w:sz="4" w:space="0" w:color="auto"/>
            </w:tcBorders>
            <w:shd w:val="clear" w:color="auto" w:fill="auto"/>
            <w:noWrap/>
            <w:vAlign w:val="center"/>
            <w:hideMark/>
          </w:tcPr>
          <w:p w14:paraId="34399AC1"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val="en-US" w:eastAsia="fr-CI"/>
              </w:rPr>
              <w:t xml:space="preserve">                        </w:t>
            </w:r>
            <w:r w:rsidRPr="000F41F9">
              <w:rPr>
                <w:rFonts w:ascii="Corbel" w:eastAsia="Times New Roman" w:hAnsi="Corbel" w:cs="Calibri"/>
                <w:color w:val="000000"/>
                <w:sz w:val="18"/>
                <w:szCs w:val="18"/>
                <w:lang w:eastAsia="fr-CI"/>
              </w:rPr>
              <w:t xml:space="preserve">2 000 000 </w:t>
            </w:r>
          </w:p>
        </w:tc>
        <w:tc>
          <w:tcPr>
            <w:tcW w:w="2552" w:type="dxa"/>
            <w:tcBorders>
              <w:top w:val="nil"/>
              <w:left w:val="nil"/>
              <w:bottom w:val="single" w:sz="4" w:space="0" w:color="auto"/>
              <w:right w:val="single" w:sz="4" w:space="0" w:color="auto"/>
            </w:tcBorders>
            <w:shd w:val="clear" w:color="auto" w:fill="auto"/>
            <w:vAlign w:val="center"/>
            <w:hideMark/>
          </w:tcPr>
          <w:p w14:paraId="20F2BF4C"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xml:space="preserve">Signature prévue au plus tard en </w:t>
            </w:r>
            <w:proofErr w:type="gramStart"/>
            <w:r w:rsidRPr="000F41F9">
              <w:rPr>
                <w:rFonts w:ascii="Corbel" w:eastAsia="Times New Roman" w:hAnsi="Corbel" w:cs="Calibri"/>
                <w:color w:val="000000"/>
                <w:sz w:val="18"/>
                <w:szCs w:val="18"/>
                <w:lang w:eastAsia="fr-CI"/>
              </w:rPr>
              <w:t>Novembre</w:t>
            </w:r>
            <w:proofErr w:type="gramEnd"/>
            <w:r w:rsidRPr="000F41F9">
              <w:rPr>
                <w:rFonts w:ascii="Corbel" w:eastAsia="Times New Roman" w:hAnsi="Corbel" w:cs="Calibri"/>
                <w:color w:val="000000"/>
                <w:sz w:val="18"/>
                <w:szCs w:val="18"/>
                <w:lang w:eastAsia="fr-CI"/>
              </w:rPr>
              <w:t xml:space="preserve"> 2023</w:t>
            </w:r>
          </w:p>
        </w:tc>
      </w:tr>
      <w:tr w:rsidR="0055778B" w:rsidRPr="000F41F9" w14:paraId="38B5AE15" w14:textId="77777777" w:rsidTr="00FF624A">
        <w:trPr>
          <w:trHeight w:val="704"/>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2036A8BD"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Gouvernement</w:t>
            </w:r>
          </w:p>
        </w:tc>
        <w:tc>
          <w:tcPr>
            <w:tcW w:w="3713" w:type="dxa"/>
            <w:tcBorders>
              <w:top w:val="nil"/>
              <w:left w:val="nil"/>
              <w:bottom w:val="single" w:sz="4" w:space="0" w:color="auto"/>
              <w:right w:val="single" w:sz="4" w:space="0" w:color="auto"/>
            </w:tcBorders>
            <w:shd w:val="clear" w:color="auto" w:fill="auto"/>
            <w:vAlign w:val="center"/>
            <w:hideMark/>
          </w:tcPr>
          <w:p w14:paraId="6BF4273C"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Appui au renforcement de l’État de Droit, Justice, Sécurité et Droits Humains pour la Cohésion Sociale</w:t>
            </w:r>
          </w:p>
        </w:tc>
        <w:tc>
          <w:tcPr>
            <w:tcW w:w="1823" w:type="dxa"/>
            <w:tcBorders>
              <w:top w:val="nil"/>
              <w:left w:val="nil"/>
              <w:bottom w:val="single" w:sz="4" w:space="0" w:color="auto"/>
              <w:right w:val="single" w:sz="4" w:space="0" w:color="auto"/>
            </w:tcBorders>
            <w:shd w:val="clear" w:color="auto" w:fill="auto"/>
            <w:noWrap/>
            <w:vAlign w:val="center"/>
            <w:hideMark/>
          </w:tcPr>
          <w:p w14:paraId="10921B11"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xml:space="preserve">                          200 000 </w:t>
            </w:r>
          </w:p>
        </w:tc>
        <w:tc>
          <w:tcPr>
            <w:tcW w:w="2552" w:type="dxa"/>
            <w:tcBorders>
              <w:top w:val="nil"/>
              <w:left w:val="nil"/>
              <w:bottom w:val="single" w:sz="4" w:space="0" w:color="auto"/>
              <w:right w:val="single" w:sz="4" w:space="0" w:color="auto"/>
            </w:tcBorders>
            <w:shd w:val="clear" w:color="auto" w:fill="auto"/>
            <w:vAlign w:val="center"/>
            <w:hideMark/>
          </w:tcPr>
          <w:p w14:paraId="50250ECD"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Convention déjà signée avec le Ministère de l'Intérieur et de la Sécurité. Transfert des ressources en cours</w:t>
            </w:r>
          </w:p>
        </w:tc>
      </w:tr>
      <w:tr w:rsidR="0055778B" w:rsidRPr="000F41F9" w14:paraId="4245A6DD" w14:textId="77777777" w:rsidTr="00FF624A">
        <w:trPr>
          <w:trHeight w:val="704"/>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2CE42CC7"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Gouvernement</w:t>
            </w:r>
          </w:p>
        </w:tc>
        <w:tc>
          <w:tcPr>
            <w:tcW w:w="3713" w:type="dxa"/>
            <w:tcBorders>
              <w:top w:val="nil"/>
              <w:left w:val="nil"/>
              <w:bottom w:val="single" w:sz="4" w:space="0" w:color="auto"/>
              <w:right w:val="single" w:sz="4" w:space="0" w:color="auto"/>
            </w:tcBorders>
            <w:shd w:val="clear" w:color="auto" w:fill="auto"/>
            <w:vAlign w:val="center"/>
            <w:hideMark/>
          </w:tcPr>
          <w:p w14:paraId="48969D44"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Appui au renforcement de la Gouvernance locale</w:t>
            </w:r>
          </w:p>
        </w:tc>
        <w:tc>
          <w:tcPr>
            <w:tcW w:w="1823" w:type="dxa"/>
            <w:tcBorders>
              <w:top w:val="nil"/>
              <w:left w:val="nil"/>
              <w:bottom w:val="single" w:sz="4" w:space="0" w:color="auto"/>
              <w:right w:val="single" w:sz="4" w:space="0" w:color="auto"/>
            </w:tcBorders>
            <w:shd w:val="clear" w:color="auto" w:fill="auto"/>
            <w:noWrap/>
            <w:vAlign w:val="center"/>
            <w:hideMark/>
          </w:tcPr>
          <w:p w14:paraId="551C24C6"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xml:space="preserve">                            280 000 </w:t>
            </w:r>
          </w:p>
        </w:tc>
        <w:tc>
          <w:tcPr>
            <w:tcW w:w="2552" w:type="dxa"/>
            <w:tcBorders>
              <w:top w:val="nil"/>
              <w:left w:val="nil"/>
              <w:bottom w:val="single" w:sz="4" w:space="0" w:color="auto"/>
              <w:right w:val="single" w:sz="4" w:space="0" w:color="auto"/>
            </w:tcBorders>
            <w:shd w:val="clear" w:color="auto" w:fill="auto"/>
            <w:vAlign w:val="center"/>
            <w:hideMark/>
          </w:tcPr>
          <w:p w14:paraId="33BBAF6D"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Convention déjà signée avec le Ministère de l'Intérieur et de la Sécurité. Transfert des ressources en cours</w:t>
            </w:r>
          </w:p>
        </w:tc>
      </w:tr>
      <w:tr w:rsidR="0055778B" w:rsidRPr="00DF6E7F" w14:paraId="77DB091E" w14:textId="77777777" w:rsidTr="00FF624A">
        <w:trPr>
          <w:trHeight w:val="645"/>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051F43F5"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GEF</w:t>
            </w:r>
          </w:p>
        </w:tc>
        <w:tc>
          <w:tcPr>
            <w:tcW w:w="3713" w:type="dxa"/>
            <w:tcBorders>
              <w:top w:val="nil"/>
              <w:left w:val="nil"/>
              <w:bottom w:val="single" w:sz="4" w:space="0" w:color="auto"/>
              <w:right w:val="single" w:sz="4" w:space="0" w:color="auto"/>
            </w:tcBorders>
            <w:shd w:val="clear" w:color="auto" w:fill="auto"/>
            <w:noWrap/>
            <w:vAlign w:val="center"/>
            <w:hideMark/>
          </w:tcPr>
          <w:p w14:paraId="1B7EAF0D"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GEF</w:t>
            </w:r>
          </w:p>
        </w:tc>
        <w:tc>
          <w:tcPr>
            <w:tcW w:w="1823" w:type="dxa"/>
            <w:tcBorders>
              <w:top w:val="nil"/>
              <w:left w:val="nil"/>
              <w:bottom w:val="single" w:sz="4" w:space="0" w:color="auto"/>
              <w:right w:val="single" w:sz="4" w:space="0" w:color="auto"/>
            </w:tcBorders>
            <w:shd w:val="clear" w:color="auto" w:fill="auto"/>
            <w:noWrap/>
            <w:vAlign w:val="center"/>
            <w:hideMark/>
          </w:tcPr>
          <w:p w14:paraId="660E3D2B"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xml:space="preserve">                  5 000 000,00 </w:t>
            </w:r>
          </w:p>
        </w:tc>
        <w:tc>
          <w:tcPr>
            <w:tcW w:w="2552" w:type="dxa"/>
            <w:tcBorders>
              <w:top w:val="nil"/>
              <w:left w:val="nil"/>
              <w:bottom w:val="single" w:sz="4" w:space="0" w:color="auto"/>
              <w:right w:val="single" w:sz="4" w:space="0" w:color="auto"/>
            </w:tcBorders>
            <w:shd w:val="clear" w:color="auto" w:fill="auto"/>
            <w:vAlign w:val="center"/>
            <w:hideMark/>
          </w:tcPr>
          <w:p w14:paraId="4B4D8458" w14:textId="77777777" w:rsidR="0055778B" w:rsidRPr="000F41F9" w:rsidRDefault="0055778B" w:rsidP="00FF624A">
            <w:pPr>
              <w:spacing w:after="0" w:line="240" w:lineRule="auto"/>
              <w:rPr>
                <w:rFonts w:ascii="Corbel" w:eastAsia="Times New Roman" w:hAnsi="Corbel" w:cs="Calibri"/>
                <w:color w:val="000000"/>
                <w:sz w:val="18"/>
                <w:szCs w:val="18"/>
                <w:lang w:val="en-US" w:eastAsia="fr-CI"/>
              </w:rPr>
            </w:pPr>
            <w:r w:rsidRPr="000F41F9">
              <w:rPr>
                <w:rFonts w:ascii="Corbel" w:eastAsia="Times New Roman" w:hAnsi="Corbel" w:cs="Calibri"/>
                <w:color w:val="000000"/>
                <w:sz w:val="18"/>
                <w:szCs w:val="18"/>
                <w:lang w:val="en-US" w:eastAsia="fr-CI"/>
              </w:rPr>
              <w:t>The PIF has already been approved by GEF</w:t>
            </w:r>
          </w:p>
        </w:tc>
      </w:tr>
      <w:tr w:rsidR="0055778B" w:rsidRPr="00DF6E7F" w14:paraId="6ECCB8B7" w14:textId="77777777" w:rsidTr="00FF624A">
        <w:trPr>
          <w:trHeight w:val="1644"/>
        </w:trPr>
        <w:tc>
          <w:tcPr>
            <w:tcW w:w="1835" w:type="dxa"/>
            <w:tcBorders>
              <w:top w:val="nil"/>
              <w:left w:val="single" w:sz="4" w:space="0" w:color="auto"/>
              <w:bottom w:val="single" w:sz="4" w:space="0" w:color="auto"/>
              <w:right w:val="single" w:sz="4" w:space="0" w:color="auto"/>
            </w:tcBorders>
            <w:shd w:val="clear" w:color="auto" w:fill="auto"/>
            <w:noWrap/>
            <w:vAlign w:val="center"/>
            <w:hideMark/>
          </w:tcPr>
          <w:p w14:paraId="28F9CC58"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GCF</w:t>
            </w:r>
          </w:p>
        </w:tc>
        <w:tc>
          <w:tcPr>
            <w:tcW w:w="3713" w:type="dxa"/>
            <w:tcBorders>
              <w:top w:val="nil"/>
              <w:left w:val="nil"/>
              <w:bottom w:val="single" w:sz="4" w:space="0" w:color="auto"/>
              <w:right w:val="single" w:sz="4" w:space="0" w:color="auto"/>
            </w:tcBorders>
            <w:shd w:val="clear" w:color="auto" w:fill="auto"/>
            <w:noWrap/>
            <w:vAlign w:val="center"/>
            <w:hideMark/>
          </w:tcPr>
          <w:p w14:paraId="12211CF8" w14:textId="77777777" w:rsidR="0055778B" w:rsidRPr="000F41F9" w:rsidRDefault="0055778B" w:rsidP="00FF624A">
            <w:pPr>
              <w:spacing w:after="0" w:line="240" w:lineRule="auto"/>
              <w:rPr>
                <w:rFonts w:ascii="Corbel" w:eastAsia="Times New Roman" w:hAnsi="Corbel" w:cs="Calibri"/>
                <w:color w:val="000000"/>
                <w:sz w:val="18"/>
                <w:szCs w:val="18"/>
                <w:lang w:val="en-US" w:eastAsia="fr-CI"/>
              </w:rPr>
            </w:pPr>
            <w:r w:rsidRPr="000F41F9">
              <w:rPr>
                <w:rFonts w:ascii="Corbel" w:eastAsia="Times New Roman" w:hAnsi="Corbel" w:cs="Calibri"/>
                <w:color w:val="000000"/>
                <w:sz w:val="18"/>
                <w:szCs w:val="18"/>
                <w:lang w:val="en-US" w:eastAsia="fr-CI"/>
              </w:rPr>
              <w:t>Project to strengthen the multi-hazard early warning system</w:t>
            </w:r>
          </w:p>
        </w:tc>
        <w:tc>
          <w:tcPr>
            <w:tcW w:w="1823" w:type="dxa"/>
            <w:tcBorders>
              <w:top w:val="nil"/>
              <w:left w:val="nil"/>
              <w:bottom w:val="single" w:sz="4" w:space="0" w:color="auto"/>
              <w:right w:val="single" w:sz="4" w:space="0" w:color="auto"/>
            </w:tcBorders>
            <w:shd w:val="clear" w:color="auto" w:fill="auto"/>
            <w:noWrap/>
            <w:vAlign w:val="center"/>
            <w:hideMark/>
          </w:tcPr>
          <w:p w14:paraId="1B611722"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val="en-US" w:eastAsia="fr-CI"/>
              </w:rPr>
              <w:t xml:space="preserve">                 </w:t>
            </w:r>
            <w:r w:rsidRPr="000F41F9">
              <w:rPr>
                <w:rFonts w:ascii="Corbel" w:eastAsia="Times New Roman" w:hAnsi="Corbel" w:cs="Calibri"/>
                <w:color w:val="000000"/>
                <w:sz w:val="18"/>
                <w:szCs w:val="18"/>
                <w:lang w:eastAsia="fr-CI"/>
              </w:rPr>
              <w:t xml:space="preserve">25 000 000,00 </w:t>
            </w:r>
          </w:p>
        </w:tc>
        <w:tc>
          <w:tcPr>
            <w:tcW w:w="2552" w:type="dxa"/>
            <w:tcBorders>
              <w:top w:val="nil"/>
              <w:left w:val="nil"/>
              <w:bottom w:val="single" w:sz="4" w:space="0" w:color="auto"/>
              <w:right w:val="single" w:sz="4" w:space="0" w:color="auto"/>
            </w:tcBorders>
            <w:shd w:val="clear" w:color="auto" w:fill="auto"/>
            <w:vAlign w:val="center"/>
            <w:hideMark/>
          </w:tcPr>
          <w:p w14:paraId="76C1404D" w14:textId="77777777" w:rsidR="0055778B" w:rsidRPr="000F41F9" w:rsidRDefault="0055778B" w:rsidP="00FF624A">
            <w:pPr>
              <w:spacing w:after="0" w:line="240" w:lineRule="auto"/>
              <w:rPr>
                <w:rFonts w:ascii="Corbel" w:eastAsia="Times New Roman" w:hAnsi="Corbel" w:cs="Calibri"/>
                <w:color w:val="000000"/>
                <w:sz w:val="18"/>
                <w:szCs w:val="18"/>
                <w:lang w:val="en-US" w:eastAsia="fr-CI"/>
              </w:rPr>
            </w:pPr>
            <w:r w:rsidRPr="000F41F9">
              <w:rPr>
                <w:rFonts w:ascii="Corbel" w:eastAsia="Times New Roman" w:hAnsi="Corbel" w:cs="Calibri"/>
                <w:color w:val="000000"/>
                <w:sz w:val="18"/>
                <w:szCs w:val="18"/>
                <w:lang w:val="en-US" w:eastAsia="fr-CI"/>
              </w:rPr>
              <w:t>The project to strengthen the multi-hazard early warning system, which is also included in the GCF's programming and for which the consolidated concept note (following the integration of the GCF's comments) was submitted on 4 May 2023</w:t>
            </w:r>
          </w:p>
        </w:tc>
      </w:tr>
      <w:tr w:rsidR="0055778B" w:rsidRPr="000F41F9" w14:paraId="7B787DC1" w14:textId="77777777" w:rsidTr="00FF624A">
        <w:trPr>
          <w:trHeight w:val="372"/>
        </w:trPr>
        <w:tc>
          <w:tcPr>
            <w:tcW w:w="5548" w:type="dxa"/>
            <w:gridSpan w:val="2"/>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3ED7304D" w14:textId="77777777" w:rsidR="0055778B" w:rsidRPr="000F41F9" w:rsidRDefault="0055778B" w:rsidP="00FF624A">
            <w:pPr>
              <w:spacing w:after="0" w:line="240" w:lineRule="auto"/>
              <w:jc w:val="center"/>
              <w:rPr>
                <w:rFonts w:ascii="Corbel" w:eastAsia="Times New Roman" w:hAnsi="Corbel" w:cs="Calibri"/>
                <w:b/>
                <w:bCs/>
                <w:color w:val="000000"/>
                <w:sz w:val="18"/>
                <w:szCs w:val="18"/>
                <w:lang w:eastAsia="fr-CI"/>
              </w:rPr>
            </w:pPr>
            <w:r w:rsidRPr="000F41F9">
              <w:rPr>
                <w:rFonts w:ascii="Corbel" w:eastAsia="Times New Roman" w:hAnsi="Corbel" w:cs="Calibri"/>
                <w:b/>
                <w:bCs/>
                <w:color w:val="000000"/>
                <w:sz w:val="18"/>
                <w:szCs w:val="18"/>
                <w:lang w:eastAsia="fr-CI"/>
              </w:rPr>
              <w:t>Total</w:t>
            </w:r>
          </w:p>
        </w:tc>
        <w:tc>
          <w:tcPr>
            <w:tcW w:w="1823" w:type="dxa"/>
            <w:tcBorders>
              <w:top w:val="nil"/>
              <w:left w:val="nil"/>
              <w:bottom w:val="single" w:sz="4" w:space="0" w:color="auto"/>
              <w:right w:val="single" w:sz="4" w:space="0" w:color="auto"/>
            </w:tcBorders>
            <w:shd w:val="clear" w:color="000000" w:fill="B4C6E7"/>
            <w:noWrap/>
            <w:vAlign w:val="center"/>
            <w:hideMark/>
          </w:tcPr>
          <w:p w14:paraId="6064E27F" w14:textId="77777777" w:rsidR="0055778B" w:rsidRPr="000F41F9" w:rsidRDefault="0055778B" w:rsidP="00FF624A">
            <w:pPr>
              <w:spacing w:after="0" w:line="240" w:lineRule="auto"/>
              <w:jc w:val="right"/>
              <w:rPr>
                <w:rFonts w:ascii="Corbel" w:eastAsia="Times New Roman" w:hAnsi="Corbel" w:cs="Calibri"/>
                <w:b/>
                <w:bCs/>
                <w:color w:val="000000"/>
                <w:sz w:val="18"/>
                <w:szCs w:val="18"/>
                <w:lang w:eastAsia="fr-CI"/>
              </w:rPr>
            </w:pPr>
            <w:r w:rsidRPr="000F41F9">
              <w:rPr>
                <w:rFonts w:ascii="Corbel" w:eastAsia="Times New Roman" w:hAnsi="Corbel" w:cs="Calibri"/>
                <w:b/>
                <w:bCs/>
                <w:color w:val="000000"/>
                <w:sz w:val="18"/>
                <w:szCs w:val="18"/>
                <w:lang w:eastAsia="fr-CI"/>
              </w:rPr>
              <w:t>35 535 000,00</w:t>
            </w:r>
          </w:p>
        </w:tc>
        <w:tc>
          <w:tcPr>
            <w:tcW w:w="2552" w:type="dxa"/>
            <w:tcBorders>
              <w:top w:val="nil"/>
              <w:left w:val="nil"/>
              <w:bottom w:val="single" w:sz="4" w:space="0" w:color="auto"/>
              <w:right w:val="single" w:sz="4" w:space="0" w:color="auto"/>
            </w:tcBorders>
            <w:shd w:val="clear" w:color="000000" w:fill="000000"/>
            <w:vAlign w:val="center"/>
            <w:hideMark/>
          </w:tcPr>
          <w:p w14:paraId="19520AE4" w14:textId="77777777" w:rsidR="0055778B" w:rsidRPr="000F41F9" w:rsidRDefault="0055778B" w:rsidP="00FF624A">
            <w:pPr>
              <w:spacing w:after="0" w:line="240" w:lineRule="auto"/>
              <w:jc w:val="right"/>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w:t>
            </w:r>
          </w:p>
        </w:tc>
      </w:tr>
      <w:tr w:rsidR="0055778B" w:rsidRPr="000F41F9" w14:paraId="0F932266" w14:textId="77777777" w:rsidTr="00FF624A">
        <w:trPr>
          <w:trHeight w:val="302"/>
        </w:trPr>
        <w:tc>
          <w:tcPr>
            <w:tcW w:w="1835" w:type="dxa"/>
            <w:tcBorders>
              <w:top w:val="nil"/>
              <w:left w:val="nil"/>
              <w:bottom w:val="nil"/>
              <w:right w:val="nil"/>
            </w:tcBorders>
            <w:shd w:val="clear" w:color="000000" w:fill="808080"/>
            <w:vAlign w:val="center"/>
            <w:hideMark/>
          </w:tcPr>
          <w:p w14:paraId="587D4667" w14:textId="77777777" w:rsidR="0055778B" w:rsidRPr="000F41F9" w:rsidRDefault="0055778B" w:rsidP="00FF624A">
            <w:pPr>
              <w:spacing w:after="0" w:line="240" w:lineRule="auto"/>
              <w:jc w:val="center"/>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w:t>
            </w:r>
          </w:p>
        </w:tc>
        <w:tc>
          <w:tcPr>
            <w:tcW w:w="3713" w:type="dxa"/>
            <w:tcBorders>
              <w:top w:val="nil"/>
              <w:left w:val="nil"/>
              <w:bottom w:val="nil"/>
              <w:right w:val="nil"/>
            </w:tcBorders>
            <w:shd w:val="clear" w:color="000000" w:fill="808080"/>
            <w:vAlign w:val="center"/>
            <w:hideMark/>
          </w:tcPr>
          <w:p w14:paraId="5902CFD5"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w:t>
            </w:r>
          </w:p>
        </w:tc>
        <w:tc>
          <w:tcPr>
            <w:tcW w:w="1823" w:type="dxa"/>
            <w:tcBorders>
              <w:top w:val="nil"/>
              <w:left w:val="single" w:sz="4" w:space="0" w:color="auto"/>
              <w:bottom w:val="single" w:sz="4" w:space="0" w:color="auto"/>
              <w:right w:val="single" w:sz="4" w:space="0" w:color="auto"/>
            </w:tcBorders>
            <w:shd w:val="clear" w:color="000000" w:fill="F8CBAD"/>
            <w:noWrap/>
            <w:vAlign w:val="center"/>
            <w:hideMark/>
          </w:tcPr>
          <w:p w14:paraId="5BEC063A" w14:textId="77777777" w:rsidR="0055778B" w:rsidRPr="000F41F9" w:rsidRDefault="0055778B" w:rsidP="00FF624A">
            <w:pPr>
              <w:spacing w:after="0" w:line="240" w:lineRule="auto"/>
              <w:rPr>
                <w:rFonts w:ascii="Corbel" w:eastAsia="Times New Roman" w:hAnsi="Corbel" w:cs="Calibri"/>
                <w:b/>
                <w:bCs/>
                <w:color w:val="000000"/>
                <w:sz w:val="18"/>
                <w:szCs w:val="18"/>
                <w:lang w:eastAsia="fr-CI"/>
              </w:rPr>
            </w:pPr>
            <w:r w:rsidRPr="000F41F9">
              <w:rPr>
                <w:rFonts w:ascii="Corbel" w:eastAsia="Times New Roman" w:hAnsi="Corbel" w:cs="Calibri"/>
                <w:b/>
                <w:bCs/>
                <w:color w:val="000000"/>
                <w:sz w:val="18"/>
                <w:szCs w:val="18"/>
                <w:lang w:eastAsia="fr-CI"/>
              </w:rPr>
              <w:t xml:space="preserve">               39 455 557,90 </w:t>
            </w:r>
          </w:p>
        </w:tc>
        <w:tc>
          <w:tcPr>
            <w:tcW w:w="2552" w:type="dxa"/>
            <w:tcBorders>
              <w:top w:val="nil"/>
              <w:left w:val="nil"/>
              <w:bottom w:val="nil"/>
              <w:right w:val="nil"/>
            </w:tcBorders>
            <w:shd w:val="clear" w:color="000000" w:fill="808080"/>
            <w:vAlign w:val="center"/>
            <w:hideMark/>
          </w:tcPr>
          <w:p w14:paraId="08B7D5D6" w14:textId="77777777" w:rsidR="0055778B" w:rsidRPr="000F41F9" w:rsidRDefault="0055778B" w:rsidP="00FF624A">
            <w:pPr>
              <w:spacing w:after="0" w:line="240" w:lineRule="auto"/>
              <w:rPr>
                <w:rFonts w:ascii="Corbel" w:eastAsia="Times New Roman" w:hAnsi="Corbel" w:cs="Calibri"/>
                <w:color w:val="000000"/>
                <w:sz w:val="18"/>
                <w:szCs w:val="18"/>
                <w:lang w:eastAsia="fr-CI"/>
              </w:rPr>
            </w:pPr>
            <w:r w:rsidRPr="000F41F9">
              <w:rPr>
                <w:rFonts w:ascii="Corbel" w:eastAsia="Times New Roman" w:hAnsi="Corbel" w:cs="Calibri"/>
                <w:color w:val="000000"/>
                <w:sz w:val="18"/>
                <w:szCs w:val="18"/>
                <w:lang w:eastAsia="fr-CI"/>
              </w:rPr>
              <w:t> </w:t>
            </w:r>
          </w:p>
        </w:tc>
      </w:tr>
    </w:tbl>
    <w:p w14:paraId="1805461D" w14:textId="517A4807" w:rsidR="0055778B" w:rsidRDefault="0055778B" w:rsidP="00EF1DA3">
      <w:r>
        <w:t>Source : CO</w:t>
      </w:r>
    </w:p>
    <w:p w14:paraId="07877CBC" w14:textId="1D8D7892" w:rsidR="0055778B" w:rsidRDefault="0055778B" w:rsidP="0055778B">
      <w:pPr>
        <w:pStyle w:val="Titre2"/>
        <w:numPr>
          <w:ilvl w:val="0"/>
          <w:numId w:val="31"/>
        </w:numPr>
      </w:pPr>
      <w:bookmarkStart w:id="27" w:name="_Toc139363443"/>
      <w:r>
        <w:t>Etat des lieux de</w:t>
      </w:r>
      <w:r w:rsidR="00467B34">
        <w:t xml:space="preserve">s Pipelines </w:t>
      </w:r>
      <w:r>
        <w:t>2023</w:t>
      </w:r>
      <w:bookmarkEnd w:id="27"/>
      <w:r>
        <w:t xml:space="preserve"> </w:t>
      </w:r>
    </w:p>
    <w:p w14:paraId="6A0DB8FA" w14:textId="77777777" w:rsidR="0055778B" w:rsidRPr="0055778B" w:rsidRDefault="0055778B" w:rsidP="00EF1DA3"/>
    <w:p w14:paraId="0088F0E2" w14:textId="77777777" w:rsidR="0055778B" w:rsidRDefault="0055778B" w:rsidP="00EF1DA3">
      <w:r w:rsidRPr="0055778B">
        <w:t>Le point sur les pipelines à date  est résumé comme suit dans le tableau suivant, avec actualisation des donateurs.</w:t>
      </w:r>
    </w:p>
    <w:p w14:paraId="7A8FCDB1" w14:textId="6730DE82" w:rsidR="00D70B29" w:rsidRDefault="0024479B" w:rsidP="0024479B">
      <w:pPr>
        <w:pStyle w:val="Lgende"/>
      </w:pPr>
      <w:r>
        <w:t>Figure 9 : Répartition des Pipelines selon la Maturité en juillet 2023</w:t>
      </w:r>
    </w:p>
    <w:p w14:paraId="33F7BCDA" w14:textId="2FF546C6" w:rsidR="00467B34" w:rsidRDefault="00136AEB" w:rsidP="00EF1DA3">
      <w:r>
        <w:rPr>
          <w:noProof/>
        </w:rPr>
        <w:drawing>
          <wp:inline distT="0" distB="0" distL="0" distR="0" wp14:anchorId="3C8C59DB" wp14:editId="590E3AEB">
            <wp:extent cx="5760720" cy="2237105"/>
            <wp:effectExtent l="0" t="0" r="11430" b="10795"/>
            <wp:docPr id="707476590" name="Graphique 1">
              <a:extLst xmlns:a="http://schemas.openxmlformats.org/drawingml/2006/main">
                <a:ext uri="{FF2B5EF4-FFF2-40B4-BE49-F238E27FC236}">
                  <a16:creationId xmlns:a16="http://schemas.microsoft.com/office/drawing/2014/main" id="{86E759AD-8119-8F03-5719-9DAA4A573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044008" w14:textId="77777777" w:rsidR="00467B34" w:rsidRDefault="00467B34" w:rsidP="00EF1DA3">
      <w:r>
        <w:t>Source : CO</w:t>
      </w:r>
    </w:p>
    <w:p w14:paraId="4EED77BC" w14:textId="77777777" w:rsidR="00CA5B83" w:rsidRDefault="00CA5B83" w:rsidP="00EF1DA3"/>
    <w:p w14:paraId="600439BB" w14:textId="77777777" w:rsidR="00CA5B83" w:rsidRDefault="00CA5B83" w:rsidP="00EF1DA3"/>
    <w:p w14:paraId="33DE77CE" w14:textId="77777777" w:rsidR="00136AEB" w:rsidRDefault="00136AEB" w:rsidP="00EF1DA3"/>
    <w:p w14:paraId="37FEA419" w14:textId="77777777" w:rsidR="00136AEB" w:rsidRDefault="00136AEB" w:rsidP="00EF1DA3"/>
    <w:p w14:paraId="37B07815" w14:textId="77777777" w:rsidR="00136AEB" w:rsidRDefault="00136AEB" w:rsidP="00EF1DA3"/>
    <w:p w14:paraId="5725C856" w14:textId="77777777" w:rsidR="00136AEB" w:rsidRDefault="00136AEB" w:rsidP="00EF1DA3"/>
    <w:p w14:paraId="52673EA8" w14:textId="77777777" w:rsidR="00136AEB" w:rsidRDefault="00136AEB" w:rsidP="00EF1DA3"/>
    <w:p w14:paraId="4D027E4D" w14:textId="77777777" w:rsidR="00136AEB" w:rsidRDefault="00136AEB" w:rsidP="00EF1DA3"/>
    <w:p w14:paraId="31799336" w14:textId="02507E62" w:rsidR="00925C05" w:rsidRDefault="00925C05" w:rsidP="00DF6E7F">
      <w:pPr>
        <w:pStyle w:val="Lgende"/>
        <w:keepNext/>
      </w:pPr>
    </w:p>
    <w:p w14:paraId="20115636" w14:textId="52410403" w:rsidR="00925C05" w:rsidRDefault="00925C05" w:rsidP="00925C05">
      <w:pPr>
        <w:pStyle w:val="Lgende"/>
        <w:keepNext/>
      </w:pPr>
      <w:bookmarkStart w:id="28" w:name="_Toc139379664"/>
      <w:r>
        <w:t xml:space="preserve">Tableau </w:t>
      </w:r>
      <w:r>
        <w:fldChar w:fldCharType="begin"/>
      </w:r>
      <w:r>
        <w:instrText xml:space="preserve"> SEQ Tableau \* ARABIC </w:instrText>
      </w:r>
      <w:r>
        <w:fldChar w:fldCharType="separate"/>
      </w:r>
      <w:r>
        <w:rPr>
          <w:noProof/>
        </w:rPr>
        <w:t>6</w:t>
      </w:r>
      <w:r>
        <w:fldChar w:fldCharType="end"/>
      </w:r>
      <w:r>
        <w:t xml:space="preserve">  : </w:t>
      </w:r>
      <w:r w:rsidRPr="00B74C35">
        <w:t xml:space="preserve">Point sur les Pipelines en </w:t>
      </w:r>
      <w:proofErr w:type="gramStart"/>
      <w:r w:rsidRPr="00B74C35">
        <w:t>Juillet</w:t>
      </w:r>
      <w:proofErr w:type="gramEnd"/>
      <w:r w:rsidRPr="00B74C35">
        <w:t xml:space="preserve"> 2023</w:t>
      </w:r>
      <w:bookmarkEnd w:id="28"/>
    </w:p>
    <w:p w14:paraId="6DEB9412" w14:textId="503DBB32" w:rsidR="00136AEB" w:rsidRDefault="00136AEB" w:rsidP="00EF1DA3">
      <w:r>
        <w:rPr>
          <w:noProof/>
        </w:rPr>
        <w:drawing>
          <wp:inline distT="0" distB="0" distL="0" distR="0" wp14:anchorId="3DD87BB5" wp14:editId="1C863465">
            <wp:extent cx="6192982" cy="7363460"/>
            <wp:effectExtent l="0" t="0" r="0" b="8890"/>
            <wp:docPr id="59953212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8466" cy="7369981"/>
                    </a:xfrm>
                    <a:prstGeom prst="rect">
                      <a:avLst/>
                    </a:prstGeom>
                    <a:noFill/>
                  </pic:spPr>
                </pic:pic>
              </a:graphicData>
            </a:graphic>
          </wp:inline>
        </w:drawing>
      </w:r>
    </w:p>
    <w:p w14:paraId="150E2EC3" w14:textId="5C9CCAF2" w:rsidR="00136AEB" w:rsidRPr="0055778B" w:rsidRDefault="00136AEB" w:rsidP="00EF1DA3">
      <w:pPr>
        <w:sectPr w:rsidR="00136AEB" w:rsidRPr="0055778B" w:rsidSect="00D825A1">
          <w:footerReference w:type="default" r:id="rId24"/>
          <w:pgSz w:w="11906" w:h="16838"/>
          <w:pgMar w:top="1417" w:right="1417" w:bottom="1417" w:left="1417" w:header="708" w:footer="708" w:gutter="0"/>
          <w:cols w:space="708"/>
          <w:docGrid w:linePitch="360"/>
        </w:sectPr>
      </w:pPr>
      <w:r>
        <w:t>Source : C</w:t>
      </w:r>
      <w:r w:rsidR="0024479B">
        <w:t>O</w:t>
      </w:r>
    </w:p>
    <w:p w14:paraId="112E0D1D" w14:textId="77777777" w:rsidR="0026097E" w:rsidRDefault="0026097E" w:rsidP="00EF1DA3"/>
    <w:p w14:paraId="5DD2F820" w14:textId="5FB68EF6" w:rsidR="00E565CA" w:rsidRDefault="00E565CA" w:rsidP="00E565CA">
      <w:pPr>
        <w:pStyle w:val="Paragraphedeliste"/>
        <w:numPr>
          <w:ilvl w:val="0"/>
          <w:numId w:val="34"/>
        </w:numPr>
      </w:pPr>
      <w:r w:rsidRPr="00E565CA">
        <w:rPr>
          <w:b/>
          <w:bCs/>
          <w:color w:val="0070C0"/>
          <w:sz w:val="28"/>
          <w:szCs w:val="28"/>
        </w:rPr>
        <w:t>Les Approches de mobilisation des ressources</w:t>
      </w:r>
    </w:p>
    <w:p w14:paraId="31F1EBC4" w14:textId="4A0707FA" w:rsidR="0004432F" w:rsidRDefault="003E080C" w:rsidP="00E565CA">
      <w:pPr>
        <w:pStyle w:val="Titre2"/>
        <w:numPr>
          <w:ilvl w:val="0"/>
          <w:numId w:val="36"/>
        </w:numPr>
      </w:pPr>
      <w:bookmarkStart w:id="29" w:name="_Toc139363444"/>
      <w:r>
        <w:t xml:space="preserve">Repositionnement du PNUD </w:t>
      </w:r>
      <w:r w:rsidR="0004432F">
        <w:t>à travers la réaffirmation de son mandat et de ses avantages comparatifs</w:t>
      </w:r>
      <w:bookmarkEnd w:id="29"/>
    </w:p>
    <w:p w14:paraId="3182CF24" w14:textId="77777777" w:rsidR="0004432F" w:rsidRPr="0004432F" w:rsidRDefault="0004432F" w:rsidP="00A8446A"/>
    <w:p w14:paraId="57B65B46" w14:textId="7DE89808" w:rsidR="00584B1F" w:rsidRDefault="0004432F" w:rsidP="00A8446A">
      <w:pPr>
        <w:pStyle w:val="Titre2"/>
        <w:numPr>
          <w:ilvl w:val="0"/>
          <w:numId w:val="32"/>
        </w:numPr>
      </w:pPr>
      <w:bookmarkStart w:id="30" w:name="_Toc139363445"/>
      <w:r>
        <w:t>Le PNUD après la réforme des Nations Unies</w:t>
      </w:r>
      <w:bookmarkEnd w:id="30"/>
    </w:p>
    <w:p w14:paraId="61124D0F" w14:textId="77777777" w:rsidR="004B7F51" w:rsidRPr="004B7F51" w:rsidRDefault="004B7F51" w:rsidP="004B7F51"/>
    <w:p w14:paraId="7FAA2D1B" w14:textId="106653CA" w:rsidR="00746E7A" w:rsidRDefault="0084642A" w:rsidP="005803CD">
      <w:pPr>
        <w:jc w:val="both"/>
        <w:rPr>
          <w:rStyle w:val="tlid-translation"/>
          <w:rFonts w:ascii="Times New Roman" w:hAnsi="Times New Roman"/>
          <w:sz w:val="24"/>
          <w:szCs w:val="24"/>
        </w:rPr>
      </w:pPr>
      <w:r w:rsidRPr="00C03405">
        <w:rPr>
          <w:rStyle w:val="tlid-translation"/>
          <w:rFonts w:ascii="Times New Roman" w:hAnsi="Times New Roman"/>
          <w:sz w:val="24"/>
          <w:szCs w:val="24"/>
        </w:rPr>
        <w:t>Le PNUD jouera son rôle d'intégrateur au sein du système de développement des Nations unies en : (a) la mise en place de plateformes intégrées pour soutenir la réalisation des ODD ; (b) le soutien au développement d'un écosystème de données intégré ; (c) la mobilisation de financements innovants pour les ODD, notamment à travers le cadre national de financement intégré (CNFI) ; (d) la promotion de nouvelles solutions pour le développement intégré à travers l'</w:t>
      </w:r>
      <w:proofErr w:type="spellStart"/>
      <w:r w:rsidRPr="00C03405">
        <w:rPr>
          <w:rStyle w:val="tlid-translation"/>
          <w:rFonts w:ascii="Times New Roman" w:hAnsi="Times New Roman"/>
          <w:sz w:val="24"/>
          <w:szCs w:val="24"/>
        </w:rPr>
        <w:t>AccLab</w:t>
      </w:r>
      <w:proofErr w:type="spellEnd"/>
      <w:r w:rsidRPr="00C03405">
        <w:rPr>
          <w:rStyle w:val="tlid-translation"/>
          <w:rFonts w:ascii="Times New Roman" w:hAnsi="Times New Roman"/>
          <w:sz w:val="24"/>
          <w:szCs w:val="24"/>
        </w:rPr>
        <w:t xml:space="preserve"> ; (e) le transfert de connaissances et de technologies à travers la coopération Sud-Sud et triangulaire ; (f) combiner des conseils politiques de haut niveau et une approche d'intervention programmatique ciblée en aval pendant et après la pandémie de COVID-19 avec les ministères en charge de la planification du développement, de la justice, de la sécurité et de la protection civile, de l'environnement et du développement durable ; (g) développer un partenariat fructueux avec la société civile et le secteur privé (Fédération ivoirienne des PME, Confédération générale des entreprises de Côte d'Ivoire, ONG Jeunesse Innovation, fondation BJKD) ; i) renforcer les partenariats avec les IFI, notamment la Banque </w:t>
      </w:r>
      <w:r w:rsidR="007D7ED9">
        <w:rPr>
          <w:rStyle w:val="tlid-translation"/>
          <w:rFonts w:ascii="Times New Roman" w:hAnsi="Times New Roman"/>
          <w:sz w:val="24"/>
          <w:szCs w:val="24"/>
        </w:rPr>
        <w:t>M</w:t>
      </w:r>
      <w:r w:rsidRPr="00C03405">
        <w:rPr>
          <w:rStyle w:val="tlid-translation"/>
          <w:rFonts w:ascii="Times New Roman" w:hAnsi="Times New Roman"/>
          <w:sz w:val="24"/>
          <w:szCs w:val="24"/>
        </w:rPr>
        <w:t>ondiale, l'UE, la BADEA et la BAD ; j) et sécuriser les fonds publics tout en renforçant la synergie avec les agences des Nations unies</w:t>
      </w:r>
      <w:r w:rsidR="00F22CF2">
        <w:rPr>
          <w:rStyle w:val="tlid-translation"/>
          <w:rFonts w:ascii="Times New Roman" w:hAnsi="Times New Roman"/>
          <w:sz w:val="24"/>
          <w:szCs w:val="24"/>
        </w:rPr>
        <w:t>.</w:t>
      </w:r>
    </w:p>
    <w:p w14:paraId="4040C94B" w14:textId="77777777" w:rsidR="0004432F" w:rsidRDefault="0004432F" w:rsidP="00966020">
      <w:pPr>
        <w:pStyle w:val="Titre2"/>
      </w:pPr>
    </w:p>
    <w:p w14:paraId="7879083C" w14:textId="073E1BF0" w:rsidR="00584B1F" w:rsidRDefault="003566FA" w:rsidP="00A8446A">
      <w:pPr>
        <w:pStyle w:val="Titre2"/>
        <w:numPr>
          <w:ilvl w:val="0"/>
          <w:numId w:val="32"/>
        </w:numPr>
      </w:pPr>
      <w:bookmarkStart w:id="31" w:name="_Toc139363446"/>
      <w:r w:rsidRPr="004A6E7B">
        <w:t>Avantage comparatif du PNUD</w:t>
      </w:r>
      <w:r w:rsidR="00584B1F">
        <w:t>.</w:t>
      </w:r>
      <w:bookmarkEnd w:id="31"/>
    </w:p>
    <w:p w14:paraId="5E97C37A" w14:textId="77777777" w:rsidR="004B7F51" w:rsidRPr="004B7F51" w:rsidRDefault="004B7F51" w:rsidP="004B7F51"/>
    <w:p w14:paraId="64DE2204" w14:textId="0D6A19EC" w:rsidR="0033296B" w:rsidRPr="0033296B" w:rsidRDefault="001522EF" w:rsidP="001D1223">
      <w:pPr>
        <w:rPr>
          <w:rStyle w:val="tlid-translation"/>
          <w:rFonts w:ascii="Times New Roman" w:hAnsi="Times New Roman" w:cs="Times New Roman"/>
          <w:sz w:val="24"/>
          <w:szCs w:val="24"/>
        </w:rPr>
      </w:pPr>
      <w:r w:rsidRPr="001D1223">
        <w:rPr>
          <w:rStyle w:val="tlid-translation"/>
          <w:rFonts w:ascii="Times New Roman" w:hAnsi="Times New Roman" w:cs="Times New Roman"/>
          <w:sz w:val="24"/>
          <w:szCs w:val="24"/>
        </w:rPr>
        <w:t>En faisant une vue d’ensemble générique</w:t>
      </w:r>
      <w:r w:rsidR="001D1223" w:rsidRPr="001D1223">
        <w:rPr>
          <w:rStyle w:val="tlid-translation"/>
          <w:rFonts w:ascii="Times New Roman" w:hAnsi="Times New Roman" w:cs="Times New Roman"/>
          <w:sz w:val="24"/>
          <w:szCs w:val="24"/>
        </w:rPr>
        <w:t xml:space="preserve"> des données spécifiques,</w:t>
      </w:r>
      <w:r w:rsidRPr="001D1223">
        <w:rPr>
          <w:rStyle w:val="tlid-translation"/>
          <w:rFonts w:ascii="Times New Roman" w:hAnsi="Times New Roman" w:cs="Times New Roman"/>
          <w:sz w:val="24"/>
          <w:szCs w:val="24"/>
        </w:rPr>
        <w:t xml:space="preserve"> du CO </w:t>
      </w:r>
      <w:r w:rsidR="001D1223" w:rsidRPr="001D1223">
        <w:rPr>
          <w:rStyle w:val="tlid-translation"/>
          <w:rFonts w:ascii="Times New Roman" w:hAnsi="Times New Roman" w:cs="Times New Roman"/>
          <w:sz w:val="24"/>
          <w:szCs w:val="24"/>
        </w:rPr>
        <w:t xml:space="preserve">pour </w:t>
      </w:r>
      <w:r w:rsidRPr="001D1223">
        <w:rPr>
          <w:rStyle w:val="tlid-translation"/>
          <w:rFonts w:ascii="Times New Roman" w:hAnsi="Times New Roman" w:cs="Times New Roman"/>
          <w:sz w:val="24"/>
          <w:szCs w:val="24"/>
        </w:rPr>
        <w:t>les comparer avec d’autres acteurs</w:t>
      </w:r>
      <w:r w:rsidR="001D1223" w:rsidRPr="001D1223">
        <w:rPr>
          <w:rStyle w:val="tlid-translation"/>
          <w:rFonts w:ascii="Times New Roman" w:hAnsi="Times New Roman" w:cs="Times New Roman"/>
          <w:sz w:val="24"/>
          <w:szCs w:val="24"/>
        </w:rPr>
        <w:t>, il ressort</w:t>
      </w:r>
      <w:r w:rsidR="001D1223">
        <w:rPr>
          <w:rStyle w:val="tlid-translation"/>
          <w:rFonts w:ascii="Times New Roman" w:hAnsi="Times New Roman" w:cs="Times New Roman"/>
          <w:sz w:val="24"/>
          <w:szCs w:val="24"/>
        </w:rPr>
        <w:t xml:space="preserve"> que l</w:t>
      </w:r>
      <w:r w:rsidR="0033296B" w:rsidRPr="0033296B">
        <w:rPr>
          <w:rStyle w:val="tlid-translation"/>
          <w:rFonts w:ascii="Times New Roman" w:hAnsi="Times New Roman" w:cs="Times New Roman"/>
          <w:sz w:val="24"/>
          <w:szCs w:val="24"/>
        </w:rPr>
        <w:t>e PNUD dispose d’un capital relationnel avéré dans l’environnement du partenariat au développement tant auprès du Gouvernement que des Partenaires Techniques et financiers ainsi que des autres familles d’acteurs que sont les OSC et le Secteur Priv</w:t>
      </w:r>
      <w:r w:rsidR="00FE1945" w:rsidRPr="001D1223">
        <w:rPr>
          <w:rStyle w:val="tlid-translation"/>
          <w:rFonts w:ascii="Times New Roman" w:hAnsi="Times New Roman" w:cs="Times New Roman"/>
          <w:sz w:val="24"/>
          <w:szCs w:val="24"/>
        </w:rPr>
        <w:t>é</w:t>
      </w:r>
      <w:r w:rsidR="0033296B" w:rsidRPr="0033296B">
        <w:rPr>
          <w:rStyle w:val="tlid-translation"/>
          <w:rFonts w:ascii="Times New Roman" w:hAnsi="Times New Roman" w:cs="Times New Roman"/>
          <w:sz w:val="24"/>
          <w:szCs w:val="24"/>
        </w:rPr>
        <w:t>.</w:t>
      </w:r>
    </w:p>
    <w:p w14:paraId="38CBD83C" w14:textId="323F894F" w:rsidR="0033296B" w:rsidRPr="0033296B" w:rsidRDefault="0033296B" w:rsidP="0033296B">
      <w:pPr>
        <w:jc w:val="both"/>
        <w:rPr>
          <w:rStyle w:val="tlid-translation"/>
          <w:rFonts w:ascii="Times New Roman" w:hAnsi="Times New Roman" w:cs="Times New Roman"/>
          <w:sz w:val="24"/>
          <w:szCs w:val="24"/>
        </w:rPr>
      </w:pPr>
      <w:r w:rsidRPr="0033296B">
        <w:rPr>
          <w:rStyle w:val="tlid-translation"/>
          <w:rFonts w:ascii="Times New Roman" w:hAnsi="Times New Roman" w:cs="Times New Roman"/>
          <w:sz w:val="24"/>
          <w:szCs w:val="24"/>
        </w:rPr>
        <w:t xml:space="preserve">Au niveau du Groupe des PTF, le PNUD, par suite de la redynamisation de leur cadre de concertation validée par le Groupe des Ambassadeurs en novembre 2021, est désormais membre permanent de la Troïka du Groupe des Chefs de Coopération. L’avantage comparatif du PNUD en matière d’appui à la coordination de l’aide résulte du fait qu’il a réussi à mettre en place des cadres de dialogue impliquant l’ensemble des parties prenantes.  Cette position « au cœur » est avantageuse en termes de captation des attentes et donc de propositions d’interventions pour y répondre. </w:t>
      </w:r>
    </w:p>
    <w:p w14:paraId="7F333508" w14:textId="7FCAD21E" w:rsidR="0033296B" w:rsidRPr="0033296B" w:rsidRDefault="0033296B" w:rsidP="0033296B">
      <w:pPr>
        <w:jc w:val="both"/>
        <w:rPr>
          <w:rStyle w:val="tlid-translation"/>
          <w:rFonts w:ascii="Times New Roman" w:hAnsi="Times New Roman" w:cs="Times New Roman"/>
          <w:sz w:val="24"/>
          <w:szCs w:val="24"/>
        </w:rPr>
      </w:pPr>
      <w:r w:rsidRPr="0033296B">
        <w:rPr>
          <w:rStyle w:val="tlid-translation"/>
          <w:rFonts w:ascii="Times New Roman" w:hAnsi="Times New Roman" w:cs="Times New Roman"/>
          <w:sz w:val="24"/>
          <w:szCs w:val="24"/>
        </w:rPr>
        <w:t>Le début d’un nouveau cycle de programmation est une opportunité pour établir des partenariats. En effet</w:t>
      </w:r>
      <w:r w:rsidR="009357C9">
        <w:rPr>
          <w:rStyle w:val="tlid-translation"/>
          <w:rFonts w:ascii="Times New Roman" w:hAnsi="Times New Roman" w:cs="Times New Roman"/>
          <w:sz w:val="24"/>
          <w:szCs w:val="24"/>
        </w:rPr>
        <w:t>,</w:t>
      </w:r>
      <w:r w:rsidRPr="0033296B">
        <w:rPr>
          <w:rStyle w:val="tlid-translation"/>
          <w:rFonts w:ascii="Times New Roman" w:hAnsi="Times New Roman" w:cs="Times New Roman"/>
          <w:sz w:val="24"/>
          <w:szCs w:val="24"/>
        </w:rPr>
        <w:t xml:space="preserve"> deux PTF majeurs sont en train de formuler leur nouvelle programmation : la Banque mondiale sur le cycle 2022-2026 et la BAD sur le cycle sur 2023-2027. </w:t>
      </w:r>
    </w:p>
    <w:p w14:paraId="6A867FCC" w14:textId="3A711CB2" w:rsidR="0033296B" w:rsidRPr="0033296B" w:rsidRDefault="0033296B" w:rsidP="0033296B">
      <w:pPr>
        <w:jc w:val="both"/>
        <w:rPr>
          <w:rStyle w:val="tlid-translation"/>
          <w:rFonts w:ascii="Times New Roman" w:hAnsi="Times New Roman" w:cs="Times New Roman"/>
          <w:sz w:val="24"/>
          <w:szCs w:val="24"/>
        </w:rPr>
      </w:pPr>
      <w:r w:rsidRPr="0033296B">
        <w:rPr>
          <w:rStyle w:val="tlid-translation"/>
          <w:rFonts w:ascii="Times New Roman" w:hAnsi="Times New Roman" w:cs="Times New Roman"/>
          <w:sz w:val="24"/>
          <w:szCs w:val="24"/>
        </w:rPr>
        <w:t xml:space="preserve">Pour l’une comme pour l’autre, leurs interventions veilleront à adresser des problématiques partagées et en phase avec le contexte nationale. Ces problématiques concernant : </w:t>
      </w:r>
    </w:p>
    <w:p w14:paraId="44E193BE" w14:textId="7B8751E5" w:rsidR="0033296B" w:rsidRPr="0033296B" w:rsidRDefault="0033296B" w:rsidP="0033296B">
      <w:pPr>
        <w:pStyle w:val="Paragraphedeliste"/>
        <w:numPr>
          <w:ilvl w:val="0"/>
          <w:numId w:val="6"/>
        </w:numPr>
        <w:jc w:val="both"/>
        <w:rPr>
          <w:rStyle w:val="tlid-translation"/>
          <w:rFonts w:ascii="Times New Roman" w:hAnsi="Times New Roman" w:cs="Times New Roman"/>
          <w:sz w:val="24"/>
          <w:szCs w:val="24"/>
        </w:rPr>
      </w:pPr>
      <w:r w:rsidRPr="0033296B">
        <w:rPr>
          <w:rStyle w:val="tlid-translation"/>
          <w:rFonts w:ascii="Times New Roman" w:hAnsi="Times New Roman" w:cs="Times New Roman"/>
          <w:sz w:val="24"/>
          <w:szCs w:val="24"/>
        </w:rPr>
        <w:t>la situation sécuritaire de la région ouest-africaine et ses éventuelles répercussions au niveau national ;</w:t>
      </w:r>
    </w:p>
    <w:p w14:paraId="1CEDC9AD" w14:textId="2AAA4165" w:rsidR="0033296B" w:rsidRPr="0033296B" w:rsidRDefault="0033296B" w:rsidP="0033296B">
      <w:pPr>
        <w:pStyle w:val="Paragraphedeliste"/>
        <w:numPr>
          <w:ilvl w:val="0"/>
          <w:numId w:val="6"/>
        </w:numPr>
        <w:jc w:val="both"/>
        <w:rPr>
          <w:rStyle w:val="tlid-translation"/>
          <w:rFonts w:ascii="Times New Roman" w:hAnsi="Times New Roman" w:cs="Times New Roman"/>
          <w:sz w:val="24"/>
          <w:szCs w:val="24"/>
        </w:rPr>
      </w:pPr>
      <w:r w:rsidRPr="0033296B">
        <w:rPr>
          <w:rStyle w:val="tlid-translation"/>
          <w:rFonts w:ascii="Times New Roman" w:hAnsi="Times New Roman" w:cs="Times New Roman"/>
          <w:sz w:val="24"/>
          <w:szCs w:val="24"/>
        </w:rPr>
        <w:t>la soutenabilité environnementale et le changement climatique ;</w:t>
      </w:r>
    </w:p>
    <w:p w14:paraId="695EA9AB" w14:textId="1FA4C010" w:rsidR="0033296B" w:rsidRPr="0033296B" w:rsidRDefault="0033296B" w:rsidP="0033296B">
      <w:pPr>
        <w:pStyle w:val="Paragraphedeliste"/>
        <w:numPr>
          <w:ilvl w:val="0"/>
          <w:numId w:val="6"/>
        </w:numPr>
        <w:jc w:val="both"/>
        <w:rPr>
          <w:rStyle w:val="tlid-translation"/>
          <w:rFonts w:ascii="Times New Roman" w:hAnsi="Times New Roman" w:cs="Times New Roman"/>
          <w:sz w:val="24"/>
          <w:szCs w:val="24"/>
        </w:rPr>
      </w:pPr>
      <w:r w:rsidRPr="0033296B">
        <w:rPr>
          <w:rStyle w:val="tlid-translation"/>
          <w:rFonts w:ascii="Times New Roman" w:hAnsi="Times New Roman" w:cs="Times New Roman"/>
          <w:sz w:val="24"/>
          <w:szCs w:val="24"/>
        </w:rPr>
        <w:t>l’égalité des genres et l’autonomisation des femmes</w:t>
      </w:r>
      <w:r w:rsidR="00584B1F">
        <w:rPr>
          <w:rStyle w:val="tlid-translation"/>
          <w:rFonts w:ascii="Times New Roman" w:hAnsi="Times New Roman" w:cs="Times New Roman"/>
          <w:sz w:val="24"/>
          <w:szCs w:val="24"/>
        </w:rPr>
        <w:t> ;</w:t>
      </w:r>
    </w:p>
    <w:p w14:paraId="6F9FEB52" w14:textId="6AAC10FC" w:rsidR="0033296B" w:rsidRPr="0033296B" w:rsidRDefault="0033296B" w:rsidP="0033296B">
      <w:pPr>
        <w:pStyle w:val="Paragraphedeliste"/>
        <w:numPr>
          <w:ilvl w:val="0"/>
          <w:numId w:val="6"/>
        </w:numPr>
        <w:jc w:val="both"/>
        <w:rPr>
          <w:rStyle w:val="tlid-translation"/>
          <w:rFonts w:ascii="Times New Roman" w:hAnsi="Times New Roman" w:cs="Times New Roman"/>
          <w:sz w:val="24"/>
          <w:szCs w:val="24"/>
        </w:rPr>
      </w:pPr>
      <w:r w:rsidRPr="0033296B">
        <w:rPr>
          <w:rStyle w:val="tlid-translation"/>
          <w:rFonts w:ascii="Times New Roman" w:hAnsi="Times New Roman" w:cs="Times New Roman"/>
          <w:sz w:val="24"/>
          <w:szCs w:val="24"/>
        </w:rPr>
        <w:t>le développement numérique et les TIC.</w:t>
      </w:r>
    </w:p>
    <w:p w14:paraId="3125140D" w14:textId="77777777" w:rsidR="00E20BEC" w:rsidRDefault="00E20BEC" w:rsidP="00E20BEC">
      <w:pPr>
        <w:jc w:val="both"/>
        <w:rPr>
          <w:rStyle w:val="tlid-translation"/>
          <w:rFonts w:ascii="Times New Roman" w:hAnsi="Times New Roman" w:cs="Times New Roman"/>
          <w:sz w:val="24"/>
          <w:szCs w:val="24"/>
        </w:rPr>
      </w:pPr>
    </w:p>
    <w:p w14:paraId="5C345E45" w14:textId="4E6C7082" w:rsidR="00E20BEC" w:rsidRPr="00E20BEC" w:rsidRDefault="00E20BEC" w:rsidP="00A8446A">
      <w:pPr>
        <w:jc w:val="both"/>
        <w:rPr>
          <w:rStyle w:val="tlid-translation"/>
          <w:rFonts w:ascii="Times New Roman" w:hAnsi="Times New Roman" w:cs="Times New Roman"/>
          <w:sz w:val="24"/>
          <w:szCs w:val="24"/>
        </w:rPr>
      </w:pPr>
      <w:r w:rsidRPr="00E20BEC">
        <w:rPr>
          <w:rStyle w:val="tlid-translation"/>
          <w:rFonts w:ascii="Times New Roman" w:hAnsi="Times New Roman" w:cs="Times New Roman"/>
          <w:sz w:val="24"/>
          <w:szCs w:val="24"/>
        </w:rPr>
        <w:t xml:space="preserve">Selon la stratégie visant à positionner le PNUD parmi les partenaires et à financer le programme pays, y compris la proposition de valeur du PNUD et les objectifs de mobilisation des ressources ; objectifs de communication, les publics cibles, et les message clés alignés sur le programme pays, il ressort que  le CPD 2021-2025 est un outil pour relever les défis de développement de la Côte d’Ivoire, en s'appuyant sur le leadership du Gouvernement, l’avantage comparatif et le positionnement stratégique du Programme des Nations-Unies pour le développement. </w:t>
      </w:r>
    </w:p>
    <w:p w14:paraId="78840D96" w14:textId="63AFCB19" w:rsidR="00A4224E" w:rsidRPr="00E565CA" w:rsidRDefault="00E20BEC" w:rsidP="00E565CA">
      <w:pPr>
        <w:jc w:val="both"/>
        <w:rPr>
          <w:rFonts w:ascii="Times New Roman" w:hAnsi="Times New Roman" w:cs="Times New Roman"/>
          <w:sz w:val="24"/>
          <w:szCs w:val="24"/>
        </w:rPr>
      </w:pPr>
      <w:r w:rsidRPr="00E20BEC">
        <w:rPr>
          <w:rStyle w:val="tlid-translation"/>
          <w:rFonts w:ascii="Times New Roman" w:hAnsi="Times New Roman" w:cs="Times New Roman"/>
          <w:sz w:val="24"/>
          <w:szCs w:val="24"/>
        </w:rPr>
        <w:t>La théorie du changement et la logique de transformation des résultats du CPD 2021-2025 sont les suivantes : Effets conjugués des trois axes d'interventions ou Piliers i) Gouvernance inclusive, État de droit et Qualité des Institutions ii) Croissance inclusive, résilience et réduction des inégalités et iii) Gestion durable des ressources naturelles et adaptation au changement climatique ; permettront au bureau pays du PNUD de contribuer aux 6 piliers stratégiques du Plan National de développement (PND 2021-2025) i) Accélération de la transformation structurelle de l’économie par l’industrialisation et le développement de grappes ii) Développement du capital humain et promotion de l’emploi iii) Développement du secteur privé et de l’investissement iv) Développement régional équilibré, préservation de l’environnement et lutte contre le changement climatique vi) Renforcement de la gouvernance, modernisation de l’État et transformation culturelle ; et partant aux aspirations de mieux être, avec une société solidaire dans un État de droit »</w:t>
      </w:r>
    </w:p>
    <w:p w14:paraId="20104BAD" w14:textId="77777777" w:rsidR="0027786A" w:rsidRPr="00C03405" w:rsidRDefault="0027786A" w:rsidP="0027786A">
      <w:pPr>
        <w:spacing w:after="0" w:line="240" w:lineRule="auto"/>
        <w:jc w:val="both"/>
        <w:rPr>
          <w:rFonts w:ascii="Times New Roman" w:eastAsia="Times New Roman" w:hAnsi="Times New Roman" w:cs="Times New Roman"/>
          <w:sz w:val="24"/>
          <w:szCs w:val="24"/>
          <w:lang w:val="fr-SN" w:eastAsia="fr-FR"/>
        </w:rPr>
      </w:pPr>
    </w:p>
    <w:p w14:paraId="21776DB7" w14:textId="77430F08" w:rsidR="00BB76AE" w:rsidRPr="00994935" w:rsidRDefault="00994935" w:rsidP="00863F4E">
      <w:pPr>
        <w:pStyle w:val="Paragraphedeliste"/>
        <w:numPr>
          <w:ilvl w:val="0"/>
          <w:numId w:val="36"/>
        </w:numPr>
      </w:pPr>
      <w:r>
        <w:rPr>
          <w:rFonts w:asciiTheme="majorHAnsi" w:eastAsiaTheme="majorEastAsia" w:hAnsiTheme="majorHAnsi" w:cstheme="majorBidi"/>
          <w:color w:val="2F5496" w:themeColor="accent1" w:themeShade="BF"/>
          <w:sz w:val="26"/>
          <w:szCs w:val="26"/>
        </w:rPr>
        <w:t>L</w:t>
      </w:r>
      <w:r w:rsidR="00E565CA" w:rsidRPr="00E565CA">
        <w:rPr>
          <w:rFonts w:asciiTheme="majorHAnsi" w:eastAsiaTheme="majorEastAsia" w:hAnsiTheme="majorHAnsi" w:cstheme="majorBidi"/>
          <w:color w:val="2F5496" w:themeColor="accent1" w:themeShade="BF"/>
          <w:sz w:val="26"/>
          <w:szCs w:val="26"/>
        </w:rPr>
        <w:t>a Stratégie de Communication</w:t>
      </w:r>
    </w:p>
    <w:p w14:paraId="144CB562" w14:textId="7AB6CFA1" w:rsidR="00A25B3D" w:rsidRPr="00C03405" w:rsidRDefault="00A25B3D" w:rsidP="004B7F51">
      <w:pPr>
        <w:ind w:left="-283" w:right="-454"/>
        <w:jc w:val="both"/>
        <w:rPr>
          <w:rFonts w:ascii="Times New Roman" w:hAnsi="Times New Roman" w:cs="Times New Roman"/>
          <w:sz w:val="24"/>
          <w:szCs w:val="24"/>
        </w:rPr>
      </w:pPr>
      <w:r w:rsidRPr="00C03405">
        <w:rPr>
          <w:rFonts w:ascii="Times New Roman" w:hAnsi="Times New Roman" w:cs="Times New Roman"/>
          <w:sz w:val="24"/>
          <w:szCs w:val="24"/>
        </w:rPr>
        <w:t xml:space="preserve">La communication permettra d’assurer la visibilité des interventions stratégiques et programmatiques du </w:t>
      </w:r>
      <w:r w:rsidR="00C03405" w:rsidRPr="00C03405">
        <w:rPr>
          <w:rFonts w:ascii="Times New Roman" w:hAnsi="Times New Roman" w:cs="Times New Roman"/>
          <w:sz w:val="24"/>
          <w:szCs w:val="24"/>
        </w:rPr>
        <w:t>PNUD à</w:t>
      </w:r>
      <w:r w:rsidRPr="00C03405">
        <w:rPr>
          <w:rFonts w:ascii="Times New Roman" w:hAnsi="Times New Roman" w:cs="Times New Roman"/>
          <w:sz w:val="24"/>
          <w:szCs w:val="24"/>
        </w:rPr>
        <w:t xml:space="preserve"> travers les actions d’information, de sensibilisation et de mobilisation. Cette approche se caractérisera par une harmonisation des agendas, des plans et activités pour la réalisation progressive de la vision d’un</w:t>
      </w:r>
      <w:r w:rsidR="0002389A" w:rsidRPr="00C03405">
        <w:rPr>
          <w:rFonts w:ascii="Times New Roman" w:hAnsi="Times New Roman" w:cs="Times New Roman"/>
          <w:sz w:val="24"/>
          <w:szCs w:val="24"/>
        </w:rPr>
        <w:t xml:space="preserve"> PNUD</w:t>
      </w:r>
      <w:r w:rsidRPr="00C03405">
        <w:rPr>
          <w:rFonts w:ascii="Times New Roman" w:hAnsi="Times New Roman" w:cs="Times New Roman"/>
          <w:sz w:val="24"/>
          <w:szCs w:val="24"/>
        </w:rPr>
        <w:t xml:space="preserve"> </w:t>
      </w:r>
      <w:r w:rsidR="0002389A" w:rsidRPr="00C03405">
        <w:rPr>
          <w:rFonts w:ascii="Times New Roman" w:hAnsi="Times New Roman" w:cs="Times New Roman"/>
          <w:sz w:val="24"/>
          <w:szCs w:val="24"/>
        </w:rPr>
        <w:t xml:space="preserve">unitaire </w:t>
      </w:r>
      <w:r w:rsidRPr="00C03405">
        <w:rPr>
          <w:rFonts w:ascii="Times New Roman" w:hAnsi="Times New Roman" w:cs="Times New Roman"/>
          <w:sz w:val="24"/>
          <w:szCs w:val="24"/>
        </w:rPr>
        <w:t xml:space="preserve">s’exprimant d’une « voix commune » et constituant une « identité commune » en vue de promouvoir la communication institutionnelle et la communication </w:t>
      </w:r>
      <w:r w:rsidR="0042455B" w:rsidRPr="00C03405">
        <w:rPr>
          <w:rFonts w:ascii="Times New Roman" w:hAnsi="Times New Roman" w:cs="Times New Roman"/>
          <w:sz w:val="24"/>
          <w:szCs w:val="24"/>
        </w:rPr>
        <w:t>axées sur les résultats de</w:t>
      </w:r>
      <w:r w:rsidRPr="00C03405">
        <w:rPr>
          <w:rFonts w:ascii="Times New Roman" w:hAnsi="Times New Roman" w:cs="Times New Roman"/>
          <w:sz w:val="24"/>
          <w:szCs w:val="24"/>
        </w:rPr>
        <w:t xml:space="preserve"> développement.</w:t>
      </w:r>
    </w:p>
    <w:p w14:paraId="200BD666" w14:textId="1565F99B" w:rsidR="00A25B3D" w:rsidRPr="00C03405" w:rsidRDefault="00A25B3D" w:rsidP="004B7F51">
      <w:pPr>
        <w:ind w:left="-283" w:right="-454"/>
        <w:jc w:val="both"/>
        <w:rPr>
          <w:rFonts w:ascii="Times New Roman" w:hAnsi="Times New Roman" w:cs="Times New Roman"/>
          <w:sz w:val="24"/>
          <w:szCs w:val="24"/>
        </w:rPr>
      </w:pPr>
      <w:r w:rsidRPr="00C03405">
        <w:rPr>
          <w:rFonts w:ascii="Times New Roman" w:hAnsi="Times New Roman" w:cs="Times New Roman"/>
          <w:sz w:val="24"/>
          <w:szCs w:val="24"/>
        </w:rPr>
        <w:t xml:space="preserve">Il ressort de l’analyse économique effectuée dans le </w:t>
      </w:r>
      <w:r w:rsidR="0002389A" w:rsidRPr="00C03405">
        <w:rPr>
          <w:rFonts w:ascii="Times New Roman" w:eastAsia="Times New Roman" w:hAnsi="Times New Roman" w:cs="Times New Roman"/>
          <w:sz w:val="24"/>
          <w:szCs w:val="24"/>
          <w:lang w:eastAsia="fr-FR"/>
        </w:rPr>
        <w:t>CPD</w:t>
      </w:r>
      <w:r w:rsidR="0002389A" w:rsidRPr="00C03405">
        <w:rPr>
          <w:rFonts w:ascii="Times New Roman" w:eastAsia="Times New Roman" w:hAnsi="Times New Roman" w:cs="Times New Roman"/>
          <w:sz w:val="24"/>
          <w:szCs w:val="24"/>
          <w:lang w:eastAsia="fr-FR"/>
        </w:rPr>
        <w:fldChar w:fldCharType="begin"/>
      </w:r>
      <w:r w:rsidR="0002389A" w:rsidRPr="00C03405">
        <w:rPr>
          <w:rFonts w:ascii="Times New Roman" w:eastAsia="Times New Roman" w:hAnsi="Times New Roman" w:cs="Times New Roman"/>
          <w:sz w:val="24"/>
          <w:szCs w:val="24"/>
          <w:lang w:eastAsia="fr-FR"/>
        </w:rPr>
        <w:instrText xml:space="preserve"> XE "PNUAD:Plan cadre des Nations Unies d'Assistance au Développement" </w:instrText>
      </w:r>
      <w:r w:rsidR="0002389A" w:rsidRPr="00C03405">
        <w:rPr>
          <w:rFonts w:ascii="Times New Roman" w:eastAsia="Times New Roman" w:hAnsi="Times New Roman" w:cs="Times New Roman"/>
          <w:sz w:val="24"/>
          <w:szCs w:val="24"/>
          <w:lang w:eastAsia="fr-FR"/>
        </w:rPr>
        <w:fldChar w:fldCharType="end"/>
      </w:r>
      <w:r w:rsidR="0002389A" w:rsidRPr="00C03405">
        <w:rPr>
          <w:rFonts w:ascii="Times New Roman" w:eastAsia="Times New Roman" w:hAnsi="Times New Roman" w:cs="Times New Roman"/>
          <w:sz w:val="24"/>
          <w:szCs w:val="24"/>
          <w:lang w:eastAsia="fr-FR"/>
        </w:rPr>
        <w:t xml:space="preserve"> </w:t>
      </w:r>
      <w:r w:rsidR="0002389A" w:rsidRPr="00C03405">
        <w:rPr>
          <w:rFonts w:ascii="Times New Roman" w:eastAsia="Times New Roman" w:hAnsi="Times New Roman" w:cs="Times New Roman"/>
          <w:sz w:val="24"/>
          <w:szCs w:val="24"/>
          <w:lang w:val="fr-SN" w:eastAsia="fr-FR"/>
        </w:rPr>
        <w:t>2021-2025</w:t>
      </w:r>
      <w:r w:rsidR="0042237F" w:rsidRPr="00C03405">
        <w:rPr>
          <w:rFonts w:ascii="Times New Roman" w:eastAsia="Times New Roman" w:hAnsi="Times New Roman" w:cs="Times New Roman"/>
          <w:sz w:val="24"/>
          <w:szCs w:val="24"/>
          <w:lang w:val="fr-SN" w:eastAsia="fr-FR"/>
        </w:rPr>
        <w:t xml:space="preserve"> et le PND 2021-2025</w:t>
      </w:r>
      <w:r w:rsidRPr="00C03405">
        <w:rPr>
          <w:rFonts w:ascii="Times New Roman" w:hAnsi="Times New Roman" w:cs="Times New Roman"/>
          <w:sz w:val="24"/>
          <w:szCs w:val="24"/>
        </w:rPr>
        <w:t>, au moins trois observations majeures ayant un lien logique entre elles :</w:t>
      </w:r>
    </w:p>
    <w:p w14:paraId="012CCD57" w14:textId="77777777" w:rsidR="00A25B3D" w:rsidRPr="00C03405" w:rsidRDefault="00A25B3D" w:rsidP="004B7F51">
      <w:pPr>
        <w:ind w:left="-283" w:right="-454"/>
        <w:jc w:val="both"/>
        <w:rPr>
          <w:rFonts w:ascii="Times New Roman" w:hAnsi="Times New Roman" w:cs="Times New Roman"/>
          <w:sz w:val="24"/>
          <w:szCs w:val="24"/>
        </w:rPr>
      </w:pPr>
      <w:r w:rsidRPr="00C03405">
        <w:rPr>
          <w:rFonts w:ascii="Times New Roman" w:hAnsi="Times New Roman" w:cs="Times New Roman"/>
          <w:sz w:val="24"/>
          <w:szCs w:val="24"/>
        </w:rPr>
        <w:t>(i) les défis à relever pour atteindre les objectifs de développement au niveau national sont de taille dans la mesure où tous les secteurs sont concernés ;</w:t>
      </w:r>
    </w:p>
    <w:p w14:paraId="2ECE449E" w14:textId="418F27EF" w:rsidR="00A25B3D" w:rsidRPr="00C03405" w:rsidRDefault="00A25B3D" w:rsidP="004B7F51">
      <w:pPr>
        <w:ind w:left="-283" w:right="-454"/>
        <w:jc w:val="both"/>
        <w:rPr>
          <w:rFonts w:ascii="Times New Roman" w:hAnsi="Times New Roman" w:cs="Times New Roman"/>
          <w:sz w:val="24"/>
          <w:szCs w:val="24"/>
        </w:rPr>
      </w:pPr>
      <w:r w:rsidRPr="00C03405">
        <w:rPr>
          <w:rFonts w:ascii="Times New Roman" w:hAnsi="Times New Roman" w:cs="Times New Roman"/>
          <w:sz w:val="24"/>
          <w:szCs w:val="24"/>
        </w:rPr>
        <w:t>(ii) la solution aux différents problèmes identifiés</w:t>
      </w:r>
      <w:r w:rsidR="005C7FD5">
        <w:rPr>
          <w:rFonts w:ascii="Times New Roman" w:hAnsi="Times New Roman" w:cs="Times New Roman"/>
          <w:sz w:val="24"/>
          <w:szCs w:val="24"/>
        </w:rPr>
        <w:t xml:space="preserve"> </w:t>
      </w:r>
      <w:r w:rsidRPr="00C03405">
        <w:rPr>
          <w:rFonts w:ascii="Times New Roman" w:hAnsi="Times New Roman" w:cs="Times New Roman"/>
          <w:sz w:val="24"/>
          <w:szCs w:val="24"/>
        </w:rPr>
        <w:t>passe nécessairement par une approche pluridisciplinaire et multisectorielle, en envisageant notamment des activités susceptibles de mobiliser la communauté nationale et susciter auprès des populations des attitudes favorables au changement, en plaidant auprès des autorités et décideurs pour impulser un nouveau dynamisme dans la gouvernance politique, économique</w:t>
      </w:r>
      <w:r w:rsidR="00765F7C" w:rsidRPr="00C03405">
        <w:rPr>
          <w:rFonts w:ascii="Times New Roman" w:hAnsi="Times New Roman" w:cs="Times New Roman"/>
          <w:sz w:val="24"/>
          <w:szCs w:val="24"/>
        </w:rPr>
        <w:t>, sécuritaire</w:t>
      </w:r>
      <w:r w:rsidRPr="00C03405">
        <w:rPr>
          <w:rFonts w:ascii="Times New Roman" w:hAnsi="Times New Roman" w:cs="Times New Roman"/>
          <w:sz w:val="24"/>
          <w:szCs w:val="24"/>
        </w:rPr>
        <w:t xml:space="preserve"> et sociale ;</w:t>
      </w:r>
    </w:p>
    <w:p w14:paraId="5D704208" w14:textId="63B60519" w:rsidR="004B7F51" w:rsidRPr="005C7FD5" w:rsidRDefault="00A25B3D" w:rsidP="00C16C25">
      <w:pPr>
        <w:ind w:left="-283" w:right="-454"/>
        <w:jc w:val="both"/>
        <w:rPr>
          <w:rFonts w:ascii="Times New Roman" w:hAnsi="Times New Roman" w:cs="Times New Roman"/>
          <w:sz w:val="24"/>
          <w:szCs w:val="24"/>
        </w:rPr>
      </w:pPr>
      <w:r w:rsidRPr="00C03405">
        <w:rPr>
          <w:rFonts w:ascii="Times New Roman" w:hAnsi="Times New Roman" w:cs="Times New Roman"/>
          <w:sz w:val="24"/>
          <w:szCs w:val="24"/>
        </w:rPr>
        <w:t>(iii) ainsi, de ces observations se dégage la nécessité de soutenir les différentes initiatives de développement national prévues dans le cadre de la mise en œuvre d</w:t>
      </w:r>
      <w:r w:rsidR="0042237F" w:rsidRPr="00C03405">
        <w:rPr>
          <w:rFonts w:ascii="Times New Roman" w:hAnsi="Times New Roman" w:cs="Times New Roman"/>
          <w:sz w:val="24"/>
          <w:szCs w:val="24"/>
        </w:rPr>
        <w:t xml:space="preserve">es plans stratégiques (CPD et </w:t>
      </w:r>
      <w:r w:rsidR="00B10CCD" w:rsidRPr="00C03405">
        <w:rPr>
          <w:rFonts w:ascii="Times New Roman" w:hAnsi="Times New Roman" w:cs="Times New Roman"/>
          <w:sz w:val="24"/>
          <w:szCs w:val="24"/>
        </w:rPr>
        <w:t>PND) par</w:t>
      </w:r>
      <w:r w:rsidRPr="00C03405">
        <w:rPr>
          <w:rFonts w:ascii="Times New Roman" w:hAnsi="Times New Roman" w:cs="Times New Roman"/>
          <w:sz w:val="24"/>
          <w:szCs w:val="24"/>
        </w:rPr>
        <w:t xml:space="preserve"> une stratégie de communication</w:t>
      </w:r>
      <w:r w:rsidR="0042237F" w:rsidRPr="00C03405">
        <w:rPr>
          <w:rFonts w:ascii="Times New Roman" w:hAnsi="Times New Roman" w:cs="Times New Roman"/>
          <w:sz w:val="24"/>
          <w:szCs w:val="24"/>
        </w:rPr>
        <w:t xml:space="preserve"> et de visibilité</w:t>
      </w:r>
      <w:r w:rsidRPr="00C03405">
        <w:rPr>
          <w:rFonts w:ascii="Times New Roman" w:hAnsi="Times New Roman" w:cs="Times New Roman"/>
          <w:sz w:val="24"/>
          <w:szCs w:val="24"/>
        </w:rPr>
        <w:t>.</w:t>
      </w:r>
      <w:r w:rsidR="00765F7C" w:rsidRPr="00C03405">
        <w:rPr>
          <w:rFonts w:ascii="Times New Roman" w:hAnsi="Times New Roman" w:cs="Times New Roman"/>
          <w:sz w:val="24"/>
          <w:szCs w:val="24"/>
        </w:rPr>
        <w:t xml:space="preserve"> </w:t>
      </w:r>
      <w:r w:rsidRPr="00C03405">
        <w:rPr>
          <w:rFonts w:ascii="Times New Roman" w:hAnsi="Times New Roman" w:cs="Times New Roman"/>
          <w:sz w:val="24"/>
          <w:szCs w:val="24"/>
        </w:rPr>
        <w:t xml:space="preserve">Sous-tendre </w:t>
      </w:r>
      <w:r w:rsidR="00765F7C" w:rsidRPr="00C03405">
        <w:rPr>
          <w:rFonts w:ascii="Times New Roman" w:hAnsi="Times New Roman" w:cs="Times New Roman"/>
          <w:sz w:val="24"/>
          <w:szCs w:val="24"/>
        </w:rPr>
        <w:t xml:space="preserve">les </w:t>
      </w:r>
      <w:r w:rsidR="0042237F" w:rsidRPr="00C03405">
        <w:rPr>
          <w:rFonts w:ascii="Times New Roman" w:hAnsi="Times New Roman" w:cs="Times New Roman"/>
          <w:sz w:val="24"/>
          <w:szCs w:val="24"/>
        </w:rPr>
        <w:t xml:space="preserve">plans stratégiques (CPD et PND) </w:t>
      </w:r>
      <w:r w:rsidRPr="00C03405">
        <w:rPr>
          <w:rFonts w:ascii="Times New Roman" w:hAnsi="Times New Roman" w:cs="Times New Roman"/>
          <w:sz w:val="24"/>
          <w:szCs w:val="24"/>
        </w:rPr>
        <w:t>par une stratégie de communication</w:t>
      </w:r>
      <w:r w:rsidR="0042237F" w:rsidRPr="00C03405">
        <w:rPr>
          <w:rFonts w:ascii="Times New Roman" w:hAnsi="Times New Roman" w:cs="Times New Roman"/>
          <w:sz w:val="24"/>
          <w:szCs w:val="24"/>
        </w:rPr>
        <w:t xml:space="preserve"> et de visibilité</w:t>
      </w:r>
      <w:r w:rsidRPr="00C03405">
        <w:rPr>
          <w:rFonts w:ascii="Times New Roman" w:hAnsi="Times New Roman" w:cs="Times New Roman"/>
          <w:sz w:val="24"/>
          <w:szCs w:val="24"/>
        </w:rPr>
        <w:t xml:space="preserve"> contribuera à booster les efforts de développement fournis </w:t>
      </w:r>
      <w:r w:rsidR="0042237F" w:rsidRPr="00C03405">
        <w:rPr>
          <w:rFonts w:ascii="Times New Roman" w:hAnsi="Times New Roman" w:cs="Times New Roman"/>
          <w:sz w:val="24"/>
          <w:szCs w:val="24"/>
        </w:rPr>
        <w:t xml:space="preserve">par le PNUD </w:t>
      </w:r>
      <w:r w:rsidRPr="00C03405">
        <w:rPr>
          <w:rFonts w:ascii="Times New Roman" w:hAnsi="Times New Roman" w:cs="Times New Roman"/>
          <w:sz w:val="24"/>
          <w:szCs w:val="24"/>
        </w:rPr>
        <w:t>au niveau national.</w:t>
      </w:r>
    </w:p>
    <w:p w14:paraId="4D3295E3" w14:textId="0E4381C4" w:rsidR="00863F4E" w:rsidRDefault="004E5365" w:rsidP="00994935">
      <w:pPr>
        <w:pStyle w:val="Titre2"/>
        <w:numPr>
          <w:ilvl w:val="0"/>
          <w:numId w:val="32"/>
        </w:numPr>
      </w:pPr>
      <w:bookmarkStart w:id="32" w:name="_Toc139363447"/>
      <w:r w:rsidRPr="004E5365">
        <w:t>Publics cibles</w:t>
      </w:r>
      <w:r w:rsidR="005C7FD5">
        <w:t>.</w:t>
      </w:r>
      <w:bookmarkEnd w:id="32"/>
    </w:p>
    <w:p w14:paraId="48DF54B9" w14:textId="77777777" w:rsidR="009026C4" w:rsidRPr="009026C4" w:rsidRDefault="009026C4" w:rsidP="009026C4"/>
    <w:p w14:paraId="65018479" w14:textId="77777777" w:rsidR="00B168DA" w:rsidRPr="005803CD" w:rsidRDefault="00B168DA" w:rsidP="00B168DA">
      <w:pPr>
        <w:ind w:right="-46"/>
        <w:jc w:val="both"/>
        <w:rPr>
          <w:rFonts w:ascii="Times New Roman" w:hAnsi="Times New Roman" w:cs="Times New Roman"/>
          <w:sz w:val="24"/>
          <w:szCs w:val="24"/>
        </w:rPr>
      </w:pPr>
      <w:r w:rsidRPr="005803CD">
        <w:rPr>
          <w:rFonts w:ascii="Times New Roman" w:hAnsi="Times New Roman" w:cs="Times New Roman"/>
          <w:sz w:val="24"/>
          <w:szCs w:val="24"/>
        </w:rPr>
        <w:t>Cette activité particulière va nous permettre de mieux maîtriser les relations et interrelations entre acteurs. En outre, elle permet de mieux cerner l’outil à concevoir pour atteindre les objectifs visés. La cartographie des intervenants laisse apparaître différentes familles d’acteurs, partie prenante du processus. Les différentes cibles sont des acteurs qui participent activement et sont co-responsables dans la mise en œuvre et l’imputabilité des résultats à atteindre :</w:t>
      </w:r>
    </w:p>
    <w:p w14:paraId="06440408" w14:textId="68C382B9" w:rsidR="00B168DA" w:rsidRPr="005803CD" w:rsidRDefault="00B168DA" w:rsidP="00B168DA">
      <w:pPr>
        <w:ind w:right="-46"/>
        <w:jc w:val="both"/>
        <w:rPr>
          <w:rFonts w:ascii="Times New Roman" w:hAnsi="Times New Roman" w:cs="Times New Roman"/>
          <w:sz w:val="24"/>
          <w:szCs w:val="24"/>
        </w:rPr>
      </w:pPr>
      <w:r w:rsidRPr="005803CD">
        <w:rPr>
          <w:rFonts w:ascii="Times New Roman" w:hAnsi="Times New Roman" w:cs="Times New Roman"/>
          <w:b/>
          <w:bCs/>
          <w:sz w:val="24"/>
          <w:szCs w:val="24"/>
          <w:u w:val="single"/>
        </w:rPr>
        <w:t>Les cibles directes</w:t>
      </w:r>
      <w:r w:rsidRPr="005803CD">
        <w:rPr>
          <w:rFonts w:ascii="Times New Roman" w:hAnsi="Times New Roman" w:cs="Times New Roman"/>
          <w:sz w:val="24"/>
          <w:szCs w:val="24"/>
          <w:u w:val="single"/>
        </w:rPr>
        <w:t xml:space="preserve"> sont</w:t>
      </w:r>
      <w:r w:rsidRPr="005803CD">
        <w:rPr>
          <w:rFonts w:ascii="Times New Roman" w:hAnsi="Times New Roman" w:cs="Times New Roman"/>
          <w:sz w:val="24"/>
          <w:szCs w:val="24"/>
        </w:rPr>
        <w:t xml:space="preserve"> constituées par les ministères, leurs services techniques et structures d’appui et </w:t>
      </w:r>
      <w:r w:rsidR="00765F7C" w:rsidRPr="005803CD">
        <w:rPr>
          <w:rFonts w:ascii="Times New Roman" w:hAnsi="Times New Roman" w:cs="Times New Roman"/>
          <w:sz w:val="24"/>
          <w:szCs w:val="24"/>
        </w:rPr>
        <w:t>les</w:t>
      </w:r>
      <w:r w:rsidRPr="005803CD">
        <w:rPr>
          <w:rFonts w:ascii="Times New Roman" w:hAnsi="Times New Roman" w:cs="Times New Roman"/>
          <w:sz w:val="24"/>
          <w:szCs w:val="24"/>
        </w:rPr>
        <w:t xml:space="preserve"> élus locaux. Toutes les activités de visibilité viseront d’abord à fortifier les orientations des cibles directes qui sont les destinataires de supports de visibilité. Elles joueront, à leur tour, le rôle d’amplificateur de l’information aux bénéficiaires directs des programmes. Il s’agit spécifiquement :</w:t>
      </w:r>
    </w:p>
    <w:p w14:paraId="7A5B53DC" w14:textId="77777777" w:rsidR="00B168DA" w:rsidRPr="005803CD" w:rsidRDefault="00B168DA" w:rsidP="00B168DA">
      <w:pPr>
        <w:pStyle w:val="Paragraphedeliste"/>
        <w:numPr>
          <w:ilvl w:val="0"/>
          <w:numId w:val="10"/>
        </w:numPr>
        <w:ind w:right="-46"/>
        <w:jc w:val="both"/>
        <w:rPr>
          <w:rFonts w:ascii="Times New Roman" w:hAnsi="Times New Roman" w:cs="Times New Roman"/>
          <w:sz w:val="24"/>
          <w:szCs w:val="24"/>
        </w:rPr>
      </w:pPr>
      <w:r w:rsidRPr="005803CD">
        <w:rPr>
          <w:rFonts w:ascii="Times New Roman" w:hAnsi="Times New Roman" w:cs="Times New Roman"/>
          <w:sz w:val="24"/>
          <w:szCs w:val="24"/>
        </w:rPr>
        <w:t>De la Primature, des ministères, leurs services techniques et structures d’appui</w:t>
      </w:r>
    </w:p>
    <w:p w14:paraId="1CAD1E87" w14:textId="77777777" w:rsidR="00B168DA" w:rsidRPr="005803CD" w:rsidRDefault="00B168DA" w:rsidP="00B168DA">
      <w:pPr>
        <w:pStyle w:val="Paragraphedeliste"/>
        <w:numPr>
          <w:ilvl w:val="0"/>
          <w:numId w:val="10"/>
        </w:numPr>
        <w:ind w:right="-46"/>
        <w:jc w:val="both"/>
        <w:rPr>
          <w:rFonts w:ascii="Times New Roman" w:hAnsi="Times New Roman" w:cs="Times New Roman"/>
          <w:sz w:val="24"/>
          <w:szCs w:val="24"/>
        </w:rPr>
      </w:pPr>
      <w:r w:rsidRPr="005803CD">
        <w:rPr>
          <w:rFonts w:ascii="Times New Roman" w:hAnsi="Times New Roman" w:cs="Times New Roman"/>
          <w:sz w:val="24"/>
          <w:szCs w:val="24"/>
        </w:rPr>
        <w:t>Des Élus locaux (Mairies et Parlement)</w:t>
      </w:r>
    </w:p>
    <w:p w14:paraId="3878E168" w14:textId="77777777" w:rsidR="00B168DA" w:rsidRPr="005803CD" w:rsidRDefault="00B168DA" w:rsidP="00B168DA">
      <w:pPr>
        <w:pStyle w:val="Paragraphedeliste"/>
        <w:numPr>
          <w:ilvl w:val="0"/>
          <w:numId w:val="10"/>
        </w:numPr>
        <w:rPr>
          <w:rFonts w:ascii="Times New Roman" w:hAnsi="Times New Roman" w:cs="Times New Roman"/>
          <w:b/>
          <w:sz w:val="24"/>
          <w:szCs w:val="24"/>
        </w:rPr>
      </w:pPr>
      <w:r w:rsidRPr="005803CD">
        <w:rPr>
          <w:rFonts w:ascii="Times New Roman" w:hAnsi="Times New Roman" w:cs="Times New Roman"/>
          <w:sz w:val="24"/>
          <w:szCs w:val="24"/>
        </w:rPr>
        <w:t>Population cible des programmes au niveau collectivités locales/communautaire et grand public</w:t>
      </w:r>
    </w:p>
    <w:p w14:paraId="106C2DBF" w14:textId="77777777" w:rsidR="00B168DA" w:rsidRPr="005803CD" w:rsidRDefault="00B168DA" w:rsidP="00B168DA">
      <w:pPr>
        <w:pStyle w:val="Paragraphedeliste"/>
        <w:numPr>
          <w:ilvl w:val="0"/>
          <w:numId w:val="10"/>
        </w:numPr>
        <w:ind w:right="-46"/>
        <w:jc w:val="both"/>
        <w:rPr>
          <w:rFonts w:ascii="Times New Roman" w:hAnsi="Times New Roman" w:cs="Times New Roman"/>
          <w:sz w:val="24"/>
          <w:szCs w:val="24"/>
        </w:rPr>
      </w:pPr>
      <w:r w:rsidRPr="005803CD">
        <w:rPr>
          <w:rFonts w:ascii="Times New Roman" w:hAnsi="Times New Roman" w:cs="Times New Roman"/>
          <w:sz w:val="24"/>
          <w:szCs w:val="24"/>
        </w:rPr>
        <w:t>Des universitaires, Instituts de recherche et grandes écoles</w:t>
      </w:r>
    </w:p>
    <w:p w14:paraId="2123BF7F" w14:textId="77777777" w:rsidR="00B168DA" w:rsidRPr="005803CD" w:rsidRDefault="00B168DA" w:rsidP="00B168DA">
      <w:pPr>
        <w:pStyle w:val="Paragraphedeliste"/>
        <w:numPr>
          <w:ilvl w:val="0"/>
          <w:numId w:val="10"/>
        </w:numPr>
        <w:ind w:right="-46"/>
        <w:jc w:val="both"/>
        <w:rPr>
          <w:rFonts w:ascii="Times New Roman" w:hAnsi="Times New Roman" w:cs="Times New Roman"/>
          <w:sz w:val="24"/>
          <w:szCs w:val="24"/>
        </w:rPr>
      </w:pPr>
      <w:r w:rsidRPr="005803CD">
        <w:rPr>
          <w:rFonts w:ascii="Times New Roman" w:hAnsi="Times New Roman" w:cs="Times New Roman"/>
          <w:sz w:val="24"/>
          <w:szCs w:val="24"/>
        </w:rPr>
        <w:t>Médias nationaux et internationaux</w:t>
      </w:r>
    </w:p>
    <w:p w14:paraId="73762D12" w14:textId="77777777" w:rsidR="00B168DA" w:rsidRPr="005803CD" w:rsidRDefault="00B168DA" w:rsidP="00B168DA">
      <w:pPr>
        <w:pStyle w:val="Paragraphedeliste"/>
        <w:numPr>
          <w:ilvl w:val="0"/>
          <w:numId w:val="10"/>
        </w:numPr>
        <w:ind w:right="-46"/>
        <w:jc w:val="both"/>
        <w:rPr>
          <w:rFonts w:ascii="Times New Roman" w:hAnsi="Times New Roman" w:cs="Times New Roman"/>
          <w:sz w:val="24"/>
          <w:szCs w:val="24"/>
        </w:rPr>
      </w:pPr>
      <w:r w:rsidRPr="005803CD">
        <w:rPr>
          <w:rFonts w:ascii="Times New Roman" w:hAnsi="Times New Roman" w:cs="Times New Roman"/>
          <w:sz w:val="24"/>
          <w:szCs w:val="24"/>
        </w:rPr>
        <w:t>Le secteur privé</w:t>
      </w:r>
    </w:p>
    <w:p w14:paraId="17AC05C0" w14:textId="77777777" w:rsidR="00B168DA" w:rsidRPr="005803CD" w:rsidRDefault="00B168DA" w:rsidP="00B168DA">
      <w:pPr>
        <w:pStyle w:val="Paragraphedeliste"/>
        <w:numPr>
          <w:ilvl w:val="0"/>
          <w:numId w:val="10"/>
        </w:numPr>
        <w:ind w:right="-46"/>
        <w:jc w:val="both"/>
        <w:rPr>
          <w:rFonts w:ascii="Times New Roman" w:hAnsi="Times New Roman" w:cs="Times New Roman"/>
          <w:sz w:val="24"/>
          <w:szCs w:val="24"/>
        </w:rPr>
      </w:pPr>
      <w:r w:rsidRPr="005803CD">
        <w:rPr>
          <w:rFonts w:ascii="Times New Roman" w:hAnsi="Times New Roman" w:cs="Times New Roman"/>
          <w:sz w:val="24"/>
          <w:szCs w:val="24"/>
        </w:rPr>
        <w:t>La société civile</w:t>
      </w:r>
    </w:p>
    <w:p w14:paraId="3D65541E" w14:textId="77777777" w:rsidR="00B168DA" w:rsidRPr="005803CD" w:rsidRDefault="00B168DA" w:rsidP="00B168DA">
      <w:pPr>
        <w:pStyle w:val="Paragraphedeliste"/>
        <w:numPr>
          <w:ilvl w:val="0"/>
          <w:numId w:val="10"/>
        </w:numPr>
        <w:ind w:right="-46"/>
        <w:jc w:val="both"/>
        <w:rPr>
          <w:rFonts w:ascii="Times New Roman" w:hAnsi="Times New Roman" w:cs="Times New Roman"/>
          <w:sz w:val="24"/>
          <w:szCs w:val="24"/>
        </w:rPr>
      </w:pPr>
      <w:r w:rsidRPr="005803CD">
        <w:rPr>
          <w:rFonts w:ascii="Times New Roman" w:hAnsi="Times New Roman" w:cs="Times New Roman"/>
          <w:sz w:val="24"/>
          <w:szCs w:val="24"/>
        </w:rPr>
        <w:t>Etc…</w:t>
      </w:r>
    </w:p>
    <w:p w14:paraId="7358D3AB" w14:textId="77777777" w:rsidR="00B168DA" w:rsidRPr="005803CD" w:rsidRDefault="00B168DA" w:rsidP="00B168DA">
      <w:pPr>
        <w:pStyle w:val="Listecouleur-Accent11"/>
        <w:autoSpaceDE w:val="0"/>
        <w:autoSpaceDN w:val="0"/>
        <w:adjustRightInd w:val="0"/>
        <w:ind w:left="0" w:right="-46"/>
        <w:jc w:val="both"/>
      </w:pPr>
      <w:r w:rsidRPr="005803CD">
        <w:rPr>
          <w:b/>
          <w:bCs/>
          <w:u w:val="single"/>
        </w:rPr>
        <w:t>Les cibles secondaires</w:t>
      </w:r>
      <w:r w:rsidRPr="005803CD">
        <w:t xml:space="preserve"> : </w:t>
      </w:r>
    </w:p>
    <w:p w14:paraId="31BD3FFB" w14:textId="77777777" w:rsidR="00B168DA" w:rsidRPr="005803CD" w:rsidRDefault="00B168DA" w:rsidP="00B168DA">
      <w:pPr>
        <w:pStyle w:val="Listecouleur-Accent11"/>
        <w:autoSpaceDE w:val="0"/>
        <w:autoSpaceDN w:val="0"/>
        <w:adjustRightInd w:val="0"/>
        <w:ind w:left="0" w:right="-46"/>
        <w:jc w:val="both"/>
      </w:pPr>
    </w:p>
    <w:p w14:paraId="444C5993" w14:textId="77777777" w:rsidR="00B168DA" w:rsidRPr="005803CD" w:rsidRDefault="00B168DA" w:rsidP="00B168DA">
      <w:pPr>
        <w:pStyle w:val="Listecouleur-Accent11"/>
        <w:numPr>
          <w:ilvl w:val="0"/>
          <w:numId w:val="11"/>
        </w:numPr>
        <w:autoSpaceDE w:val="0"/>
        <w:autoSpaceDN w:val="0"/>
        <w:adjustRightInd w:val="0"/>
        <w:ind w:right="-46"/>
        <w:jc w:val="both"/>
      </w:pPr>
      <w:r w:rsidRPr="005803CD">
        <w:t xml:space="preserve">Les partenaires au développement qui interviennent dans les problématiques de développement en perspective de l’atteinte des </w:t>
      </w:r>
      <w:proofErr w:type="spellStart"/>
      <w:r w:rsidRPr="005803CD">
        <w:t>ODDs</w:t>
      </w:r>
      <w:proofErr w:type="spellEnd"/>
      <w:r w:rsidRPr="005803CD">
        <w:t>. Leur mobilisation est cruciale car leur concours financier est essentiel dans la mobilisation des ressources pour la mise en œuvre du programme pays.</w:t>
      </w:r>
    </w:p>
    <w:p w14:paraId="40152AA1" w14:textId="77777777" w:rsidR="00B168DA" w:rsidRPr="005803CD" w:rsidRDefault="00B168DA" w:rsidP="00B168DA">
      <w:pPr>
        <w:pStyle w:val="Listecouleur-Accent11"/>
        <w:autoSpaceDE w:val="0"/>
        <w:autoSpaceDN w:val="0"/>
        <w:adjustRightInd w:val="0"/>
        <w:ind w:left="0" w:right="-46"/>
        <w:jc w:val="both"/>
      </w:pPr>
    </w:p>
    <w:p w14:paraId="07112E3F" w14:textId="1423BCD2" w:rsidR="00B168DA" w:rsidRPr="005803CD" w:rsidRDefault="00B168DA" w:rsidP="00B168DA">
      <w:pPr>
        <w:pStyle w:val="Listecouleur-Accent11"/>
        <w:numPr>
          <w:ilvl w:val="0"/>
          <w:numId w:val="12"/>
        </w:numPr>
        <w:autoSpaceDE w:val="0"/>
        <w:autoSpaceDN w:val="0"/>
        <w:adjustRightInd w:val="0"/>
        <w:ind w:right="-46"/>
        <w:jc w:val="both"/>
      </w:pPr>
      <w:r w:rsidRPr="005803CD">
        <w:t xml:space="preserve">Le Système des Nations-Unies, autres Organisations Internationales, institutions régionales spécialisées, </w:t>
      </w:r>
      <w:r w:rsidR="00801E4C" w:rsidRPr="005803CD">
        <w:t xml:space="preserve">Ambassades, </w:t>
      </w:r>
      <w:r w:rsidRPr="005803CD">
        <w:t xml:space="preserve">fondations et autres qui constituent le réseau de transmission de l’information que le bureau pays peut utiliser notamment dans le cadre du plaidoyer ; </w:t>
      </w:r>
    </w:p>
    <w:p w14:paraId="3927CC80" w14:textId="77777777" w:rsidR="00B168DA" w:rsidRPr="005803CD" w:rsidRDefault="00B168DA" w:rsidP="00B168DA">
      <w:pPr>
        <w:pStyle w:val="Listecouleur-Accent11"/>
        <w:numPr>
          <w:ilvl w:val="0"/>
          <w:numId w:val="12"/>
        </w:numPr>
        <w:autoSpaceDE w:val="0"/>
        <w:autoSpaceDN w:val="0"/>
        <w:adjustRightInd w:val="0"/>
        <w:ind w:right="-46"/>
        <w:jc w:val="both"/>
      </w:pPr>
      <w:r w:rsidRPr="005803CD">
        <w:t>JICA ;</w:t>
      </w:r>
    </w:p>
    <w:p w14:paraId="46DD2B62" w14:textId="77777777" w:rsidR="00B168DA" w:rsidRPr="005803CD" w:rsidRDefault="00B168DA" w:rsidP="00B168DA">
      <w:pPr>
        <w:pStyle w:val="Listecouleur-Accent11"/>
        <w:numPr>
          <w:ilvl w:val="0"/>
          <w:numId w:val="12"/>
        </w:numPr>
        <w:autoSpaceDE w:val="0"/>
        <w:autoSpaceDN w:val="0"/>
        <w:adjustRightInd w:val="0"/>
        <w:ind w:right="-46"/>
        <w:jc w:val="both"/>
      </w:pPr>
      <w:r w:rsidRPr="005803CD">
        <w:t>Ambassade d’Allemagne ;</w:t>
      </w:r>
    </w:p>
    <w:p w14:paraId="2DD6231F" w14:textId="77777777" w:rsidR="00B168DA" w:rsidRPr="005803CD" w:rsidRDefault="00B168DA" w:rsidP="00B168DA">
      <w:pPr>
        <w:pStyle w:val="Listecouleur-Accent11"/>
        <w:numPr>
          <w:ilvl w:val="0"/>
          <w:numId w:val="12"/>
        </w:numPr>
        <w:autoSpaceDE w:val="0"/>
        <w:autoSpaceDN w:val="0"/>
        <w:adjustRightInd w:val="0"/>
        <w:ind w:right="-46"/>
        <w:jc w:val="both"/>
      </w:pPr>
      <w:r w:rsidRPr="005803CD">
        <w:t>USA ;</w:t>
      </w:r>
    </w:p>
    <w:p w14:paraId="0B0E31E9" w14:textId="77777777" w:rsidR="00B168DA" w:rsidRPr="005803CD" w:rsidRDefault="00B168DA" w:rsidP="00B168DA">
      <w:pPr>
        <w:pStyle w:val="Listecouleur-Accent11"/>
        <w:numPr>
          <w:ilvl w:val="0"/>
          <w:numId w:val="12"/>
        </w:numPr>
        <w:autoSpaceDE w:val="0"/>
        <w:autoSpaceDN w:val="0"/>
        <w:adjustRightInd w:val="0"/>
        <w:ind w:right="-46"/>
        <w:jc w:val="both"/>
      </w:pPr>
      <w:r w:rsidRPr="005803CD">
        <w:t>Canada ;</w:t>
      </w:r>
    </w:p>
    <w:p w14:paraId="3A9D5C5C" w14:textId="77777777" w:rsidR="00B168DA" w:rsidRPr="005803CD" w:rsidRDefault="00B168DA" w:rsidP="00B168DA">
      <w:pPr>
        <w:pStyle w:val="Listecouleur-Accent11"/>
        <w:numPr>
          <w:ilvl w:val="0"/>
          <w:numId w:val="12"/>
        </w:numPr>
        <w:autoSpaceDE w:val="0"/>
        <w:autoSpaceDN w:val="0"/>
        <w:adjustRightInd w:val="0"/>
        <w:ind w:right="-46"/>
        <w:jc w:val="both"/>
      </w:pPr>
      <w:r w:rsidRPr="005803CD">
        <w:t>Japon ;</w:t>
      </w:r>
    </w:p>
    <w:p w14:paraId="41ED0F69" w14:textId="77777777" w:rsidR="00B168DA" w:rsidRPr="005803CD" w:rsidRDefault="00B168DA" w:rsidP="00B168DA">
      <w:pPr>
        <w:pStyle w:val="Listecouleur-Accent11"/>
        <w:numPr>
          <w:ilvl w:val="0"/>
          <w:numId w:val="12"/>
        </w:numPr>
        <w:autoSpaceDE w:val="0"/>
        <w:autoSpaceDN w:val="0"/>
        <w:adjustRightInd w:val="0"/>
        <w:ind w:right="-46"/>
        <w:jc w:val="both"/>
      </w:pPr>
      <w:r w:rsidRPr="005803CD">
        <w:t>Union Européenne ;</w:t>
      </w:r>
    </w:p>
    <w:p w14:paraId="3E750EC1" w14:textId="3A0F7F1C" w:rsidR="00B168DA" w:rsidRPr="005803CD" w:rsidRDefault="00B168DA" w:rsidP="00B168DA">
      <w:pPr>
        <w:pStyle w:val="Listecouleur-Accent11"/>
        <w:numPr>
          <w:ilvl w:val="0"/>
          <w:numId w:val="12"/>
        </w:numPr>
        <w:autoSpaceDE w:val="0"/>
        <w:autoSpaceDN w:val="0"/>
        <w:adjustRightInd w:val="0"/>
        <w:ind w:right="-46"/>
        <w:jc w:val="both"/>
      </w:pPr>
      <w:r w:rsidRPr="005803CD">
        <w:t>Suisse ;</w:t>
      </w:r>
    </w:p>
    <w:p w14:paraId="7F8C1F33" w14:textId="6BCB8651" w:rsidR="00801E4C" w:rsidRPr="005803CD" w:rsidRDefault="00801E4C" w:rsidP="00B168DA">
      <w:pPr>
        <w:pStyle w:val="Listecouleur-Accent11"/>
        <w:numPr>
          <w:ilvl w:val="0"/>
          <w:numId w:val="12"/>
        </w:numPr>
        <w:autoSpaceDE w:val="0"/>
        <w:autoSpaceDN w:val="0"/>
        <w:adjustRightInd w:val="0"/>
        <w:ind w:right="-46"/>
        <w:jc w:val="both"/>
      </w:pPr>
      <w:r w:rsidRPr="005803CD">
        <w:t>Suède</w:t>
      </w:r>
    </w:p>
    <w:p w14:paraId="2BC3D343" w14:textId="524848E6" w:rsidR="00B168DA" w:rsidRPr="005803CD" w:rsidRDefault="00801E4C" w:rsidP="00A52A25">
      <w:pPr>
        <w:pStyle w:val="Listecouleur-Accent11"/>
        <w:numPr>
          <w:ilvl w:val="0"/>
          <w:numId w:val="12"/>
        </w:numPr>
        <w:autoSpaceDE w:val="0"/>
        <w:autoSpaceDN w:val="0"/>
        <w:adjustRightInd w:val="0"/>
        <w:ind w:right="-46"/>
        <w:jc w:val="both"/>
      </w:pPr>
      <w:r w:rsidRPr="005803CD">
        <w:t>GEF</w:t>
      </w:r>
      <w:r w:rsidR="00034DA5">
        <w:t>, e</w:t>
      </w:r>
      <w:r w:rsidR="00B168DA" w:rsidRPr="005803CD">
        <w:t>tc…</w:t>
      </w:r>
    </w:p>
    <w:p w14:paraId="128C8051" w14:textId="77777777" w:rsidR="00B168DA" w:rsidRPr="005803CD" w:rsidRDefault="00B168DA" w:rsidP="00B168DA">
      <w:pPr>
        <w:pStyle w:val="Listecouleur-Accent11"/>
        <w:autoSpaceDE w:val="0"/>
        <w:autoSpaceDN w:val="0"/>
        <w:adjustRightInd w:val="0"/>
        <w:ind w:left="360" w:right="-46"/>
        <w:jc w:val="both"/>
      </w:pPr>
    </w:p>
    <w:p w14:paraId="33236823" w14:textId="77777777" w:rsidR="00B168DA" w:rsidRPr="005803CD" w:rsidRDefault="00B168DA" w:rsidP="00B168DA">
      <w:pPr>
        <w:pStyle w:val="Listecouleur-Accent11"/>
        <w:numPr>
          <w:ilvl w:val="0"/>
          <w:numId w:val="11"/>
        </w:numPr>
        <w:autoSpaceDE w:val="0"/>
        <w:autoSpaceDN w:val="0"/>
        <w:adjustRightInd w:val="0"/>
        <w:ind w:right="-46"/>
        <w:jc w:val="both"/>
      </w:pPr>
      <w:r w:rsidRPr="005803CD">
        <w:t xml:space="preserve">Les médias et leaders d’opinion : partenaires indispensables, ils véhiculent le message du programme pays vers les autres cibles. Leur besoin légitime d'information doit être satisfait avec une transparence, une disponibilité affirmée et une réactivité immédiate ; </w:t>
      </w:r>
    </w:p>
    <w:p w14:paraId="705ECFD8" w14:textId="77777777" w:rsidR="00B168DA" w:rsidRPr="005803CD" w:rsidRDefault="00B168DA" w:rsidP="00B168DA">
      <w:pPr>
        <w:pStyle w:val="Listecouleur-Accent11"/>
        <w:autoSpaceDE w:val="0"/>
        <w:autoSpaceDN w:val="0"/>
        <w:adjustRightInd w:val="0"/>
        <w:ind w:left="360" w:right="-46"/>
        <w:jc w:val="both"/>
      </w:pPr>
    </w:p>
    <w:p w14:paraId="0058761A" w14:textId="77777777" w:rsidR="00B168DA" w:rsidRPr="005803CD" w:rsidRDefault="00B168DA" w:rsidP="00B168DA">
      <w:pPr>
        <w:pStyle w:val="Listecouleur-Accent11"/>
        <w:numPr>
          <w:ilvl w:val="0"/>
          <w:numId w:val="11"/>
        </w:numPr>
        <w:autoSpaceDE w:val="0"/>
        <w:autoSpaceDN w:val="0"/>
        <w:adjustRightInd w:val="0"/>
        <w:ind w:right="-46"/>
        <w:jc w:val="both"/>
      </w:pPr>
      <w:r w:rsidRPr="005803CD">
        <w:t xml:space="preserve">Les instituts de recherches et universités : Ils jouent un rôle de facilitation dans la mise en œuvre des activités de communication au profit de cette cible, et a besoin d’une communication organisée. </w:t>
      </w:r>
    </w:p>
    <w:p w14:paraId="5CB774D2" w14:textId="77777777" w:rsidR="00B168DA" w:rsidRPr="005803CD" w:rsidRDefault="00B168DA" w:rsidP="00B168DA">
      <w:pPr>
        <w:pStyle w:val="Listecouleur-Accent11"/>
        <w:autoSpaceDE w:val="0"/>
        <w:autoSpaceDN w:val="0"/>
        <w:adjustRightInd w:val="0"/>
        <w:ind w:left="0" w:right="-46"/>
        <w:jc w:val="both"/>
      </w:pPr>
    </w:p>
    <w:p w14:paraId="05099108" w14:textId="77777777" w:rsidR="00B168DA" w:rsidRPr="005803CD" w:rsidRDefault="00B168DA" w:rsidP="00B168DA">
      <w:pPr>
        <w:ind w:right="-46"/>
        <w:jc w:val="both"/>
        <w:rPr>
          <w:rFonts w:ascii="Times New Roman" w:hAnsi="Times New Roman" w:cs="Times New Roman"/>
          <w:sz w:val="24"/>
          <w:szCs w:val="24"/>
        </w:rPr>
      </w:pPr>
      <w:r w:rsidRPr="005803CD">
        <w:rPr>
          <w:rFonts w:ascii="Times New Roman" w:hAnsi="Times New Roman" w:cs="Times New Roman"/>
          <w:b/>
          <w:bCs/>
          <w:sz w:val="24"/>
          <w:szCs w:val="24"/>
          <w:u w:val="single"/>
        </w:rPr>
        <w:t>Les cibles tertiaires</w:t>
      </w:r>
      <w:r w:rsidRPr="005803CD">
        <w:rPr>
          <w:rFonts w:ascii="Times New Roman" w:hAnsi="Times New Roman" w:cs="Times New Roman"/>
          <w:sz w:val="24"/>
          <w:szCs w:val="24"/>
        </w:rPr>
        <w:t> : La segmentation laisse apparaître dans cette catégorie le grand public : La communication vers ce relais sera de proximité (radios de proximité ou communautaires, les boites à outils, kit d’images) fondée sur les processus participatifs qui facilitent le dialogue afin d’identifier et de mettre en œuvre une initiative concrète visant à résoudre les problèmes de communication des acteurs ciblés.</w:t>
      </w:r>
    </w:p>
    <w:p w14:paraId="70302826" w14:textId="77777777" w:rsidR="00B168DA" w:rsidRPr="005803CD" w:rsidRDefault="00B168DA" w:rsidP="00B168DA">
      <w:pPr>
        <w:tabs>
          <w:tab w:val="left" w:pos="2505"/>
        </w:tabs>
        <w:ind w:right="-46"/>
        <w:jc w:val="both"/>
        <w:rPr>
          <w:rFonts w:ascii="Times New Roman" w:hAnsi="Times New Roman" w:cs="Times New Roman"/>
          <w:sz w:val="24"/>
          <w:szCs w:val="24"/>
        </w:rPr>
      </w:pPr>
      <w:r w:rsidRPr="005803CD">
        <w:rPr>
          <w:rFonts w:ascii="Times New Roman" w:hAnsi="Times New Roman" w:cs="Times New Roman"/>
          <w:sz w:val="24"/>
          <w:szCs w:val="24"/>
        </w:rPr>
        <w:t xml:space="preserve">Les canaux qui seront utilisés dans cette démarche sont variés et se concentrent autour de : </w:t>
      </w:r>
    </w:p>
    <w:p w14:paraId="30CC655F" w14:textId="5D53CAD1" w:rsidR="00B168DA" w:rsidRPr="005C7FD5" w:rsidRDefault="00B168DA" w:rsidP="005C7FD5">
      <w:pPr>
        <w:pStyle w:val="Paragraphedeliste"/>
        <w:numPr>
          <w:ilvl w:val="0"/>
          <w:numId w:val="13"/>
        </w:numPr>
        <w:spacing w:after="0" w:line="240" w:lineRule="auto"/>
        <w:ind w:right="-46"/>
        <w:jc w:val="both"/>
        <w:rPr>
          <w:rFonts w:ascii="Times New Roman" w:hAnsi="Times New Roman" w:cs="Times New Roman"/>
          <w:sz w:val="24"/>
          <w:szCs w:val="24"/>
        </w:rPr>
      </w:pPr>
      <w:r w:rsidRPr="005803CD">
        <w:rPr>
          <w:rFonts w:ascii="Times New Roman" w:hAnsi="Times New Roman" w:cs="Times New Roman"/>
          <w:b/>
          <w:sz w:val="24"/>
          <w:szCs w:val="24"/>
        </w:rPr>
        <w:t>Le canal institutionnel</w:t>
      </w:r>
      <w:r w:rsidRPr="005803CD">
        <w:rPr>
          <w:rFonts w:ascii="Times New Roman" w:hAnsi="Times New Roman" w:cs="Times New Roman"/>
          <w:sz w:val="24"/>
          <w:szCs w:val="24"/>
        </w:rPr>
        <w:t xml:space="preserve"> : Ce canal est constitué de structures d’institutions et d’acteurs par lesquels l’information et la communication institutionnelle vont transiter. Ce sont les ministères de tutelle et leurs différents démembrements, directions et structures techniques, les partenaires au développement et les institutions régionales spécialisées. Ce sont des acteurs institutionnels qui constituent un canal institutionnel pour amplifier les messages clés. Ils ont un rôle à jouer dans le partage de l’information et le portage des actions du bureau pays pour un engagement soutenu. </w:t>
      </w:r>
    </w:p>
    <w:p w14:paraId="093967C8" w14:textId="11FAF665" w:rsidR="00B168DA" w:rsidRPr="005C7FD5" w:rsidRDefault="00B168DA" w:rsidP="005C7FD5">
      <w:pPr>
        <w:pStyle w:val="Paragraphedeliste"/>
        <w:numPr>
          <w:ilvl w:val="0"/>
          <w:numId w:val="13"/>
        </w:numPr>
        <w:spacing w:after="0" w:line="240" w:lineRule="auto"/>
        <w:ind w:right="-46"/>
        <w:jc w:val="both"/>
        <w:rPr>
          <w:rFonts w:ascii="Times New Roman" w:hAnsi="Times New Roman" w:cs="Times New Roman"/>
          <w:sz w:val="24"/>
          <w:szCs w:val="24"/>
        </w:rPr>
      </w:pPr>
      <w:r w:rsidRPr="005803CD">
        <w:rPr>
          <w:rFonts w:ascii="Times New Roman" w:hAnsi="Times New Roman" w:cs="Times New Roman"/>
          <w:b/>
          <w:sz w:val="24"/>
          <w:szCs w:val="24"/>
        </w:rPr>
        <w:t>Le canal territorial</w:t>
      </w:r>
      <w:r w:rsidRPr="005803CD">
        <w:rPr>
          <w:rFonts w:ascii="Times New Roman" w:hAnsi="Times New Roman" w:cs="Times New Roman"/>
          <w:sz w:val="24"/>
          <w:szCs w:val="24"/>
        </w:rPr>
        <w:t xml:space="preserve"> : Ce canal est constitué essentiellement d’acteurs qui amplifient le plaidoyer pour une diffusion des résultats du programme pays. Ce sont les populations cibles et grand public de l’espace national, les médias, les ONG, les leaders d’opinion et les institutions de recherche, Universités et grandes écoles. Ils développent une réelle proximité avec les acteurs locaux. Ce sont les courroies de transmission des messages vers les publics généralement difficiles d’accès. </w:t>
      </w:r>
    </w:p>
    <w:p w14:paraId="7A4F1E9F" w14:textId="77777777" w:rsidR="00B168DA" w:rsidRPr="005803CD" w:rsidRDefault="00B168DA" w:rsidP="00B168DA">
      <w:pPr>
        <w:pStyle w:val="Paragraphedeliste"/>
        <w:numPr>
          <w:ilvl w:val="0"/>
          <w:numId w:val="13"/>
        </w:numPr>
        <w:spacing w:after="0" w:line="240" w:lineRule="auto"/>
        <w:ind w:right="-46"/>
        <w:jc w:val="both"/>
        <w:rPr>
          <w:rFonts w:ascii="Times New Roman" w:hAnsi="Times New Roman" w:cs="Times New Roman"/>
          <w:sz w:val="24"/>
          <w:szCs w:val="24"/>
        </w:rPr>
      </w:pPr>
      <w:r w:rsidRPr="005803CD">
        <w:rPr>
          <w:rFonts w:ascii="Times New Roman" w:hAnsi="Times New Roman" w:cs="Times New Roman"/>
          <w:b/>
          <w:sz w:val="24"/>
          <w:szCs w:val="24"/>
        </w:rPr>
        <w:t>Le canal mass média</w:t>
      </w:r>
      <w:r w:rsidRPr="005803CD">
        <w:rPr>
          <w:rFonts w:ascii="Times New Roman" w:hAnsi="Times New Roman" w:cs="Times New Roman"/>
          <w:sz w:val="24"/>
          <w:szCs w:val="24"/>
        </w:rPr>
        <w:t> </w:t>
      </w:r>
      <w:r w:rsidRPr="005803CD">
        <w:rPr>
          <w:rFonts w:ascii="Times New Roman" w:hAnsi="Times New Roman" w:cs="Times New Roman"/>
          <w:b/>
          <w:sz w:val="24"/>
          <w:szCs w:val="24"/>
        </w:rPr>
        <w:t xml:space="preserve">et socio-traditionnel </w:t>
      </w:r>
      <w:r w:rsidRPr="005803CD">
        <w:rPr>
          <w:rFonts w:ascii="Times New Roman" w:hAnsi="Times New Roman" w:cs="Times New Roman"/>
          <w:sz w:val="24"/>
          <w:szCs w:val="24"/>
        </w:rPr>
        <w:t>: Ces canaux et tous supports confondus constituent des opportunités pour diffuser le message axé sur la pertinence du programme. Ce sont : les radios communautaires et de proximité, la presse écrite et la presse en ligne, les télévisions, les réseaux sociaux, l’Internet, les SMS, la téléphonie, le site web du PNUD, les populations (Associations sportive et culturelles « </w:t>
      </w:r>
      <w:proofErr w:type="spellStart"/>
      <w:r w:rsidRPr="005803CD">
        <w:rPr>
          <w:rFonts w:ascii="Times New Roman" w:hAnsi="Times New Roman" w:cs="Times New Roman"/>
          <w:sz w:val="24"/>
          <w:szCs w:val="24"/>
        </w:rPr>
        <w:t>Asc</w:t>
      </w:r>
      <w:proofErr w:type="spellEnd"/>
      <w:r w:rsidRPr="005803CD">
        <w:rPr>
          <w:rFonts w:ascii="Times New Roman" w:hAnsi="Times New Roman" w:cs="Times New Roman"/>
          <w:sz w:val="24"/>
          <w:szCs w:val="24"/>
        </w:rPr>
        <w:t> », Organisation communautaires de base « </w:t>
      </w:r>
      <w:proofErr w:type="spellStart"/>
      <w:r w:rsidRPr="005803CD">
        <w:rPr>
          <w:rFonts w:ascii="Times New Roman" w:hAnsi="Times New Roman" w:cs="Times New Roman"/>
          <w:sz w:val="24"/>
          <w:szCs w:val="24"/>
        </w:rPr>
        <w:t>Ocb</w:t>
      </w:r>
      <w:proofErr w:type="spellEnd"/>
      <w:r w:rsidRPr="005803CD">
        <w:rPr>
          <w:rFonts w:ascii="Times New Roman" w:hAnsi="Times New Roman" w:cs="Times New Roman"/>
          <w:sz w:val="24"/>
          <w:szCs w:val="24"/>
        </w:rPr>
        <w:t> », Groupement de promotion féminine « </w:t>
      </w:r>
      <w:proofErr w:type="spellStart"/>
      <w:r w:rsidRPr="005803CD">
        <w:rPr>
          <w:rFonts w:ascii="Times New Roman" w:hAnsi="Times New Roman" w:cs="Times New Roman"/>
          <w:sz w:val="24"/>
          <w:szCs w:val="24"/>
        </w:rPr>
        <w:t>Gpf</w:t>
      </w:r>
      <w:proofErr w:type="spellEnd"/>
      <w:r w:rsidRPr="005803CD">
        <w:rPr>
          <w:rFonts w:ascii="Times New Roman" w:hAnsi="Times New Roman" w:cs="Times New Roman"/>
          <w:sz w:val="24"/>
          <w:szCs w:val="24"/>
        </w:rPr>
        <w:t> », des leaders d’opinion) qui constituent des opportunités à saisir pour diffuser le message axé sur la pertinence et les résultats du programme. Une combinaison judicieuse entre les différents supports et canaux permettra d’optimiser les effets escomptés du plan de visibilité.</w:t>
      </w:r>
    </w:p>
    <w:p w14:paraId="4856B817" w14:textId="77777777" w:rsidR="00B168DA" w:rsidRPr="005803CD" w:rsidRDefault="00B168DA" w:rsidP="00B168DA">
      <w:pPr>
        <w:pStyle w:val="Paragraphedeliste"/>
        <w:rPr>
          <w:rFonts w:ascii="Times New Roman" w:hAnsi="Times New Roman" w:cs="Times New Roman"/>
          <w:sz w:val="24"/>
          <w:szCs w:val="24"/>
        </w:rPr>
      </w:pPr>
    </w:p>
    <w:p w14:paraId="7C95E6A8" w14:textId="53AC9465" w:rsidR="004B7F51" w:rsidRPr="0055778B" w:rsidRDefault="00B168DA" w:rsidP="00CC27DF">
      <w:pPr>
        <w:pStyle w:val="Paragraphedeliste"/>
        <w:numPr>
          <w:ilvl w:val="0"/>
          <w:numId w:val="13"/>
        </w:numPr>
        <w:spacing w:after="0" w:line="240" w:lineRule="auto"/>
        <w:ind w:right="-46"/>
        <w:jc w:val="both"/>
        <w:rPr>
          <w:rFonts w:ascii="Times New Roman" w:hAnsi="Times New Roman" w:cs="Times New Roman"/>
          <w:sz w:val="24"/>
          <w:szCs w:val="24"/>
        </w:rPr>
      </w:pPr>
      <w:r w:rsidRPr="005803CD">
        <w:rPr>
          <w:rFonts w:ascii="Times New Roman" w:hAnsi="Times New Roman" w:cs="Times New Roman"/>
          <w:b/>
          <w:sz w:val="24"/>
          <w:szCs w:val="24"/>
        </w:rPr>
        <w:t xml:space="preserve">Canaux institutionnels du PNUD au niveau global : </w:t>
      </w:r>
      <w:r w:rsidRPr="005803CD">
        <w:rPr>
          <w:rFonts w:ascii="Times New Roman" w:hAnsi="Times New Roman" w:cs="Times New Roman"/>
          <w:sz w:val="24"/>
          <w:szCs w:val="24"/>
        </w:rPr>
        <w:t>Ce sont les réseaux thématiques, les réseaux de communication institutionnelle et les plateformes de gestion des connaissances du PNUD ; véritables courroies de transmission des informations en interne et sur lesquels les programmes doivent s’appuyer pour amplifier la visibilité de leurs résultats.</w:t>
      </w:r>
    </w:p>
    <w:p w14:paraId="1AECCAD3" w14:textId="0175AAAD" w:rsidR="00801E4C" w:rsidRPr="00324DFB" w:rsidRDefault="004E5365" w:rsidP="00994935">
      <w:pPr>
        <w:pStyle w:val="Titre2"/>
        <w:numPr>
          <w:ilvl w:val="0"/>
          <w:numId w:val="32"/>
        </w:numPr>
        <w:rPr>
          <w:rFonts w:eastAsia="Calibri"/>
        </w:rPr>
      </w:pPr>
      <w:bookmarkStart w:id="33" w:name="_Toc139363448"/>
      <w:r w:rsidRPr="004E5365">
        <w:rPr>
          <w:rFonts w:eastAsia="Calibri"/>
        </w:rPr>
        <w:t>Messages clés</w:t>
      </w:r>
      <w:bookmarkEnd w:id="33"/>
      <w:r w:rsidRPr="004E5365">
        <w:rPr>
          <w:rFonts w:eastAsia="Calibri"/>
        </w:rPr>
        <w:t xml:space="preserve"> </w:t>
      </w:r>
    </w:p>
    <w:p w14:paraId="79540DA6" w14:textId="77777777" w:rsidR="00994935" w:rsidRDefault="00994935" w:rsidP="004A6E7B">
      <w:pPr>
        <w:rPr>
          <w:rFonts w:ascii="Times New Roman" w:hAnsi="Times New Roman" w:cs="Times New Roman"/>
          <w:sz w:val="24"/>
          <w:szCs w:val="24"/>
        </w:rPr>
      </w:pPr>
    </w:p>
    <w:p w14:paraId="7764113E" w14:textId="70795237" w:rsidR="004A6E7B" w:rsidRPr="004A6E7B" w:rsidRDefault="004A6E7B" w:rsidP="004A6E7B">
      <w:pPr>
        <w:rPr>
          <w:rFonts w:ascii="Times New Roman" w:hAnsi="Times New Roman" w:cs="Times New Roman"/>
          <w:sz w:val="24"/>
          <w:szCs w:val="24"/>
        </w:rPr>
      </w:pPr>
      <w:r w:rsidRPr="004A6E7B">
        <w:rPr>
          <w:rFonts w:ascii="Times New Roman" w:hAnsi="Times New Roman" w:cs="Times New Roman"/>
          <w:sz w:val="24"/>
          <w:szCs w:val="24"/>
        </w:rPr>
        <w:t>Quels sont les trois principaux messages alignés sur les objectifs du programme national et du partenariat ?</w:t>
      </w:r>
    </w:p>
    <w:p w14:paraId="7AE63C88" w14:textId="73C3FF08" w:rsidR="005F4D9A" w:rsidRPr="005F4D9A" w:rsidRDefault="005F4D9A" w:rsidP="005F4D9A">
      <w:pPr>
        <w:pStyle w:val="Paragraphedeliste"/>
        <w:numPr>
          <w:ilvl w:val="0"/>
          <w:numId w:val="38"/>
        </w:numPr>
        <w:spacing w:after="0" w:line="240" w:lineRule="auto"/>
        <w:rPr>
          <w:rFonts w:ascii="Times New Roman" w:eastAsia="Times New Roman" w:hAnsi="Times New Roman" w:cs="Times New Roman"/>
          <w:i/>
          <w:iCs/>
          <w:color w:val="000000" w:themeColor="text1"/>
          <w:sz w:val="28"/>
          <w:szCs w:val="28"/>
          <w:lang w:val="fr-FR" w:eastAsia="fr-FR"/>
        </w:rPr>
      </w:pPr>
      <w:r w:rsidRPr="005F4D9A">
        <w:rPr>
          <w:rFonts w:ascii="Times New Roman" w:eastAsia="Times New Roman" w:hAnsi="Times New Roman" w:cs="Times New Roman"/>
          <w:i/>
          <w:iCs/>
          <w:color w:val="000000" w:themeColor="text1"/>
          <w:sz w:val="28"/>
          <w:szCs w:val="28"/>
          <w:lang w:val="fr-FR" w:eastAsia="fr-FR"/>
        </w:rPr>
        <w:t>Le PNUD en Côte d’Ivoire vise à appuyer le gouvernement à renforcer les capacités de financement et d’accélération des ODD en vue d’un développement durable et inclusif ;</w:t>
      </w:r>
    </w:p>
    <w:p w14:paraId="6DAD1AB9" w14:textId="00AA527E" w:rsidR="005F4D9A" w:rsidRPr="005F4D9A" w:rsidRDefault="005F4D9A" w:rsidP="005F4D9A">
      <w:pPr>
        <w:spacing w:after="0" w:line="240" w:lineRule="auto"/>
        <w:ind w:left="284" w:firstLine="80"/>
        <w:rPr>
          <w:rFonts w:ascii="Calibri" w:eastAsia="Times New Roman" w:hAnsi="Calibri" w:cs="Calibri"/>
          <w:color w:val="000000" w:themeColor="text1"/>
          <w:sz w:val="27"/>
          <w:szCs w:val="27"/>
          <w:lang w:val="fr-SN" w:eastAsia="fr-FR"/>
        </w:rPr>
      </w:pPr>
    </w:p>
    <w:p w14:paraId="24E72C03" w14:textId="4CBEAE85" w:rsidR="005F4D9A" w:rsidRPr="005F4D9A" w:rsidRDefault="005F4D9A" w:rsidP="005F4D9A">
      <w:pPr>
        <w:pStyle w:val="Paragraphedeliste"/>
        <w:numPr>
          <w:ilvl w:val="0"/>
          <w:numId w:val="38"/>
        </w:numPr>
        <w:spacing w:after="8" w:line="240" w:lineRule="auto"/>
        <w:rPr>
          <w:rFonts w:ascii="Calibri" w:eastAsia="Times New Roman" w:hAnsi="Calibri" w:cs="Calibri"/>
          <w:color w:val="000000" w:themeColor="text1"/>
          <w:sz w:val="27"/>
          <w:szCs w:val="27"/>
          <w:lang w:val="fr-SN" w:eastAsia="fr-FR"/>
        </w:rPr>
      </w:pPr>
      <w:r w:rsidRPr="005F4D9A">
        <w:rPr>
          <w:rFonts w:ascii="Times New Roman" w:eastAsia="Times New Roman" w:hAnsi="Times New Roman" w:cs="Times New Roman"/>
          <w:i/>
          <w:iCs/>
          <w:color w:val="000000" w:themeColor="text1"/>
          <w:sz w:val="28"/>
          <w:szCs w:val="28"/>
          <w:lang w:val="fr-FR" w:eastAsia="fr-FR"/>
        </w:rPr>
        <w:t>Le PNUD promeut le renforcement des fonctions essentielles de Gouvernance, y compris la gestion des zones frontalières, l’accès équitable à la justice ; la prévention des conflits et la cohésion sociale ; la résilience des communautés et la consolidation de la paix ;</w:t>
      </w:r>
    </w:p>
    <w:p w14:paraId="53902BDB" w14:textId="48D7C759" w:rsidR="005F4D9A" w:rsidRPr="005F4D9A" w:rsidRDefault="005F4D9A" w:rsidP="005F4D9A">
      <w:pPr>
        <w:spacing w:after="0" w:line="240" w:lineRule="auto"/>
        <w:ind w:left="720" w:firstLine="80"/>
        <w:rPr>
          <w:rFonts w:ascii="Calibri" w:eastAsia="Times New Roman" w:hAnsi="Calibri" w:cs="Calibri"/>
          <w:color w:val="000000" w:themeColor="text1"/>
          <w:sz w:val="20"/>
          <w:szCs w:val="20"/>
          <w:lang w:val="fr-SN" w:eastAsia="fr-FR"/>
        </w:rPr>
      </w:pPr>
    </w:p>
    <w:p w14:paraId="5CEF564F" w14:textId="5616DC7E" w:rsidR="005F4D9A" w:rsidRPr="005F4D9A" w:rsidRDefault="005F4D9A" w:rsidP="005F4D9A">
      <w:pPr>
        <w:pStyle w:val="Paragraphedeliste"/>
        <w:numPr>
          <w:ilvl w:val="0"/>
          <w:numId w:val="38"/>
        </w:numPr>
        <w:spacing w:after="8" w:line="240" w:lineRule="auto"/>
        <w:rPr>
          <w:rFonts w:ascii="Times New Roman" w:eastAsia="Times New Roman" w:hAnsi="Times New Roman" w:cs="Times New Roman"/>
          <w:i/>
          <w:iCs/>
          <w:color w:val="000000" w:themeColor="text1"/>
          <w:sz w:val="28"/>
          <w:szCs w:val="28"/>
          <w:lang w:val="fr-FR" w:eastAsia="fr-FR"/>
        </w:rPr>
      </w:pPr>
      <w:r w:rsidRPr="005F4D9A">
        <w:rPr>
          <w:rFonts w:ascii="Times New Roman" w:eastAsia="Times New Roman" w:hAnsi="Times New Roman" w:cs="Times New Roman"/>
          <w:i/>
          <w:iCs/>
          <w:color w:val="000000" w:themeColor="text1"/>
          <w:sz w:val="28"/>
          <w:szCs w:val="28"/>
          <w:lang w:val="fr-FR" w:eastAsia="fr-FR"/>
        </w:rPr>
        <w:t>Le PNUD appuie les institutions publiques et les communautés dans la préservation du capital naturel et la gestion des ressources naturelles ; le développement de chaînes de valeur verte</w:t>
      </w:r>
      <w:r>
        <w:rPr>
          <w:rFonts w:ascii="Times New Roman" w:eastAsia="Times New Roman" w:hAnsi="Times New Roman" w:cs="Times New Roman"/>
          <w:i/>
          <w:iCs/>
          <w:color w:val="000000" w:themeColor="text1"/>
          <w:sz w:val="28"/>
          <w:szCs w:val="28"/>
          <w:lang w:val="fr-FR" w:eastAsia="fr-FR"/>
        </w:rPr>
        <w:t>s</w:t>
      </w:r>
      <w:r w:rsidRPr="005F4D9A">
        <w:rPr>
          <w:rFonts w:ascii="Times New Roman" w:eastAsia="Times New Roman" w:hAnsi="Times New Roman" w:cs="Times New Roman"/>
          <w:i/>
          <w:iCs/>
          <w:color w:val="000000" w:themeColor="text1"/>
          <w:sz w:val="28"/>
          <w:szCs w:val="28"/>
          <w:lang w:val="fr-FR" w:eastAsia="fr-FR"/>
        </w:rPr>
        <w:t xml:space="preserve"> et le renforcement des mécanismes de prévention et de réponse aux chocs et aux catastrophes</w:t>
      </w:r>
      <w:r>
        <w:rPr>
          <w:rFonts w:ascii="Times New Roman" w:eastAsia="Times New Roman" w:hAnsi="Times New Roman" w:cs="Times New Roman"/>
          <w:i/>
          <w:iCs/>
          <w:color w:val="000000" w:themeColor="text1"/>
          <w:sz w:val="28"/>
          <w:szCs w:val="28"/>
          <w:lang w:val="fr-FR" w:eastAsia="fr-FR"/>
        </w:rPr>
        <w:t>.</w:t>
      </w:r>
    </w:p>
    <w:p w14:paraId="0DD7D09E" w14:textId="77777777" w:rsidR="00994935" w:rsidRPr="005F4D9A" w:rsidRDefault="00994935" w:rsidP="004A6E7B">
      <w:pPr>
        <w:jc w:val="both"/>
        <w:rPr>
          <w:rFonts w:ascii="Times New Roman" w:hAnsi="Times New Roman" w:cs="Times New Roman"/>
          <w:color w:val="000000" w:themeColor="text1"/>
          <w:sz w:val="24"/>
          <w:szCs w:val="24"/>
          <w:lang w:val="fr-SN"/>
        </w:rPr>
      </w:pPr>
    </w:p>
    <w:p w14:paraId="4073D560" w14:textId="391F2EA5" w:rsidR="00994935" w:rsidRPr="008D6EED" w:rsidRDefault="00994935" w:rsidP="008D6EED">
      <w:pPr>
        <w:pStyle w:val="Paragraphedeliste"/>
        <w:numPr>
          <w:ilvl w:val="0"/>
          <w:numId w:val="34"/>
        </w:numPr>
        <w:jc w:val="both"/>
        <w:rPr>
          <w:rFonts w:ascii="Times New Roman" w:hAnsi="Times New Roman" w:cs="Times New Roman"/>
          <w:sz w:val="24"/>
          <w:szCs w:val="24"/>
        </w:rPr>
      </w:pPr>
      <w:r w:rsidRPr="008D6EED">
        <w:rPr>
          <w:b/>
          <w:bCs/>
          <w:color w:val="0070C0"/>
          <w:sz w:val="28"/>
          <w:szCs w:val="28"/>
        </w:rPr>
        <w:t>PLAN D'ACTIONS :</w:t>
      </w:r>
    </w:p>
    <w:p w14:paraId="18FE2C50" w14:textId="2B6AEF87" w:rsidR="004E21C4" w:rsidRPr="0082564C" w:rsidRDefault="004A6E7B" w:rsidP="004A6E7B">
      <w:pPr>
        <w:jc w:val="both"/>
        <w:rPr>
          <w:rFonts w:ascii="Times New Roman" w:hAnsi="Times New Roman" w:cs="Times New Roman"/>
          <w:sz w:val="24"/>
          <w:szCs w:val="24"/>
        </w:rPr>
      </w:pPr>
      <w:r w:rsidRPr="004A6E7B">
        <w:rPr>
          <w:rFonts w:ascii="Times New Roman" w:hAnsi="Times New Roman" w:cs="Times New Roman"/>
          <w:sz w:val="24"/>
          <w:szCs w:val="24"/>
        </w:rPr>
        <w:t xml:space="preserve">Les différentes actions clés à entreprendre pour mettre en œuvre la stratégie, y compris les partenaires et/ou les publics ciblés, les niveaux de financement attendus le cas échéant, et les actions clés à entreprendre y compris les actions de </w:t>
      </w:r>
      <w:proofErr w:type="spellStart"/>
      <w:r w:rsidRPr="004A6E7B">
        <w:rPr>
          <w:rFonts w:ascii="Times New Roman" w:hAnsi="Times New Roman" w:cs="Times New Roman"/>
          <w:sz w:val="24"/>
          <w:szCs w:val="24"/>
        </w:rPr>
        <w:t>co</w:t>
      </w:r>
      <w:proofErr w:type="spellEnd"/>
      <w:r w:rsidRPr="004A6E7B">
        <w:rPr>
          <w:rFonts w:ascii="Times New Roman" w:hAnsi="Times New Roman" w:cs="Times New Roman"/>
          <w:sz w:val="24"/>
          <w:szCs w:val="24"/>
        </w:rPr>
        <w:t>-capacité sont contenus dans la matrice ci-dessous.</w:t>
      </w:r>
    </w:p>
    <w:p w14:paraId="47270D72" w14:textId="55A85693" w:rsidR="00B168DA" w:rsidRPr="00B1402A" w:rsidRDefault="00F3562D" w:rsidP="00B1402A">
      <w:pPr>
        <w:pStyle w:val="Titre2"/>
      </w:pPr>
      <w:bookmarkStart w:id="34" w:name="_Toc110413271"/>
      <w:bookmarkStart w:id="35" w:name="_Toc110413926"/>
      <w:bookmarkStart w:id="36" w:name="_Toc348079501"/>
      <w:bookmarkStart w:id="37" w:name="_Toc348276356"/>
      <w:bookmarkStart w:id="38" w:name="_Toc139363449"/>
      <w:r w:rsidRPr="00B1402A">
        <w:t xml:space="preserve">a. Plan d’actions </w:t>
      </w:r>
      <w:r w:rsidR="00500453">
        <w:t>2022 &amp; 2023</w:t>
      </w:r>
      <w:r w:rsidRPr="00B1402A">
        <w:t xml:space="preserve"> du PNUD côte d’ivoire</w:t>
      </w:r>
      <w:bookmarkStart w:id="39" w:name="_Toc110413272"/>
      <w:bookmarkStart w:id="40" w:name="_Toc110413927"/>
      <w:bookmarkEnd w:id="34"/>
      <w:bookmarkEnd w:id="35"/>
      <w:r w:rsidRPr="00B1402A">
        <w:t xml:space="preserve"> pour la mobilisation de ressources et le partenariat</w:t>
      </w:r>
      <w:bookmarkEnd w:id="36"/>
      <w:bookmarkEnd w:id="37"/>
      <w:bookmarkEnd w:id="38"/>
      <w:bookmarkEnd w:id="39"/>
      <w:bookmarkEnd w:id="40"/>
    </w:p>
    <w:p w14:paraId="1FE3904D" w14:textId="77777777" w:rsidR="00114617" w:rsidRDefault="00114617" w:rsidP="002C6B31">
      <w:pPr>
        <w:rPr>
          <w:lang w:val="fr-FR"/>
        </w:rPr>
      </w:pPr>
    </w:p>
    <w:p w14:paraId="6F78AE9E" w14:textId="77777777" w:rsidR="00925C05" w:rsidRDefault="008A79F1" w:rsidP="009026C4">
      <w:pPr>
        <w:pStyle w:val="Lgende"/>
        <w:keepNext/>
      </w:pPr>
      <w:r>
        <w:t xml:space="preserve">Tableau </w:t>
      </w:r>
      <w:r w:rsidR="00136AEB">
        <w:t>7</w:t>
      </w:r>
      <w:r>
        <w:t xml:space="preserve"> :</w:t>
      </w:r>
      <w:r w:rsidR="00324DFB">
        <w:t xml:space="preserve"> </w:t>
      </w:r>
    </w:p>
    <w:p w14:paraId="5FABEAC2" w14:textId="7913901B" w:rsidR="002C6B31" w:rsidRPr="002C6B31" w:rsidRDefault="00925C05" w:rsidP="009026C4">
      <w:pPr>
        <w:pStyle w:val="Lgende"/>
        <w:keepNext/>
      </w:pPr>
      <w:bookmarkStart w:id="41" w:name="_Toc139379665"/>
      <w:r>
        <w:t xml:space="preserve">Tableau </w:t>
      </w:r>
      <w:r>
        <w:fldChar w:fldCharType="begin"/>
      </w:r>
      <w:r>
        <w:instrText xml:space="preserve"> SEQ Tableau \* ARABIC </w:instrText>
      </w:r>
      <w:r>
        <w:fldChar w:fldCharType="separate"/>
      </w:r>
      <w:r>
        <w:rPr>
          <w:noProof/>
        </w:rPr>
        <w:t>7</w:t>
      </w:r>
      <w:r>
        <w:fldChar w:fldCharType="end"/>
      </w:r>
      <w:r>
        <w:t xml:space="preserve"> : </w:t>
      </w:r>
      <w:r w:rsidRPr="00EA2CD5">
        <w:t>Plan d’action</w:t>
      </w:r>
      <w:bookmarkEnd w:id="41"/>
    </w:p>
    <w:tbl>
      <w:tblPr>
        <w:tblStyle w:val="Grilledutableau"/>
        <w:tblW w:w="9841" w:type="dxa"/>
        <w:tblLayout w:type="fixed"/>
        <w:tblLook w:val="04A0" w:firstRow="1" w:lastRow="0" w:firstColumn="1" w:lastColumn="0" w:noHBand="0" w:noVBand="1"/>
      </w:tblPr>
      <w:tblGrid>
        <w:gridCol w:w="421"/>
        <w:gridCol w:w="1963"/>
        <w:gridCol w:w="1698"/>
        <w:gridCol w:w="1565"/>
        <w:gridCol w:w="1011"/>
        <w:gridCol w:w="1870"/>
        <w:gridCol w:w="1313"/>
      </w:tblGrid>
      <w:tr w:rsidR="00B168DA" w:rsidRPr="005E5949" w14:paraId="44383EEC" w14:textId="77777777" w:rsidTr="000153BA">
        <w:trPr>
          <w:trHeight w:val="240"/>
          <w:tblHeader/>
        </w:trPr>
        <w:tc>
          <w:tcPr>
            <w:tcW w:w="421" w:type="dxa"/>
            <w:shd w:val="clear" w:color="auto" w:fill="538135" w:themeFill="accent6" w:themeFillShade="BF"/>
            <w:vAlign w:val="center"/>
          </w:tcPr>
          <w:p w14:paraId="4B9B9852" w14:textId="77777777" w:rsidR="00B168DA" w:rsidRPr="005E5949" w:rsidRDefault="00B168DA" w:rsidP="003A348D">
            <w:pPr>
              <w:jc w:val="center"/>
              <w:rPr>
                <w:rFonts w:asciiTheme="majorHAnsi" w:hAnsiTheme="majorHAnsi" w:cstheme="majorHAnsi"/>
                <w:b/>
              </w:rPr>
            </w:pPr>
            <w:r w:rsidRPr="005E5949">
              <w:rPr>
                <w:rFonts w:asciiTheme="majorHAnsi" w:hAnsiTheme="majorHAnsi" w:cstheme="majorHAnsi"/>
                <w:b/>
              </w:rPr>
              <w:t>#</w:t>
            </w:r>
          </w:p>
        </w:tc>
        <w:tc>
          <w:tcPr>
            <w:tcW w:w="1963" w:type="dxa"/>
            <w:shd w:val="clear" w:color="auto" w:fill="538135" w:themeFill="accent6" w:themeFillShade="BF"/>
            <w:vAlign w:val="center"/>
          </w:tcPr>
          <w:p w14:paraId="2B2F55C9" w14:textId="77777777" w:rsidR="00B168DA" w:rsidRPr="005E5949" w:rsidRDefault="00B168DA" w:rsidP="003A348D">
            <w:pPr>
              <w:jc w:val="center"/>
              <w:rPr>
                <w:rFonts w:asciiTheme="majorHAnsi" w:hAnsiTheme="majorHAnsi" w:cstheme="majorHAnsi"/>
                <w:b/>
              </w:rPr>
            </w:pPr>
            <w:r w:rsidRPr="005E5949">
              <w:rPr>
                <w:rFonts w:asciiTheme="majorHAnsi" w:hAnsiTheme="majorHAnsi" w:cstheme="majorHAnsi"/>
                <w:b/>
              </w:rPr>
              <w:t>Action</w:t>
            </w:r>
          </w:p>
        </w:tc>
        <w:tc>
          <w:tcPr>
            <w:tcW w:w="1698" w:type="dxa"/>
            <w:shd w:val="clear" w:color="auto" w:fill="538135" w:themeFill="accent6" w:themeFillShade="BF"/>
            <w:vAlign w:val="center"/>
          </w:tcPr>
          <w:p w14:paraId="51FACB3F" w14:textId="77777777" w:rsidR="00B168DA" w:rsidRPr="005E5949" w:rsidRDefault="00B168DA" w:rsidP="003A348D">
            <w:pPr>
              <w:jc w:val="center"/>
              <w:rPr>
                <w:rFonts w:asciiTheme="majorHAnsi" w:hAnsiTheme="majorHAnsi" w:cstheme="majorHAnsi"/>
                <w:b/>
              </w:rPr>
            </w:pPr>
            <w:r w:rsidRPr="005E5949">
              <w:rPr>
                <w:rFonts w:asciiTheme="majorHAnsi" w:hAnsiTheme="majorHAnsi" w:cstheme="majorHAnsi"/>
                <w:b/>
              </w:rPr>
              <w:t>Purpose</w:t>
            </w:r>
          </w:p>
        </w:tc>
        <w:tc>
          <w:tcPr>
            <w:tcW w:w="1565" w:type="dxa"/>
            <w:shd w:val="clear" w:color="auto" w:fill="538135" w:themeFill="accent6" w:themeFillShade="BF"/>
            <w:vAlign w:val="center"/>
          </w:tcPr>
          <w:p w14:paraId="1D5417D1" w14:textId="77777777" w:rsidR="00B168DA" w:rsidRPr="005E5949" w:rsidRDefault="00B168DA" w:rsidP="003A348D">
            <w:pPr>
              <w:jc w:val="center"/>
              <w:rPr>
                <w:rFonts w:asciiTheme="majorHAnsi" w:hAnsiTheme="majorHAnsi" w:cstheme="majorHAnsi"/>
                <w:b/>
              </w:rPr>
            </w:pPr>
            <w:r w:rsidRPr="005E5949">
              <w:rPr>
                <w:rFonts w:asciiTheme="majorHAnsi" w:hAnsiTheme="majorHAnsi" w:cstheme="majorHAnsi"/>
                <w:b/>
              </w:rPr>
              <w:t>Output</w:t>
            </w:r>
          </w:p>
        </w:tc>
        <w:tc>
          <w:tcPr>
            <w:tcW w:w="1011" w:type="dxa"/>
            <w:shd w:val="clear" w:color="auto" w:fill="538135" w:themeFill="accent6" w:themeFillShade="BF"/>
            <w:vAlign w:val="center"/>
          </w:tcPr>
          <w:p w14:paraId="3E225DEE" w14:textId="77777777" w:rsidR="00B168DA" w:rsidRPr="005E5949" w:rsidRDefault="00B168DA" w:rsidP="003A348D">
            <w:pPr>
              <w:jc w:val="center"/>
              <w:rPr>
                <w:rFonts w:asciiTheme="majorHAnsi" w:hAnsiTheme="majorHAnsi" w:cstheme="majorHAnsi"/>
                <w:b/>
              </w:rPr>
            </w:pPr>
            <w:r w:rsidRPr="005E5949">
              <w:rPr>
                <w:rFonts w:asciiTheme="majorHAnsi" w:hAnsiTheme="majorHAnsi" w:cstheme="majorHAnsi"/>
                <w:b/>
              </w:rPr>
              <w:t>Responsible</w:t>
            </w:r>
          </w:p>
        </w:tc>
        <w:tc>
          <w:tcPr>
            <w:tcW w:w="1870" w:type="dxa"/>
            <w:shd w:val="clear" w:color="auto" w:fill="538135" w:themeFill="accent6" w:themeFillShade="BF"/>
            <w:vAlign w:val="center"/>
          </w:tcPr>
          <w:p w14:paraId="477A455C" w14:textId="77777777" w:rsidR="00B168DA" w:rsidRPr="005E5949" w:rsidRDefault="00B168DA" w:rsidP="003A348D">
            <w:pPr>
              <w:jc w:val="center"/>
              <w:rPr>
                <w:rFonts w:asciiTheme="majorHAnsi" w:hAnsiTheme="majorHAnsi" w:cstheme="majorHAnsi"/>
                <w:b/>
              </w:rPr>
            </w:pPr>
            <w:r w:rsidRPr="005E5949">
              <w:rPr>
                <w:rFonts w:asciiTheme="majorHAnsi" w:hAnsiTheme="majorHAnsi" w:cstheme="majorHAnsi"/>
                <w:b/>
              </w:rPr>
              <w:t>Timeline</w:t>
            </w:r>
          </w:p>
        </w:tc>
        <w:tc>
          <w:tcPr>
            <w:tcW w:w="1313" w:type="dxa"/>
            <w:shd w:val="clear" w:color="auto" w:fill="538135" w:themeFill="accent6" w:themeFillShade="BF"/>
            <w:vAlign w:val="center"/>
          </w:tcPr>
          <w:p w14:paraId="38C3A25B" w14:textId="77777777" w:rsidR="00B168DA" w:rsidRPr="005E5949" w:rsidRDefault="00B168DA" w:rsidP="003A348D">
            <w:pPr>
              <w:jc w:val="center"/>
              <w:rPr>
                <w:rFonts w:asciiTheme="majorHAnsi" w:hAnsiTheme="majorHAnsi" w:cstheme="majorHAnsi"/>
                <w:b/>
              </w:rPr>
            </w:pPr>
            <w:r w:rsidRPr="005E5949">
              <w:rPr>
                <w:rFonts w:asciiTheme="majorHAnsi" w:hAnsiTheme="majorHAnsi" w:cstheme="majorHAnsi"/>
                <w:b/>
              </w:rPr>
              <w:t>Status.</w:t>
            </w:r>
          </w:p>
        </w:tc>
      </w:tr>
      <w:tr w:rsidR="00B168DA" w:rsidRPr="00FB5F18" w14:paraId="79CE3872" w14:textId="77777777" w:rsidTr="00E3334E">
        <w:trPr>
          <w:trHeight w:val="461"/>
        </w:trPr>
        <w:tc>
          <w:tcPr>
            <w:tcW w:w="9841" w:type="dxa"/>
            <w:gridSpan w:val="7"/>
            <w:shd w:val="clear" w:color="auto" w:fill="9CC2E5" w:themeFill="accent5" w:themeFillTint="99"/>
            <w:vAlign w:val="center"/>
          </w:tcPr>
          <w:p w14:paraId="3CD2B09C" w14:textId="7CC85693" w:rsidR="00B168DA" w:rsidRPr="0014046B" w:rsidRDefault="00B168DA" w:rsidP="00B168DA">
            <w:pPr>
              <w:pStyle w:val="Paragraphedeliste"/>
              <w:numPr>
                <w:ilvl w:val="0"/>
                <w:numId w:val="15"/>
              </w:numPr>
              <w:spacing w:after="200" w:line="276" w:lineRule="auto"/>
              <w:rPr>
                <w:rFonts w:asciiTheme="majorHAnsi" w:hAnsiTheme="majorHAnsi" w:cstheme="majorHAnsi"/>
                <w:b/>
                <w:lang w:val="fr-SN"/>
              </w:rPr>
            </w:pPr>
            <w:r w:rsidRPr="0014046B">
              <w:rPr>
                <w:rFonts w:asciiTheme="majorHAnsi" w:hAnsiTheme="majorHAnsi" w:cstheme="majorHAnsi"/>
                <w:b/>
                <w:lang w:val="fr-SN"/>
              </w:rPr>
              <w:t xml:space="preserve">Actions prioritaires pour la </w:t>
            </w:r>
            <w:r w:rsidR="00C42956" w:rsidRPr="0014046B">
              <w:rPr>
                <w:rFonts w:asciiTheme="majorHAnsi" w:hAnsiTheme="majorHAnsi" w:cstheme="majorHAnsi"/>
                <w:b/>
                <w:lang w:val="fr-SN"/>
              </w:rPr>
              <w:t>mobilisation</w:t>
            </w:r>
            <w:r w:rsidRPr="0014046B">
              <w:rPr>
                <w:rFonts w:asciiTheme="majorHAnsi" w:hAnsiTheme="majorHAnsi" w:cstheme="majorHAnsi"/>
                <w:b/>
                <w:lang w:val="fr-SN"/>
              </w:rPr>
              <w:t xml:space="preserve"> de ressources </w:t>
            </w:r>
          </w:p>
        </w:tc>
      </w:tr>
      <w:tr w:rsidR="00B168DA" w:rsidRPr="005E5949" w14:paraId="1BF9D587" w14:textId="77777777" w:rsidTr="00925C05">
        <w:trPr>
          <w:trHeight w:val="982"/>
        </w:trPr>
        <w:tc>
          <w:tcPr>
            <w:tcW w:w="421" w:type="dxa"/>
            <w:vAlign w:val="center"/>
          </w:tcPr>
          <w:p w14:paraId="77585D34" w14:textId="77777777" w:rsidR="00B168DA" w:rsidRPr="005E5949" w:rsidRDefault="00B168DA" w:rsidP="003A348D">
            <w:pPr>
              <w:jc w:val="center"/>
              <w:rPr>
                <w:rFonts w:asciiTheme="majorHAnsi" w:hAnsiTheme="majorHAnsi" w:cstheme="majorHAnsi"/>
              </w:rPr>
            </w:pPr>
            <w:r w:rsidRPr="005E5949">
              <w:rPr>
                <w:rFonts w:asciiTheme="majorHAnsi" w:hAnsiTheme="majorHAnsi" w:cstheme="majorHAnsi"/>
              </w:rPr>
              <w:t>1</w:t>
            </w:r>
          </w:p>
        </w:tc>
        <w:tc>
          <w:tcPr>
            <w:tcW w:w="1963" w:type="dxa"/>
          </w:tcPr>
          <w:p w14:paraId="13FC9465" w14:textId="77777777"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 xml:space="preserve">Etablir des objectifs </w:t>
            </w:r>
            <w:proofErr w:type="spellStart"/>
            <w:r w:rsidRPr="0014046B">
              <w:rPr>
                <w:rFonts w:asciiTheme="majorHAnsi" w:hAnsiTheme="majorHAnsi" w:cstheme="majorHAnsi"/>
                <w:lang w:val="fr-SN"/>
              </w:rPr>
              <w:t>realistes</w:t>
            </w:r>
            <w:proofErr w:type="spellEnd"/>
            <w:r w:rsidRPr="0014046B">
              <w:rPr>
                <w:rFonts w:asciiTheme="majorHAnsi" w:hAnsiTheme="majorHAnsi" w:cstheme="majorHAnsi"/>
                <w:lang w:val="fr-SN"/>
              </w:rPr>
              <w:t xml:space="preserve"> de RM pour le CO</w:t>
            </w:r>
          </w:p>
        </w:tc>
        <w:tc>
          <w:tcPr>
            <w:tcW w:w="1698" w:type="dxa"/>
          </w:tcPr>
          <w:p w14:paraId="5BD5ADF2"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Définir des objectifs précis au regard des besoins</w:t>
            </w:r>
          </w:p>
        </w:tc>
        <w:tc>
          <w:tcPr>
            <w:tcW w:w="1565" w:type="dxa"/>
          </w:tcPr>
          <w:p w14:paraId="2F7F1327"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Etat actualisé des besoins de ressources</w:t>
            </w:r>
          </w:p>
        </w:tc>
        <w:tc>
          <w:tcPr>
            <w:tcW w:w="1011" w:type="dxa"/>
          </w:tcPr>
          <w:p w14:paraId="390E8AC5"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RR</w:t>
            </w:r>
          </w:p>
          <w:p w14:paraId="7DEE8BF8"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DRR</w:t>
            </w:r>
          </w:p>
          <w:p w14:paraId="437C9238"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 xml:space="preserve">Program Team Leader </w:t>
            </w:r>
          </w:p>
        </w:tc>
        <w:tc>
          <w:tcPr>
            <w:tcW w:w="1870" w:type="dxa"/>
          </w:tcPr>
          <w:p w14:paraId="1D024231"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Janvier 20</w:t>
            </w:r>
            <w:r>
              <w:rPr>
                <w:rFonts w:asciiTheme="majorHAnsi" w:hAnsiTheme="majorHAnsi" w:cstheme="majorHAnsi"/>
              </w:rPr>
              <w:t>22</w:t>
            </w:r>
          </w:p>
        </w:tc>
        <w:sdt>
          <w:sdtPr>
            <w:rPr>
              <w:rFonts w:asciiTheme="majorHAnsi" w:hAnsiTheme="majorHAnsi" w:cstheme="majorHAnsi"/>
            </w:rPr>
            <w:id w:val="-28804485"/>
            <w14:checkbox>
              <w14:checked w14:val="0"/>
              <w14:checkedState w14:val="2612" w14:font="MS Gothic"/>
              <w14:uncheckedState w14:val="2610" w14:font="MS Gothic"/>
            </w14:checkbox>
          </w:sdtPr>
          <w:sdtContent>
            <w:tc>
              <w:tcPr>
                <w:tcW w:w="1313" w:type="dxa"/>
                <w:shd w:val="clear" w:color="auto" w:fill="ED7D31" w:themeFill="accent2"/>
                <w:vAlign w:val="center"/>
              </w:tcPr>
              <w:p w14:paraId="7AB20F17" w14:textId="34E6E1FE" w:rsidR="00B168DA" w:rsidRPr="005E5949" w:rsidRDefault="00925C05" w:rsidP="003A348D">
                <w:pPr>
                  <w:jc w:val="center"/>
                  <w:rPr>
                    <w:rFonts w:asciiTheme="majorHAnsi" w:hAnsiTheme="majorHAnsi" w:cstheme="majorHAnsi"/>
                  </w:rPr>
                </w:pPr>
                <w:r>
                  <w:rPr>
                    <w:rFonts w:ascii="MS Gothic" w:eastAsia="MS Gothic" w:hAnsi="MS Gothic" w:cstheme="majorHAnsi" w:hint="eastAsia"/>
                  </w:rPr>
                  <w:t>☐</w:t>
                </w:r>
              </w:p>
            </w:tc>
          </w:sdtContent>
        </w:sdt>
      </w:tr>
      <w:tr w:rsidR="00B168DA" w:rsidRPr="005E5949" w14:paraId="35754B90" w14:textId="77777777" w:rsidTr="00925C05">
        <w:trPr>
          <w:trHeight w:val="722"/>
        </w:trPr>
        <w:tc>
          <w:tcPr>
            <w:tcW w:w="421" w:type="dxa"/>
            <w:vAlign w:val="center"/>
          </w:tcPr>
          <w:p w14:paraId="5A814C5F" w14:textId="77777777" w:rsidR="00B168DA" w:rsidRPr="005E5949" w:rsidRDefault="00B168DA" w:rsidP="003A348D">
            <w:pPr>
              <w:jc w:val="center"/>
              <w:rPr>
                <w:rFonts w:asciiTheme="majorHAnsi" w:hAnsiTheme="majorHAnsi" w:cstheme="majorHAnsi"/>
              </w:rPr>
            </w:pPr>
            <w:r w:rsidRPr="005E5949">
              <w:rPr>
                <w:rFonts w:asciiTheme="majorHAnsi" w:hAnsiTheme="majorHAnsi" w:cstheme="majorHAnsi"/>
              </w:rPr>
              <w:t>2</w:t>
            </w:r>
          </w:p>
        </w:tc>
        <w:tc>
          <w:tcPr>
            <w:tcW w:w="1963" w:type="dxa"/>
          </w:tcPr>
          <w:p w14:paraId="2D5BB86C" w14:textId="77777777"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Identifier les principales priorités en matière de mobilisation de ressources</w:t>
            </w:r>
          </w:p>
        </w:tc>
        <w:tc>
          <w:tcPr>
            <w:tcW w:w="1698" w:type="dxa"/>
          </w:tcPr>
          <w:p w14:paraId="32BECDE5" w14:textId="77777777" w:rsidR="00B168DA" w:rsidRPr="005E5949" w:rsidRDefault="00B168DA" w:rsidP="00B168DA">
            <w:pPr>
              <w:pStyle w:val="Paragraphedeliste"/>
              <w:numPr>
                <w:ilvl w:val="0"/>
                <w:numId w:val="14"/>
              </w:numPr>
              <w:ind w:left="175" w:hanging="175"/>
              <w:jc w:val="left"/>
              <w:rPr>
                <w:rFonts w:asciiTheme="majorHAnsi" w:hAnsiTheme="majorHAnsi" w:cstheme="majorHAnsi"/>
              </w:rPr>
            </w:pPr>
            <w:proofErr w:type="spellStart"/>
            <w:r w:rsidRPr="005E5949">
              <w:rPr>
                <w:rFonts w:asciiTheme="majorHAnsi" w:hAnsiTheme="majorHAnsi" w:cstheme="majorHAnsi"/>
              </w:rPr>
              <w:t>Actualiser</w:t>
            </w:r>
            <w:proofErr w:type="spellEnd"/>
            <w:r w:rsidRPr="005E5949">
              <w:rPr>
                <w:rFonts w:asciiTheme="majorHAnsi" w:hAnsiTheme="majorHAnsi" w:cstheme="majorHAnsi"/>
              </w:rPr>
              <w:t xml:space="preserve"> le pipeline</w:t>
            </w:r>
          </w:p>
        </w:tc>
        <w:tc>
          <w:tcPr>
            <w:tcW w:w="1565" w:type="dxa"/>
          </w:tcPr>
          <w:p w14:paraId="5CED88AE" w14:textId="77777777" w:rsidR="00B168DA" w:rsidRPr="005E5949" w:rsidRDefault="00B168DA" w:rsidP="00B168DA">
            <w:pPr>
              <w:pStyle w:val="Paragraphedeliste"/>
              <w:numPr>
                <w:ilvl w:val="0"/>
                <w:numId w:val="14"/>
              </w:numPr>
              <w:ind w:left="175" w:hanging="175"/>
              <w:jc w:val="left"/>
              <w:rPr>
                <w:rFonts w:asciiTheme="majorHAnsi" w:hAnsiTheme="majorHAnsi" w:cstheme="majorHAnsi"/>
              </w:rPr>
            </w:pPr>
            <w:r w:rsidRPr="005E5949">
              <w:rPr>
                <w:rFonts w:asciiTheme="majorHAnsi" w:hAnsiTheme="majorHAnsi" w:cstheme="majorHAnsi"/>
              </w:rPr>
              <w:t xml:space="preserve">Pipeline </w:t>
            </w:r>
            <w:proofErr w:type="spellStart"/>
            <w:r w:rsidRPr="005E5949">
              <w:rPr>
                <w:rFonts w:asciiTheme="majorHAnsi" w:hAnsiTheme="majorHAnsi" w:cstheme="majorHAnsi"/>
              </w:rPr>
              <w:t>actualisé</w:t>
            </w:r>
            <w:proofErr w:type="spellEnd"/>
          </w:p>
        </w:tc>
        <w:tc>
          <w:tcPr>
            <w:tcW w:w="1011" w:type="dxa"/>
          </w:tcPr>
          <w:p w14:paraId="1FA167C9"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RR</w:t>
            </w:r>
          </w:p>
          <w:p w14:paraId="0E174511"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 xml:space="preserve">Program Team Leader </w:t>
            </w:r>
          </w:p>
        </w:tc>
        <w:tc>
          <w:tcPr>
            <w:tcW w:w="1870" w:type="dxa"/>
          </w:tcPr>
          <w:p w14:paraId="2DC155C0" w14:textId="08E3D22E" w:rsidR="00B168DA" w:rsidRPr="005E5949" w:rsidRDefault="0027786A" w:rsidP="003A348D">
            <w:pPr>
              <w:jc w:val="left"/>
              <w:rPr>
                <w:rFonts w:asciiTheme="majorHAnsi" w:hAnsiTheme="majorHAnsi" w:cstheme="majorHAnsi"/>
              </w:rPr>
            </w:pPr>
            <w:r>
              <w:rPr>
                <w:rFonts w:asciiTheme="majorHAnsi" w:hAnsiTheme="majorHAnsi" w:cstheme="majorHAnsi"/>
              </w:rPr>
              <w:t xml:space="preserve">Mars </w:t>
            </w:r>
            <w:r w:rsidRPr="005E5949">
              <w:rPr>
                <w:rFonts w:asciiTheme="majorHAnsi" w:hAnsiTheme="majorHAnsi" w:cstheme="majorHAnsi"/>
              </w:rPr>
              <w:t>2022</w:t>
            </w:r>
          </w:p>
        </w:tc>
        <w:sdt>
          <w:sdtPr>
            <w:rPr>
              <w:rFonts w:asciiTheme="majorHAnsi" w:hAnsiTheme="majorHAnsi" w:cstheme="majorHAnsi"/>
            </w:rPr>
            <w:id w:val="154273905"/>
            <w14:checkbox>
              <w14:checked w14:val="1"/>
              <w14:checkedState w14:val="2612" w14:font="MS Gothic"/>
              <w14:uncheckedState w14:val="2610" w14:font="MS Gothic"/>
            </w14:checkbox>
          </w:sdtPr>
          <w:sdtContent>
            <w:tc>
              <w:tcPr>
                <w:tcW w:w="1313" w:type="dxa"/>
                <w:shd w:val="clear" w:color="auto" w:fill="00B050"/>
                <w:vAlign w:val="center"/>
              </w:tcPr>
              <w:p w14:paraId="6D035F8B" w14:textId="6DC154E6" w:rsidR="00B168DA" w:rsidRPr="005E5949" w:rsidRDefault="00925C05" w:rsidP="003A348D">
                <w:pPr>
                  <w:jc w:val="center"/>
                  <w:rPr>
                    <w:rFonts w:asciiTheme="majorHAnsi" w:hAnsiTheme="majorHAnsi" w:cstheme="majorHAnsi"/>
                  </w:rPr>
                </w:pPr>
                <w:r>
                  <w:rPr>
                    <w:rFonts w:ascii="MS Gothic" w:eastAsia="MS Gothic" w:hAnsi="MS Gothic" w:cstheme="majorHAnsi" w:hint="eastAsia"/>
                  </w:rPr>
                  <w:t>☒</w:t>
                </w:r>
              </w:p>
            </w:tc>
          </w:sdtContent>
        </w:sdt>
      </w:tr>
      <w:tr w:rsidR="00B168DA" w:rsidRPr="005E5949" w14:paraId="008AE1F8" w14:textId="77777777" w:rsidTr="003C041C">
        <w:trPr>
          <w:trHeight w:val="2190"/>
        </w:trPr>
        <w:tc>
          <w:tcPr>
            <w:tcW w:w="421" w:type="dxa"/>
            <w:vAlign w:val="center"/>
          </w:tcPr>
          <w:p w14:paraId="6FE094B9" w14:textId="77777777" w:rsidR="00B168DA" w:rsidRPr="005E5949" w:rsidRDefault="00B168DA" w:rsidP="003A348D">
            <w:pPr>
              <w:jc w:val="center"/>
              <w:rPr>
                <w:rFonts w:asciiTheme="majorHAnsi" w:hAnsiTheme="majorHAnsi" w:cstheme="majorHAnsi"/>
              </w:rPr>
            </w:pPr>
            <w:r w:rsidRPr="005E5949">
              <w:rPr>
                <w:rFonts w:asciiTheme="majorHAnsi" w:hAnsiTheme="majorHAnsi" w:cstheme="majorHAnsi"/>
              </w:rPr>
              <w:t>3</w:t>
            </w:r>
          </w:p>
        </w:tc>
        <w:tc>
          <w:tcPr>
            <w:tcW w:w="1963" w:type="dxa"/>
            <w:vAlign w:val="center"/>
          </w:tcPr>
          <w:p w14:paraId="15B66D01" w14:textId="6CDFFA4C"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 xml:space="preserve">Mettre en </w:t>
            </w:r>
            <w:r w:rsidR="00FF466F" w:rsidRPr="0014046B">
              <w:rPr>
                <w:rFonts w:asciiTheme="majorHAnsi" w:hAnsiTheme="majorHAnsi" w:cstheme="majorHAnsi"/>
                <w:lang w:val="fr-SN"/>
              </w:rPr>
              <w:t>œuvre</w:t>
            </w:r>
            <w:r w:rsidRPr="0014046B">
              <w:rPr>
                <w:rFonts w:asciiTheme="majorHAnsi" w:hAnsiTheme="majorHAnsi" w:cstheme="majorHAnsi"/>
                <w:lang w:val="fr-SN"/>
              </w:rPr>
              <w:t xml:space="preserve"> le plan d’action du PCAP</w:t>
            </w:r>
            <w:r w:rsidR="001E6B54">
              <w:rPr>
                <w:rFonts w:asciiTheme="majorHAnsi" w:hAnsiTheme="majorHAnsi" w:cstheme="majorHAnsi"/>
                <w:lang w:val="fr-SN"/>
              </w:rPr>
              <w:t xml:space="preserve"> (</w:t>
            </w:r>
            <w:r w:rsidR="001E6B54" w:rsidRPr="001E6B54">
              <w:rPr>
                <w:rFonts w:asciiTheme="majorHAnsi" w:hAnsiTheme="majorHAnsi" w:cstheme="majorHAnsi"/>
                <w:lang w:val="fr-CI"/>
              </w:rPr>
              <w:t>Partn</w:t>
            </w:r>
            <w:r w:rsidR="001E6B54">
              <w:rPr>
                <w:rFonts w:asciiTheme="majorHAnsi" w:hAnsiTheme="majorHAnsi" w:cstheme="majorHAnsi"/>
                <w:lang w:val="fr-CI"/>
              </w:rPr>
              <w:t>er</w:t>
            </w:r>
            <w:r w:rsidR="001E6B54" w:rsidRPr="001E6B54">
              <w:rPr>
                <w:rFonts w:asciiTheme="majorHAnsi" w:hAnsiTheme="majorHAnsi" w:cstheme="majorHAnsi"/>
                <w:lang w:val="fr-CI"/>
              </w:rPr>
              <w:t>sh</w:t>
            </w:r>
            <w:r w:rsidR="001E6B54">
              <w:rPr>
                <w:rFonts w:asciiTheme="majorHAnsi" w:hAnsiTheme="majorHAnsi" w:cstheme="majorHAnsi"/>
                <w:lang w:val="fr-CI"/>
              </w:rPr>
              <w:t>ip</w:t>
            </w:r>
            <w:r w:rsidR="001E6B54" w:rsidRPr="001E6B54">
              <w:rPr>
                <w:rFonts w:asciiTheme="majorHAnsi" w:hAnsiTheme="majorHAnsi" w:cstheme="majorHAnsi"/>
                <w:lang w:val="fr-CI"/>
              </w:rPr>
              <w:t xml:space="preserve"> and communication action plan</w:t>
            </w:r>
            <w:r w:rsidR="001E6B54">
              <w:rPr>
                <w:rFonts w:asciiTheme="majorHAnsi" w:hAnsiTheme="majorHAnsi" w:cstheme="majorHAnsi"/>
                <w:lang w:val="fr-CI"/>
              </w:rPr>
              <w:t>)</w:t>
            </w:r>
            <w:r w:rsidRPr="0014046B">
              <w:rPr>
                <w:rFonts w:asciiTheme="majorHAnsi" w:hAnsiTheme="majorHAnsi" w:cstheme="majorHAnsi"/>
                <w:lang w:val="fr-SN"/>
              </w:rPr>
              <w:t xml:space="preserve"> sur la base des priorités en matière de mobilisation de ressources</w:t>
            </w:r>
          </w:p>
        </w:tc>
        <w:tc>
          <w:tcPr>
            <w:tcW w:w="1698" w:type="dxa"/>
            <w:vAlign w:val="center"/>
          </w:tcPr>
          <w:p w14:paraId="2C47E269" w14:textId="77777777" w:rsidR="00B168DA"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Avoir une approche clair</w:t>
            </w:r>
            <w:r>
              <w:rPr>
                <w:rFonts w:asciiTheme="majorHAnsi" w:hAnsiTheme="majorHAnsi" w:cstheme="majorHAnsi"/>
                <w:lang w:val="fr-SN"/>
              </w:rPr>
              <w:t xml:space="preserve">e </w:t>
            </w:r>
            <w:r w:rsidRPr="0014046B">
              <w:rPr>
                <w:rFonts w:asciiTheme="majorHAnsi" w:hAnsiTheme="majorHAnsi" w:cstheme="majorHAnsi"/>
                <w:lang w:val="fr-SN"/>
              </w:rPr>
              <w:t>pour le financement des pipelines identifiés</w:t>
            </w:r>
          </w:p>
          <w:p w14:paraId="12807324" w14:textId="67922D45" w:rsidR="00E94A1E" w:rsidRPr="00906C05" w:rsidRDefault="00E94A1E" w:rsidP="001E6B54">
            <w:pPr>
              <w:pStyle w:val="Paragraphedeliste"/>
              <w:ind w:left="175"/>
              <w:jc w:val="left"/>
              <w:rPr>
                <w:rFonts w:asciiTheme="majorHAnsi" w:hAnsiTheme="majorHAnsi" w:cstheme="majorHAnsi"/>
                <w:lang w:val="fr-CI"/>
              </w:rPr>
            </w:pPr>
          </w:p>
        </w:tc>
        <w:tc>
          <w:tcPr>
            <w:tcW w:w="1565" w:type="dxa"/>
            <w:vAlign w:val="center"/>
          </w:tcPr>
          <w:p w14:paraId="64CDF342" w14:textId="3DC9DB60" w:rsidR="00B168DA" w:rsidRPr="000627C6" w:rsidRDefault="00B168DA" w:rsidP="000627C6">
            <w:pPr>
              <w:spacing w:after="200" w:line="276" w:lineRule="auto"/>
              <w:rPr>
                <w:rFonts w:asciiTheme="majorHAnsi" w:hAnsiTheme="majorHAnsi" w:cstheme="majorHAnsi"/>
                <w:lang w:val="fr-SN"/>
              </w:rPr>
            </w:pPr>
            <w:r w:rsidRPr="000627C6">
              <w:rPr>
                <w:rFonts w:asciiTheme="majorHAnsi" w:hAnsiTheme="majorHAnsi" w:cstheme="majorHAnsi"/>
                <w:lang w:val="fr-SN"/>
              </w:rPr>
              <w:t>Une approche précise</w:t>
            </w:r>
            <w:r w:rsidR="000627C6">
              <w:rPr>
                <w:rFonts w:asciiTheme="majorHAnsi" w:hAnsiTheme="majorHAnsi" w:cstheme="majorHAnsi"/>
                <w:lang w:val="fr-SN"/>
              </w:rPr>
              <w:t xml:space="preserve"> </w:t>
            </w:r>
            <w:r w:rsidRPr="000627C6">
              <w:rPr>
                <w:rFonts w:asciiTheme="majorHAnsi" w:hAnsiTheme="majorHAnsi" w:cstheme="majorHAnsi"/>
                <w:lang w:val="fr-SN"/>
              </w:rPr>
              <w:t xml:space="preserve">est défini, la stratégie de communication est mise en </w:t>
            </w:r>
            <w:r w:rsidR="00FF466F" w:rsidRPr="000627C6">
              <w:rPr>
                <w:rFonts w:asciiTheme="majorHAnsi" w:hAnsiTheme="majorHAnsi" w:cstheme="majorHAnsi"/>
                <w:lang w:val="fr-SN"/>
              </w:rPr>
              <w:t>œuvre</w:t>
            </w:r>
            <w:r w:rsidRPr="000627C6">
              <w:rPr>
                <w:rFonts w:asciiTheme="majorHAnsi" w:hAnsiTheme="majorHAnsi" w:cstheme="majorHAnsi"/>
                <w:lang w:val="fr-SN"/>
              </w:rPr>
              <w:t xml:space="preserve"> et le suivi est réalisé</w:t>
            </w:r>
          </w:p>
        </w:tc>
        <w:tc>
          <w:tcPr>
            <w:tcW w:w="1011" w:type="dxa"/>
            <w:vAlign w:val="center"/>
          </w:tcPr>
          <w:p w14:paraId="4BFA1A3F"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Management</w:t>
            </w:r>
          </w:p>
          <w:p w14:paraId="54CDB29C" w14:textId="77777777" w:rsidR="00B168DA" w:rsidRDefault="00B168DA" w:rsidP="003A348D">
            <w:pPr>
              <w:jc w:val="left"/>
              <w:rPr>
                <w:rFonts w:asciiTheme="majorHAnsi" w:hAnsiTheme="majorHAnsi" w:cstheme="majorHAnsi"/>
              </w:rPr>
            </w:pPr>
            <w:r w:rsidRPr="005E5949">
              <w:rPr>
                <w:rFonts w:asciiTheme="majorHAnsi" w:hAnsiTheme="majorHAnsi" w:cstheme="majorHAnsi"/>
              </w:rPr>
              <w:t>Team Leaders</w:t>
            </w:r>
          </w:p>
          <w:p w14:paraId="7249EEB3" w14:textId="77777777" w:rsidR="00B168DA" w:rsidRPr="003A348D" w:rsidRDefault="00B168DA" w:rsidP="003A348D">
            <w:pPr>
              <w:jc w:val="left"/>
              <w:rPr>
                <w:rFonts w:asciiTheme="majorHAnsi" w:hAnsiTheme="majorHAnsi" w:cstheme="majorHAnsi"/>
                <w:lang w:val="fr-SN"/>
              </w:rPr>
            </w:pPr>
            <w:r w:rsidRPr="003A348D">
              <w:rPr>
                <w:rFonts w:asciiTheme="majorHAnsi" w:hAnsiTheme="majorHAnsi" w:cstheme="majorHAnsi"/>
                <w:lang w:val="fr-SN"/>
              </w:rPr>
              <w:t>Analystes</w:t>
            </w:r>
          </w:p>
          <w:p w14:paraId="195735AD" w14:textId="77777777" w:rsidR="00B168DA" w:rsidRPr="003A348D" w:rsidRDefault="00B168DA" w:rsidP="003A348D">
            <w:pPr>
              <w:jc w:val="left"/>
              <w:rPr>
                <w:rFonts w:asciiTheme="majorHAnsi" w:hAnsiTheme="majorHAnsi" w:cstheme="majorHAnsi"/>
                <w:lang w:val="fr-SN"/>
              </w:rPr>
            </w:pPr>
            <w:r w:rsidRPr="003A348D">
              <w:rPr>
                <w:rFonts w:asciiTheme="majorHAnsi" w:hAnsiTheme="majorHAnsi" w:cstheme="majorHAnsi"/>
                <w:lang w:val="fr-SN"/>
              </w:rPr>
              <w:t>Expert en Communication</w:t>
            </w:r>
          </w:p>
          <w:p w14:paraId="41B2F002" w14:textId="77777777" w:rsidR="00B168DA" w:rsidRPr="003A348D" w:rsidRDefault="00B168DA" w:rsidP="003A348D">
            <w:pPr>
              <w:jc w:val="left"/>
              <w:rPr>
                <w:rFonts w:asciiTheme="majorHAnsi" w:hAnsiTheme="majorHAnsi" w:cstheme="majorHAnsi"/>
                <w:lang w:val="fr-SN"/>
              </w:rPr>
            </w:pPr>
            <w:r w:rsidRPr="003A348D">
              <w:rPr>
                <w:rFonts w:asciiTheme="majorHAnsi" w:hAnsiTheme="majorHAnsi" w:cstheme="majorHAnsi"/>
                <w:lang w:val="fr-SN"/>
              </w:rPr>
              <w:t xml:space="preserve">PMSU </w:t>
            </w:r>
          </w:p>
        </w:tc>
        <w:tc>
          <w:tcPr>
            <w:tcW w:w="1870" w:type="dxa"/>
            <w:vAlign w:val="center"/>
          </w:tcPr>
          <w:p w14:paraId="08AE657B" w14:textId="77777777" w:rsidR="00B168DA" w:rsidRPr="005E5949" w:rsidRDefault="00B168DA" w:rsidP="003A348D">
            <w:pPr>
              <w:jc w:val="left"/>
              <w:rPr>
                <w:rFonts w:asciiTheme="majorHAnsi" w:hAnsiTheme="majorHAnsi" w:cstheme="majorHAnsi"/>
              </w:rPr>
            </w:pPr>
            <w:r>
              <w:rPr>
                <w:rFonts w:asciiTheme="majorHAnsi" w:hAnsiTheme="majorHAnsi" w:cstheme="majorHAnsi"/>
              </w:rPr>
              <w:t xml:space="preserve">Juillet </w:t>
            </w:r>
            <w:r w:rsidRPr="005E5949">
              <w:rPr>
                <w:rFonts w:asciiTheme="majorHAnsi" w:hAnsiTheme="majorHAnsi" w:cstheme="majorHAnsi"/>
              </w:rPr>
              <w:t>20</w:t>
            </w:r>
            <w:r>
              <w:rPr>
                <w:rFonts w:asciiTheme="majorHAnsi" w:hAnsiTheme="majorHAnsi" w:cstheme="majorHAnsi"/>
              </w:rPr>
              <w:t>22</w:t>
            </w:r>
          </w:p>
        </w:tc>
        <w:sdt>
          <w:sdtPr>
            <w:rPr>
              <w:rFonts w:asciiTheme="majorHAnsi" w:hAnsiTheme="majorHAnsi" w:cstheme="majorHAnsi"/>
              <w:color w:val="538135" w:themeColor="accent6" w:themeShade="BF"/>
            </w:rPr>
            <w:id w:val="976879293"/>
            <w14:checkbox>
              <w14:checked w14:val="0"/>
              <w14:checkedState w14:val="2612" w14:font="MS Gothic"/>
              <w14:uncheckedState w14:val="2610" w14:font="MS Gothic"/>
            </w14:checkbox>
          </w:sdtPr>
          <w:sdtContent>
            <w:tc>
              <w:tcPr>
                <w:tcW w:w="1313" w:type="dxa"/>
                <w:shd w:val="clear" w:color="auto" w:fill="00B050"/>
                <w:vAlign w:val="center"/>
              </w:tcPr>
              <w:p w14:paraId="2577D09D" w14:textId="69087956" w:rsidR="00B168DA" w:rsidRPr="005E5949" w:rsidRDefault="003C041C" w:rsidP="003A348D">
                <w:pPr>
                  <w:jc w:val="center"/>
                  <w:rPr>
                    <w:rFonts w:asciiTheme="majorHAnsi" w:hAnsiTheme="majorHAnsi" w:cstheme="majorHAnsi"/>
                  </w:rPr>
                </w:pPr>
                <w:r>
                  <w:rPr>
                    <w:rFonts w:ascii="MS Gothic" w:eastAsia="MS Gothic" w:hAnsi="MS Gothic" w:cstheme="majorHAnsi" w:hint="eastAsia"/>
                    <w:color w:val="538135" w:themeColor="accent6" w:themeShade="BF"/>
                  </w:rPr>
                  <w:t>☐</w:t>
                </w:r>
              </w:p>
            </w:tc>
          </w:sdtContent>
        </w:sdt>
      </w:tr>
      <w:tr w:rsidR="00B168DA" w:rsidRPr="005E5949" w14:paraId="67CB6A66" w14:textId="77777777" w:rsidTr="004B7F51">
        <w:trPr>
          <w:trHeight w:val="1481"/>
        </w:trPr>
        <w:tc>
          <w:tcPr>
            <w:tcW w:w="421" w:type="dxa"/>
            <w:vAlign w:val="center"/>
          </w:tcPr>
          <w:p w14:paraId="6B0B8CC8" w14:textId="77777777" w:rsidR="00B168DA" w:rsidRPr="005E5949" w:rsidRDefault="00B168DA" w:rsidP="003A348D">
            <w:pPr>
              <w:jc w:val="center"/>
              <w:rPr>
                <w:rFonts w:asciiTheme="majorHAnsi" w:hAnsiTheme="majorHAnsi" w:cstheme="majorHAnsi"/>
              </w:rPr>
            </w:pPr>
            <w:r w:rsidRPr="005E5949">
              <w:rPr>
                <w:rFonts w:asciiTheme="majorHAnsi" w:hAnsiTheme="majorHAnsi" w:cstheme="majorHAnsi"/>
              </w:rPr>
              <w:t>4</w:t>
            </w:r>
          </w:p>
        </w:tc>
        <w:tc>
          <w:tcPr>
            <w:tcW w:w="1963" w:type="dxa"/>
            <w:vAlign w:val="center"/>
          </w:tcPr>
          <w:p w14:paraId="3524BC82" w14:textId="432AF507"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Mettre en place un</w:t>
            </w:r>
            <w:r>
              <w:rPr>
                <w:rFonts w:asciiTheme="majorHAnsi" w:hAnsiTheme="majorHAnsi" w:cstheme="majorHAnsi"/>
                <w:lang w:val="fr-SN"/>
              </w:rPr>
              <w:t xml:space="preserve">e </w:t>
            </w:r>
            <w:proofErr w:type="spellStart"/>
            <w:r>
              <w:rPr>
                <w:rFonts w:asciiTheme="majorHAnsi" w:hAnsiTheme="majorHAnsi" w:cstheme="majorHAnsi"/>
                <w:lang w:val="fr-SN"/>
              </w:rPr>
              <w:t>task</w:t>
            </w:r>
            <w:proofErr w:type="spellEnd"/>
            <w:r>
              <w:rPr>
                <w:rFonts w:asciiTheme="majorHAnsi" w:hAnsiTheme="majorHAnsi" w:cstheme="majorHAnsi"/>
                <w:lang w:val="fr-SN"/>
              </w:rPr>
              <w:t xml:space="preserve"> force</w:t>
            </w:r>
            <w:r w:rsidRPr="0014046B">
              <w:rPr>
                <w:rFonts w:asciiTheme="majorHAnsi" w:hAnsiTheme="majorHAnsi" w:cstheme="majorHAnsi"/>
                <w:lang w:val="fr-SN"/>
              </w:rPr>
              <w:t xml:space="preserve"> de mobili</w:t>
            </w:r>
            <w:r w:rsidR="00FF466F">
              <w:rPr>
                <w:rFonts w:asciiTheme="majorHAnsi" w:hAnsiTheme="majorHAnsi" w:cstheme="majorHAnsi"/>
                <w:lang w:val="fr-SN"/>
              </w:rPr>
              <w:t>s</w:t>
            </w:r>
            <w:r w:rsidRPr="0014046B">
              <w:rPr>
                <w:rFonts w:asciiTheme="majorHAnsi" w:hAnsiTheme="majorHAnsi" w:cstheme="majorHAnsi"/>
                <w:lang w:val="fr-SN"/>
              </w:rPr>
              <w:t>ation de ressources et de partenariat</w:t>
            </w:r>
          </w:p>
        </w:tc>
        <w:tc>
          <w:tcPr>
            <w:tcW w:w="1698" w:type="dxa"/>
            <w:vAlign w:val="center"/>
          </w:tcPr>
          <w:p w14:paraId="5D60A329"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 xml:space="preserve">Mettre à jour le PCAP du CO et assurer le suivi de sa mise en </w:t>
            </w:r>
            <w:proofErr w:type="spellStart"/>
            <w:r w:rsidRPr="0014046B">
              <w:rPr>
                <w:rFonts w:asciiTheme="majorHAnsi" w:hAnsiTheme="majorHAnsi" w:cstheme="majorHAnsi"/>
                <w:lang w:val="fr-SN"/>
              </w:rPr>
              <w:t>oeuvre</w:t>
            </w:r>
            <w:proofErr w:type="spellEnd"/>
          </w:p>
        </w:tc>
        <w:tc>
          <w:tcPr>
            <w:tcW w:w="1565" w:type="dxa"/>
            <w:vAlign w:val="center"/>
          </w:tcPr>
          <w:p w14:paraId="5F60573A" w14:textId="2F89BA8C" w:rsidR="00B168DA" w:rsidRPr="000627C6" w:rsidRDefault="00B168DA" w:rsidP="000627C6">
            <w:pPr>
              <w:spacing w:after="200" w:line="276" w:lineRule="auto"/>
              <w:rPr>
                <w:rFonts w:asciiTheme="majorHAnsi" w:hAnsiTheme="majorHAnsi" w:cstheme="majorHAnsi"/>
                <w:lang w:val="fr-SN"/>
              </w:rPr>
            </w:pPr>
            <w:proofErr w:type="spellStart"/>
            <w:r w:rsidRPr="000627C6">
              <w:rPr>
                <w:rFonts w:asciiTheme="majorHAnsi" w:hAnsiTheme="majorHAnsi" w:cstheme="majorHAnsi"/>
                <w:lang w:val="fr-SN"/>
              </w:rPr>
              <w:t>Task</w:t>
            </w:r>
            <w:proofErr w:type="spellEnd"/>
            <w:r w:rsidRPr="000627C6">
              <w:rPr>
                <w:rFonts w:asciiTheme="majorHAnsi" w:hAnsiTheme="majorHAnsi" w:cstheme="majorHAnsi"/>
                <w:lang w:val="fr-SN"/>
              </w:rPr>
              <w:t xml:space="preserve"> </w:t>
            </w:r>
            <w:r w:rsidR="00FF466F" w:rsidRPr="000627C6">
              <w:rPr>
                <w:rFonts w:asciiTheme="majorHAnsi" w:hAnsiTheme="majorHAnsi" w:cstheme="majorHAnsi"/>
                <w:lang w:val="fr-SN"/>
              </w:rPr>
              <w:t>force de</w:t>
            </w:r>
            <w:r w:rsidRPr="000627C6">
              <w:rPr>
                <w:rFonts w:asciiTheme="majorHAnsi" w:hAnsiTheme="majorHAnsi" w:cstheme="majorHAnsi"/>
                <w:lang w:val="fr-SN"/>
              </w:rPr>
              <w:t xml:space="preserve"> mobili</w:t>
            </w:r>
            <w:r w:rsidR="00FF466F">
              <w:rPr>
                <w:rFonts w:asciiTheme="majorHAnsi" w:hAnsiTheme="majorHAnsi" w:cstheme="majorHAnsi"/>
                <w:lang w:val="fr-SN"/>
              </w:rPr>
              <w:t>s</w:t>
            </w:r>
            <w:r w:rsidRPr="000627C6">
              <w:rPr>
                <w:rFonts w:asciiTheme="majorHAnsi" w:hAnsiTheme="majorHAnsi" w:cstheme="majorHAnsi"/>
                <w:lang w:val="fr-SN"/>
              </w:rPr>
              <w:t>ation de ressources et partenariat fonctionnel</w:t>
            </w:r>
          </w:p>
        </w:tc>
        <w:tc>
          <w:tcPr>
            <w:tcW w:w="1011" w:type="dxa"/>
            <w:vAlign w:val="center"/>
          </w:tcPr>
          <w:p w14:paraId="0DFF252A"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Management</w:t>
            </w:r>
          </w:p>
          <w:p w14:paraId="10416E9D" w14:textId="77777777" w:rsidR="00B168DA" w:rsidRDefault="00B168DA" w:rsidP="003A348D">
            <w:pPr>
              <w:jc w:val="left"/>
              <w:rPr>
                <w:rFonts w:asciiTheme="majorHAnsi" w:hAnsiTheme="majorHAnsi" w:cstheme="majorHAnsi"/>
              </w:rPr>
            </w:pPr>
            <w:r w:rsidRPr="005E5949">
              <w:rPr>
                <w:rFonts w:asciiTheme="majorHAnsi" w:hAnsiTheme="majorHAnsi" w:cstheme="majorHAnsi"/>
              </w:rPr>
              <w:t>Team Leaders</w:t>
            </w:r>
          </w:p>
          <w:p w14:paraId="393D32E9" w14:textId="77777777" w:rsidR="00B168DA" w:rsidRPr="003A348D" w:rsidRDefault="00B168DA" w:rsidP="003A348D">
            <w:pPr>
              <w:jc w:val="left"/>
              <w:rPr>
                <w:rFonts w:asciiTheme="majorHAnsi" w:hAnsiTheme="majorHAnsi" w:cstheme="majorHAnsi"/>
              </w:rPr>
            </w:pPr>
            <w:proofErr w:type="spellStart"/>
            <w:r w:rsidRPr="003A348D">
              <w:rPr>
                <w:rFonts w:asciiTheme="majorHAnsi" w:hAnsiTheme="majorHAnsi" w:cstheme="majorHAnsi"/>
              </w:rPr>
              <w:t>Analystes</w:t>
            </w:r>
            <w:proofErr w:type="spellEnd"/>
          </w:p>
          <w:p w14:paraId="7BD6DF1F" w14:textId="77777777" w:rsidR="00B168DA" w:rsidRPr="005E5949" w:rsidRDefault="00B168DA" w:rsidP="003A348D">
            <w:pPr>
              <w:jc w:val="left"/>
              <w:rPr>
                <w:rFonts w:asciiTheme="majorHAnsi" w:hAnsiTheme="majorHAnsi" w:cstheme="majorHAnsi"/>
              </w:rPr>
            </w:pPr>
            <w:r w:rsidRPr="003A348D">
              <w:rPr>
                <w:rFonts w:asciiTheme="majorHAnsi" w:hAnsiTheme="majorHAnsi" w:cstheme="majorHAnsi"/>
              </w:rPr>
              <w:t xml:space="preserve">PMSU </w:t>
            </w:r>
          </w:p>
        </w:tc>
        <w:tc>
          <w:tcPr>
            <w:tcW w:w="1870" w:type="dxa"/>
            <w:vAlign w:val="center"/>
          </w:tcPr>
          <w:p w14:paraId="74983F2A" w14:textId="77777777" w:rsidR="00B168DA" w:rsidRDefault="00B168DA" w:rsidP="003A348D">
            <w:pPr>
              <w:jc w:val="left"/>
              <w:rPr>
                <w:rFonts w:asciiTheme="majorHAnsi" w:hAnsiTheme="majorHAnsi" w:cstheme="majorHAnsi"/>
              </w:rPr>
            </w:pPr>
            <w:r>
              <w:rPr>
                <w:rFonts w:asciiTheme="majorHAnsi" w:hAnsiTheme="majorHAnsi" w:cstheme="majorHAnsi"/>
              </w:rPr>
              <w:t xml:space="preserve">Fevrier </w:t>
            </w:r>
            <w:r w:rsidRPr="005E5949">
              <w:rPr>
                <w:rFonts w:asciiTheme="majorHAnsi" w:hAnsiTheme="majorHAnsi" w:cstheme="majorHAnsi"/>
              </w:rPr>
              <w:t>20</w:t>
            </w:r>
            <w:r>
              <w:rPr>
                <w:rFonts w:asciiTheme="majorHAnsi" w:hAnsiTheme="majorHAnsi" w:cstheme="majorHAnsi"/>
              </w:rPr>
              <w:t>22</w:t>
            </w:r>
          </w:p>
          <w:p w14:paraId="7D3A973A" w14:textId="4B981092" w:rsidR="00DF6E7F" w:rsidRPr="005E5949" w:rsidRDefault="00DF6E7F" w:rsidP="003A348D">
            <w:pPr>
              <w:jc w:val="left"/>
              <w:rPr>
                <w:rFonts w:asciiTheme="majorHAnsi" w:hAnsiTheme="majorHAnsi" w:cstheme="majorHAnsi"/>
              </w:rPr>
            </w:pPr>
            <w:r>
              <w:rPr>
                <w:rFonts w:asciiTheme="majorHAnsi" w:hAnsiTheme="majorHAnsi" w:cstheme="majorHAnsi"/>
              </w:rPr>
              <w:t xml:space="preserve"> </w:t>
            </w:r>
          </w:p>
        </w:tc>
        <w:sdt>
          <w:sdtPr>
            <w:rPr>
              <w:rFonts w:asciiTheme="majorHAnsi" w:hAnsiTheme="majorHAnsi" w:cstheme="majorHAnsi"/>
            </w:rPr>
            <w:id w:val="826639644"/>
            <w14:checkbox>
              <w14:checked w14:val="1"/>
              <w14:checkedState w14:val="2612" w14:font="MS Gothic"/>
              <w14:uncheckedState w14:val="2610" w14:font="MS Gothic"/>
            </w14:checkbox>
          </w:sdtPr>
          <w:sdtContent>
            <w:tc>
              <w:tcPr>
                <w:tcW w:w="1313" w:type="dxa"/>
                <w:shd w:val="clear" w:color="auto" w:fill="00B050"/>
                <w:vAlign w:val="center"/>
              </w:tcPr>
              <w:p w14:paraId="4BC88CB9" w14:textId="77777777" w:rsidR="00B168DA" w:rsidRPr="005E5949" w:rsidRDefault="00B168DA" w:rsidP="003A348D">
                <w:pPr>
                  <w:jc w:val="center"/>
                  <w:rPr>
                    <w:rFonts w:asciiTheme="majorHAnsi" w:hAnsiTheme="majorHAnsi" w:cstheme="majorHAnsi"/>
                  </w:rPr>
                </w:pPr>
                <w:r w:rsidRPr="005E5949">
                  <w:rPr>
                    <w:rFonts w:ascii="Segoe UI Symbol" w:eastAsia="MS Gothic" w:hAnsi="Segoe UI Symbol" w:cs="Segoe UI Symbol"/>
                  </w:rPr>
                  <w:t>☒</w:t>
                </w:r>
              </w:p>
            </w:tc>
          </w:sdtContent>
        </w:sdt>
      </w:tr>
      <w:tr w:rsidR="00B168DA" w:rsidRPr="005E5949" w14:paraId="763C59C9" w14:textId="77777777" w:rsidTr="00925C05">
        <w:trPr>
          <w:trHeight w:val="731"/>
        </w:trPr>
        <w:tc>
          <w:tcPr>
            <w:tcW w:w="421" w:type="dxa"/>
            <w:vAlign w:val="center"/>
          </w:tcPr>
          <w:p w14:paraId="01BDB90E" w14:textId="77777777" w:rsidR="00B168DA" w:rsidRPr="005E5949" w:rsidRDefault="00B168DA" w:rsidP="003A348D">
            <w:pPr>
              <w:jc w:val="center"/>
              <w:rPr>
                <w:rFonts w:asciiTheme="majorHAnsi" w:hAnsiTheme="majorHAnsi" w:cstheme="majorHAnsi"/>
              </w:rPr>
            </w:pPr>
            <w:r w:rsidRPr="005E5949">
              <w:rPr>
                <w:rFonts w:asciiTheme="majorHAnsi" w:hAnsiTheme="majorHAnsi" w:cstheme="majorHAnsi"/>
              </w:rPr>
              <w:t>5</w:t>
            </w:r>
          </w:p>
        </w:tc>
        <w:tc>
          <w:tcPr>
            <w:tcW w:w="1963" w:type="dxa"/>
            <w:vAlign w:val="center"/>
          </w:tcPr>
          <w:p w14:paraId="6670F413" w14:textId="77777777"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Faire la revue du PCAP actuel en vue de son actualisation</w:t>
            </w:r>
          </w:p>
        </w:tc>
        <w:tc>
          <w:tcPr>
            <w:tcW w:w="1698" w:type="dxa"/>
            <w:vAlign w:val="center"/>
          </w:tcPr>
          <w:p w14:paraId="16505A45"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Permettre au CO de gérer systématiquement les partenariats et la mobilisation de ressources, conformément aux nouveaux défis et context</w:t>
            </w:r>
            <w:r>
              <w:rPr>
                <w:rFonts w:asciiTheme="majorHAnsi" w:hAnsiTheme="majorHAnsi" w:cstheme="majorHAnsi"/>
                <w:lang w:val="fr-SN"/>
              </w:rPr>
              <w:t xml:space="preserve">es </w:t>
            </w:r>
          </w:p>
        </w:tc>
        <w:tc>
          <w:tcPr>
            <w:tcW w:w="1565" w:type="dxa"/>
            <w:vAlign w:val="center"/>
          </w:tcPr>
          <w:p w14:paraId="23A3B99F" w14:textId="77777777" w:rsidR="00B168DA" w:rsidRPr="005E5949" w:rsidRDefault="00B168DA" w:rsidP="00B168DA">
            <w:pPr>
              <w:pStyle w:val="Paragraphedeliste"/>
              <w:numPr>
                <w:ilvl w:val="0"/>
                <w:numId w:val="14"/>
              </w:numPr>
              <w:ind w:left="175" w:hanging="175"/>
              <w:jc w:val="left"/>
              <w:rPr>
                <w:rFonts w:asciiTheme="majorHAnsi" w:hAnsiTheme="majorHAnsi" w:cstheme="majorHAnsi"/>
              </w:rPr>
            </w:pPr>
            <w:r w:rsidRPr="005E5949">
              <w:rPr>
                <w:rFonts w:asciiTheme="majorHAnsi" w:hAnsiTheme="majorHAnsi" w:cstheme="majorHAnsi"/>
              </w:rPr>
              <w:t xml:space="preserve">PCAP </w:t>
            </w:r>
            <w:proofErr w:type="spellStart"/>
            <w:r w:rsidRPr="005E5949">
              <w:rPr>
                <w:rFonts w:asciiTheme="majorHAnsi" w:hAnsiTheme="majorHAnsi" w:cstheme="majorHAnsi"/>
              </w:rPr>
              <w:t>actualisé</w:t>
            </w:r>
            <w:proofErr w:type="spellEnd"/>
          </w:p>
        </w:tc>
        <w:tc>
          <w:tcPr>
            <w:tcW w:w="1011" w:type="dxa"/>
            <w:vAlign w:val="center"/>
          </w:tcPr>
          <w:p w14:paraId="5B14D736" w14:textId="5E299ADC"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Comité de mobili</w:t>
            </w:r>
            <w:r w:rsidR="000627C6">
              <w:rPr>
                <w:rFonts w:asciiTheme="majorHAnsi" w:hAnsiTheme="majorHAnsi" w:cstheme="majorHAnsi"/>
                <w:lang w:val="fr-SN"/>
              </w:rPr>
              <w:t>s</w:t>
            </w:r>
            <w:r w:rsidRPr="0014046B">
              <w:rPr>
                <w:rFonts w:asciiTheme="majorHAnsi" w:hAnsiTheme="majorHAnsi" w:cstheme="majorHAnsi"/>
                <w:lang w:val="fr-SN"/>
              </w:rPr>
              <w:t>ation de ressources et de partenariat</w:t>
            </w:r>
          </w:p>
        </w:tc>
        <w:tc>
          <w:tcPr>
            <w:tcW w:w="1870" w:type="dxa"/>
            <w:vAlign w:val="center"/>
          </w:tcPr>
          <w:p w14:paraId="05A8CFEC" w14:textId="77777777" w:rsidR="00B168DA" w:rsidRDefault="00B168DA" w:rsidP="003A348D">
            <w:pPr>
              <w:jc w:val="left"/>
              <w:rPr>
                <w:rFonts w:asciiTheme="majorHAnsi" w:hAnsiTheme="majorHAnsi" w:cstheme="majorHAnsi"/>
              </w:rPr>
            </w:pPr>
            <w:proofErr w:type="spellStart"/>
            <w:r>
              <w:rPr>
                <w:rFonts w:asciiTheme="majorHAnsi" w:hAnsiTheme="majorHAnsi" w:cstheme="majorHAnsi"/>
              </w:rPr>
              <w:t>Ao</w:t>
            </w:r>
            <w:r w:rsidR="000627C6">
              <w:rPr>
                <w:rFonts w:asciiTheme="majorHAnsi" w:hAnsiTheme="majorHAnsi" w:cstheme="majorHAnsi"/>
              </w:rPr>
              <w:t>û</w:t>
            </w:r>
            <w:r>
              <w:rPr>
                <w:rFonts w:asciiTheme="majorHAnsi" w:hAnsiTheme="majorHAnsi" w:cstheme="majorHAnsi"/>
              </w:rPr>
              <w:t>t</w:t>
            </w:r>
            <w:proofErr w:type="spellEnd"/>
            <w:r>
              <w:rPr>
                <w:rFonts w:asciiTheme="majorHAnsi" w:hAnsiTheme="majorHAnsi" w:cstheme="majorHAnsi"/>
              </w:rPr>
              <w:t xml:space="preserve"> 2022</w:t>
            </w:r>
          </w:p>
          <w:p w14:paraId="2279F144" w14:textId="77777777" w:rsidR="00224A8E" w:rsidRDefault="00224A8E" w:rsidP="003A348D">
            <w:pPr>
              <w:jc w:val="left"/>
              <w:rPr>
                <w:rFonts w:asciiTheme="majorHAnsi" w:hAnsiTheme="majorHAnsi" w:cstheme="majorHAnsi"/>
              </w:rPr>
            </w:pPr>
          </w:p>
          <w:p w14:paraId="49911346" w14:textId="524DC830" w:rsidR="00224A8E" w:rsidRPr="005E5949" w:rsidRDefault="00224A8E" w:rsidP="003A348D">
            <w:pPr>
              <w:jc w:val="left"/>
              <w:rPr>
                <w:rFonts w:asciiTheme="majorHAnsi" w:hAnsiTheme="majorHAnsi" w:cstheme="majorHAnsi"/>
              </w:rPr>
            </w:pPr>
          </w:p>
        </w:tc>
        <w:sdt>
          <w:sdtPr>
            <w:rPr>
              <w:rFonts w:asciiTheme="majorHAnsi" w:hAnsiTheme="majorHAnsi" w:cstheme="majorHAnsi"/>
            </w:rPr>
            <w:id w:val="1514651419"/>
            <w14:checkbox>
              <w14:checked w14:val="1"/>
              <w14:checkedState w14:val="2612" w14:font="MS Gothic"/>
              <w14:uncheckedState w14:val="2610" w14:font="MS Gothic"/>
            </w14:checkbox>
          </w:sdtPr>
          <w:sdtContent>
            <w:tc>
              <w:tcPr>
                <w:tcW w:w="1313" w:type="dxa"/>
                <w:shd w:val="clear" w:color="auto" w:fill="00B050"/>
                <w:vAlign w:val="center"/>
              </w:tcPr>
              <w:p w14:paraId="5D9D4A68" w14:textId="1DD69465" w:rsidR="00B168DA" w:rsidRPr="005E5949" w:rsidRDefault="00925C05" w:rsidP="003A348D">
                <w:pPr>
                  <w:jc w:val="center"/>
                  <w:rPr>
                    <w:rFonts w:asciiTheme="majorHAnsi" w:hAnsiTheme="majorHAnsi" w:cstheme="majorHAnsi"/>
                  </w:rPr>
                </w:pPr>
                <w:r>
                  <w:rPr>
                    <w:rFonts w:ascii="MS Gothic" w:eastAsia="MS Gothic" w:hAnsi="MS Gothic" w:cstheme="majorHAnsi" w:hint="eastAsia"/>
                  </w:rPr>
                  <w:t>☒</w:t>
                </w:r>
              </w:p>
            </w:tc>
          </w:sdtContent>
        </w:sdt>
      </w:tr>
      <w:tr w:rsidR="00B168DA" w:rsidRPr="005E5949" w14:paraId="057C7D86" w14:textId="77777777" w:rsidTr="00224A8E">
        <w:trPr>
          <w:trHeight w:val="1223"/>
        </w:trPr>
        <w:tc>
          <w:tcPr>
            <w:tcW w:w="421" w:type="dxa"/>
            <w:vAlign w:val="center"/>
          </w:tcPr>
          <w:p w14:paraId="044D6457" w14:textId="77777777" w:rsidR="00B168DA" w:rsidRPr="005E5949" w:rsidRDefault="00B168DA" w:rsidP="003A348D">
            <w:pPr>
              <w:jc w:val="center"/>
              <w:rPr>
                <w:rFonts w:asciiTheme="majorHAnsi" w:hAnsiTheme="majorHAnsi" w:cstheme="majorHAnsi"/>
              </w:rPr>
            </w:pPr>
            <w:r w:rsidRPr="005E5949">
              <w:rPr>
                <w:rFonts w:asciiTheme="majorHAnsi" w:hAnsiTheme="majorHAnsi" w:cstheme="majorHAnsi"/>
              </w:rPr>
              <w:t>6</w:t>
            </w:r>
          </w:p>
        </w:tc>
        <w:tc>
          <w:tcPr>
            <w:tcW w:w="1963" w:type="dxa"/>
          </w:tcPr>
          <w:p w14:paraId="280F1BDF" w14:textId="77777777"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Organiser une formation du personnel sur la mobilisation de ressources et le partenariat</w:t>
            </w:r>
          </w:p>
        </w:tc>
        <w:tc>
          <w:tcPr>
            <w:tcW w:w="1698" w:type="dxa"/>
          </w:tcPr>
          <w:p w14:paraId="66AD11AD"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Permettre au staff de bien comprendre le cycle programmatique et la nécessité de renforcer les partenariats</w:t>
            </w:r>
          </w:p>
        </w:tc>
        <w:tc>
          <w:tcPr>
            <w:tcW w:w="1565" w:type="dxa"/>
          </w:tcPr>
          <w:p w14:paraId="188C079F"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Les connaissances en matière de RM sont renforcés</w:t>
            </w:r>
          </w:p>
        </w:tc>
        <w:tc>
          <w:tcPr>
            <w:tcW w:w="1011" w:type="dxa"/>
          </w:tcPr>
          <w:p w14:paraId="4F0D1635"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Team Leader</w:t>
            </w:r>
          </w:p>
          <w:p w14:paraId="4419D8FA" w14:textId="77777777" w:rsidR="00B168DA" w:rsidRDefault="00B168DA" w:rsidP="003A348D">
            <w:pPr>
              <w:jc w:val="left"/>
              <w:rPr>
                <w:rFonts w:asciiTheme="majorHAnsi" w:hAnsiTheme="majorHAnsi" w:cstheme="majorHAnsi"/>
              </w:rPr>
            </w:pPr>
            <w:r w:rsidRPr="005E5949">
              <w:rPr>
                <w:rFonts w:asciiTheme="majorHAnsi" w:hAnsiTheme="majorHAnsi" w:cstheme="majorHAnsi"/>
              </w:rPr>
              <w:t>PMSU</w:t>
            </w:r>
          </w:p>
          <w:p w14:paraId="2EA5D3FA" w14:textId="77777777" w:rsidR="00B168DA" w:rsidRPr="005E5949" w:rsidRDefault="00B168DA" w:rsidP="003A348D">
            <w:pPr>
              <w:jc w:val="left"/>
              <w:rPr>
                <w:rFonts w:asciiTheme="majorHAnsi" w:hAnsiTheme="majorHAnsi" w:cstheme="majorHAnsi"/>
              </w:rPr>
            </w:pPr>
            <w:r>
              <w:rPr>
                <w:rFonts w:asciiTheme="majorHAnsi" w:hAnsiTheme="majorHAnsi" w:cstheme="majorHAnsi"/>
              </w:rPr>
              <w:t>Expert en communication</w:t>
            </w:r>
          </w:p>
        </w:tc>
        <w:tc>
          <w:tcPr>
            <w:tcW w:w="1870" w:type="dxa"/>
          </w:tcPr>
          <w:p w14:paraId="1DE2C96D" w14:textId="77777777" w:rsidR="00B168DA" w:rsidRDefault="00B168DA" w:rsidP="003A348D">
            <w:pPr>
              <w:jc w:val="left"/>
              <w:rPr>
                <w:rFonts w:asciiTheme="majorHAnsi" w:hAnsiTheme="majorHAnsi" w:cstheme="majorHAnsi"/>
              </w:rPr>
            </w:pPr>
            <w:r>
              <w:rPr>
                <w:rFonts w:asciiTheme="majorHAnsi" w:hAnsiTheme="majorHAnsi" w:cstheme="majorHAnsi"/>
              </w:rPr>
              <w:t>September 2022</w:t>
            </w:r>
          </w:p>
          <w:p w14:paraId="2AC1D98A" w14:textId="551EAA2B" w:rsidR="00224A8E" w:rsidRPr="005E5949" w:rsidRDefault="00224A8E" w:rsidP="003A348D">
            <w:pPr>
              <w:jc w:val="left"/>
              <w:rPr>
                <w:rFonts w:asciiTheme="majorHAnsi" w:hAnsiTheme="majorHAnsi" w:cstheme="majorHAnsi"/>
              </w:rPr>
            </w:pPr>
            <w:r>
              <w:rPr>
                <w:rFonts w:asciiTheme="majorHAnsi" w:hAnsiTheme="majorHAnsi" w:cstheme="majorHAnsi"/>
              </w:rPr>
              <w:t xml:space="preserve">En </w:t>
            </w:r>
            <w:proofErr w:type="spellStart"/>
            <w:r>
              <w:rPr>
                <w:rFonts w:asciiTheme="majorHAnsi" w:hAnsiTheme="majorHAnsi" w:cstheme="majorHAnsi"/>
              </w:rPr>
              <w:t>continu</w:t>
            </w:r>
            <w:proofErr w:type="spellEnd"/>
            <w:r>
              <w:rPr>
                <w:rFonts w:asciiTheme="majorHAnsi" w:hAnsiTheme="majorHAnsi" w:cstheme="majorHAnsi"/>
              </w:rPr>
              <w:t xml:space="preserve"> </w:t>
            </w:r>
          </w:p>
        </w:tc>
        <w:sdt>
          <w:sdtPr>
            <w:rPr>
              <w:rFonts w:asciiTheme="majorHAnsi" w:hAnsiTheme="majorHAnsi" w:cstheme="majorHAnsi"/>
            </w:rPr>
            <w:id w:val="776302065"/>
            <w14:checkbox>
              <w14:checked w14:val="1"/>
              <w14:checkedState w14:val="2612" w14:font="MS Gothic"/>
              <w14:uncheckedState w14:val="2610" w14:font="MS Gothic"/>
            </w14:checkbox>
          </w:sdtPr>
          <w:sdtContent>
            <w:tc>
              <w:tcPr>
                <w:tcW w:w="1313" w:type="dxa"/>
                <w:shd w:val="clear" w:color="auto" w:fill="FFFF00"/>
                <w:vAlign w:val="center"/>
              </w:tcPr>
              <w:p w14:paraId="69C3540E" w14:textId="12AA91C1" w:rsidR="00B168DA" w:rsidRPr="005E5949" w:rsidRDefault="00224A8E" w:rsidP="003A348D">
                <w:pPr>
                  <w:jc w:val="center"/>
                  <w:rPr>
                    <w:rFonts w:asciiTheme="majorHAnsi" w:hAnsiTheme="majorHAnsi" w:cstheme="majorHAnsi"/>
                  </w:rPr>
                </w:pPr>
                <w:r>
                  <w:rPr>
                    <w:rFonts w:ascii="MS Gothic" w:eastAsia="MS Gothic" w:hAnsi="MS Gothic" w:cstheme="majorHAnsi" w:hint="eastAsia"/>
                  </w:rPr>
                  <w:t>☒</w:t>
                </w:r>
              </w:p>
            </w:tc>
          </w:sdtContent>
        </w:sdt>
      </w:tr>
      <w:tr w:rsidR="00B168DA" w:rsidRPr="005E5949" w14:paraId="4C624C55" w14:textId="77777777" w:rsidTr="00E3334E">
        <w:trPr>
          <w:trHeight w:val="461"/>
        </w:trPr>
        <w:tc>
          <w:tcPr>
            <w:tcW w:w="9841" w:type="dxa"/>
            <w:gridSpan w:val="7"/>
            <w:shd w:val="clear" w:color="auto" w:fill="9CC2E5" w:themeFill="accent5" w:themeFillTint="99"/>
            <w:vAlign w:val="center"/>
          </w:tcPr>
          <w:p w14:paraId="13E82864" w14:textId="77777777" w:rsidR="00B168DA" w:rsidRPr="005E5949" w:rsidRDefault="00B168DA" w:rsidP="00B168DA">
            <w:pPr>
              <w:pStyle w:val="Paragraphedeliste"/>
              <w:numPr>
                <w:ilvl w:val="0"/>
                <w:numId w:val="15"/>
              </w:numPr>
              <w:spacing w:after="200" w:line="276" w:lineRule="auto"/>
              <w:rPr>
                <w:rFonts w:asciiTheme="majorHAnsi" w:hAnsiTheme="majorHAnsi" w:cstheme="majorHAnsi"/>
                <w:b/>
              </w:rPr>
            </w:pPr>
            <w:proofErr w:type="spellStart"/>
            <w:r w:rsidRPr="005E5949">
              <w:rPr>
                <w:rFonts w:asciiTheme="majorHAnsi" w:hAnsiTheme="majorHAnsi" w:cstheme="majorHAnsi"/>
                <w:b/>
              </w:rPr>
              <w:t>Données</w:t>
            </w:r>
            <w:proofErr w:type="spellEnd"/>
            <w:r w:rsidRPr="005E5949">
              <w:rPr>
                <w:rFonts w:asciiTheme="majorHAnsi" w:hAnsiTheme="majorHAnsi" w:cstheme="majorHAnsi"/>
                <w:b/>
              </w:rPr>
              <w:t xml:space="preserve"> sur les </w:t>
            </w:r>
            <w:proofErr w:type="spellStart"/>
            <w:r w:rsidRPr="005E5949">
              <w:rPr>
                <w:rFonts w:asciiTheme="majorHAnsi" w:hAnsiTheme="majorHAnsi" w:cstheme="majorHAnsi"/>
                <w:b/>
              </w:rPr>
              <w:t>donateurs</w:t>
            </w:r>
            <w:proofErr w:type="spellEnd"/>
          </w:p>
        </w:tc>
      </w:tr>
      <w:tr w:rsidR="00B168DA" w:rsidRPr="005E5949" w14:paraId="62DEC528" w14:textId="77777777" w:rsidTr="000153BA">
        <w:trPr>
          <w:trHeight w:val="1243"/>
        </w:trPr>
        <w:tc>
          <w:tcPr>
            <w:tcW w:w="421" w:type="dxa"/>
            <w:vAlign w:val="center"/>
          </w:tcPr>
          <w:p w14:paraId="72174812" w14:textId="2CEE97B0" w:rsidR="00B168DA" w:rsidRPr="005E5949" w:rsidRDefault="00DF6E7F" w:rsidP="003A348D">
            <w:pPr>
              <w:jc w:val="center"/>
              <w:rPr>
                <w:rFonts w:asciiTheme="majorHAnsi" w:hAnsiTheme="majorHAnsi" w:cstheme="majorHAnsi"/>
              </w:rPr>
            </w:pPr>
            <w:r>
              <w:rPr>
                <w:rFonts w:asciiTheme="majorHAnsi" w:hAnsiTheme="majorHAnsi" w:cstheme="majorHAnsi"/>
              </w:rPr>
              <w:t>7</w:t>
            </w:r>
          </w:p>
        </w:tc>
        <w:tc>
          <w:tcPr>
            <w:tcW w:w="1963" w:type="dxa"/>
          </w:tcPr>
          <w:p w14:paraId="0234C9A9" w14:textId="4106473C"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 xml:space="preserve">Etablir une base de données des donateurs et potentiels </w:t>
            </w:r>
            <w:r w:rsidR="009026C4" w:rsidRPr="0014046B">
              <w:rPr>
                <w:rFonts w:asciiTheme="majorHAnsi" w:hAnsiTheme="majorHAnsi" w:cstheme="majorHAnsi"/>
                <w:lang w:val="fr-SN"/>
              </w:rPr>
              <w:t>donateurs accessibles</w:t>
            </w:r>
            <w:r w:rsidRPr="0014046B">
              <w:rPr>
                <w:rFonts w:asciiTheme="majorHAnsi" w:hAnsiTheme="majorHAnsi" w:cstheme="majorHAnsi"/>
                <w:lang w:val="fr-SN"/>
              </w:rPr>
              <w:t xml:space="preserve"> au Staff du CO</w:t>
            </w:r>
            <w:r w:rsidR="009026C4">
              <w:rPr>
                <w:rFonts w:asciiTheme="majorHAnsi" w:hAnsiTheme="majorHAnsi" w:cstheme="majorHAnsi"/>
                <w:lang w:val="fr-SN"/>
              </w:rPr>
              <w:t>.</w:t>
            </w:r>
          </w:p>
        </w:tc>
        <w:tc>
          <w:tcPr>
            <w:tcW w:w="1698" w:type="dxa"/>
          </w:tcPr>
          <w:p w14:paraId="3E291A42"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Avoir une bonne connaissance sur les priorités des donateurs et saisir les opportunités de financement</w:t>
            </w:r>
          </w:p>
        </w:tc>
        <w:tc>
          <w:tcPr>
            <w:tcW w:w="1565" w:type="dxa"/>
          </w:tcPr>
          <w:p w14:paraId="49E122DB"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 xml:space="preserve">Une base de données actualisée disponible  </w:t>
            </w:r>
          </w:p>
        </w:tc>
        <w:tc>
          <w:tcPr>
            <w:tcW w:w="1011" w:type="dxa"/>
          </w:tcPr>
          <w:p w14:paraId="5D0303F9" w14:textId="77777777" w:rsidR="00B168DA" w:rsidRPr="003A348D" w:rsidRDefault="00B168DA" w:rsidP="003A348D">
            <w:pPr>
              <w:jc w:val="left"/>
              <w:rPr>
                <w:rFonts w:asciiTheme="majorHAnsi" w:hAnsiTheme="majorHAnsi" w:cstheme="majorHAnsi"/>
                <w:lang w:val="fr-FR"/>
              </w:rPr>
            </w:pPr>
            <w:r w:rsidRPr="003A348D">
              <w:rPr>
                <w:rFonts w:asciiTheme="majorHAnsi" w:hAnsiTheme="majorHAnsi" w:cstheme="majorHAnsi"/>
                <w:lang w:val="fr-FR"/>
              </w:rPr>
              <w:t>Unité stratégique</w:t>
            </w:r>
          </w:p>
          <w:p w14:paraId="57BC4E2F" w14:textId="77777777" w:rsidR="00B168DA" w:rsidRPr="003A348D" w:rsidRDefault="00B168DA" w:rsidP="003A348D">
            <w:pPr>
              <w:jc w:val="left"/>
              <w:rPr>
                <w:rFonts w:asciiTheme="majorHAnsi" w:hAnsiTheme="majorHAnsi" w:cstheme="majorHAnsi"/>
                <w:lang w:val="fr-FR"/>
              </w:rPr>
            </w:pPr>
            <w:r w:rsidRPr="003A348D">
              <w:rPr>
                <w:rFonts w:asciiTheme="majorHAnsi" w:hAnsiTheme="majorHAnsi" w:cstheme="majorHAnsi"/>
                <w:lang w:val="fr-FR"/>
              </w:rPr>
              <w:t xml:space="preserve">PMSU </w:t>
            </w:r>
          </w:p>
          <w:p w14:paraId="6E103C09" w14:textId="77777777" w:rsidR="00B168DA" w:rsidRPr="003A348D" w:rsidRDefault="00B168DA" w:rsidP="003A348D">
            <w:pPr>
              <w:jc w:val="left"/>
              <w:rPr>
                <w:rFonts w:asciiTheme="majorHAnsi" w:hAnsiTheme="majorHAnsi" w:cstheme="majorHAnsi"/>
                <w:lang w:val="fr-FR"/>
              </w:rPr>
            </w:pPr>
            <w:r w:rsidRPr="003A348D">
              <w:rPr>
                <w:rFonts w:asciiTheme="majorHAnsi" w:hAnsiTheme="majorHAnsi" w:cstheme="majorHAnsi"/>
                <w:lang w:val="fr-FR"/>
              </w:rPr>
              <w:t xml:space="preserve">Expert en communication </w:t>
            </w:r>
          </w:p>
        </w:tc>
        <w:tc>
          <w:tcPr>
            <w:tcW w:w="1870" w:type="dxa"/>
          </w:tcPr>
          <w:p w14:paraId="1FA660C6" w14:textId="77777777" w:rsidR="00B168DA" w:rsidRDefault="0049705E" w:rsidP="003A348D">
            <w:pPr>
              <w:jc w:val="left"/>
              <w:rPr>
                <w:rFonts w:asciiTheme="majorHAnsi" w:hAnsiTheme="majorHAnsi" w:cstheme="majorHAnsi"/>
              </w:rPr>
            </w:pPr>
            <w:r>
              <w:rPr>
                <w:rFonts w:asciiTheme="majorHAnsi" w:hAnsiTheme="majorHAnsi" w:cstheme="majorHAnsi"/>
              </w:rPr>
              <w:t xml:space="preserve">Decembre </w:t>
            </w:r>
            <w:r w:rsidR="00B168DA" w:rsidRPr="005E5949">
              <w:rPr>
                <w:rFonts w:asciiTheme="majorHAnsi" w:hAnsiTheme="majorHAnsi" w:cstheme="majorHAnsi"/>
              </w:rPr>
              <w:t>20</w:t>
            </w:r>
            <w:r w:rsidR="00B168DA">
              <w:rPr>
                <w:rFonts w:asciiTheme="majorHAnsi" w:hAnsiTheme="majorHAnsi" w:cstheme="majorHAnsi"/>
              </w:rPr>
              <w:t>22</w:t>
            </w:r>
          </w:p>
          <w:p w14:paraId="14B72C74" w14:textId="77777777" w:rsidR="003C041C" w:rsidRDefault="003C041C" w:rsidP="003A348D">
            <w:pPr>
              <w:jc w:val="left"/>
              <w:rPr>
                <w:rFonts w:asciiTheme="majorHAnsi" w:hAnsiTheme="majorHAnsi" w:cstheme="majorHAnsi"/>
              </w:rPr>
            </w:pPr>
          </w:p>
          <w:p w14:paraId="7FDC12BC" w14:textId="6CD16CCC" w:rsidR="003C041C" w:rsidRPr="005E5949" w:rsidRDefault="003C041C" w:rsidP="003A348D">
            <w:pPr>
              <w:jc w:val="left"/>
              <w:rPr>
                <w:rFonts w:asciiTheme="majorHAnsi" w:hAnsiTheme="majorHAnsi" w:cstheme="majorHAnsi"/>
              </w:rPr>
            </w:pPr>
            <w:r>
              <w:rPr>
                <w:rFonts w:asciiTheme="majorHAnsi" w:hAnsiTheme="majorHAnsi" w:cstheme="majorHAnsi"/>
              </w:rPr>
              <w:t xml:space="preserve">En </w:t>
            </w:r>
            <w:proofErr w:type="spellStart"/>
            <w:r>
              <w:rPr>
                <w:rFonts w:asciiTheme="majorHAnsi" w:hAnsiTheme="majorHAnsi" w:cstheme="majorHAnsi"/>
              </w:rPr>
              <w:t>cours</w:t>
            </w:r>
            <w:proofErr w:type="spellEnd"/>
          </w:p>
        </w:tc>
        <w:tc>
          <w:tcPr>
            <w:tcW w:w="1313" w:type="dxa"/>
            <w:shd w:val="clear" w:color="auto" w:fill="FFFF00"/>
            <w:vAlign w:val="center"/>
          </w:tcPr>
          <w:p w14:paraId="38C7C509" w14:textId="7D9189B2" w:rsidR="00B168DA" w:rsidRPr="005E5949" w:rsidRDefault="00000000" w:rsidP="003A348D">
            <w:pPr>
              <w:jc w:val="center"/>
              <w:rPr>
                <w:rFonts w:asciiTheme="majorHAnsi" w:hAnsiTheme="majorHAnsi" w:cstheme="majorHAnsi"/>
              </w:rPr>
            </w:pPr>
            <w:sdt>
              <w:sdtPr>
                <w:rPr>
                  <w:rFonts w:asciiTheme="majorHAnsi" w:hAnsiTheme="majorHAnsi" w:cstheme="majorHAnsi"/>
                </w:rPr>
                <w:id w:val="-909835358"/>
                <w14:checkbox>
                  <w14:checked w14:val="1"/>
                  <w14:checkedState w14:val="2612" w14:font="MS Gothic"/>
                  <w14:uncheckedState w14:val="2610" w14:font="MS Gothic"/>
                </w14:checkbox>
              </w:sdtPr>
              <w:sdtContent>
                <w:r w:rsidR="00925C05">
                  <w:rPr>
                    <w:rFonts w:ascii="MS Gothic" w:eastAsia="MS Gothic" w:hAnsi="MS Gothic" w:cstheme="majorHAnsi" w:hint="eastAsia"/>
                  </w:rPr>
                  <w:t>☒</w:t>
                </w:r>
              </w:sdtContent>
            </w:sdt>
          </w:p>
        </w:tc>
      </w:tr>
      <w:tr w:rsidR="00B168DA" w:rsidRPr="005E5949" w14:paraId="7BB89B67" w14:textId="77777777" w:rsidTr="004B7F51">
        <w:trPr>
          <w:trHeight w:val="1505"/>
        </w:trPr>
        <w:tc>
          <w:tcPr>
            <w:tcW w:w="421" w:type="dxa"/>
            <w:vAlign w:val="center"/>
          </w:tcPr>
          <w:p w14:paraId="173E7609" w14:textId="5FBE72D4" w:rsidR="00B168DA" w:rsidRPr="005E5949" w:rsidRDefault="00DF6E7F" w:rsidP="003A348D">
            <w:pPr>
              <w:jc w:val="center"/>
              <w:rPr>
                <w:rFonts w:asciiTheme="majorHAnsi" w:hAnsiTheme="majorHAnsi" w:cstheme="majorHAnsi"/>
              </w:rPr>
            </w:pPr>
            <w:r>
              <w:rPr>
                <w:rFonts w:asciiTheme="majorHAnsi" w:hAnsiTheme="majorHAnsi" w:cstheme="majorHAnsi"/>
              </w:rPr>
              <w:t>8</w:t>
            </w:r>
            <w:r w:rsidR="00B168DA" w:rsidRPr="005E5949">
              <w:rPr>
                <w:rFonts w:asciiTheme="majorHAnsi" w:hAnsiTheme="majorHAnsi" w:cstheme="majorHAnsi"/>
              </w:rPr>
              <w:t>.</w:t>
            </w:r>
          </w:p>
        </w:tc>
        <w:tc>
          <w:tcPr>
            <w:tcW w:w="1963" w:type="dxa"/>
            <w:vAlign w:val="center"/>
          </w:tcPr>
          <w:p w14:paraId="702669DF" w14:textId="77777777" w:rsidR="000153BA" w:rsidRDefault="00B168DA" w:rsidP="003A348D">
            <w:pPr>
              <w:jc w:val="left"/>
              <w:rPr>
                <w:rFonts w:asciiTheme="majorHAnsi" w:hAnsiTheme="majorHAnsi" w:cstheme="majorHAnsi"/>
                <w:lang w:val="fr-SN"/>
              </w:rPr>
            </w:pPr>
            <w:r w:rsidRPr="0014046B">
              <w:rPr>
                <w:rFonts w:asciiTheme="majorHAnsi" w:hAnsiTheme="majorHAnsi" w:cstheme="majorHAnsi"/>
                <w:lang w:val="fr-SN"/>
              </w:rPr>
              <w:t>Élaborer un bulletin d'informations régulier avec des informations à l'intention de la presse</w:t>
            </w:r>
          </w:p>
          <w:p w14:paraId="20675562" w14:textId="77777777" w:rsidR="00136AEB" w:rsidRDefault="00136AEB" w:rsidP="003A348D">
            <w:pPr>
              <w:jc w:val="left"/>
              <w:rPr>
                <w:rFonts w:asciiTheme="majorHAnsi" w:hAnsiTheme="majorHAnsi" w:cstheme="majorHAnsi"/>
                <w:lang w:val="fr-SN"/>
              </w:rPr>
            </w:pPr>
          </w:p>
          <w:p w14:paraId="5242FD54" w14:textId="3BCD94C3" w:rsidR="00136AEB" w:rsidRPr="0014046B" w:rsidRDefault="00136AEB" w:rsidP="003A348D">
            <w:pPr>
              <w:jc w:val="left"/>
              <w:rPr>
                <w:rFonts w:asciiTheme="majorHAnsi" w:hAnsiTheme="majorHAnsi" w:cstheme="majorHAnsi"/>
                <w:lang w:val="fr-SN"/>
              </w:rPr>
            </w:pPr>
          </w:p>
        </w:tc>
        <w:tc>
          <w:tcPr>
            <w:tcW w:w="1698" w:type="dxa"/>
            <w:vAlign w:val="center"/>
          </w:tcPr>
          <w:p w14:paraId="6EFD52FC"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Disposer des informations régulières sur les donateurs</w:t>
            </w:r>
          </w:p>
        </w:tc>
        <w:tc>
          <w:tcPr>
            <w:tcW w:w="1565" w:type="dxa"/>
            <w:vAlign w:val="center"/>
          </w:tcPr>
          <w:p w14:paraId="076574BA" w14:textId="77777777" w:rsidR="00B168DA" w:rsidRPr="005E5949" w:rsidRDefault="00B168DA" w:rsidP="00B168DA">
            <w:pPr>
              <w:pStyle w:val="Paragraphedeliste"/>
              <w:numPr>
                <w:ilvl w:val="0"/>
                <w:numId w:val="14"/>
              </w:numPr>
              <w:ind w:left="175" w:hanging="175"/>
              <w:jc w:val="left"/>
              <w:rPr>
                <w:rFonts w:asciiTheme="majorHAnsi" w:hAnsiTheme="majorHAnsi" w:cstheme="majorHAnsi"/>
              </w:rPr>
            </w:pPr>
            <w:proofErr w:type="spellStart"/>
            <w:r w:rsidRPr="005E5949">
              <w:rPr>
                <w:rFonts w:asciiTheme="majorHAnsi" w:hAnsiTheme="majorHAnsi" w:cstheme="majorHAnsi"/>
              </w:rPr>
              <w:t>Bimensuel</w:t>
            </w:r>
            <w:proofErr w:type="spellEnd"/>
            <w:r w:rsidRPr="005E5949">
              <w:rPr>
                <w:rFonts w:asciiTheme="majorHAnsi" w:hAnsiTheme="majorHAnsi" w:cstheme="majorHAnsi"/>
              </w:rPr>
              <w:t xml:space="preserve"> </w:t>
            </w:r>
            <w:proofErr w:type="spellStart"/>
            <w:r w:rsidRPr="005E5949">
              <w:rPr>
                <w:rFonts w:asciiTheme="majorHAnsi" w:hAnsiTheme="majorHAnsi" w:cstheme="majorHAnsi"/>
              </w:rPr>
              <w:t>est</w:t>
            </w:r>
            <w:proofErr w:type="spellEnd"/>
            <w:r w:rsidRPr="005E5949">
              <w:rPr>
                <w:rFonts w:asciiTheme="majorHAnsi" w:hAnsiTheme="majorHAnsi" w:cstheme="majorHAnsi"/>
              </w:rPr>
              <w:t xml:space="preserve"> </w:t>
            </w:r>
            <w:proofErr w:type="spellStart"/>
            <w:r w:rsidRPr="005E5949">
              <w:rPr>
                <w:rFonts w:asciiTheme="majorHAnsi" w:hAnsiTheme="majorHAnsi" w:cstheme="majorHAnsi"/>
              </w:rPr>
              <w:t>réalisé</w:t>
            </w:r>
            <w:proofErr w:type="spellEnd"/>
          </w:p>
        </w:tc>
        <w:tc>
          <w:tcPr>
            <w:tcW w:w="1011" w:type="dxa"/>
            <w:vAlign w:val="center"/>
          </w:tcPr>
          <w:p w14:paraId="5A3BBBB1" w14:textId="77777777" w:rsidR="00B168DA" w:rsidRPr="003A348D" w:rsidRDefault="00B168DA" w:rsidP="003A348D">
            <w:pPr>
              <w:jc w:val="left"/>
              <w:rPr>
                <w:rFonts w:asciiTheme="majorHAnsi" w:hAnsiTheme="majorHAnsi" w:cstheme="majorHAnsi"/>
                <w:lang w:val="fr-SN"/>
              </w:rPr>
            </w:pPr>
            <w:r w:rsidRPr="003A348D">
              <w:rPr>
                <w:rFonts w:asciiTheme="majorHAnsi" w:hAnsiTheme="majorHAnsi" w:cstheme="majorHAnsi"/>
                <w:lang w:val="fr-SN"/>
              </w:rPr>
              <w:t>Expert en communication et Team Le</w:t>
            </w:r>
            <w:r>
              <w:rPr>
                <w:rFonts w:asciiTheme="majorHAnsi" w:hAnsiTheme="majorHAnsi" w:cstheme="majorHAnsi"/>
                <w:lang w:val="fr-SN"/>
              </w:rPr>
              <w:t>aders</w:t>
            </w:r>
          </w:p>
        </w:tc>
        <w:tc>
          <w:tcPr>
            <w:tcW w:w="1870" w:type="dxa"/>
            <w:vAlign w:val="center"/>
          </w:tcPr>
          <w:p w14:paraId="32C700D3" w14:textId="77777777" w:rsidR="00B168DA" w:rsidRDefault="00B168DA" w:rsidP="003A348D">
            <w:pPr>
              <w:jc w:val="left"/>
              <w:rPr>
                <w:rFonts w:asciiTheme="majorHAnsi" w:hAnsiTheme="majorHAnsi" w:cstheme="majorHAnsi"/>
              </w:rPr>
            </w:pPr>
            <w:r w:rsidRPr="005E5949">
              <w:rPr>
                <w:rFonts w:asciiTheme="majorHAnsi" w:hAnsiTheme="majorHAnsi" w:cstheme="majorHAnsi"/>
              </w:rPr>
              <w:t xml:space="preserve">A </w:t>
            </w:r>
            <w:proofErr w:type="spellStart"/>
            <w:r w:rsidRPr="005E5949">
              <w:rPr>
                <w:rFonts w:asciiTheme="majorHAnsi" w:hAnsiTheme="majorHAnsi" w:cstheme="majorHAnsi"/>
              </w:rPr>
              <w:t>partir</w:t>
            </w:r>
            <w:proofErr w:type="spellEnd"/>
            <w:r w:rsidRPr="005E5949">
              <w:rPr>
                <w:rFonts w:asciiTheme="majorHAnsi" w:hAnsiTheme="majorHAnsi" w:cstheme="majorHAnsi"/>
              </w:rPr>
              <w:t xml:space="preserve"> </w:t>
            </w:r>
            <w:r>
              <w:rPr>
                <w:rFonts w:asciiTheme="majorHAnsi" w:hAnsiTheme="majorHAnsi" w:cstheme="majorHAnsi"/>
              </w:rPr>
              <w:t>Mai 2022</w:t>
            </w:r>
          </w:p>
          <w:p w14:paraId="409C5103" w14:textId="77777777" w:rsidR="003C041C" w:rsidRPr="005E5949" w:rsidRDefault="003C041C" w:rsidP="003A348D">
            <w:pPr>
              <w:jc w:val="left"/>
              <w:rPr>
                <w:rFonts w:asciiTheme="majorHAnsi" w:hAnsiTheme="majorHAnsi" w:cstheme="majorHAnsi"/>
              </w:rPr>
            </w:pPr>
          </w:p>
        </w:tc>
        <w:sdt>
          <w:sdtPr>
            <w:rPr>
              <w:rFonts w:asciiTheme="majorHAnsi" w:hAnsiTheme="majorHAnsi" w:cstheme="majorHAnsi"/>
            </w:rPr>
            <w:id w:val="-106816074"/>
            <w14:checkbox>
              <w14:checked w14:val="0"/>
              <w14:checkedState w14:val="2612" w14:font="MS Gothic"/>
              <w14:uncheckedState w14:val="2610" w14:font="MS Gothic"/>
            </w14:checkbox>
          </w:sdtPr>
          <w:sdtContent>
            <w:tc>
              <w:tcPr>
                <w:tcW w:w="1313" w:type="dxa"/>
                <w:shd w:val="clear" w:color="auto" w:fill="FFFF00"/>
                <w:vAlign w:val="center"/>
              </w:tcPr>
              <w:p w14:paraId="47DCC684" w14:textId="6BC5B27E" w:rsidR="00B168DA" w:rsidRPr="005E5949" w:rsidRDefault="00925C05" w:rsidP="003A348D">
                <w:pPr>
                  <w:jc w:val="center"/>
                  <w:rPr>
                    <w:rFonts w:asciiTheme="majorHAnsi" w:hAnsiTheme="majorHAnsi" w:cstheme="majorHAnsi"/>
                  </w:rPr>
                </w:pPr>
                <w:r>
                  <w:rPr>
                    <w:rFonts w:ascii="MS Gothic" w:eastAsia="MS Gothic" w:hAnsi="MS Gothic" w:cstheme="majorHAnsi" w:hint="eastAsia"/>
                  </w:rPr>
                  <w:t>☐</w:t>
                </w:r>
              </w:p>
            </w:tc>
          </w:sdtContent>
        </w:sdt>
      </w:tr>
      <w:tr w:rsidR="00B168DA" w:rsidRPr="005E5949" w14:paraId="3FFD6F63" w14:textId="77777777" w:rsidTr="004B7F51">
        <w:trPr>
          <w:trHeight w:val="258"/>
        </w:trPr>
        <w:tc>
          <w:tcPr>
            <w:tcW w:w="9841" w:type="dxa"/>
            <w:gridSpan w:val="7"/>
            <w:shd w:val="clear" w:color="auto" w:fill="BFBFBF" w:themeFill="background1" w:themeFillShade="BF"/>
            <w:vAlign w:val="center"/>
          </w:tcPr>
          <w:p w14:paraId="742EBC5F" w14:textId="77777777" w:rsidR="00B168DA" w:rsidRPr="005E5949" w:rsidRDefault="00B168DA" w:rsidP="00B168DA">
            <w:pPr>
              <w:pStyle w:val="Paragraphedeliste"/>
              <w:numPr>
                <w:ilvl w:val="0"/>
                <w:numId w:val="15"/>
              </w:numPr>
              <w:spacing w:after="200" w:line="276" w:lineRule="auto"/>
              <w:jc w:val="left"/>
              <w:rPr>
                <w:rFonts w:asciiTheme="majorHAnsi" w:hAnsiTheme="majorHAnsi" w:cstheme="majorHAnsi"/>
                <w:b/>
              </w:rPr>
            </w:pPr>
            <w:r w:rsidRPr="005E5949">
              <w:rPr>
                <w:rFonts w:asciiTheme="majorHAnsi" w:hAnsiTheme="majorHAnsi" w:cstheme="majorHAnsi"/>
                <w:b/>
              </w:rPr>
              <w:t xml:space="preserve">Gestion des </w:t>
            </w:r>
            <w:proofErr w:type="spellStart"/>
            <w:r w:rsidRPr="005E5949">
              <w:rPr>
                <w:rFonts w:asciiTheme="majorHAnsi" w:hAnsiTheme="majorHAnsi" w:cstheme="majorHAnsi"/>
                <w:b/>
              </w:rPr>
              <w:t>Donateurs</w:t>
            </w:r>
            <w:proofErr w:type="spellEnd"/>
          </w:p>
        </w:tc>
      </w:tr>
      <w:tr w:rsidR="00B168DA" w:rsidRPr="005E5949" w14:paraId="6B9E59E0" w14:textId="77777777" w:rsidTr="000153BA">
        <w:trPr>
          <w:trHeight w:val="742"/>
        </w:trPr>
        <w:tc>
          <w:tcPr>
            <w:tcW w:w="421" w:type="dxa"/>
            <w:vAlign w:val="center"/>
          </w:tcPr>
          <w:p w14:paraId="78A711F0" w14:textId="6E99CA74" w:rsidR="00B168DA" w:rsidRPr="005E5949" w:rsidRDefault="00DF6E7F" w:rsidP="003A348D">
            <w:pPr>
              <w:jc w:val="center"/>
              <w:rPr>
                <w:rFonts w:asciiTheme="majorHAnsi" w:hAnsiTheme="majorHAnsi" w:cstheme="majorHAnsi"/>
              </w:rPr>
            </w:pPr>
            <w:r>
              <w:rPr>
                <w:rFonts w:asciiTheme="majorHAnsi" w:hAnsiTheme="majorHAnsi" w:cstheme="majorHAnsi"/>
              </w:rPr>
              <w:t>9</w:t>
            </w:r>
          </w:p>
        </w:tc>
        <w:tc>
          <w:tcPr>
            <w:tcW w:w="1963" w:type="dxa"/>
          </w:tcPr>
          <w:p w14:paraId="3C681062" w14:textId="77777777"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Assurer la gestion des conventions en cours</w:t>
            </w:r>
          </w:p>
        </w:tc>
        <w:tc>
          <w:tcPr>
            <w:tcW w:w="1698" w:type="dxa"/>
          </w:tcPr>
          <w:p w14:paraId="7F496487" w14:textId="5AC70855"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Éviter les requêtes tardives d’extension ou les Nouvelles dépenses</w:t>
            </w:r>
            <w:r>
              <w:rPr>
                <w:rFonts w:asciiTheme="majorHAnsi" w:hAnsiTheme="majorHAnsi" w:cstheme="majorHAnsi"/>
                <w:lang w:val="fr-SN"/>
              </w:rPr>
              <w:t xml:space="preserve">, établir les rapports dans les </w:t>
            </w:r>
            <w:r w:rsidR="009026C4">
              <w:rPr>
                <w:rFonts w:asciiTheme="majorHAnsi" w:hAnsiTheme="majorHAnsi" w:cstheme="majorHAnsi"/>
                <w:lang w:val="fr-SN"/>
              </w:rPr>
              <w:t>délais</w:t>
            </w:r>
            <w:r>
              <w:rPr>
                <w:rFonts w:asciiTheme="majorHAnsi" w:hAnsiTheme="majorHAnsi" w:cstheme="majorHAnsi"/>
                <w:lang w:val="fr-SN"/>
              </w:rPr>
              <w:t xml:space="preserve"> contractuels </w:t>
            </w:r>
          </w:p>
        </w:tc>
        <w:tc>
          <w:tcPr>
            <w:tcW w:w="1565" w:type="dxa"/>
          </w:tcPr>
          <w:p w14:paraId="3DA28295" w14:textId="77777777" w:rsidR="00B168DA" w:rsidRPr="0014046B" w:rsidRDefault="00B168DA" w:rsidP="00B168DA">
            <w:pPr>
              <w:pStyle w:val="Paragraphedeliste"/>
              <w:numPr>
                <w:ilvl w:val="0"/>
                <w:numId w:val="14"/>
              </w:numPr>
              <w:jc w:val="left"/>
              <w:rPr>
                <w:rFonts w:asciiTheme="majorHAnsi" w:hAnsiTheme="majorHAnsi" w:cstheme="majorHAnsi"/>
                <w:lang w:val="fr-SN"/>
              </w:rPr>
            </w:pPr>
            <w:r w:rsidRPr="0014046B">
              <w:rPr>
                <w:rFonts w:asciiTheme="majorHAnsi" w:hAnsiTheme="majorHAnsi" w:cstheme="majorHAnsi"/>
                <w:lang w:val="fr-SN"/>
              </w:rPr>
              <w:t xml:space="preserve">Le suivi des conventions est optimisé </w:t>
            </w:r>
          </w:p>
        </w:tc>
        <w:tc>
          <w:tcPr>
            <w:tcW w:w="1011" w:type="dxa"/>
          </w:tcPr>
          <w:p w14:paraId="1E786B91" w14:textId="77777777" w:rsidR="00B168DA" w:rsidRDefault="00B168DA" w:rsidP="003A348D">
            <w:pPr>
              <w:jc w:val="left"/>
              <w:rPr>
                <w:rFonts w:asciiTheme="majorHAnsi" w:hAnsiTheme="majorHAnsi" w:cstheme="majorHAnsi"/>
              </w:rPr>
            </w:pPr>
            <w:r w:rsidRPr="005E5949">
              <w:rPr>
                <w:rFonts w:asciiTheme="majorHAnsi" w:hAnsiTheme="majorHAnsi" w:cstheme="majorHAnsi"/>
              </w:rPr>
              <w:t>PMSU</w:t>
            </w:r>
          </w:p>
          <w:p w14:paraId="0CC36090" w14:textId="77777777" w:rsidR="00B168DA" w:rsidRPr="005E5949" w:rsidRDefault="00B168DA" w:rsidP="003A348D">
            <w:pPr>
              <w:jc w:val="left"/>
              <w:rPr>
                <w:rFonts w:asciiTheme="majorHAnsi" w:hAnsiTheme="majorHAnsi" w:cstheme="majorHAnsi"/>
              </w:rPr>
            </w:pPr>
            <w:r>
              <w:rPr>
                <w:rFonts w:asciiTheme="majorHAnsi" w:hAnsiTheme="majorHAnsi" w:cstheme="majorHAnsi"/>
              </w:rPr>
              <w:t>Team leaders</w:t>
            </w:r>
          </w:p>
        </w:tc>
        <w:tc>
          <w:tcPr>
            <w:tcW w:w="1870" w:type="dxa"/>
          </w:tcPr>
          <w:p w14:paraId="3E5C2158" w14:textId="77777777" w:rsidR="00B168DA" w:rsidRPr="005E5949" w:rsidRDefault="00B168DA" w:rsidP="003A348D">
            <w:pPr>
              <w:jc w:val="left"/>
              <w:rPr>
                <w:rFonts w:asciiTheme="majorHAnsi" w:hAnsiTheme="majorHAnsi" w:cstheme="majorHAnsi"/>
              </w:rPr>
            </w:pPr>
            <w:r>
              <w:rPr>
                <w:rFonts w:asciiTheme="majorHAnsi" w:hAnsiTheme="majorHAnsi" w:cstheme="majorHAnsi"/>
              </w:rPr>
              <w:t xml:space="preserve">En </w:t>
            </w:r>
            <w:proofErr w:type="spellStart"/>
            <w:r w:rsidRPr="005E5949">
              <w:rPr>
                <w:rFonts w:asciiTheme="majorHAnsi" w:hAnsiTheme="majorHAnsi" w:cstheme="majorHAnsi"/>
              </w:rPr>
              <w:t>continu</w:t>
            </w:r>
            <w:proofErr w:type="spellEnd"/>
          </w:p>
        </w:tc>
        <w:sdt>
          <w:sdtPr>
            <w:rPr>
              <w:rFonts w:asciiTheme="majorHAnsi" w:hAnsiTheme="majorHAnsi" w:cstheme="majorHAnsi"/>
            </w:rPr>
            <w:id w:val="-1769458920"/>
            <w14:checkbox>
              <w14:checked w14:val="1"/>
              <w14:checkedState w14:val="2612" w14:font="MS Gothic"/>
              <w14:uncheckedState w14:val="2610" w14:font="MS Gothic"/>
            </w14:checkbox>
          </w:sdtPr>
          <w:sdtContent>
            <w:tc>
              <w:tcPr>
                <w:tcW w:w="1313" w:type="dxa"/>
                <w:shd w:val="clear" w:color="auto" w:fill="00B050"/>
                <w:vAlign w:val="center"/>
              </w:tcPr>
              <w:p w14:paraId="6F780D2D" w14:textId="77777777" w:rsidR="00B168DA" w:rsidRPr="005E5949" w:rsidRDefault="00B168DA" w:rsidP="003A348D">
                <w:pPr>
                  <w:jc w:val="center"/>
                  <w:rPr>
                    <w:rFonts w:asciiTheme="majorHAnsi" w:hAnsiTheme="majorHAnsi" w:cstheme="majorHAnsi"/>
                  </w:rPr>
                </w:pPr>
                <w:r w:rsidRPr="005E5949">
                  <w:rPr>
                    <w:rFonts w:ascii="Segoe UI Symbol" w:eastAsia="MS Gothic" w:hAnsi="Segoe UI Symbol" w:cs="Segoe UI Symbol"/>
                  </w:rPr>
                  <w:t>☒</w:t>
                </w:r>
              </w:p>
            </w:tc>
          </w:sdtContent>
        </w:sdt>
      </w:tr>
      <w:tr w:rsidR="00B168DA" w:rsidRPr="005E5949" w14:paraId="0B0BC11D" w14:textId="77777777" w:rsidTr="00925C05">
        <w:trPr>
          <w:trHeight w:val="982"/>
        </w:trPr>
        <w:tc>
          <w:tcPr>
            <w:tcW w:w="421" w:type="dxa"/>
            <w:vAlign w:val="center"/>
          </w:tcPr>
          <w:p w14:paraId="34EAE12F" w14:textId="4F12F714" w:rsidR="00B168DA" w:rsidRPr="005E5949" w:rsidRDefault="00DF6E7F" w:rsidP="003A348D">
            <w:pPr>
              <w:jc w:val="center"/>
              <w:rPr>
                <w:rFonts w:asciiTheme="majorHAnsi" w:hAnsiTheme="majorHAnsi" w:cstheme="majorHAnsi"/>
              </w:rPr>
            </w:pPr>
            <w:r>
              <w:rPr>
                <w:rFonts w:asciiTheme="majorHAnsi" w:hAnsiTheme="majorHAnsi" w:cstheme="majorHAnsi"/>
              </w:rPr>
              <w:t>10</w:t>
            </w:r>
          </w:p>
        </w:tc>
        <w:tc>
          <w:tcPr>
            <w:tcW w:w="1963" w:type="dxa"/>
          </w:tcPr>
          <w:p w14:paraId="31CD96D3" w14:textId="51595325"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Examiner et mettre à jour les SOP existantes en matière de rapports aux Bailleurs</w:t>
            </w:r>
            <w:r w:rsidR="00FF466F">
              <w:rPr>
                <w:rFonts w:asciiTheme="majorHAnsi" w:hAnsiTheme="majorHAnsi" w:cstheme="majorHAnsi"/>
                <w:lang w:val="fr-SN"/>
              </w:rPr>
              <w:t>.</w:t>
            </w:r>
          </w:p>
        </w:tc>
        <w:tc>
          <w:tcPr>
            <w:tcW w:w="1698" w:type="dxa"/>
          </w:tcPr>
          <w:p w14:paraId="371FF2D2" w14:textId="209787DD"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S’assurer que les leçons apprises sont prises en compte et que les rapports sont de qualité</w:t>
            </w:r>
            <w:r w:rsidR="009026C4">
              <w:rPr>
                <w:rFonts w:asciiTheme="majorHAnsi" w:hAnsiTheme="majorHAnsi" w:cstheme="majorHAnsi"/>
                <w:lang w:val="fr-SN"/>
              </w:rPr>
              <w:t>.</w:t>
            </w:r>
          </w:p>
        </w:tc>
        <w:tc>
          <w:tcPr>
            <w:tcW w:w="1565" w:type="dxa"/>
          </w:tcPr>
          <w:p w14:paraId="5FB337C8"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 xml:space="preserve">Le SOP est actualisé et/ou révisé et les rapports sont de qualité </w:t>
            </w:r>
          </w:p>
        </w:tc>
        <w:tc>
          <w:tcPr>
            <w:tcW w:w="1011" w:type="dxa"/>
          </w:tcPr>
          <w:p w14:paraId="796FD728"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Team Leader PMSU</w:t>
            </w:r>
          </w:p>
        </w:tc>
        <w:tc>
          <w:tcPr>
            <w:tcW w:w="1870" w:type="dxa"/>
          </w:tcPr>
          <w:p w14:paraId="529E2220"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Mai 20</w:t>
            </w:r>
            <w:r>
              <w:rPr>
                <w:rFonts w:asciiTheme="majorHAnsi" w:hAnsiTheme="majorHAnsi" w:cstheme="majorHAnsi"/>
              </w:rPr>
              <w:t>22</w:t>
            </w:r>
          </w:p>
        </w:tc>
        <w:tc>
          <w:tcPr>
            <w:tcW w:w="1313" w:type="dxa"/>
            <w:shd w:val="clear" w:color="auto" w:fill="ED7D31" w:themeFill="accent2"/>
            <w:vAlign w:val="center"/>
          </w:tcPr>
          <w:p w14:paraId="17900490" w14:textId="45B0DEBD" w:rsidR="00B168DA" w:rsidRPr="005E5949" w:rsidRDefault="00B168DA" w:rsidP="003A348D">
            <w:pPr>
              <w:jc w:val="center"/>
              <w:rPr>
                <w:rFonts w:asciiTheme="majorHAnsi" w:hAnsiTheme="majorHAnsi" w:cstheme="majorHAnsi"/>
              </w:rPr>
            </w:pPr>
          </w:p>
        </w:tc>
      </w:tr>
      <w:tr w:rsidR="00B168DA" w:rsidRPr="00FB5F18" w14:paraId="4EEC7EB6" w14:textId="77777777" w:rsidTr="00E3334E">
        <w:trPr>
          <w:trHeight w:val="461"/>
        </w:trPr>
        <w:tc>
          <w:tcPr>
            <w:tcW w:w="9841" w:type="dxa"/>
            <w:gridSpan w:val="7"/>
            <w:shd w:val="clear" w:color="auto" w:fill="9CC2E5" w:themeFill="accent5" w:themeFillTint="99"/>
            <w:vAlign w:val="center"/>
          </w:tcPr>
          <w:p w14:paraId="5CFC1CDF" w14:textId="77777777" w:rsidR="00B168DA" w:rsidRPr="0014046B" w:rsidRDefault="00B168DA" w:rsidP="00B168DA">
            <w:pPr>
              <w:pStyle w:val="Paragraphedeliste"/>
              <w:numPr>
                <w:ilvl w:val="0"/>
                <w:numId w:val="15"/>
              </w:numPr>
              <w:spacing w:after="200" w:line="276" w:lineRule="auto"/>
              <w:jc w:val="left"/>
              <w:rPr>
                <w:rFonts w:asciiTheme="majorHAnsi" w:hAnsiTheme="majorHAnsi" w:cstheme="majorHAnsi"/>
                <w:b/>
                <w:lang w:val="fr-SN"/>
              </w:rPr>
            </w:pPr>
            <w:r w:rsidRPr="0014046B">
              <w:rPr>
                <w:rFonts w:asciiTheme="majorHAnsi" w:hAnsiTheme="majorHAnsi" w:cstheme="majorHAnsi"/>
                <w:b/>
                <w:lang w:val="fr-SN"/>
              </w:rPr>
              <w:t>Communication et sensibilisation des donateurs</w:t>
            </w:r>
          </w:p>
        </w:tc>
      </w:tr>
      <w:tr w:rsidR="00B168DA" w:rsidRPr="005E5949" w14:paraId="1DF5A007" w14:textId="77777777" w:rsidTr="00D831E4">
        <w:trPr>
          <w:trHeight w:val="336"/>
        </w:trPr>
        <w:tc>
          <w:tcPr>
            <w:tcW w:w="421" w:type="dxa"/>
            <w:vAlign w:val="center"/>
          </w:tcPr>
          <w:p w14:paraId="61C5F4F1" w14:textId="2C136148" w:rsidR="00B168DA" w:rsidRPr="005E5949" w:rsidRDefault="00B168DA" w:rsidP="003A348D">
            <w:pPr>
              <w:jc w:val="left"/>
              <w:rPr>
                <w:rFonts w:asciiTheme="majorHAnsi" w:hAnsiTheme="majorHAnsi" w:cstheme="majorHAnsi"/>
              </w:rPr>
            </w:pPr>
            <w:r w:rsidRPr="005E5949">
              <w:rPr>
                <w:rFonts w:asciiTheme="majorHAnsi" w:hAnsiTheme="majorHAnsi" w:cstheme="majorHAnsi"/>
              </w:rPr>
              <w:t>1</w:t>
            </w:r>
            <w:r w:rsidR="00DF6E7F">
              <w:rPr>
                <w:rFonts w:asciiTheme="majorHAnsi" w:hAnsiTheme="majorHAnsi" w:cstheme="majorHAnsi"/>
              </w:rPr>
              <w:t>1</w:t>
            </w:r>
          </w:p>
        </w:tc>
        <w:tc>
          <w:tcPr>
            <w:tcW w:w="1963" w:type="dxa"/>
            <w:vAlign w:val="center"/>
          </w:tcPr>
          <w:p w14:paraId="02529FD1" w14:textId="77777777"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Etablir des supports de communication pour le CO et pour chacun des projets</w:t>
            </w:r>
          </w:p>
        </w:tc>
        <w:tc>
          <w:tcPr>
            <w:tcW w:w="1698" w:type="dxa"/>
            <w:vAlign w:val="center"/>
          </w:tcPr>
          <w:p w14:paraId="36C9B55F"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 xml:space="preserve">Renforcer la communication du CO vis-à-vis des partenaires </w:t>
            </w:r>
          </w:p>
        </w:tc>
        <w:tc>
          <w:tcPr>
            <w:tcW w:w="1565" w:type="dxa"/>
            <w:vAlign w:val="center"/>
          </w:tcPr>
          <w:p w14:paraId="733FC9F0" w14:textId="77777777" w:rsidR="00B168DA" w:rsidRPr="0014046B" w:rsidRDefault="00B168DA" w:rsidP="00B168DA">
            <w:pPr>
              <w:pStyle w:val="Paragraphedeliste"/>
              <w:numPr>
                <w:ilvl w:val="0"/>
                <w:numId w:val="14"/>
              </w:numPr>
              <w:jc w:val="left"/>
              <w:rPr>
                <w:rFonts w:asciiTheme="majorHAnsi" w:hAnsiTheme="majorHAnsi" w:cstheme="majorHAnsi"/>
                <w:lang w:val="fr-SN"/>
              </w:rPr>
            </w:pPr>
            <w:r w:rsidRPr="0014046B">
              <w:rPr>
                <w:rFonts w:asciiTheme="majorHAnsi" w:hAnsiTheme="majorHAnsi" w:cstheme="majorHAnsi"/>
                <w:lang w:val="fr-SN"/>
              </w:rPr>
              <w:t>Les activités et les résultats du CO sont connus</w:t>
            </w:r>
          </w:p>
        </w:tc>
        <w:tc>
          <w:tcPr>
            <w:tcW w:w="1011" w:type="dxa"/>
            <w:vAlign w:val="center"/>
          </w:tcPr>
          <w:p w14:paraId="7132F784" w14:textId="77777777" w:rsidR="00B168DA" w:rsidRPr="005E5949" w:rsidRDefault="00B168DA" w:rsidP="003A348D">
            <w:pPr>
              <w:jc w:val="left"/>
              <w:rPr>
                <w:rFonts w:asciiTheme="majorHAnsi" w:hAnsiTheme="majorHAnsi" w:cstheme="majorHAnsi"/>
              </w:rPr>
            </w:pPr>
            <w:r>
              <w:rPr>
                <w:rFonts w:asciiTheme="majorHAnsi" w:hAnsiTheme="majorHAnsi" w:cstheme="majorHAnsi"/>
              </w:rPr>
              <w:t xml:space="preserve">Expert </w:t>
            </w:r>
            <w:r w:rsidRPr="005E5949">
              <w:rPr>
                <w:rFonts w:asciiTheme="majorHAnsi" w:hAnsiTheme="majorHAnsi" w:cstheme="majorHAnsi"/>
              </w:rPr>
              <w:t>Com</w:t>
            </w:r>
            <w:r>
              <w:rPr>
                <w:rFonts w:asciiTheme="majorHAnsi" w:hAnsiTheme="majorHAnsi" w:cstheme="majorHAnsi"/>
              </w:rPr>
              <w:t>munication</w:t>
            </w:r>
            <w:r w:rsidRPr="005E5949">
              <w:rPr>
                <w:rFonts w:asciiTheme="majorHAnsi" w:hAnsiTheme="majorHAnsi" w:cstheme="majorHAnsi"/>
              </w:rPr>
              <w:t>.</w:t>
            </w:r>
          </w:p>
        </w:tc>
        <w:tc>
          <w:tcPr>
            <w:tcW w:w="1870" w:type="dxa"/>
            <w:vAlign w:val="center"/>
          </w:tcPr>
          <w:p w14:paraId="4B4E828E" w14:textId="1D16D83C" w:rsidR="00B168DA" w:rsidRPr="005E5949" w:rsidRDefault="00BB4B6B" w:rsidP="003A348D">
            <w:pPr>
              <w:jc w:val="left"/>
              <w:rPr>
                <w:rFonts w:asciiTheme="majorHAnsi" w:hAnsiTheme="majorHAnsi" w:cstheme="majorHAnsi"/>
              </w:rPr>
            </w:pPr>
            <w:r>
              <w:rPr>
                <w:rFonts w:asciiTheme="majorHAnsi" w:hAnsiTheme="majorHAnsi" w:cstheme="majorHAnsi"/>
              </w:rPr>
              <w:t>Continu</w:t>
            </w:r>
          </w:p>
        </w:tc>
        <w:sdt>
          <w:sdtPr>
            <w:rPr>
              <w:rFonts w:asciiTheme="majorHAnsi" w:hAnsiTheme="majorHAnsi" w:cstheme="majorHAnsi"/>
            </w:rPr>
            <w:id w:val="1412496514"/>
            <w14:checkbox>
              <w14:checked w14:val="1"/>
              <w14:checkedState w14:val="2612" w14:font="MS Gothic"/>
              <w14:uncheckedState w14:val="2610" w14:font="MS Gothic"/>
            </w14:checkbox>
          </w:sdtPr>
          <w:sdtContent>
            <w:tc>
              <w:tcPr>
                <w:tcW w:w="1313" w:type="dxa"/>
                <w:shd w:val="clear" w:color="auto" w:fill="00B050"/>
                <w:vAlign w:val="center"/>
              </w:tcPr>
              <w:p w14:paraId="1DF36851" w14:textId="5CE5DD16" w:rsidR="00B168DA" w:rsidRPr="005E5949" w:rsidRDefault="00D831E4" w:rsidP="003A348D">
                <w:pPr>
                  <w:jc w:val="center"/>
                  <w:rPr>
                    <w:rFonts w:asciiTheme="majorHAnsi" w:hAnsiTheme="majorHAnsi" w:cstheme="majorHAnsi"/>
                  </w:rPr>
                </w:pPr>
                <w:r>
                  <w:rPr>
                    <w:rFonts w:ascii="MS Gothic" w:eastAsia="MS Gothic" w:hAnsi="MS Gothic" w:cstheme="majorHAnsi" w:hint="eastAsia"/>
                  </w:rPr>
                  <w:t>☒</w:t>
                </w:r>
              </w:p>
            </w:tc>
          </w:sdtContent>
        </w:sdt>
      </w:tr>
      <w:tr w:rsidR="00B168DA" w:rsidRPr="005E5949" w14:paraId="2F7425AE" w14:textId="77777777" w:rsidTr="00D831E4">
        <w:trPr>
          <w:trHeight w:val="336"/>
        </w:trPr>
        <w:tc>
          <w:tcPr>
            <w:tcW w:w="421" w:type="dxa"/>
            <w:vAlign w:val="center"/>
          </w:tcPr>
          <w:p w14:paraId="7308F3A6" w14:textId="39713A9E" w:rsidR="00B168DA" w:rsidRPr="005E5949" w:rsidRDefault="00B168DA" w:rsidP="003A348D">
            <w:pPr>
              <w:jc w:val="left"/>
              <w:rPr>
                <w:rFonts w:asciiTheme="majorHAnsi" w:hAnsiTheme="majorHAnsi" w:cstheme="majorHAnsi"/>
              </w:rPr>
            </w:pPr>
            <w:r w:rsidRPr="005E5949">
              <w:rPr>
                <w:rFonts w:asciiTheme="majorHAnsi" w:hAnsiTheme="majorHAnsi" w:cstheme="majorHAnsi"/>
              </w:rPr>
              <w:t>1</w:t>
            </w:r>
            <w:r w:rsidR="00DF6E7F">
              <w:rPr>
                <w:rFonts w:asciiTheme="majorHAnsi" w:hAnsiTheme="majorHAnsi" w:cstheme="majorHAnsi"/>
              </w:rPr>
              <w:t>2</w:t>
            </w:r>
          </w:p>
        </w:tc>
        <w:tc>
          <w:tcPr>
            <w:tcW w:w="1963" w:type="dxa"/>
            <w:vAlign w:val="center"/>
          </w:tcPr>
          <w:p w14:paraId="39780F9B" w14:textId="77777777"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Mettre à jour toutes les fiches projets en cours</w:t>
            </w:r>
          </w:p>
        </w:tc>
        <w:tc>
          <w:tcPr>
            <w:tcW w:w="1698" w:type="dxa"/>
            <w:vAlign w:val="center"/>
          </w:tcPr>
          <w:p w14:paraId="4DFB8127"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Avoir des documents supports pour le renforcement du partenariat</w:t>
            </w:r>
          </w:p>
        </w:tc>
        <w:tc>
          <w:tcPr>
            <w:tcW w:w="1565" w:type="dxa"/>
            <w:vAlign w:val="center"/>
          </w:tcPr>
          <w:p w14:paraId="449698D3"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Des fiches projet existent pour toutes les projets en cours et sont régulièrement mises à jour</w:t>
            </w:r>
          </w:p>
        </w:tc>
        <w:tc>
          <w:tcPr>
            <w:tcW w:w="1011" w:type="dxa"/>
            <w:vAlign w:val="center"/>
          </w:tcPr>
          <w:p w14:paraId="6071A074" w14:textId="77777777"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Analyste au Programme</w:t>
            </w:r>
          </w:p>
          <w:p w14:paraId="02257F20" w14:textId="77777777" w:rsidR="00B168DA" w:rsidRPr="0014046B" w:rsidRDefault="00B168DA" w:rsidP="003A348D">
            <w:pPr>
              <w:jc w:val="left"/>
              <w:rPr>
                <w:rFonts w:asciiTheme="majorHAnsi" w:hAnsiTheme="majorHAnsi" w:cstheme="majorHAnsi"/>
                <w:lang w:val="fr-SN"/>
              </w:rPr>
            </w:pPr>
            <w:r>
              <w:rPr>
                <w:rFonts w:asciiTheme="majorHAnsi" w:hAnsiTheme="majorHAnsi" w:cstheme="majorHAnsi"/>
                <w:lang w:val="fr-SN"/>
              </w:rPr>
              <w:t>Expert</w:t>
            </w:r>
            <w:r w:rsidRPr="0014046B">
              <w:rPr>
                <w:rFonts w:asciiTheme="majorHAnsi" w:hAnsiTheme="majorHAnsi" w:cstheme="majorHAnsi"/>
                <w:lang w:val="fr-SN"/>
              </w:rPr>
              <w:t xml:space="preserve"> com.</w:t>
            </w:r>
          </w:p>
        </w:tc>
        <w:tc>
          <w:tcPr>
            <w:tcW w:w="1870" w:type="dxa"/>
            <w:vAlign w:val="center"/>
          </w:tcPr>
          <w:p w14:paraId="738AA133" w14:textId="2D7C149D" w:rsidR="00B168DA" w:rsidRPr="005E5949" w:rsidRDefault="00BB4B6B" w:rsidP="003A348D">
            <w:pPr>
              <w:jc w:val="left"/>
              <w:rPr>
                <w:rFonts w:asciiTheme="majorHAnsi" w:hAnsiTheme="majorHAnsi" w:cstheme="majorHAnsi"/>
              </w:rPr>
            </w:pPr>
            <w:r>
              <w:rPr>
                <w:rFonts w:asciiTheme="majorHAnsi" w:hAnsiTheme="majorHAnsi" w:cstheme="majorHAnsi"/>
              </w:rPr>
              <w:t>Continu</w:t>
            </w:r>
          </w:p>
        </w:tc>
        <w:sdt>
          <w:sdtPr>
            <w:rPr>
              <w:rFonts w:asciiTheme="majorHAnsi" w:hAnsiTheme="majorHAnsi" w:cstheme="majorHAnsi"/>
            </w:rPr>
            <w:id w:val="-65735907"/>
            <w14:checkbox>
              <w14:checked w14:val="1"/>
              <w14:checkedState w14:val="2612" w14:font="MS Gothic"/>
              <w14:uncheckedState w14:val="2610" w14:font="MS Gothic"/>
            </w14:checkbox>
          </w:sdtPr>
          <w:sdtContent>
            <w:tc>
              <w:tcPr>
                <w:tcW w:w="1313" w:type="dxa"/>
                <w:shd w:val="clear" w:color="auto" w:fill="00B050"/>
                <w:vAlign w:val="center"/>
              </w:tcPr>
              <w:p w14:paraId="285712AC" w14:textId="3B7D4309" w:rsidR="00B168DA" w:rsidRPr="005E5949" w:rsidRDefault="00D831E4" w:rsidP="003A348D">
                <w:pPr>
                  <w:jc w:val="center"/>
                  <w:rPr>
                    <w:rFonts w:asciiTheme="majorHAnsi" w:hAnsiTheme="majorHAnsi" w:cstheme="majorHAnsi"/>
                  </w:rPr>
                </w:pPr>
                <w:r>
                  <w:rPr>
                    <w:rFonts w:ascii="MS Gothic" w:eastAsia="MS Gothic" w:hAnsi="MS Gothic" w:cstheme="majorHAnsi" w:hint="eastAsia"/>
                  </w:rPr>
                  <w:t>☒</w:t>
                </w:r>
              </w:p>
            </w:tc>
          </w:sdtContent>
        </w:sdt>
      </w:tr>
      <w:tr w:rsidR="00B168DA" w:rsidRPr="005E5949" w14:paraId="352EB01A" w14:textId="77777777" w:rsidTr="00925C05">
        <w:trPr>
          <w:trHeight w:val="336"/>
        </w:trPr>
        <w:tc>
          <w:tcPr>
            <w:tcW w:w="421" w:type="dxa"/>
            <w:vAlign w:val="center"/>
          </w:tcPr>
          <w:p w14:paraId="15D64BD8" w14:textId="59D5D993" w:rsidR="00B168DA" w:rsidRPr="005E5949" w:rsidRDefault="00B168DA" w:rsidP="003A348D">
            <w:pPr>
              <w:jc w:val="left"/>
              <w:rPr>
                <w:rFonts w:asciiTheme="majorHAnsi" w:hAnsiTheme="majorHAnsi" w:cstheme="majorHAnsi"/>
              </w:rPr>
            </w:pPr>
            <w:r w:rsidRPr="005E5949">
              <w:rPr>
                <w:rFonts w:asciiTheme="majorHAnsi" w:hAnsiTheme="majorHAnsi" w:cstheme="majorHAnsi"/>
              </w:rPr>
              <w:t>1</w:t>
            </w:r>
            <w:r w:rsidR="00DF6E7F">
              <w:rPr>
                <w:rFonts w:asciiTheme="majorHAnsi" w:hAnsiTheme="majorHAnsi" w:cstheme="majorHAnsi"/>
              </w:rPr>
              <w:t>3</w:t>
            </w:r>
            <w:r w:rsidRPr="005E5949">
              <w:rPr>
                <w:rFonts w:asciiTheme="majorHAnsi" w:hAnsiTheme="majorHAnsi" w:cstheme="majorHAnsi"/>
              </w:rPr>
              <w:t>.</w:t>
            </w:r>
          </w:p>
        </w:tc>
        <w:tc>
          <w:tcPr>
            <w:tcW w:w="1963" w:type="dxa"/>
            <w:vAlign w:val="center"/>
          </w:tcPr>
          <w:p w14:paraId="592869D2" w14:textId="77777777" w:rsidR="00B168DA" w:rsidRPr="0014046B" w:rsidRDefault="00B168DA" w:rsidP="003A348D">
            <w:pPr>
              <w:jc w:val="left"/>
              <w:rPr>
                <w:rFonts w:asciiTheme="majorHAnsi" w:hAnsiTheme="majorHAnsi" w:cstheme="majorHAnsi"/>
                <w:lang w:val="fr-SN"/>
              </w:rPr>
            </w:pPr>
            <w:r>
              <w:rPr>
                <w:rFonts w:asciiTheme="majorHAnsi" w:hAnsiTheme="majorHAnsi" w:cstheme="majorHAnsi"/>
                <w:lang w:val="fr-SN"/>
              </w:rPr>
              <w:t>Disposer d’u</w:t>
            </w:r>
            <w:r w:rsidRPr="0014046B">
              <w:rPr>
                <w:rFonts w:asciiTheme="majorHAnsi" w:hAnsiTheme="majorHAnsi" w:cstheme="majorHAnsi"/>
                <w:lang w:val="fr-SN"/>
              </w:rPr>
              <w:t xml:space="preserve">n dossier </w:t>
            </w:r>
            <w:r>
              <w:rPr>
                <w:rFonts w:asciiTheme="majorHAnsi" w:hAnsiTheme="majorHAnsi" w:cstheme="majorHAnsi"/>
                <w:lang w:val="fr-SN"/>
              </w:rPr>
              <w:t xml:space="preserve">comportant les priorités programmatiques du PNUD, la présentation du CO et les résultats majeurs obtenus </w:t>
            </w:r>
            <w:r w:rsidRPr="0014046B">
              <w:rPr>
                <w:rFonts w:asciiTheme="majorHAnsi" w:hAnsiTheme="majorHAnsi" w:cstheme="majorHAnsi"/>
                <w:lang w:val="fr-SN"/>
              </w:rPr>
              <w:t>pour Représentant Résident</w:t>
            </w:r>
          </w:p>
        </w:tc>
        <w:tc>
          <w:tcPr>
            <w:tcW w:w="1698" w:type="dxa"/>
            <w:vAlign w:val="center"/>
          </w:tcPr>
          <w:p w14:paraId="7E707AA5"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Disposer d’un dossier qui met en évidence la pertinence et l'expertise du PNUD auprès des donateurs</w:t>
            </w:r>
          </w:p>
        </w:tc>
        <w:tc>
          <w:tcPr>
            <w:tcW w:w="1565" w:type="dxa"/>
            <w:vAlign w:val="center"/>
          </w:tcPr>
          <w:p w14:paraId="3C1E1895" w14:textId="77777777" w:rsidR="00B168DA" w:rsidRPr="0014046B" w:rsidRDefault="00B168DA" w:rsidP="00B168DA">
            <w:pPr>
              <w:pStyle w:val="Paragraphedeliste"/>
              <w:numPr>
                <w:ilvl w:val="0"/>
                <w:numId w:val="14"/>
              </w:numPr>
              <w:jc w:val="left"/>
              <w:rPr>
                <w:rFonts w:asciiTheme="majorHAnsi" w:hAnsiTheme="majorHAnsi" w:cstheme="majorHAnsi"/>
                <w:lang w:val="fr-SN"/>
              </w:rPr>
            </w:pPr>
            <w:r w:rsidRPr="0014046B">
              <w:rPr>
                <w:rFonts w:asciiTheme="majorHAnsi" w:hAnsiTheme="majorHAnsi" w:cstheme="majorHAnsi"/>
                <w:lang w:val="fr-SN"/>
              </w:rPr>
              <w:t xml:space="preserve">Une présentation du PNUD, de son CPD et de ses réalisations est disponible </w:t>
            </w:r>
          </w:p>
        </w:tc>
        <w:tc>
          <w:tcPr>
            <w:tcW w:w="1011" w:type="dxa"/>
            <w:vAlign w:val="center"/>
          </w:tcPr>
          <w:p w14:paraId="69A1E3B8"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Team Leader</w:t>
            </w:r>
          </w:p>
          <w:p w14:paraId="02A9F0A6" w14:textId="77777777" w:rsidR="00B168DA" w:rsidRPr="005E5949" w:rsidRDefault="00B168DA" w:rsidP="003A348D">
            <w:pPr>
              <w:jc w:val="left"/>
              <w:rPr>
                <w:rFonts w:asciiTheme="majorHAnsi" w:hAnsiTheme="majorHAnsi" w:cstheme="majorHAnsi"/>
              </w:rPr>
            </w:pPr>
            <w:r>
              <w:rPr>
                <w:rFonts w:asciiTheme="majorHAnsi" w:hAnsiTheme="majorHAnsi" w:cstheme="majorHAnsi"/>
              </w:rPr>
              <w:t>Expert</w:t>
            </w:r>
            <w:r w:rsidRPr="005E5949">
              <w:rPr>
                <w:rFonts w:asciiTheme="majorHAnsi" w:hAnsiTheme="majorHAnsi" w:cstheme="majorHAnsi"/>
              </w:rPr>
              <w:t xml:space="preserve"> Com </w:t>
            </w:r>
          </w:p>
        </w:tc>
        <w:tc>
          <w:tcPr>
            <w:tcW w:w="1870" w:type="dxa"/>
            <w:vAlign w:val="center"/>
          </w:tcPr>
          <w:p w14:paraId="12F8402B" w14:textId="7AE9ACF0" w:rsidR="00B168DA" w:rsidRDefault="00224A8E" w:rsidP="003A348D">
            <w:pPr>
              <w:jc w:val="left"/>
              <w:rPr>
                <w:rFonts w:asciiTheme="majorHAnsi" w:hAnsiTheme="majorHAnsi" w:cstheme="majorHAnsi"/>
              </w:rPr>
            </w:pPr>
            <w:proofErr w:type="spellStart"/>
            <w:r>
              <w:rPr>
                <w:rFonts w:asciiTheme="majorHAnsi" w:hAnsiTheme="majorHAnsi" w:cstheme="majorHAnsi"/>
              </w:rPr>
              <w:t>Realisé</w:t>
            </w:r>
            <w:proofErr w:type="spellEnd"/>
          </w:p>
          <w:p w14:paraId="4C81CBDF" w14:textId="19F1EAA4" w:rsidR="00224A8E" w:rsidRPr="005E5949" w:rsidRDefault="00224A8E" w:rsidP="003A348D">
            <w:pPr>
              <w:jc w:val="left"/>
              <w:rPr>
                <w:rFonts w:asciiTheme="majorHAnsi" w:hAnsiTheme="majorHAnsi" w:cstheme="majorHAnsi"/>
              </w:rPr>
            </w:pPr>
          </w:p>
        </w:tc>
        <w:sdt>
          <w:sdtPr>
            <w:rPr>
              <w:rFonts w:asciiTheme="majorHAnsi" w:hAnsiTheme="majorHAnsi" w:cstheme="majorHAnsi"/>
            </w:rPr>
            <w:id w:val="836888512"/>
            <w14:checkbox>
              <w14:checked w14:val="1"/>
              <w14:checkedState w14:val="2612" w14:font="MS Gothic"/>
              <w14:uncheckedState w14:val="2610" w14:font="MS Gothic"/>
            </w14:checkbox>
          </w:sdtPr>
          <w:sdtContent>
            <w:tc>
              <w:tcPr>
                <w:tcW w:w="1313" w:type="dxa"/>
                <w:shd w:val="clear" w:color="auto" w:fill="ED7D31" w:themeFill="accent2"/>
                <w:vAlign w:val="center"/>
              </w:tcPr>
              <w:p w14:paraId="2A77135D" w14:textId="503A80E7" w:rsidR="00B168DA" w:rsidRPr="005E5949" w:rsidRDefault="00925C05" w:rsidP="003A348D">
                <w:pPr>
                  <w:jc w:val="center"/>
                  <w:rPr>
                    <w:rFonts w:asciiTheme="majorHAnsi" w:hAnsiTheme="majorHAnsi" w:cstheme="majorHAnsi"/>
                  </w:rPr>
                </w:pPr>
                <w:r>
                  <w:rPr>
                    <w:rFonts w:ascii="MS Gothic" w:eastAsia="MS Gothic" w:hAnsi="MS Gothic" w:cstheme="majorHAnsi" w:hint="eastAsia"/>
                  </w:rPr>
                  <w:t>☒</w:t>
                </w:r>
              </w:p>
            </w:tc>
          </w:sdtContent>
        </w:sdt>
      </w:tr>
      <w:tr w:rsidR="00B168DA" w:rsidRPr="005E5949" w14:paraId="261EED93" w14:textId="77777777" w:rsidTr="00D831E4">
        <w:trPr>
          <w:trHeight w:val="336"/>
        </w:trPr>
        <w:tc>
          <w:tcPr>
            <w:tcW w:w="421" w:type="dxa"/>
            <w:vAlign w:val="center"/>
          </w:tcPr>
          <w:p w14:paraId="5B269CB3" w14:textId="399E92F6" w:rsidR="00B168DA" w:rsidRPr="005E5949" w:rsidRDefault="00DF6E7F" w:rsidP="003A348D">
            <w:pPr>
              <w:jc w:val="left"/>
              <w:rPr>
                <w:rFonts w:asciiTheme="majorHAnsi" w:hAnsiTheme="majorHAnsi" w:cstheme="majorHAnsi"/>
              </w:rPr>
            </w:pPr>
            <w:r>
              <w:rPr>
                <w:rFonts w:asciiTheme="majorHAnsi" w:hAnsiTheme="majorHAnsi" w:cstheme="majorHAnsi"/>
              </w:rPr>
              <w:t>14</w:t>
            </w:r>
            <w:r w:rsidR="00B168DA" w:rsidRPr="005E5949">
              <w:rPr>
                <w:rFonts w:asciiTheme="majorHAnsi" w:hAnsiTheme="majorHAnsi" w:cstheme="majorHAnsi"/>
              </w:rPr>
              <w:t>.</w:t>
            </w:r>
          </w:p>
        </w:tc>
        <w:tc>
          <w:tcPr>
            <w:tcW w:w="1963" w:type="dxa"/>
            <w:vAlign w:val="center"/>
          </w:tcPr>
          <w:p w14:paraId="73567543" w14:textId="77777777"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Organiser des rencontres avec les donateurs potentiels</w:t>
            </w:r>
          </w:p>
        </w:tc>
        <w:tc>
          <w:tcPr>
            <w:tcW w:w="1698" w:type="dxa"/>
            <w:vAlign w:val="center"/>
          </w:tcPr>
          <w:p w14:paraId="56DD7D4E"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Présenter l’expertise du PNUD et ses réalisations aux Bailleurs et potentiels Bailleurs</w:t>
            </w:r>
          </w:p>
        </w:tc>
        <w:tc>
          <w:tcPr>
            <w:tcW w:w="1565" w:type="dxa"/>
            <w:vAlign w:val="center"/>
          </w:tcPr>
          <w:p w14:paraId="0A1CFDD2" w14:textId="37BCEBC1" w:rsidR="00B168DA" w:rsidRPr="00B15E75" w:rsidRDefault="00B168DA" w:rsidP="00B168DA">
            <w:pPr>
              <w:pStyle w:val="Paragraphedeliste"/>
              <w:numPr>
                <w:ilvl w:val="0"/>
                <w:numId w:val="14"/>
              </w:numPr>
              <w:ind w:left="175" w:hanging="175"/>
              <w:jc w:val="left"/>
              <w:rPr>
                <w:rFonts w:asciiTheme="majorHAnsi" w:hAnsiTheme="majorHAnsi" w:cstheme="majorHAnsi"/>
                <w:sz w:val="18"/>
                <w:szCs w:val="18"/>
                <w:lang w:val="fr-SN"/>
              </w:rPr>
            </w:pPr>
            <w:r w:rsidRPr="00B15E75">
              <w:rPr>
                <w:rFonts w:asciiTheme="majorHAnsi" w:hAnsiTheme="majorHAnsi" w:cstheme="majorHAnsi"/>
                <w:sz w:val="18"/>
                <w:szCs w:val="18"/>
                <w:lang w:val="fr-SN"/>
              </w:rPr>
              <w:t>Le dialogue entre le PNUD et les Bailleurs et potentiels Bailleurs est permanent</w:t>
            </w:r>
            <w:r w:rsidR="00B15E75" w:rsidRPr="00B15E75">
              <w:rPr>
                <w:rFonts w:asciiTheme="majorHAnsi" w:hAnsiTheme="majorHAnsi" w:cstheme="majorHAnsi"/>
                <w:sz w:val="18"/>
                <w:szCs w:val="18"/>
                <w:lang w:val="fr-SN"/>
              </w:rPr>
              <w:t>. Des visites sur sites on</w:t>
            </w:r>
            <w:r w:rsidR="00B15E75">
              <w:rPr>
                <w:rFonts w:asciiTheme="majorHAnsi" w:hAnsiTheme="majorHAnsi" w:cstheme="majorHAnsi"/>
                <w:sz w:val="18"/>
                <w:szCs w:val="18"/>
                <w:lang w:val="fr-SN"/>
              </w:rPr>
              <w:t>t</w:t>
            </w:r>
            <w:r w:rsidR="00B15E75" w:rsidRPr="00B15E75">
              <w:rPr>
                <w:rFonts w:asciiTheme="majorHAnsi" w:hAnsiTheme="majorHAnsi" w:cstheme="majorHAnsi"/>
                <w:sz w:val="18"/>
                <w:szCs w:val="18"/>
                <w:lang w:val="fr-SN"/>
              </w:rPr>
              <w:t xml:space="preserve"> été effectuées avec l’Ambassadeur d’Allemagne et le PNUD </w:t>
            </w:r>
            <w:proofErr w:type="spellStart"/>
            <w:r w:rsidR="00B15E75" w:rsidRPr="00B15E75">
              <w:rPr>
                <w:rFonts w:asciiTheme="majorHAnsi" w:hAnsiTheme="majorHAnsi" w:cstheme="majorHAnsi"/>
                <w:sz w:val="18"/>
                <w:szCs w:val="18"/>
                <w:lang w:val="fr-SN"/>
              </w:rPr>
              <w:t>a</w:t>
            </w:r>
            <w:proofErr w:type="spellEnd"/>
            <w:r w:rsidR="00B15E75" w:rsidRPr="00B15E75">
              <w:rPr>
                <w:rFonts w:asciiTheme="majorHAnsi" w:hAnsiTheme="majorHAnsi" w:cstheme="majorHAnsi"/>
                <w:sz w:val="18"/>
                <w:szCs w:val="18"/>
                <w:lang w:val="fr-SN"/>
              </w:rPr>
              <w:t xml:space="preserve"> San Pedro et a Korhogo.</w:t>
            </w:r>
          </w:p>
          <w:p w14:paraId="154204A8" w14:textId="762B5A00" w:rsidR="00B168DA" w:rsidRPr="00B15E75" w:rsidRDefault="00B168DA" w:rsidP="00B168DA">
            <w:pPr>
              <w:pStyle w:val="Paragraphedeliste"/>
              <w:numPr>
                <w:ilvl w:val="0"/>
                <w:numId w:val="14"/>
              </w:numPr>
              <w:ind w:left="175" w:hanging="175"/>
              <w:jc w:val="left"/>
              <w:rPr>
                <w:rFonts w:asciiTheme="majorHAnsi" w:hAnsiTheme="majorHAnsi" w:cstheme="majorHAnsi"/>
                <w:sz w:val="18"/>
                <w:szCs w:val="18"/>
                <w:lang w:val="fr-SN"/>
              </w:rPr>
            </w:pPr>
            <w:r w:rsidRPr="00B15E75">
              <w:rPr>
                <w:rFonts w:asciiTheme="majorHAnsi" w:hAnsiTheme="majorHAnsi" w:cstheme="majorHAnsi"/>
                <w:sz w:val="18"/>
                <w:szCs w:val="18"/>
                <w:lang w:val="fr-SN"/>
              </w:rPr>
              <w:t xml:space="preserve">Les activités du PNUD et ses résultats sont </w:t>
            </w:r>
            <w:r w:rsidR="009026C4" w:rsidRPr="00B15E75">
              <w:rPr>
                <w:rFonts w:asciiTheme="majorHAnsi" w:hAnsiTheme="majorHAnsi" w:cstheme="majorHAnsi"/>
                <w:sz w:val="18"/>
                <w:szCs w:val="18"/>
                <w:lang w:val="fr-SN"/>
              </w:rPr>
              <w:t>connus</w:t>
            </w:r>
            <w:r w:rsidRPr="00B15E75">
              <w:rPr>
                <w:rFonts w:asciiTheme="majorHAnsi" w:hAnsiTheme="majorHAnsi" w:cstheme="majorHAnsi"/>
                <w:sz w:val="18"/>
                <w:szCs w:val="18"/>
                <w:lang w:val="fr-SN"/>
              </w:rPr>
              <w:t xml:space="preserve"> </w:t>
            </w:r>
          </w:p>
        </w:tc>
        <w:tc>
          <w:tcPr>
            <w:tcW w:w="1011" w:type="dxa"/>
            <w:vAlign w:val="center"/>
          </w:tcPr>
          <w:p w14:paraId="20B970AF"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RR</w:t>
            </w:r>
          </w:p>
          <w:p w14:paraId="0524A047"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DRR</w:t>
            </w:r>
          </w:p>
        </w:tc>
        <w:tc>
          <w:tcPr>
            <w:tcW w:w="1870" w:type="dxa"/>
            <w:vAlign w:val="center"/>
          </w:tcPr>
          <w:p w14:paraId="06BAB521" w14:textId="77777777" w:rsidR="00BB4B6B" w:rsidRDefault="00BB4B6B" w:rsidP="003A348D">
            <w:pPr>
              <w:jc w:val="left"/>
              <w:rPr>
                <w:rFonts w:asciiTheme="majorHAnsi" w:hAnsiTheme="majorHAnsi" w:cstheme="majorHAnsi"/>
              </w:rPr>
            </w:pPr>
          </w:p>
          <w:p w14:paraId="692567D5" w14:textId="2BBD7968" w:rsidR="00BB4B6B" w:rsidRPr="005C6308" w:rsidRDefault="00BB4B6B" w:rsidP="003A348D">
            <w:pPr>
              <w:jc w:val="left"/>
              <w:rPr>
                <w:rFonts w:asciiTheme="majorHAnsi" w:hAnsiTheme="majorHAnsi" w:cstheme="majorHAnsi"/>
              </w:rPr>
            </w:pPr>
            <w:proofErr w:type="spellStart"/>
            <w:r>
              <w:rPr>
                <w:rFonts w:asciiTheme="majorHAnsi" w:hAnsiTheme="majorHAnsi" w:cstheme="majorHAnsi"/>
              </w:rPr>
              <w:t>continu</w:t>
            </w:r>
            <w:proofErr w:type="spellEnd"/>
          </w:p>
        </w:tc>
        <w:sdt>
          <w:sdtPr>
            <w:rPr>
              <w:rFonts w:asciiTheme="majorHAnsi" w:hAnsiTheme="majorHAnsi" w:cstheme="majorHAnsi"/>
            </w:rPr>
            <w:id w:val="-244650944"/>
            <w14:checkbox>
              <w14:checked w14:val="1"/>
              <w14:checkedState w14:val="2612" w14:font="MS Gothic"/>
              <w14:uncheckedState w14:val="2610" w14:font="MS Gothic"/>
            </w14:checkbox>
          </w:sdtPr>
          <w:sdtContent>
            <w:tc>
              <w:tcPr>
                <w:tcW w:w="1313" w:type="dxa"/>
                <w:shd w:val="clear" w:color="auto" w:fill="00B050"/>
                <w:vAlign w:val="center"/>
              </w:tcPr>
              <w:p w14:paraId="5B0D3E61" w14:textId="5C797B11" w:rsidR="00B168DA" w:rsidRPr="005E5949" w:rsidRDefault="00D831E4" w:rsidP="003A348D">
                <w:pPr>
                  <w:jc w:val="center"/>
                  <w:rPr>
                    <w:rFonts w:asciiTheme="majorHAnsi" w:hAnsiTheme="majorHAnsi" w:cstheme="majorHAnsi"/>
                  </w:rPr>
                </w:pPr>
                <w:r>
                  <w:rPr>
                    <w:rFonts w:ascii="MS Gothic" w:eastAsia="MS Gothic" w:hAnsi="MS Gothic" w:cstheme="majorHAnsi" w:hint="eastAsia"/>
                  </w:rPr>
                  <w:t>☒</w:t>
                </w:r>
              </w:p>
            </w:tc>
          </w:sdtContent>
        </w:sdt>
      </w:tr>
      <w:tr w:rsidR="00B168DA" w:rsidRPr="005E5949" w14:paraId="53F9EFF7" w14:textId="77777777" w:rsidTr="000153BA">
        <w:trPr>
          <w:trHeight w:val="1223"/>
        </w:trPr>
        <w:tc>
          <w:tcPr>
            <w:tcW w:w="421" w:type="dxa"/>
            <w:vAlign w:val="center"/>
          </w:tcPr>
          <w:p w14:paraId="0B8CEE2E" w14:textId="18349B7A" w:rsidR="00B168DA" w:rsidRPr="005E5949" w:rsidRDefault="00B168DA" w:rsidP="003A348D">
            <w:pPr>
              <w:jc w:val="left"/>
              <w:rPr>
                <w:rFonts w:asciiTheme="majorHAnsi" w:hAnsiTheme="majorHAnsi" w:cstheme="majorHAnsi"/>
              </w:rPr>
            </w:pPr>
            <w:r w:rsidRPr="005E5949">
              <w:rPr>
                <w:rFonts w:asciiTheme="majorHAnsi" w:hAnsiTheme="majorHAnsi" w:cstheme="majorHAnsi"/>
              </w:rPr>
              <w:t>1</w:t>
            </w:r>
            <w:r w:rsidR="00DF6E7F">
              <w:rPr>
                <w:rFonts w:asciiTheme="majorHAnsi" w:hAnsiTheme="majorHAnsi" w:cstheme="majorHAnsi"/>
              </w:rPr>
              <w:t>5</w:t>
            </w:r>
            <w:r w:rsidRPr="005E5949">
              <w:rPr>
                <w:rFonts w:asciiTheme="majorHAnsi" w:hAnsiTheme="majorHAnsi" w:cstheme="majorHAnsi"/>
              </w:rPr>
              <w:t>.</w:t>
            </w:r>
          </w:p>
        </w:tc>
        <w:tc>
          <w:tcPr>
            <w:tcW w:w="1963" w:type="dxa"/>
            <w:vAlign w:val="center"/>
          </w:tcPr>
          <w:p w14:paraId="389A2304" w14:textId="77777777" w:rsidR="00B168DA" w:rsidRPr="0014046B" w:rsidRDefault="00B168DA" w:rsidP="003A348D">
            <w:pPr>
              <w:jc w:val="left"/>
              <w:rPr>
                <w:rFonts w:asciiTheme="majorHAnsi" w:hAnsiTheme="majorHAnsi" w:cstheme="majorHAnsi"/>
                <w:lang w:val="fr-SN"/>
              </w:rPr>
            </w:pPr>
            <w:r w:rsidRPr="0014046B">
              <w:rPr>
                <w:rFonts w:asciiTheme="majorHAnsi" w:hAnsiTheme="majorHAnsi" w:cstheme="majorHAnsi"/>
                <w:lang w:val="fr-SN"/>
              </w:rPr>
              <w:t>Développer un partenariat stratégique avec les principaux donateurs</w:t>
            </w:r>
          </w:p>
        </w:tc>
        <w:tc>
          <w:tcPr>
            <w:tcW w:w="1698" w:type="dxa"/>
            <w:vAlign w:val="center"/>
          </w:tcPr>
          <w:p w14:paraId="0C3E3529"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 xml:space="preserve">Disposer d'un mécanisme de consultation stratégique et permanent avec les donateurs clés </w:t>
            </w:r>
          </w:p>
        </w:tc>
        <w:tc>
          <w:tcPr>
            <w:tcW w:w="1565" w:type="dxa"/>
            <w:vAlign w:val="center"/>
          </w:tcPr>
          <w:p w14:paraId="498A1E2A" w14:textId="77777777"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sidRPr="0014046B">
              <w:rPr>
                <w:rFonts w:asciiTheme="majorHAnsi" w:hAnsiTheme="majorHAnsi" w:cstheme="majorHAnsi"/>
                <w:lang w:val="fr-SN"/>
              </w:rPr>
              <w:t xml:space="preserve">Un partenariat stratégique avec les donateurs clés est développé </w:t>
            </w:r>
          </w:p>
        </w:tc>
        <w:tc>
          <w:tcPr>
            <w:tcW w:w="1011" w:type="dxa"/>
            <w:vAlign w:val="center"/>
          </w:tcPr>
          <w:p w14:paraId="52B41AE8"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RR</w:t>
            </w:r>
          </w:p>
          <w:p w14:paraId="62791477"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 xml:space="preserve">DRR </w:t>
            </w:r>
          </w:p>
        </w:tc>
        <w:tc>
          <w:tcPr>
            <w:tcW w:w="1870" w:type="dxa"/>
            <w:vAlign w:val="center"/>
          </w:tcPr>
          <w:p w14:paraId="5A12FF6E" w14:textId="77777777" w:rsidR="00B168DA" w:rsidRPr="005E5949" w:rsidRDefault="00B168DA" w:rsidP="003A348D">
            <w:pPr>
              <w:jc w:val="left"/>
              <w:rPr>
                <w:rFonts w:asciiTheme="majorHAnsi" w:hAnsiTheme="majorHAnsi" w:cstheme="majorHAnsi"/>
              </w:rPr>
            </w:pPr>
            <w:r w:rsidRPr="005E5949">
              <w:rPr>
                <w:rFonts w:asciiTheme="majorHAnsi" w:hAnsiTheme="majorHAnsi" w:cstheme="majorHAnsi"/>
              </w:rPr>
              <w:t>Continu</w:t>
            </w:r>
          </w:p>
        </w:tc>
        <w:sdt>
          <w:sdtPr>
            <w:rPr>
              <w:rFonts w:asciiTheme="majorHAnsi" w:hAnsiTheme="majorHAnsi" w:cstheme="majorHAnsi"/>
            </w:rPr>
            <w:id w:val="-597180504"/>
            <w14:checkbox>
              <w14:checked w14:val="1"/>
              <w14:checkedState w14:val="2612" w14:font="MS Gothic"/>
              <w14:uncheckedState w14:val="2610" w14:font="MS Gothic"/>
            </w14:checkbox>
          </w:sdtPr>
          <w:sdtContent>
            <w:tc>
              <w:tcPr>
                <w:tcW w:w="1313" w:type="dxa"/>
                <w:shd w:val="clear" w:color="auto" w:fill="00B050"/>
                <w:vAlign w:val="center"/>
              </w:tcPr>
              <w:p w14:paraId="25DE15E0" w14:textId="6EAE01E6" w:rsidR="00B168DA" w:rsidRPr="005E5949" w:rsidRDefault="00D831E4" w:rsidP="003A348D">
                <w:pPr>
                  <w:jc w:val="center"/>
                  <w:rPr>
                    <w:rFonts w:asciiTheme="majorHAnsi" w:hAnsiTheme="majorHAnsi" w:cstheme="majorHAnsi"/>
                  </w:rPr>
                </w:pPr>
                <w:r>
                  <w:rPr>
                    <w:rFonts w:ascii="MS Gothic" w:eastAsia="MS Gothic" w:hAnsi="MS Gothic" w:cstheme="majorHAnsi" w:hint="eastAsia"/>
                  </w:rPr>
                  <w:t>☒</w:t>
                </w:r>
              </w:p>
            </w:tc>
          </w:sdtContent>
        </w:sdt>
      </w:tr>
      <w:tr w:rsidR="00C42956" w:rsidRPr="003F564A" w14:paraId="3FEB714F" w14:textId="77777777" w:rsidTr="00D831E4">
        <w:trPr>
          <w:trHeight w:val="1704"/>
        </w:trPr>
        <w:tc>
          <w:tcPr>
            <w:tcW w:w="421" w:type="dxa"/>
            <w:shd w:val="clear" w:color="auto" w:fill="FFFFFF" w:themeFill="background1"/>
            <w:vAlign w:val="center"/>
          </w:tcPr>
          <w:p w14:paraId="3677BC69" w14:textId="0AAAAE73" w:rsidR="00B168DA" w:rsidRPr="005E5949" w:rsidRDefault="00B168DA" w:rsidP="003A348D">
            <w:pPr>
              <w:jc w:val="left"/>
              <w:rPr>
                <w:rFonts w:asciiTheme="majorHAnsi" w:hAnsiTheme="majorHAnsi" w:cstheme="majorHAnsi"/>
              </w:rPr>
            </w:pPr>
            <w:r>
              <w:rPr>
                <w:rFonts w:asciiTheme="majorHAnsi" w:hAnsiTheme="majorHAnsi" w:cstheme="majorHAnsi"/>
              </w:rPr>
              <w:t>1</w:t>
            </w:r>
            <w:r w:rsidR="00DF6E7F">
              <w:rPr>
                <w:rFonts w:asciiTheme="majorHAnsi" w:hAnsiTheme="majorHAnsi" w:cstheme="majorHAnsi"/>
              </w:rPr>
              <w:t>6</w:t>
            </w:r>
          </w:p>
        </w:tc>
        <w:tc>
          <w:tcPr>
            <w:tcW w:w="1963" w:type="dxa"/>
            <w:shd w:val="clear" w:color="auto" w:fill="FFFFFF" w:themeFill="background1"/>
            <w:vAlign w:val="center"/>
          </w:tcPr>
          <w:p w14:paraId="2A83CE47" w14:textId="54EB4BEC" w:rsidR="00B168DA" w:rsidRPr="0014046B" w:rsidRDefault="00B168DA" w:rsidP="003A348D">
            <w:pPr>
              <w:jc w:val="left"/>
              <w:rPr>
                <w:rFonts w:asciiTheme="majorHAnsi" w:hAnsiTheme="majorHAnsi" w:cstheme="majorHAnsi"/>
                <w:lang w:val="fr-SN"/>
              </w:rPr>
            </w:pPr>
            <w:r>
              <w:rPr>
                <w:rFonts w:asciiTheme="majorHAnsi" w:hAnsiTheme="majorHAnsi" w:cstheme="majorHAnsi"/>
                <w:lang w:val="fr-SN"/>
              </w:rPr>
              <w:t xml:space="preserve">Actualiser régulièrement le site </w:t>
            </w:r>
            <w:r w:rsidR="00D746CC">
              <w:rPr>
                <w:rFonts w:asciiTheme="majorHAnsi" w:hAnsiTheme="majorHAnsi" w:cstheme="majorHAnsi"/>
                <w:lang w:val="fr-SN"/>
              </w:rPr>
              <w:t xml:space="preserve">web </w:t>
            </w:r>
            <w:r>
              <w:rPr>
                <w:rFonts w:asciiTheme="majorHAnsi" w:hAnsiTheme="majorHAnsi" w:cstheme="majorHAnsi"/>
                <w:lang w:val="fr-SN"/>
              </w:rPr>
              <w:t>du CO</w:t>
            </w:r>
          </w:p>
        </w:tc>
        <w:tc>
          <w:tcPr>
            <w:tcW w:w="1698" w:type="dxa"/>
            <w:shd w:val="clear" w:color="auto" w:fill="FFFFFF" w:themeFill="background1"/>
            <w:vAlign w:val="center"/>
          </w:tcPr>
          <w:p w14:paraId="1D8D543C" w14:textId="61CC8C73"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Pr>
                <w:rFonts w:asciiTheme="majorHAnsi" w:hAnsiTheme="majorHAnsi" w:cstheme="majorHAnsi"/>
                <w:lang w:val="fr-SN"/>
              </w:rPr>
              <w:t>Faire du site WEB du PNUD une source de visibilité</w:t>
            </w:r>
            <w:r>
              <w:rPr>
                <w:rFonts w:asciiTheme="majorHAnsi" w:hAnsiTheme="majorHAnsi" w:cstheme="majorHAnsi"/>
                <w:lang w:val="fr-FR"/>
              </w:rPr>
              <w:t xml:space="preserve"> des activités programmatique</w:t>
            </w:r>
            <w:r w:rsidR="00D746CC">
              <w:rPr>
                <w:rFonts w:asciiTheme="majorHAnsi" w:hAnsiTheme="majorHAnsi" w:cstheme="majorHAnsi"/>
                <w:lang w:val="fr-FR"/>
              </w:rPr>
              <w:t>s</w:t>
            </w:r>
            <w:r>
              <w:rPr>
                <w:rFonts w:asciiTheme="majorHAnsi" w:hAnsiTheme="majorHAnsi" w:cstheme="majorHAnsi"/>
                <w:lang w:val="fr-FR"/>
              </w:rPr>
              <w:t xml:space="preserve"> et stratégiques du PNUD </w:t>
            </w:r>
          </w:p>
        </w:tc>
        <w:tc>
          <w:tcPr>
            <w:tcW w:w="1565" w:type="dxa"/>
            <w:shd w:val="clear" w:color="auto" w:fill="FFFFFF" w:themeFill="background1"/>
            <w:vAlign w:val="center"/>
          </w:tcPr>
          <w:p w14:paraId="51E53E7D" w14:textId="4BA84DE1" w:rsidR="00B168DA" w:rsidRPr="0014046B" w:rsidRDefault="00B168DA" w:rsidP="00B168DA">
            <w:pPr>
              <w:pStyle w:val="Paragraphedeliste"/>
              <w:numPr>
                <w:ilvl w:val="0"/>
                <w:numId w:val="14"/>
              </w:numPr>
              <w:ind w:left="175" w:hanging="175"/>
              <w:jc w:val="left"/>
              <w:rPr>
                <w:rFonts w:asciiTheme="majorHAnsi" w:hAnsiTheme="majorHAnsi" w:cstheme="majorHAnsi"/>
                <w:lang w:val="fr-SN"/>
              </w:rPr>
            </w:pPr>
            <w:r>
              <w:rPr>
                <w:rFonts w:asciiTheme="majorHAnsi" w:hAnsiTheme="majorHAnsi" w:cstheme="majorHAnsi"/>
                <w:lang w:val="fr-SN"/>
              </w:rPr>
              <w:t xml:space="preserve">Les partenaires du PNUD, les acteurs de développement et le grand </w:t>
            </w:r>
            <w:r w:rsidR="009026C4">
              <w:rPr>
                <w:rFonts w:asciiTheme="majorHAnsi" w:hAnsiTheme="majorHAnsi" w:cstheme="majorHAnsi"/>
                <w:lang w:val="fr-SN"/>
              </w:rPr>
              <w:t>public</w:t>
            </w:r>
            <w:r>
              <w:rPr>
                <w:rFonts w:asciiTheme="majorHAnsi" w:hAnsiTheme="majorHAnsi" w:cstheme="majorHAnsi"/>
                <w:lang w:val="fr-SN"/>
              </w:rPr>
              <w:t xml:space="preserve"> sont informés sur l’expertise du PNUD et ses résultats</w:t>
            </w:r>
          </w:p>
        </w:tc>
        <w:tc>
          <w:tcPr>
            <w:tcW w:w="1011" w:type="dxa"/>
            <w:shd w:val="clear" w:color="auto" w:fill="FFFFFF" w:themeFill="background1"/>
            <w:vAlign w:val="center"/>
          </w:tcPr>
          <w:p w14:paraId="629B2031" w14:textId="77777777" w:rsidR="00B168DA" w:rsidRPr="003A348D" w:rsidRDefault="00B168DA" w:rsidP="003A348D">
            <w:pPr>
              <w:jc w:val="left"/>
              <w:rPr>
                <w:rFonts w:asciiTheme="majorHAnsi" w:hAnsiTheme="majorHAnsi" w:cstheme="majorHAnsi"/>
                <w:lang w:val="fr-SN"/>
              </w:rPr>
            </w:pPr>
            <w:r>
              <w:rPr>
                <w:rFonts w:asciiTheme="majorHAnsi" w:hAnsiTheme="majorHAnsi" w:cstheme="majorHAnsi"/>
                <w:lang w:val="fr-SN"/>
              </w:rPr>
              <w:t>Expert Communication</w:t>
            </w:r>
          </w:p>
        </w:tc>
        <w:tc>
          <w:tcPr>
            <w:tcW w:w="1870" w:type="dxa"/>
            <w:shd w:val="clear" w:color="auto" w:fill="FFFFFF" w:themeFill="background1"/>
            <w:vAlign w:val="center"/>
          </w:tcPr>
          <w:p w14:paraId="742EEF62" w14:textId="433E7621" w:rsidR="00B168DA" w:rsidRPr="003A348D" w:rsidRDefault="00D831E4" w:rsidP="003A348D">
            <w:pPr>
              <w:jc w:val="left"/>
              <w:rPr>
                <w:rFonts w:asciiTheme="majorHAnsi" w:hAnsiTheme="majorHAnsi" w:cstheme="majorHAnsi"/>
                <w:lang w:val="fr-SN"/>
              </w:rPr>
            </w:pPr>
            <w:r>
              <w:rPr>
                <w:rFonts w:asciiTheme="majorHAnsi" w:hAnsiTheme="majorHAnsi" w:cstheme="majorHAnsi"/>
                <w:lang w:val="fr-SN"/>
              </w:rPr>
              <w:t>Continu</w:t>
            </w:r>
          </w:p>
        </w:tc>
        <w:sdt>
          <w:sdtPr>
            <w:rPr>
              <w:rFonts w:asciiTheme="majorHAnsi" w:hAnsiTheme="majorHAnsi" w:cstheme="majorHAnsi"/>
            </w:rPr>
            <w:id w:val="1029065638"/>
            <w14:checkbox>
              <w14:checked w14:val="1"/>
              <w14:checkedState w14:val="2612" w14:font="MS Gothic"/>
              <w14:uncheckedState w14:val="2610" w14:font="MS Gothic"/>
            </w14:checkbox>
          </w:sdtPr>
          <w:sdtContent>
            <w:tc>
              <w:tcPr>
                <w:tcW w:w="1313" w:type="dxa"/>
                <w:shd w:val="clear" w:color="auto" w:fill="00B050"/>
                <w:vAlign w:val="center"/>
              </w:tcPr>
              <w:p w14:paraId="47A27EE8" w14:textId="043BA203" w:rsidR="00B168DA" w:rsidRPr="00D831E4" w:rsidRDefault="00D831E4" w:rsidP="003A348D">
                <w:pPr>
                  <w:jc w:val="center"/>
                  <w:rPr>
                    <w:rFonts w:asciiTheme="majorHAnsi" w:hAnsiTheme="majorHAnsi" w:cstheme="majorHAnsi"/>
                  </w:rPr>
                </w:pPr>
                <w:r>
                  <w:rPr>
                    <w:rFonts w:ascii="MS Gothic" w:eastAsia="MS Gothic" w:hAnsi="MS Gothic" w:cstheme="majorHAnsi" w:hint="eastAsia"/>
                  </w:rPr>
                  <w:t>☒</w:t>
                </w:r>
              </w:p>
            </w:tc>
          </w:sdtContent>
        </w:sdt>
      </w:tr>
      <w:tr w:rsidR="00B33389" w:rsidRPr="003F564A" w14:paraId="317C0A45" w14:textId="77777777" w:rsidTr="000153BA">
        <w:trPr>
          <w:trHeight w:val="1444"/>
        </w:trPr>
        <w:tc>
          <w:tcPr>
            <w:tcW w:w="421" w:type="dxa"/>
            <w:vAlign w:val="center"/>
          </w:tcPr>
          <w:p w14:paraId="432F7977" w14:textId="1BFA1400" w:rsidR="00B33389" w:rsidRDefault="00B33389" w:rsidP="00B33389">
            <w:pPr>
              <w:rPr>
                <w:rFonts w:asciiTheme="majorHAnsi" w:hAnsiTheme="majorHAnsi" w:cstheme="majorHAnsi"/>
              </w:rPr>
            </w:pPr>
            <w:r>
              <w:rPr>
                <w:rFonts w:asciiTheme="majorHAnsi" w:hAnsiTheme="majorHAnsi" w:cstheme="majorHAnsi"/>
              </w:rPr>
              <w:t>1</w:t>
            </w:r>
            <w:r w:rsidR="00DF6E7F">
              <w:rPr>
                <w:rFonts w:asciiTheme="majorHAnsi" w:hAnsiTheme="majorHAnsi" w:cstheme="majorHAnsi"/>
              </w:rPr>
              <w:t>7</w:t>
            </w:r>
            <w:r>
              <w:rPr>
                <w:rFonts w:asciiTheme="majorHAnsi" w:hAnsiTheme="majorHAnsi" w:cstheme="majorHAnsi"/>
              </w:rPr>
              <w:t xml:space="preserve"> </w:t>
            </w:r>
          </w:p>
        </w:tc>
        <w:tc>
          <w:tcPr>
            <w:tcW w:w="1963" w:type="dxa"/>
            <w:vAlign w:val="center"/>
          </w:tcPr>
          <w:p w14:paraId="0F53B1C9" w14:textId="0EE917FC" w:rsidR="00B33389" w:rsidRDefault="00B33389" w:rsidP="00B33389">
            <w:pPr>
              <w:rPr>
                <w:rFonts w:asciiTheme="majorHAnsi" w:hAnsiTheme="majorHAnsi" w:cstheme="majorHAnsi"/>
                <w:lang w:val="fr-SN"/>
              </w:rPr>
            </w:pPr>
            <w:r>
              <w:rPr>
                <w:rFonts w:asciiTheme="majorHAnsi" w:hAnsiTheme="majorHAnsi" w:cstheme="majorHAnsi"/>
                <w:lang w:val="fr-SN"/>
              </w:rPr>
              <w:t>Renforcer la communication stratégique avec le siège</w:t>
            </w:r>
          </w:p>
        </w:tc>
        <w:tc>
          <w:tcPr>
            <w:tcW w:w="1698" w:type="dxa"/>
            <w:vAlign w:val="center"/>
          </w:tcPr>
          <w:p w14:paraId="18D8208C" w14:textId="1F49E369" w:rsidR="00B33389" w:rsidRDefault="00B33389" w:rsidP="00B33389">
            <w:pPr>
              <w:pStyle w:val="Paragraphedeliste"/>
              <w:numPr>
                <w:ilvl w:val="0"/>
                <w:numId w:val="14"/>
              </w:numPr>
              <w:ind w:left="175" w:hanging="175"/>
              <w:rPr>
                <w:rFonts w:asciiTheme="majorHAnsi" w:hAnsiTheme="majorHAnsi" w:cstheme="majorHAnsi"/>
                <w:lang w:val="fr-SN"/>
              </w:rPr>
            </w:pPr>
            <w:r>
              <w:rPr>
                <w:rFonts w:asciiTheme="majorHAnsi" w:hAnsiTheme="majorHAnsi" w:cstheme="majorHAnsi"/>
                <w:lang w:val="fr-SN"/>
              </w:rPr>
              <w:t>Tenir Informé le siège des activités du CO et améliorer la mobilisation des ressources CORE</w:t>
            </w:r>
          </w:p>
        </w:tc>
        <w:tc>
          <w:tcPr>
            <w:tcW w:w="1565" w:type="dxa"/>
            <w:vAlign w:val="center"/>
          </w:tcPr>
          <w:p w14:paraId="36655B00" w14:textId="70A5E3D8" w:rsidR="00B33389" w:rsidRDefault="00B33389" w:rsidP="00B33389">
            <w:pPr>
              <w:pStyle w:val="Paragraphedeliste"/>
              <w:numPr>
                <w:ilvl w:val="0"/>
                <w:numId w:val="14"/>
              </w:numPr>
              <w:ind w:left="175" w:hanging="175"/>
              <w:rPr>
                <w:rFonts w:asciiTheme="majorHAnsi" w:hAnsiTheme="majorHAnsi" w:cstheme="majorHAnsi"/>
                <w:lang w:val="fr-SN"/>
              </w:rPr>
            </w:pPr>
            <w:r>
              <w:rPr>
                <w:rFonts w:asciiTheme="majorHAnsi" w:hAnsiTheme="majorHAnsi" w:cstheme="majorHAnsi"/>
                <w:lang w:val="fr-SN"/>
              </w:rPr>
              <w:t>Le Positionnement du bureau est renforcé</w:t>
            </w:r>
          </w:p>
        </w:tc>
        <w:tc>
          <w:tcPr>
            <w:tcW w:w="1011" w:type="dxa"/>
            <w:vAlign w:val="center"/>
          </w:tcPr>
          <w:p w14:paraId="2722D838" w14:textId="77777777" w:rsidR="00B33389" w:rsidRPr="005E5949" w:rsidRDefault="00B33389" w:rsidP="00B33389">
            <w:pPr>
              <w:jc w:val="left"/>
              <w:rPr>
                <w:rFonts w:asciiTheme="majorHAnsi" w:hAnsiTheme="majorHAnsi" w:cstheme="majorHAnsi"/>
              </w:rPr>
            </w:pPr>
            <w:r w:rsidRPr="005E5949">
              <w:rPr>
                <w:rFonts w:asciiTheme="majorHAnsi" w:hAnsiTheme="majorHAnsi" w:cstheme="majorHAnsi"/>
              </w:rPr>
              <w:t>RR</w:t>
            </w:r>
          </w:p>
          <w:p w14:paraId="6960D50E" w14:textId="7ECDB4D5" w:rsidR="00B33389" w:rsidRPr="005E5949" w:rsidRDefault="00B33389" w:rsidP="00B33389">
            <w:pPr>
              <w:rPr>
                <w:rFonts w:asciiTheme="majorHAnsi" w:hAnsiTheme="majorHAnsi" w:cstheme="majorHAnsi"/>
              </w:rPr>
            </w:pPr>
            <w:r w:rsidRPr="005E5949">
              <w:rPr>
                <w:rFonts w:asciiTheme="majorHAnsi" w:hAnsiTheme="majorHAnsi" w:cstheme="majorHAnsi"/>
              </w:rPr>
              <w:t>DRR</w:t>
            </w:r>
          </w:p>
        </w:tc>
        <w:tc>
          <w:tcPr>
            <w:tcW w:w="1870" w:type="dxa"/>
            <w:vAlign w:val="center"/>
          </w:tcPr>
          <w:p w14:paraId="42DA73EB" w14:textId="349F3D13" w:rsidR="00B33389" w:rsidRDefault="00B33389" w:rsidP="00B33389">
            <w:pPr>
              <w:rPr>
                <w:rFonts w:asciiTheme="majorHAnsi" w:hAnsiTheme="majorHAnsi" w:cstheme="majorHAnsi"/>
                <w:lang w:val="fr-SN"/>
              </w:rPr>
            </w:pPr>
            <w:r>
              <w:rPr>
                <w:rFonts w:asciiTheme="majorHAnsi" w:hAnsiTheme="majorHAnsi" w:cstheme="majorHAnsi"/>
                <w:lang w:val="fr-SN"/>
              </w:rPr>
              <w:t>Continu</w:t>
            </w:r>
          </w:p>
        </w:tc>
        <w:tc>
          <w:tcPr>
            <w:tcW w:w="1313" w:type="dxa"/>
            <w:shd w:val="clear" w:color="auto" w:fill="00B050"/>
            <w:vAlign w:val="center"/>
          </w:tcPr>
          <w:p w14:paraId="519DE58C" w14:textId="77777777" w:rsidR="00B33389" w:rsidRDefault="00B33389" w:rsidP="00B33389">
            <w:pPr>
              <w:jc w:val="center"/>
              <w:rPr>
                <w:rFonts w:asciiTheme="majorHAnsi" w:hAnsiTheme="majorHAnsi" w:cstheme="majorHAnsi"/>
              </w:rPr>
            </w:pPr>
          </w:p>
        </w:tc>
      </w:tr>
    </w:tbl>
    <w:p w14:paraId="6C5AE0DC" w14:textId="77777777" w:rsidR="00BF19DB" w:rsidRPr="002F7A31" w:rsidRDefault="00BF19DB" w:rsidP="00BF19DB">
      <w:pPr>
        <w:rPr>
          <w:rFonts w:asciiTheme="majorHAnsi" w:hAnsiTheme="majorHAnsi" w:cstheme="majorHAnsi"/>
          <w:sz w:val="32"/>
          <w:szCs w:val="32"/>
          <w:lang w:val="fr-FR"/>
        </w:rPr>
      </w:pPr>
    </w:p>
    <w:p w14:paraId="138EAC01" w14:textId="4639B4A7" w:rsidR="00BF19DB" w:rsidRPr="002F7A31" w:rsidRDefault="00224A8E" w:rsidP="00BF19DB">
      <w:pPr>
        <w:rPr>
          <w:rFonts w:asciiTheme="majorHAnsi" w:hAnsiTheme="majorHAnsi" w:cstheme="majorHAnsi"/>
          <w:sz w:val="32"/>
          <w:szCs w:val="32"/>
          <w:lang w:val="fr-FR"/>
        </w:rPr>
      </w:pPr>
      <w:r>
        <w:rPr>
          <w:rFonts w:asciiTheme="majorHAnsi" w:hAnsiTheme="majorHAnsi" w:cstheme="majorHAnsi"/>
          <w:noProof/>
          <w:sz w:val="32"/>
          <w:szCs w:val="32"/>
          <w:lang w:val="fr-FR"/>
        </w:rPr>
        <mc:AlternateContent>
          <mc:Choice Requires="wps">
            <w:drawing>
              <wp:anchor distT="0" distB="0" distL="114300" distR="114300" simplePos="0" relativeHeight="251668480" behindDoc="0" locked="0" layoutInCell="1" allowOverlap="1" wp14:anchorId="2ED45165" wp14:editId="64608397">
                <wp:simplePos x="0" y="0"/>
                <wp:positionH relativeFrom="column">
                  <wp:posOffset>2335504</wp:posOffset>
                </wp:positionH>
                <wp:positionV relativeFrom="paragraph">
                  <wp:posOffset>119439</wp:posOffset>
                </wp:positionV>
                <wp:extent cx="1340804" cy="293745"/>
                <wp:effectExtent l="0" t="0" r="12065" b="11430"/>
                <wp:wrapNone/>
                <wp:docPr id="651424148" name="Zone de texte 4"/>
                <wp:cNvGraphicFramePr/>
                <a:graphic xmlns:a="http://schemas.openxmlformats.org/drawingml/2006/main">
                  <a:graphicData uri="http://schemas.microsoft.com/office/word/2010/wordprocessingShape">
                    <wps:wsp>
                      <wps:cNvSpPr txBox="1"/>
                      <wps:spPr>
                        <a:xfrm>
                          <a:off x="0" y="0"/>
                          <a:ext cx="1340804" cy="293745"/>
                        </a:xfrm>
                        <a:prstGeom prst="rect">
                          <a:avLst/>
                        </a:prstGeom>
                        <a:solidFill>
                          <a:schemeClr val="lt1"/>
                        </a:solidFill>
                        <a:ln w="6350">
                          <a:solidFill>
                            <a:prstClr val="black"/>
                          </a:solidFill>
                        </a:ln>
                      </wps:spPr>
                      <wps:txbx>
                        <w:txbxContent>
                          <w:p w14:paraId="5C440503" w14:textId="411169CC" w:rsidR="00224A8E" w:rsidRPr="00224A8E" w:rsidRDefault="00224A8E" w:rsidP="00224A8E">
                            <w:pPr>
                              <w:shd w:val="clear" w:color="auto" w:fill="00B050"/>
                              <w:rPr>
                                <w:lang w:val="fr-FR"/>
                              </w:rPr>
                            </w:pPr>
                            <w:r>
                              <w:rPr>
                                <w:lang w:val="fr-FR"/>
                              </w:rPr>
                              <w:t xml:space="preserve"> Réalis</w:t>
                            </w:r>
                            <w:r w:rsidR="00925C05">
                              <w:rPr>
                                <w:lang w:val="fr-FR"/>
                              </w:rPr>
                              <w:t>é</w:t>
                            </w:r>
                            <w:r w:rsidR="00DF6E7F">
                              <w:rPr>
                                <w:lang w:val="fr-FR"/>
                              </w:rPr>
                              <w:t>/ En continu</w:t>
                            </w:r>
                            <w:r>
                              <w:rPr>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D45165" id="_x0000_t202" coordsize="21600,21600" o:spt="202" path="m,l,21600r21600,l21600,xe">
                <v:stroke joinstyle="miter"/>
                <v:path gradientshapeok="t" o:connecttype="rect"/>
              </v:shapetype>
              <v:shape id="_x0000_s1028" type="#_x0000_t202" style="position:absolute;margin-left:183.9pt;margin-top:9.4pt;width:105.6pt;height:23.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5+OwIAAIMEAAAOAAAAZHJzL2Uyb0RvYy54bWysVNtu2zAMfR+wfxD0vti59WLEKbIUGQYU&#10;bYG06LMiS7ExWdQkJXb29aNk59JuT8NeZEqkjsjDQ8/u2lqRvbCuAp3T4SClRGgORaW3OX19WX25&#10;ocR5pgumQIucHoSjd/PPn2aNycQISlCFsARBtMsak9PSe5MlieOlqJkbgBEanRJszTxu7TYpLGsQ&#10;vVbJKE2vkgZsYSxw4Rye3ndOOo/4Ugrun6R0whOVU8zNx9XGdRPWZD5j2dYyU1a8T4P9QxY1qzQ+&#10;eoK6Z56Rna3+gKorbsGB9AMOdQJSVlzEGrCaYfqhmnXJjIi1IDnOnGhy/w+WP+7X5tkS336FFhsY&#10;CGmMyxwehnpaaevwxUwJ+pHCw4k20XrCw6XxJL1JJ5Rw9I1ux9eTaYBJzreNdf6bgJoEI6cW2xLZ&#10;YvsH57vQY0h4zIGqilWlVNwEKYilsmTPsInKxxwR/F2U0qTJ6dV4mkbgd74Afbq/UYz/6NO7iEI8&#10;pTHnc+3B8u2mJVWBVR152UBxQLosdEpyhq8qhH9gzj8zi9JBhnAc/BMuUgHmBL1FSQn219/OQzx2&#10;FL2UNCjFnLqfO2YFJeq7xl7fDieToN24mUyvR7ixl57NpUfv6iUgUUMcPMOjGeK9OprSQv2GU7MI&#10;r6KLaY5v59QfzaXvBgSnjovFIgahWg3zD3pteIAOjQm0vrRvzJq+rR4F8QhH0bLsQ3e72HBTw2Ln&#10;QVax9YHnjtWeflR6FE8/lWGULvcx6vzvmP8GAAD//wMAUEsDBBQABgAIAAAAIQBZew8F3AAAAAkB&#10;AAAPAAAAZHJzL2Rvd25yZXYueG1sTI/BTsMwEETvSPyDtUjcqFNQ0zTEqQAVLpwoiPM23toWsR3F&#10;bhr+nuUEp9VoRrNvmu3sezHRmFwMCpaLAgSFLmoXjIKP9+ebCkTKGDT2MZCCb0qwbS8vGqx1PIc3&#10;mvbZCC4JqUYFNuehljJ1ljymRRwosHeMo8fMcjRSj3jmct/L26IopUcX+IPFgZ4sdV/7k1ewezQb&#10;01U42l2lnZvmz+OreVHq+mp+uAeRac5/YfjFZ3RomekQT0En0Su4K9eMntmo+HJgtd7wuIOCcrUE&#10;2Tby/4L2BwAA//8DAFBLAQItABQABgAIAAAAIQC2gziS/gAAAOEBAAATAAAAAAAAAAAAAAAAAAAA&#10;AABbQ29udGVudF9UeXBlc10ueG1sUEsBAi0AFAAGAAgAAAAhADj9If/WAAAAlAEAAAsAAAAAAAAA&#10;AAAAAAAALwEAAF9yZWxzLy5yZWxzUEsBAi0AFAAGAAgAAAAhAAVKzn47AgAAgwQAAA4AAAAAAAAA&#10;AAAAAAAALgIAAGRycy9lMm9Eb2MueG1sUEsBAi0AFAAGAAgAAAAhAFl7DwXcAAAACQEAAA8AAAAA&#10;AAAAAAAAAAAAlQQAAGRycy9kb3ducmV2LnhtbFBLBQYAAAAABAAEAPMAAACeBQAAAAA=&#10;" fillcolor="white [3201]" strokeweight=".5pt">
                <v:textbox>
                  <w:txbxContent>
                    <w:p w14:paraId="5C440503" w14:textId="411169CC" w:rsidR="00224A8E" w:rsidRPr="00224A8E" w:rsidRDefault="00224A8E" w:rsidP="00224A8E">
                      <w:pPr>
                        <w:shd w:val="clear" w:color="auto" w:fill="00B050"/>
                        <w:rPr>
                          <w:lang w:val="fr-FR"/>
                        </w:rPr>
                      </w:pPr>
                      <w:r>
                        <w:rPr>
                          <w:lang w:val="fr-FR"/>
                        </w:rPr>
                        <w:t xml:space="preserve"> Réalis</w:t>
                      </w:r>
                      <w:r w:rsidR="00925C05">
                        <w:rPr>
                          <w:lang w:val="fr-FR"/>
                        </w:rPr>
                        <w:t>é</w:t>
                      </w:r>
                      <w:r w:rsidR="00DF6E7F">
                        <w:rPr>
                          <w:lang w:val="fr-FR"/>
                        </w:rPr>
                        <w:t>/ En continu</w:t>
                      </w:r>
                      <w:r>
                        <w:rPr>
                          <w:lang w:val="fr-FR"/>
                        </w:rPr>
                        <w:t xml:space="preserve"> </w:t>
                      </w:r>
                    </w:p>
                  </w:txbxContent>
                </v:textbox>
              </v:shape>
            </w:pict>
          </mc:Fallback>
        </mc:AlternateContent>
      </w:r>
    </w:p>
    <w:p w14:paraId="3C15CD69" w14:textId="579D0F8B" w:rsidR="00BF19DB" w:rsidRPr="00BF19DB" w:rsidRDefault="00224A8E" w:rsidP="00BF19DB">
      <w:pPr>
        <w:rPr>
          <w:rFonts w:asciiTheme="majorHAnsi" w:hAnsiTheme="majorHAnsi" w:cstheme="majorHAnsi"/>
          <w:sz w:val="32"/>
          <w:szCs w:val="32"/>
          <w:lang w:val="fr-SN"/>
        </w:rPr>
      </w:pPr>
      <w:r>
        <w:rPr>
          <w:rFonts w:ascii="Calibri" w:eastAsia="Calibri" w:hAnsi="Calibri" w:cs="Times New Roman"/>
          <w:b/>
          <w:noProof/>
          <w:color w:val="1F3864" w:themeColor="accent1" w:themeShade="80"/>
          <w:sz w:val="24"/>
          <w:szCs w:val="24"/>
          <w:lang w:val="en-GB"/>
        </w:rPr>
        <mc:AlternateContent>
          <mc:Choice Requires="wps">
            <w:drawing>
              <wp:anchor distT="0" distB="0" distL="114300" distR="114300" simplePos="0" relativeHeight="251670528" behindDoc="0" locked="0" layoutInCell="1" allowOverlap="1" wp14:anchorId="44431A76" wp14:editId="03B43774">
                <wp:simplePos x="0" y="0"/>
                <wp:positionH relativeFrom="column">
                  <wp:posOffset>2307077</wp:posOffset>
                </wp:positionH>
                <wp:positionV relativeFrom="paragraph">
                  <wp:posOffset>86890</wp:posOffset>
                </wp:positionV>
                <wp:extent cx="1402396" cy="284269"/>
                <wp:effectExtent l="0" t="0" r="26670" b="20955"/>
                <wp:wrapNone/>
                <wp:docPr id="1488588885" name="Zone de texte 6"/>
                <wp:cNvGraphicFramePr/>
                <a:graphic xmlns:a="http://schemas.openxmlformats.org/drawingml/2006/main">
                  <a:graphicData uri="http://schemas.microsoft.com/office/word/2010/wordprocessingShape">
                    <wps:wsp>
                      <wps:cNvSpPr txBox="1"/>
                      <wps:spPr>
                        <a:xfrm>
                          <a:off x="0" y="0"/>
                          <a:ext cx="1402396" cy="284269"/>
                        </a:xfrm>
                        <a:prstGeom prst="rect">
                          <a:avLst/>
                        </a:prstGeom>
                        <a:solidFill>
                          <a:schemeClr val="lt1"/>
                        </a:solidFill>
                        <a:ln w="6350">
                          <a:solidFill>
                            <a:prstClr val="black"/>
                          </a:solidFill>
                        </a:ln>
                      </wps:spPr>
                      <wps:txbx>
                        <w:txbxContent>
                          <w:p w14:paraId="22CFEB47" w14:textId="499E2EB3" w:rsidR="00224A8E" w:rsidRPr="00224A8E" w:rsidRDefault="00925C05" w:rsidP="00925C05">
                            <w:pPr>
                              <w:shd w:val="clear" w:color="auto" w:fill="ED7D31" w:themeFill="accent2"/>
                              <w:rPr>
                                <w:lang w:val="fr-FR"/>
                              </w:rPr>
                            </w:pPr>
                            <w:r>
                              <w:rPr>
                                <w:lang w:val="fr-FR"/>
                              </w:rPr>
                              <w:t>Réalisé/Terminé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31A76" id="Zone de texte 6" o:spid="_x0000_s1029" type="#_x0000_t202" style="position:absolute;margin-left:181.65pt;margin-top:6.85pt;width:110.4pt;height:22.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UmPAIAAIMEAAAOAAAAZHJzL2Uyb0RvYy54bWysVE1v2zAMvQ/YfxB0X+w4adYEcYosRYYB&#10;RVsgHXpWZCk2JouapMTOfv0o2flot9Owi0yJ1BP5+Oj5XVsrchDWVaBzOhyklAjNoaj0LqffX9af&#10;bilxnumCKdAip0fh6N3i44d5Y2YigxJUISxBEO1mjclp6b2ZJYnjpaiZG4ARGp0SbM08bu0uKSxr&#10;EL1WSZamk6QBWxgLXDiHp/edky4ivpSC+ycpnfBE5RRz83G1cd2GNVnM2WxnmSkr3qfB/iGLmlUa&#10;Hz1D3TPPyN5Wf0DVFbfgQPoBhzoBKSsuYg1YzTB9V82mZEbEWpAcZ840uf8Hyx8PG/NsiW+/QIsN&#10;DIQ0xs0cHoZ6Wmnr8MVMCfqRwuOZNtF6wsOlcZqNphNKOPqy23E2mQaY5HLbWOe/CqhJMHJqsS2R&#10;LXZ4cL4LPYWExxyoqlhXSsVNkIJYKUsODJuofMwRwd9EKU2anE5GN2kEfuML0Of7W8X4jz69qyjE&#10;UxpzvtQeLN9uW1IVOR2deNlCcUS6LHRKcoavK4R/YM4/M4vSQYZwHPwTLlIB5gS9RUkJ9tffzkM8&#10;dhS9lDQoxZy6n3tmBSXqm8ZeT4fjcdBu3IxvPme4sdee7bVH7+sVIFFDHDzDoxnivTqZ0kL9ilOz&#10;DK+ii2mOb+fUn8yV7wYEp46L5TIGoVoN8w96Y3iADo0JtL60r8yavq0eBfEIJ9Gy2bvudrHhpobl&#10;3oOsYusDzx2rPf2o9CiefirDKF3vY9Tl37H4DQAA//8DAFBLAwQUAAYACAAAACEAd+KHpNwAAAAJ&#10;AQAADwAAAGRycy9kb3ducmV2LnhtbEyPwU7DMAyG70i8Q2QkbiwdZaMrTSdAg8tODLSz12RJRJNU&#10;SdaVt8c7wc3W/+n352Y9uZ6NKiYbvID5rACmfBek9VrA1+fbXQUsZfQS++CVgB+VYN1eXzVYy3D2&#10;H2rcZc2oxKcaBZich5rz1BnlMM3CoDxlxxAdZlqj5jLimcpdz++LYskdWk8XDA7q1ajue3dyAjYv&#10;eqW7CqPZVNLacdoft/pdiNub6fkJWFZT/oPhok/q0JLTIZy8TKwXUC7LklAKykdgBCyqhzmww2VY&#10;AG8b/v+D9hcAAP//AwBQSwECLQAUAAYACAAAACEAtoM4kv4AAADhAQAAEwAAAAAAAAAAAAAAAAAA&#10;AAAAW0NvbnRlbnRfVHlwZXNdLnhtbFBLAQItABQABgAIAAAAIQA4/SH/1gAAAJQBAAALAAAAAAAA&#10;AAAAAAAAAC8BAABfcmVscy8ucmVsc1BLAQItABQABgAIAAAAIQCwsWUmPAIAAIMEAAAOAAAAAAAA&#10;AAAAAAAAAC4CAABkcnMvZTJvRG9jLnhtbFBLAQItABQABgAIAAAAIQB34oek3AAAAAkBAAAPAAAA&#10;AAAAAAAAAAAAAJYEAABkcnMvZG93bnJldi54bWxQSwUGAAAAAAQABADzAAAAnwUAAAAA&#10;" fillcolor="white [3201]" strokeweight=".5pt">
                <v:textbox>
                  <w:txbxContent>
                    <w:p w14:paraId="22CFEB47" w14:textId="499E2EB3" w:rsidR="00224A8E" w:rsidRPr="00224A8E" w:rsidRDefault="00925C05" w:rsidP="00925C05">
                      <w:pPr>
                        <w:shd w:val="clear" w:color="auto" w:fill="ED7D31" w:themeFill="accent2"/>
                        <w:rPr>
                          <w:lang w:val="fr-FR"/>
                        </w:rPr>
                      </w:pPr>
                      <w:r>
                        <w:rPr>
                          <w:lang w:val="fr-FR"/>
                        </w:rPr>
                        <w:t>Réalisé/Terminé</w:t>
                      </w:r>
                    </w:p>
                  </w:txbxContent>
                </v:textbox>
              </v:shape>
            </w:pict>
          </mc:Fallback>
        </mc:AlternateContent>
      </w:r>
    </w:p>
    <w:p w14:paraId="3051DB71" w14:textId="10BFFB3D" w:rsidR="008D6EED" w:rsidRDefault="00925C05" w:rsidP="00BB76AE">
      <w:pPr>
        <w:rPr>
          <w:rFonts w:ascii="Calibri" w:eastAsia="Calibri" w:hAnsi="Calibri" w:cs="Times New Roman"/>
          <w:b/>
          <w:color w:val="1F3864" w:themeColor="accent1" w:themeShade="80"/>
          <w:sz w:val="24"/>
          <w:szCs w:val="24"/>
          <w:lang w:val="en-GB"/>
        </w:rPr>
      </w:pPr>
      <w:r>
        <w:rPr>
          <w:rFonts w:ascii="Calibri" w:eastAsia="Calibri" w:hAnsi="Calibri" w:cs="Times New Roman"/>
          <w:b/>
          <w:noProof/>
          <w:color w:val="1F3864" w:themeColor="accent1" w:themeShade="80"/>
          <w:sz w:val="24"/>
          <w:szCs w:val="24"/>
          <w:lang w:val="en-GB"/>
        </w:rPr>
        <mc:AlternateContent>
          <mc:Choice Requires="wps">
            <w:drawing>
              <wp:anchor distT="0" distB="0" distL="114300" distR="114300" simplePos="0" relativeHeight="251672576" behindDoc="0" locked="0" layoutInCell="1" allowOverlap="1" wp14:anchorId="76737E3E" wp14:editId="386A726F">
                <wp:simplePos x="0" y="0"/>
                <wp:positionH relativeFrom="column">
                  <wp:posOffset>2348461</wp:posOffset>
                </wp:positionH>
                <wp:positionV relativeFrom="paragraph">
                  <wp:posOffset>95019</wp:posOffset>
                </wp:positionV>
                <wp:extent cx="1711036" cy="284269"/>
                <wp:effectExtent l="0" t="0" r="22860" b="20955"/>
                <wp:wrapNone/>
                <wp:docPr id="1006176082" name="Zone de texte 6"/>
                <wp:cNvGraphicFramePr/>
                <a:graphic xmlns:a="http://schemas.openxmlformats.org/drawingml/2006/main">
                  <a:graphicData uri="http://schemas.microsoft.com/office/word/2010/wordprocessingShape">
                    <wps:wsp>
                      <wps:cNvSpPr txBox="1"/>
                      <wps:spPr>
                        <a:xfrm>
                          <a:off x="0" y="0"/>
                          <a:ext cx="1711036" cy="284269"/>
                        </a:xfrm>
                        <a:prstGeom prst="rect">
                          <a:avLst/>
                        </a:prstGeom>
                        <a:solidFill>
                          <a:schemeClr val="lt1"/>
                        </a:solidFill>
                        <a:ln w="6350">
                          <a:solidFill>
                            <a:prstClr val="black"/>
                          </a:solidFill>
                        </a:ln>
                      </wps:spPr>
                      <wps:txbx>
                        <w:txbxContent>
                          <w:p w14:paraId="6903B999" w14:textId="4128D662" w:rsidR="00925C05" w:rsidRPr="00224A8E" w:rsidRDefault="00925C05" w:rsidP="00925C05">
                            <w:pPr>
                              <w:shd w:val="clear" w:color="auto" w:fill="FFFF00"/>
                              <w:rPr>
                                <w:lang w:val="fr-FR"/>
                              </w:rPr>
                            </w:pPr>
                            <w:r>
                              <w:rPr>
                                <w:lang w:val="fr-FR"/>
                              </w:rPr>
                              <w:t xml:space="preserve"> En cours de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37E3E" id="_x0000_s1030" type="#_x0000_t202" style="position:absolute;margin-left:184.9pt;margin-top:7.5pt;width:134.75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7fWPAIAAIMEAAAOAAAAZHJzL2Uyb0RvYy54bWysVE1v2zAMvQ/YfxB0XxynadoacYosRYYB&#10;QVsgLXpWZCk2JouapMTOfv0o2flot9Owi0yJ1BP5+OjpfVsrshfWVaBzmg6GlAjNoaj0NqevL8sv&#10;t5Q4z3TBFGiR04Nw9H72+dO0MZkYQQmqEJYgiHZZY3Jaem+yJHG8FDVzAzBCo1OCrZnHrd0mhWUN&#10;otcqGQ2Hk6QBWxgLXDiHpw+dk84ivpSC+ycpnfBE5RRz83G1cd2ENZlNWba1zJQV79Ng/5BFzSqN&#10;j56gHphnZGerP6DqiltwIP2AQ52AlBUXsQasJh1+qGZdMiNiLUiOMyea3P+D5Y/7tXm2xLdfocUG&#10;BkIa4zKHh6GeVto6fDFTgn6k8HCiTbSe8HDpJk2HVxNKOPpGt+PR5C7AJOfbxjr/TUBNgpFTi22J&#10;bLH9yvku9BgSHnOgqmJZKRU3QQpioSzZM2yi8jFHBH8XpTRpcjq5uh5G4He+AH26v1GM/+jTu4hC&#10;PKUx53PtwfLtpiVVkdPxkZcNFAeky0KnJGf4skL4FXP+mVmUDjKE4+CfcJEKMCfoLUpKsL/+dh7i&#10;saPopaRBKebU/dwxKyhR3zX2+i4dj4N242Z8fTPCjb30bC49elcvAIlKcfAMj2aI9+poSgv1G07N&#10;PLyKLqY5vp1TfzQXvhsQnDou5vMYhGo1zK/02vAAHRoTaH1p35g1fVs9CuIRjqJl2YfudrHhpob5&#10;zoOsYusDzx2rPf2o9CiefirDKF3uY9T53zH7DQAA//8DAFBLAwQUAAYACAAAACEA+8Lq8tsAAAAJ&#10;AQAADwAAAGRycy9kb3ducmV2LnhtbEyPwU7DMBBE70j8g7VI3KhTokZJiFMBKlw4URBnN3Ztq/E6&#10;st00/D3LCY6rN5p9020XP7JZx+QCClivCmAah6AcGgGfHy93NbCUJSo5BtQCvnWCbX991clWhQu+&#10;63mfDaMSTK0UYHOeWs7TYLWXaRUmjcSOIXqZ6YyGqygvVO5Hfl8UFffSIX2wctLPVg+n/dkL2D2Z&#10;xgy1jHZXK+fm5ev4Zl6FuL1ZHh+AZb3kvzD86pM69OR0CGdUiY0Cyqoh9UxgQ5soUJVNCewgYEOA&#10;9x3/v6D/AQAA//8DAFBLAQItABQABgAIAAAAIQC2gziS/gAAAOEBAAATAAAAAAAAAAAAAAAAAAAA&#10;AABbQ29udGVudF9UeXBlc10ueG1sUEsBAi0AFAAGAAgAAAAhADj9If/WAAAAlAEAAAsAAAAAAAAA&#10;AAAAAAAALwEAAF9yZWxzLy5yZWxzUEsBAi0AFAAGAAgAAAAhANrbt9Y8AgAAgwQAAA4AAAAAAAAA&#10;AAAAAAAALgIAAGRycy9lMm9Eb2MueG1sUEsBAi0AFAAGAAgAAAAhAPvC6vLbAAAACQEAAA8AAAAA&#10;AAAAAAAAAAAAlgQAAGRycy9kb3ducmV2LnhtbFBLBQYAAAAABAAEAPMAAACeBQAAAAA=&#10;" fillcolor="white [3201]" strokeweight=".5pt">
                <v:textbox>
                  <w:txbxContent>
                    <w:p w14:paraId="6903B999" w14:textId="4128D662" w:rsidR="00925C05" w:rsidRPr="00224A8E" w:rsidRDefault="00925C05" w:rsidP="00925C05">
                      <w:pPr>
                        <w:shd w:val="clear" w:color="auto" w:fill="FFFF00"/>
                        <w:rPr>
                          <w:lang w:val="fr-FR"/>
                        </w:rPr>
                      </w:pPr>
                      <w:r>
                        <w:rPr>
                          <w:lang w:val="fr-FR"/>
                        </w:rPr>
                        <w:t xml:space="preserve"> En cours</w:t>
                      </w:r>
                      <w:r>
                        <w:rPr>
                          <w:lang w:val="fr-FR"/>
                        </w:rPr>
                        <w:t xml:space="preserve"> de réalisation</w:t>
                      </w:r>
                    </w:p>
                  </w:txbxContent>
                </v:textbox>
              </v:shape>
            </w:pict>
          </mc:Fallback>
        </mc:AlternateContent>
      </w:r>
      <w:r w:rsidR="00224A8E">
        <w:rPr>
          <w:rFonts w:ascii="Calibri" w:eastAsia="Calibri" w:hAnsi="Calibri" w:cs="Times New Roman"/>
          <w:b/>
          <w:color w:val="1F3864" w:themeColor="accent1" w:themeShade="80"/>
          <w:sz w:val="24"/>
          <w:szCs w:val="24"/>
          <w:lang w:val="en-GB"/>
        </w:rPr>
        <w:t xml:space="preserve">               </w:t>
      </w:r>
      <w:r>
        <w:rPr>
          <w:rFonts w:ascii="Calibri" w:eastAsia="Calibri" w:hAnsi="Calibri" w:cs="Times New Roman"/>
          <w:b/>
          <w:color w:val="1F3864" w:themeColor="accent1" w:themeShade="80"/>
          <w:sz w:val="24"/>
          <w:szCs w:val="24"/>
          <w:lang w:val="en-GB"/>
        </w:rPr>
        <w:tab/>
      </w:r>
      <w:r>
        <w:rPr>
          <w:rFonts w:ascii="Calibri" w:eastAsia="Calibri" w:hAnsi="Calibri" w:cs="Times New Roman"/>
          <w:b/>
          <w:color w:val="1F3864" w:themeColor="accent1" w:themeShade="80"/>
          <w:sz w:val="24"/>
          <w:szCs w:val="24"/>
          <w:lang w:val="en-GB"/>
        </w:rPr>
        <w:tab/>
      </w:r>
      <w:r>
        <w:rPr>
          <w:rFonts w:ascii="Calibri" w:eastAsia="Calibri" w:hAnsi="Calibri" w:cs="Times New Roman"/>
          <w:b/>
          <w:color w:val="1F3864" w:themeColor="accent1" w:themeShade="80"/>
          <w:sz w:val="24"/>
          <w:szCs w:val="24"/>
          <w:lang w:val="en-GB"/>
        </w:rPr>
        <w:tab/>
      </w:r>
      <w:r>
        <w:rPr>
          <w:rFonts w:ascii="Calibri" w:eastAsia="Calibri" w:hAnsi="Calibri" w:cs="Times New Roman"/>
          <w:b/>
          <w:color w:val="1F3864" w:themeColor="accent1" w:themeShade="80"/>
          <w:sz w:val="24"/>
          <w:szCs w:val="24"/>
          <w:lang w:val="en-GB"/>
        </w:rPr>
        <w:tab/>
      </w:r>
    </w:p>
    <w:p w14:paraId="4C9A083D" w14:textId="45E8D854" w:rsidR="00925C05" w:rsidRDefault="00925C05" w:rsidP="00BB76AE">
      <w:pPr>
        <w:rPr>
          <w:rFonts w:ascii="Calibri" w:eastAsia="Calibri" w:hAnsi="Calibri" w:cs="Times New Roman"/>
          <w:b/>
          <w:color w:val="1F3864" w:themeColor="accent1" w:themeShade="80"/>
          <w:sz w:val="24"/>
          <w:szCs w:val="24"/>
          <w:lang w:val="en-GB"/>
        </w:rPr>
      </w:pPr>
      <w:r>
        <w:rPr>
          <w:rFonts w:ascii="Calibri" w:eastAsia="Calibri" w:hAnsi="Calibri" w:cs="Times New Roman"/>
          <w:b/>
          <w:color w:val="1F3864" w:themeColor="accent1" w:themeShade="80"/>
          <w:sz w:val="24"/>
          <w:szCs w:val="24"/>
          <w:lang w:val="en-GB"/>
        </w:rPr>
        <w:t xml:space="preserve"> </w:t>
      </w:r>
    </w:p>
    <w:p w14:paraId="7C98ECAA" w14:textId="423CC4AC" w:rsidR="009731A1" w:rsidRDefault="00BB76AE" w:rsidP="00BB76AE">
      <w:pPr>
        <w:rPr>
          <w:rFonts w:ascii="Calibri" w:eastAsia="Calibri" w:hAnsi="Calibri" w:cs="Times New Roman"/>
          <w:b/>
          <w:color w:val="1F3864" w:themeColor="accent1" w:themeShade="80"/>
          <w:sz w:val="24"/>
          <w:szCs w:val="24"/>
          <w:lang w:val="en-GB"/>
        </w:rPr>
      </w:pPr>
      <w:r w:rsidRPr="00BB76AE">
        <w:rPr>
          <w:rFonts w:ascii="Calibri" w:eastAsia="Calibri" w:hAnsi="Calibri" w:cs="Times New Roman"/>
          <w:b/>
          <w:color w:val="1F3864" w:themeColor="accent1" w:themeShade="80"/>
          <w:sz w:val="24"/>
          <w:szCs w:val="24"/>
          <w:lang w:val="en-GB"/>
        </w:rPr>
        <w:t>Workplan for each partner for both Comms and Partnerships (CO)</w:t>
      </w:r>
    </w:p>
    <w:p w14:paraId="7A32E9C6" w14:textId="5330CCEE" w:rsidR="009731A1" w:rsidRDefault="009731A1" w:rsidP="009731A1">
      <w:pPr>
        <w:pStyle w:val="Paragraphedeliste"/>
        <w:numPr>
          <w:ilvl w:val="0"/>
          <w:numId w:val="17"/>
        </w:numPr>
        <w:rPr>
          <w:rFonts w:ascii="Calibri" w:eastAsia="Calibri" w:hAnsi="Calibri" w:cs="Times New Roman"/>
          <w:b/>
          <w:color w:val="1F3864" w:themeColor="accent1" w:themeShade="80"/>
          <w:sz w:val="24"/>
          <w:szCs w:val="24"/>
          <w:lang w:val="fr-SN"/>
        </w:rPr>
      </w:pPr>
      <w:r w:rsidRPr="009731A1">
        <w:rPr>
          <w:rFonts w:ascii="Calibri" w:eastAsia="Calibri" w:hAnsi="Calibri" w:cs="Times New Roman"/>
          <w:b/>
          <w:color w:val="1F3864" w:themeColor="accent1" w:themeShade="80"/>
          <w:sz w:val="24"/>
          <w:szCs w:val="24"/>
          <w:lang w:val="fr-SN"/>
        </w:rPr>
        <w:t>Matrice du cadre logi</w:t>
      </w:r>
      <w:r>
        <w:rPr>
          <w:rFonts w:ascii="Calibri" w:eastAsia="Calibri" w:hAnsi="Calibri" w:cs="Times New Roman"/>
          <w:b/>
          <w:color w:val="1F3864" w:themeColor="accent1" w:themeShade="80"/>
          <w:sz w:val="24"/>
          <w:szCs w:val="24"/>
          <w:lang w:val="fr-SN"/>
        </w:rPr>
        <w:t>q</w:t>
      </w:r>
      <w:r w:rsidRPr="009731A1">
        <w:rPr>
          <w:rFonts w:ascii="Calibri" w:eastAsia="Calibri" w:hAnsi="Calibri" w:cs="Times New Roman"/>
          <w:b/>
          <w:color w:val="1F3864" w:themeColor="accent1" w:themeShade="80"/>
          <w:sz w:val="24"/>
          <w:szCs w:val="24"/>
          <w:lang w:val="fr-SN"/>
        </w:rPr>
        <w:t>ue communication</w:t>
      </w:r>
      <w:r w:rsidR="00436EA6">
        <w:rPr>
          <w:rFonts w:ascii="Calibri" w:eastAsia="Calibri" w:hAnsi="Calibri" w:cs="Times New Roman"/>
          <w:b/>
          <w:color w:val="1F3864" w:themeColor="accent1" w:themeShade="80"/>
          <w:sz w:val="24"/>
          <w:szCs w:val="24"/>
          <w:lang w:val="fr-SN"/>
        </w:rPr>
        <w:t xml:space="preserve"> pour chaque programme</w:t>
      </w:r>
    </w:p>
    <w:p w14:paraId="387133BD" w14:textId="07DF78EE" w:rsidR="001D195C" w:rsidRDefault="00436EA6" w:rsidP="009731A1">
      <w:pPr>
        <w:pStyle w:val="Paragraphedeliste"/>
        <w:numPr>
          <w:ilvl w:val="0"/>
          <w:numId w:val="17"/>
        </w:numPr>
        <w:rPr>
          <w:rFonts w:ascii="Calibri" w:eastAsia="Calibri" w:hAnsi="Calibri" w:cs="Times New Roman"/>
          <w:b/>
          <w:color w:val="1F3864" w:themeColor="accent1" w:themeShade="80"/>
          <w:sz w:val="24"/>
          <w:szCs w:val="24"/>
          <w:lang w:val="fr-SN"/>
        </w:rPr>
      </w:pPr>
      <w:r>
        <w:rPr>
          <w:rFonts w:ascii="Calibri" w:eastAsia="Calibri" w:hAnsi="Calibri" w:cs="Times New Roman"/>
          <w:b/>
          <w:color w:val="1F3864" w:themeColor="accent1" w:themeShade="80"/>
          <w:sz w:val="24"/>
          <w:szCs w:val="24"/>
          <w:lang w:val="fr-SN"/>
        </w:rPr>
        <w:t>Matrice du plan d’action et budget estimatif</w:t>
      </w:r>
    </w:p>
    <w:p w14:paraId="232EEA7A" w14:textId="6A79109B" w:rsidR="004F7DDD" w:rsidRPr="004F7DDD" w:rsidRDefault="004F7DDD" w:rsidP="004F7DDD">
      <w:pPr>
        <w:pStyle w:val="Paragraphedeliste"/>
        <w:numPr>
          <w:ilvl w:val="0"/>
          <w:numId w:val="17"/>
        </w:numPr>
        <w:ind w:right="-46"/>
        <w:jc w:val="both"/>
        <w:rPr>
          <w:rFonts w:ascii="Calibri" w:eastAsia="Calibri" w:hAnsi="Calibri" w:cs="Times New Roman"/>
          <w:b/>
          <w:color w:val="1F3864" w:themeColor="accent1" w:themeShade="80"/>
          <w:sz w:val="24"/>
          <w:szCs w:val="24"/>
          <w:lang w:val="fr-SN"/>
        </w:rPr>
      </w:pPr>
      <w:r w:rsidRPr="004F7DDD">
        <w:rPr>
          <w:rFonts w:ascii="Calibri" w:eastAsia="Calibri" w:hAnsi="Calibri" w:cs="Times New Roman"/>
          <w:b/>
          <w:color w:val="1F3864" w:themeColor="accent1" w:themeShade="80"/>
          <w:sz w:val="24"/>
          <w:szCs w:val="24"/>
          <w:lang w:val="fr-SN"/>
        </w:rPr>
        <w:t>Cartographie des supports de communication et de visibilité en fonction des cibles</w:t>
      </w:r>
    </w:p>
    <w:p w14:paraId="4E89B138" w14:textId="506A6DD9" w:rsidR="00436EA6" w:rsidRDefault="00436EA6" w:rsidP="009731A1">
      <w:pPr>
        <w:pStyle w:val="Paragraphedeliste"/>
        <w:numPr>
          <w:ilvl w:val="0"/>
          <w:numId w:val="17"/>
        </w:numPr>
        <w:rPr>
          <w:rFonts w:ascii="Calibri" w:eastAsia="Calibri" w:hAnsi="Calibri" w:cs="Times New Roman"/>
          <w:b/>
          <w:color w:val="1F3864" w:themeColor="accent1" w:themeShade="80"/>
          <w:sz w:val="24"/>
          <w:szCs w:val="24"/>
          <w:lang w:val="fr-SN"/>
        </w:rPr>
      </w:pPr>
      <w:r>
        <w:rPr>
          <w:rFonts w:ascii="Calibri" w:eastAsia="Calibri" w:hAnsi="Calibri" w:cs="Times New Roman"/>
          <w:b/>
          <w:color w:val="1F3864" w:themeColor="accent1" w:themeShade="80"/>
          <w:sz w:val="24"/>
          <w:szCs w:val="24"/>
          <w:lang w:val="fr-SN"/>
        </w:rPr>
        <w:t>Cadre de mesure du rendement du plan de visibilité</w:t>
      </w:r>
    </w:p>
    <w:p w14:paraId="642068D6" w14:textId="21BF9330" w:rsidR="00471B36" w:rsidRPr="000153BA" w:rsidRDefault="00436EA6" w:rsidP="001A2679">
      <w:pPr>
        <w:pStyle w:val="Paragraphedeliste"/>
        <w:numPr>
          <w:ilvl w:val="0"/>
          <w:numId w:val="17"/>
        </w:numPr>
        <w:rPr>
          <w:rFonts w:ascii="Calibri" w:eastAsia="Calibri" w:hAnsi="Calibri" w:cs="Times New Roman"/>
          <w:b/>
          <w:color w:val="1F3864" w:themeColor="accent1" w:themeShade="80"/>
          <w:sz w:val="24"/>
          <w:szCs w:val="24"/>
          <w:lang w:val="fr-SN"/>
        </w:rPr>
      </w:pPr>
      <w:r>
        <w:rPr>
          <w:rFonts w:ascii="Calibri" w:eastAsia="Calibri" w:hAnsi="Calibri" w:cs="Times New Roman"/>
          <w:b/>
          <w:color w:val="1F3864" w:themeColor="accent1" w:themeShade="80"/>
          <w:sz w:val="24"/>
          <w:szCs w:val="24"/>
          <w:lang w:val="fr-SN"/>
        </w:rPr>
        <w:t xml:space="preserve">Tableau des valeurs cibles </w:t>
      </w:r>
      <w:r w:rsidR="004F7DDD">
        <w:rPr>
          <w:rFonts w:ascii="Calibri" w:eastAsia="Calibri" w:hAnsi="Calibri" w:cs="Times New Roman"/>
          <w:b/>
          <w:color w:val="1F3864" w:themeColor="accent1" w:themeShade="80"/>
          <w:sz w:val="24"/>
          <w:szCs w:val="24"/>
          <w:lang w:val="fr-SN"/>
        </w:rPr>
        <w:t>annuelles</w:t>
      </w:r>
    </w:p>
    <w:p w14:paraId="24E3D4A8" w14:textId="77777777" w:rsidR="008D6EED" w:rsidRDefault="008D6EED" w:rsidP="005809E2">
      <w:pPr>
        <w:pStyle w:val="Titre2"/>
      </w:pPr>
    </w:p>
    <w:p w14:paraId="7BC2AB2C" w14:textId="4F5C598A" w:rsidR="00A53E2D" w:rsidRDefault="00A53E2D" w:rsidP="005809E2">
      <w:pPr>
        <w:pStyle w:val="Titre2"/>
      </w:pPr>
      <w:bookmarkStart w:id="42" w:name="_Toc139363450"/>
      <w:r w:rsidRPr="00A53E2D">
        <w:t>b. Partenariat avec le secteur privé</w:t>
      </w:r>
      <w:r w:rsidR="0082564C">
        <w:t>.</w:t>
      </w:r>
      <w:bookmarkEnd w:id="42"/>
    </w:p>
    <w:p w14:paraId="1EB60135" w14:textId="1117F5BF" w:rsidR="0082564C" w:rsidRPr="0082564C" w:rsidRDefault="0082564C" w:rsidP="0082564C">
      <w:pPr>
        <w:jc w:val="both"/>
        <w:rPr>
          <w:rFonts w:ascii="Times New Roman" w:hAnsi="Times New Roman" w:cs="Times New Roman"/>
          <w:sz w:val="24"/>
          <w:szCs w:val="24"/>
        </w:rPr>
      </w:pPr>
      <w:r>
        <w:rPr>
          <w:rFonts w:ascii="Times New Roman" w:hAnsi="Times New Roman" w:cs="Times New Roman"/>
          <w:sz w:val="24"/>
          <w:szCs w:val="24"/>
        </w:rPr>
        <w:t>L</w:t>
      </w:r>
      <w:r w:rsidRPr="0082564C">
        <w:rPr>
          <w:rFonts w:ascii="Times New Roman" w:hAnsi="Times New Roman" w:cs="Times New Roman"/>
          <w:sz w:val="24"/>
          <w:szCs w:val="24"/>
        </w:rPr>
        <w:t>a Réforme des Nations Unies reconnaît l’utilité centrale des partenariats pour atteindre tous les objectifs du Programme 2030 et propose une démarche de gestion des risques à l’échelle du système. Il est reconnu que les entreprises du secteur privé ont-elles mêmes élargi leurs activités et leur engagement à la réalisation des ODD</w:t>
      </w:r>
      <w:r w:rsidR="009909BB">
        <w:rPr>
          <w:rFonts w:ascii="Times New Roman" w:hAnsi="Times New Roman" w:cs="Times New Roman"/>
          <w:sz w:val="24"/>
          <w:szCs w:val="24"/>
        </w:rPr>
        <w:t>, agenda pour lequel le PNUD a le lead dans sa mise en œuvre.</w:t>
      </w:r>
    </w:p>
    <w:p w14:paraId="3D4AED1B" w14:textId="7271B8EC" w:rsidR="0082564C" w:rsidRPr="0082564C" w:rsidRDefault="0082564C" w:rsidP="0082564C">
      <w:pPr>
        <w:jc w:val="both"/>
        <w:rPr>
          <w:rFonts w:ascii="Times New Roman" w:hAnsi="Times New Roman" w:cs="Times New Roman"/>
          <w:sz w:val="24"/>
          <w:szCs w:val="24"/>
        </w:rPr>
      </w:pPr>
      <w:r w:rsidRPr="0082564C">
        <w:rPr>
          <w:rFonts w:ascii="Times New Roman" w:hAnsi="Times New Roman" w:cs="Times New Roman"/>
          <w:sz w:val="24"/>
          <w:szCs w:val="24"/>
        </w:rPr>
        <w:t xml:space="preserve">Le PNUD est conscient que </w:t>
      </w:r>
      <w:r>
        <w:rPr>
          <w:rFonts w:ascii="Times New Roman" w:hAnsi="Times New Roman" w:cs="Times New Roman"/>
          <w:sz w:val="24"/>
          <w:szCs w:val="24"/>
        </w:rPr>
        <w:t>l</w:t>
      </w:r>
      <w:r w:rsidRPr="0082564C">
        <w:rPr>
          <w:rFonts w:ascii="Times New Roman" w:hAnsi="Times New Roman" w:cs="Times New Roman"/>
          <w:sz w:val="24"/>
          <w:szCs w:val="24"/>
        </w:rPr>
        <w:t>e secteur privé peut être un partenaire de développement stratégique, car dispos</w:t>
      </w:r>
      <w:r>
        <w:rPr>
          <w:rFonts w:ascii="Times New Roman" w:hAnsi="Times New Roman" w:cs="Times New Roman"/>
          <w:sz w:val="24"/>
          <w:szCs w:val="24"/>
        </w:rPr>
        <w:t>ant</w:t>
      </w:r>
      <w:r w:rsidRPr="0082564C">
        <w:rPr>
          <w:rFonts w:ascii="Times New Roman" w:hAnsi="Times New Roman" w:cs="Times New Roman"/>
          <w:sz w:val="24"/>
          <w:szCs w:val="24"/>
        </w:rPr>
        <w:t xml:space="preserve"> </w:t>
      </w:r>
      <w:r w:rsidRPr="009909BB">
        <w:rPr>
          <w:rFonts w:ascii="Times New Roman" w:hAnsi="Times New Roman" w:cs="Times New Roman"/>
          <w:b/>
          <w:bCs/>
          <w:sz w:val="24"/>
          <w:szCs w:val="24"/>
        </w:rPr>
        <w:t>d’outils novateurs, de ressources, de connaissances et de technologies</w:t>
      </w:r>
      <w:r w:rsidRPr="0082564C">
        <w:rPr>
          <w:rFonts w:ascii="Times New Roman" w:hAnsi="Times New Roman" w:cs="Times New Roman"/>
          <w:sz w:val="24"/>
          <w:szCs w:val="24"/>
        </w:rPr>
        <w:t xml:space="preserve"> qui sont essentiels pour renforcer son impact sur le terrain</w:t>
      </w:r>
      <w:r>
        <w:rPr>
          <w:rFonts w:ascii="Times New Roman" w:hAnsi="Times New Roman" w:cs="Times New Roman"/>
          <w:sz w:val="24"/>
          <w:szCs w:val="24"/>
        </w:rPr>
        <w:t>.</w:t>
      </w:r>
      <w:r w:rsidRPr="0082564C">
        <w:rPr>
          <w:rFonts w:ascii="Times New Roman" w:hAnsi="Times New Roman" w:cs="Times New Roman"/>
          <w:sz w:val="24"/>
          <w:szCs w:val="24"/>
        </w:rPr>
        <w:t> </w:t>
      </w:r>
      <w:r>
        <w:rPr>
          <w:rFonts w:ascii="Times New Roman" w:hAnsi="Times New Roman" w:cs="Times New Roman"/>
          <w:sz w:val="24"/>
          <w:szCs w:val="24"/>
        </w:rPr>
        <w:t>L</w:t>
      </w:r>
      <w:r w:rsidRPr="0082564C">
        <w:rPr>
          <w:rFonts w:ascii="Times New Roman" w:hAnsi="Times New Roman" w:cs="Times New Roman"/>
          <w:sz w:val="24"/>
          <w:szCs w:val="24"/>
        </w:rPr>
        <w:t>e PNUD entend dans le cadre de sa nouvelle stratégie 2021-2025, entretenir une collaboration plus étroite et renforcée avec le secteur privé.</w:t>
      </w:r>
      <w:r>
        <w:rPr>
          <w:rFonts w:ascii="Times New Roman" w:hAnsi="Times New Roman" w:cs="Times New Roman"/>
          <w:sz w:val="24"/>
          <w:szCs w:val="24"/>
        </w:rPr>
        <w:t xml:space="preserve"> Pour le PNUD, l</w:t>
      </w:r>
      <w:r w:rsidRPr="0082564C">
        <w:rPr>
          <w:rFonts w:ascii="Times New Roman" w:hAnsi="Times New Roman" w:cs="Times New Roman"/>
          <w:sz w:val="24"/>
          <w:szCs w:val="24"/>
        </w:rPr>
        <w:t xml:space="preserve">a mobilisation – ou « engagement » – du secteur privé pourrait s’entendre comme tout type d’interaction avec des entités du secteur privé, dans la poursuite de ses différents objectifs, pouvant prendre la </w:t>
      </w:r>
      <w:r w:rsidRPr="009909BB">
        <w:rPr>
          <w:rFonts w:ascii="Times New Roman" w:hAnsi="Times New Roman" w:cs="Times New Roman"/>
          <w:b/>
          <w:bCs/>
          <w:sz w:val="24"/>
          <w:szCs w:val="24"/>
        </w:rPr>
        <w:t>forme d’un dialogue, d’entretiens, de discussions à caractère informel ou formel, de plateformes d’échange de connaissances, et aller jusqu’à l’institution d’un partenariat entraînant des financements</w:t>
      </w:r>
      <w:r w:rsidRPr="0082564C">
        <w:rPr>
          <w:rFonts w:ascii="Times New Roman" w:hAnsi="Times New Roman" w:cs="Times New Roman"/>
          <w:sz w:val="24"/>
          <w:szCs w:val="24"/>
        </w:rPr>
        <w:t>.</w:t>
      </w:r>
    </w:p>
    <w:p w14:paraId="34AF8804" w14:textId="37D48A08" w:rsidR="0082564C" w:rsidRPr="0082564C" w:rsidRDefault="0082564C" w:rsidP="0082564C">
      <w:pPr>
        <w:jc w:val="both"/>
        <w:rPr>
          <w:rFonts w:ascii="Times New Roman" w:hAnsi="Times New Roman" w:cs="Times New Roman"/>
          <w:sz w:val="24"/>
          <w:szCs w:val="24"/>
        </w:rPr>
      </w:pPr>
      <w:r w:rsidRPr="0082564C">
        <w:rPr>
          <w:rFonts w:ascii="Times New Roman" w:hAnsi="Times New Roman" w:cs="Times New Roman"/>
          <w:sz w:val="24"/>
          <w:szCs w:val="24"/>
        </w:rPr>
        <w:t>De nombreuses entreprises et associations du secteur privé manifestent une volonté croissante d’aligner leurs stratégie</w:t>
      </w:r>
      <w:r>
        <w:rPr>
          <w:rFonts w:ascii="Times New Roman" w:hAnsi="Times New Roman" w:cs="Times New Roman"/>
          <w:sz w:val="24"/>
          <w:szCs w:val="24"/>
        </w:rPr>
        <w:t>s</w:t>
      </w:r>
      <w:r w:rsidRPr="0082564C">
        <w:rPr>
          <w:rFonts w:ascii="Times New Roman" w:hAnsi="Times New Roman" w:cs="Times New Roman"/>
          <w:sz w:val="24"/>
          <w:szCs w:val="24"/>
        </w:rPr>
        <w:t>, usages et investissements sur les valeurs et objectifs du Programme 2030. Les acteurs du secteur privé sont conscients que le PNUD, peut donner des indications sur les pratiques durables et socialement responsables et leur permettre d’accomplir leurs politiques RSE.</w:t>
      </w:r>
      <w:r w:rsidR="004B7F51">
        <w:rPr>
          <w:rFonts w:ascii="Times New Roman" w:hAnsi="Times New Roman" w:cs="Times New Roman"/>
          <w:sz w:val="24"/>
          <w:szCs w:val="24"/>
        </w:rPr>
        <w:t xml:space="preserve"> </w:t>
      </w:r>
      <w:r w:rsidRPr="0082564C">
        <w:rPr>
          <w:rFonts w:ascii="Times New Roman" w:hAnsi="Times New Roman" w:cs="Times New Roman"/>
          <w:sz w:val="24"/>
          <w:szCs w:val="24"/>
        </w:rPr>
        <w:t>Les acteurs privés sont les acteurs provenant du secteur non public/gouvernemental. Les acteurs du secteur privé diffèrent selon leur taille (micro, petite, moyenne ou grande), leur secteur d’activité, leur motivation (organismes à but lucratif, organismes caritatifs privés, entreprises sociales) et leur opération dans le secteur formel ou informel.</w:t>
      </w:r>
      <w:r>
        <w:rPr>
          <w:rFonts w:ascii="Times New Roman" w:hAnsi="Times New Roman" w:cs="Times New Roman"/>
          <w:sz w:val="24"/>
          <w:szCs w:val="24"/>
        </w:rPr>
        <w:t xml:space="preserve"> </w:t>
      </w:r>
      <w:r w:rsidRPr="0082564C">
        <w:rPr>
          <w:rFonts w:ascii="Times New Roman" w:hAnsi="Times New Roman" w:cs="Times New Roman"/>
          <w:sz w:val="24"/>
          <w:szCs w:val="24"/>
        </w:rPr>
        <w:t>Puisque les micros, petites et moyennes entreprises (MPME) ont tendance à dominer le secteur privé dans de nombreux pays en développement, elles représentent des acteurs clés en matière d’implication.</w:t>
      </w:r>
    </w:p>
    <w:p w14:paraId="53BDBDE0" w14:textId="5AF7D9E4" w:rsidR="0082564C" w:rsidRPr="0082564C" w:rsidRDefault="0082564C" w:rsidP="0082564C">
      <w:pPr>
        <w:rPr>
          <w:rFonts w:ascii="Times New Roman" w:hAnsi="Times New Roman" w:cs="Times New Roman"/>
          <w:b/>
          <w:bCs/>
          <w:sz w:val="24"/>
          <w:szCs w:val="24"/>
        </w:rPr>
      </w:pPr>
      <w:r w:rsidRPr="0082564C">
        <w:rPr>
          <w:rFonts w:ascii="Times New Roman" w:hAnsi="Times New Roman" w:cs="Times New Roman"/>
          <w:b/>
          <w:bCs/>
          <w:sz w:val="24"/>
          <w:szCs w:val="24"/>
        </w:rPr>
        <w:t>Dans le cadre de mobilisation de ressources financières, les grandes entreprises disposant</w:t>
      </w:r>
      <w:r w:rsidR="009909BB">
        <w:rPr>
          <w:rFonts w:ascii="Times New Roman" w:hAnsi="Times New Roman" w:cs="Times New Roman"/>
          <w:b/>
          <w:bCs/>
          <w:sz w:val="24"/>
          <w:szCs w:val="24"/>
        </w:rPr>
        <w:t xml:space="preserve"> généralement</w:t>
      </w:r>
      <w:r w:rsidRPr="0082564C">
        <w:rPr>
          <w:rFonts w:ascii="Times New Roman" w:hAnsi="Times New Roman" w:cs="Times New Roman"/>
          <w:b/>
          <w:bCs/>
          <w:sz w:val="24"/>
          <w:szCs w:val="24"/>
        </w:rPr>
        <w:t xml:space="preserve"> de politique RSE pourront être privilégiées.</w:t>
      </w:r>
    </w:p>
    <w:p w14:paraId="18D32FD9" w14:textId="7C757DED" w:rsidR="0082564C" w:rsidRDefault="001A2679" w:rsidP="00A53E2D">
      <w:pPr>
        <w:jc w:val="both"/>
        <w:rPr>
          <w:rFonts w:ascii="Times New Roman" w:hAnsi="Times New Roman" w:cs="Times New Roman"/>
          <w:sz w:val="24"/>
          <w:szCs w:val="24"/>
        </w:rPr>
      </w:pPr>
      <w:r w:rsidRPr="00A53E2D">
        <w:rPr>
          <w:rFonts w:ascii="Times New Roman" w:hAnsi="Times New Roman" w:cs="Times New Roman"/>
          <w:sz w:val="24"/>
          <w:szCs w:val="24"/>
        </w:rPr>
        <w:t xml:space="preserve">La mobilisation des ressources auprès du secteur privé </w:t>
      </w:r>
      <w:r w:rsidR="009909BB">
        <w:rPr>
          <w:rFonts w:ascii="Times New Roman" w:hAnsi="Times New Roman" w:cs="Times New Roman"/>
          <w:sz w:val="24"/>
          <w:szCs w:val="24"/>
        </w:rPr>
        <w:t>aidera le PNUD</w:t>
      </w:r>
      <w:r w:rsidRPr="00A53E2D">
        <w:rPr>
          <w:rFonts w:ascii="Times New Roman" w:hAnsi="Times New Roman" w:cs="Times New Roman"/>
          <w:sz w:val="24"/>
          <w:szCs w:val="24"/>
        </w:rPr>
        <w:t xml:space="preserve"> à renforcer et établir des partenariats en vue de mobiliser des contributions financières et non financières. La stratégie prend en compte l'ensemble des sources de financement possibles au niveau du secteur privé aux échelles national, régional et international. Il s’agira de : </w:t>
      </w:r>
    </w:p>
    <w:p w14:paraId="70CF0B3C" w14:textId="045B859B" w:rsidR="0082564C" w:rsidRPr="0082564C" w:rsidRDefault="001A2679" w:rsidP="0082564C">
      <w:pPr>
        <w:pStyle w:val="Paragraphedeliste"/>
        <w:numPr>
          <w:ilvl w:val="0"/>
          <w:numId w:val="27"/>
        </w:numPr>
        <w:jc w:val="both"/>
        <w:rPr>
          <w:rFonts w:ascii="Times New Roman" w:hAnsi="Times New Roman" w:cs="Times New Roman"/>
          <w:sz w:val="24"/>
          <w:szCs w:val="24"/>
        </w:rPr>
      </w:pPr>
      <w:r w:rsidRPr="0082564C">
        <w:rPr>
          <w:rFonts w:ascii="Times New Roman" w:hAnsi="Times New Roman" w:cs="Times New Roman"/>
          <w:sz w:val="24"/>
          <w:szCs w:val="24"/>
        </w:rPr>
        <w:t>Approfondir les partenariats existants avec les donateurs du secteur privé</w:t>
      </w:r>
      <w:r w:rsidR="0082564C" w:rsidRPr="0082564C">
        <w:rPr>
          <w:rFonts w:ascii="Times New Roman" w:hAnsi="Times New Roman" w:cs="Times New Roman"/>
          <w:sz w:val="24"/>
          <w:szCs w:val="24"/>
        </w:rPr>
        <w:t> ;</w:t>
      </w:r>
    </w:p>
    <w:p w14:paraId="0604E497" w14:textId="77777777" w:rsidR="00CC27DF" w:rsidRDefault="001A2679" w:rsidP="0082564C">
      <w:pPr>
        <w:pStyle w:val="Paragraphedeliste"/>
        <w:numPr>
          <w:ilvl w:val="0"/>
          <w:numId w:val="27"/>
        </w:numPr>
        <w:jc w:val="both"/>
        <w:rPr>
          <w:rFonts w:ascii="Times New Roman" w:hAnsi="Times New Roman" w:cs="Times New Roman"/>
          <w:sz w:val="24"/>
          <w:szCs w:val="24"/>
        </w:rPr>
      </w:pPr>
      <w:r w:rsidRPr="0082564C">
        <w:rPr>
          <w:rFonts w:ascii="Times New Roman" w:hAnsi="Times New Roman" w:cs="Times New Roman"/>
          <w:sz w:val="24"/>
          <w:szCs w:val="24"/>
        </w:rPr>
        <w:t>Créer de nouveaux cadres de partenariats pour mobiliser les financements du secteur privé</w:t>
      </w:r>
    </w:p>
    <w:p w14:paraId="12D6022B" w14:textId="545A11CF" w:rsidR="0082564C" w:rsidRDefault="001A2679" w:rsidP="0082564C">
      <w:pPr>
        <w:pStyle w:val="Paragraphedeliste"/>
        <w:numPr>
          <w:ilvl w:val="0"/>
          <w:numId w:val="27"/>
        </w:numPr>
        <w:jc w:val="both"/>
        <w:rPr>
          <w:rFonts w:ascii="Times New Roman" w:hAnsi="Times New Roman" w:cs="Times New Roman"/>
          <w:sz w:val="24"/>
          <w:szCs w:val="24"/>
        </w:rPr>
      </w:pPr>
      <w:r w:rsidRPr="0082564C">
        <w:rPr>
          <w:rFonts w:ascii="Times New Roman" w:hAnsi="Times New Roman" w:cs="Times New Roman"/>
          <w:sz w:val="24"/>
          <w:szCs w:val="24"/>
        </w:rPr>
        <w:t xml:space="preserve"> </w:t>
      </w:r>
      <w:r w:rsidR="009909BB">
        <w:rPr>
          <w:rFonts w:ascii="Times New Roman" w:hAnsi="Times New Roman" w:cs="Times New Roman"/>
          <w:sz w:val="24"/>
          <w:szCs w:val="24"/>
        </w:rPr>
        <w:t xml:space="preserve">Améliorer </w:t>
      </w:r>
      <w:r w:rsidR="009909BB" w:rsidRPr="0082564C">
        <w:rPr>
          <w:rFonts w:ascii="Times New Roman" w:hAnsi="Times New Roman" w:cs="Times New Roman"/>
          <w:sz w:val="24"/>
          <w:szCs w:val="24"/>
        </w:rPr>
        <w:t>la</w:t>
      </w:r>
      <w:r w:rsidRPr="0082564C">
        <w:rPr>
          <w:rFonts w:ascii="Times New Roman" w:hAnsi="Times New Roman" w:cs="Times New Roman"/>
          <w:sz w:val="24"/>
          <w:szCs w:val="24"/>
        </w:rPr>
        <w:t xml:space="preserve"> gestion des relations avec les donateurs du secteur privé (rencontres annuelles avec les donateurs, mise à disposition des rapports programmatiques et financiers, ainsi que les visites de terrain)</w:t>
      </w:r>
      <w:r w:rsidR="0082564C">
        <w:rPr>
          <w:rFonts w:ascii="Times New Roman" w:hAnsi="Times New Roman" w:cs="Times New Roman"/>
          <w:sz w:val="24"/>
          <w:szCs w:val="24"/>
        </w:rPr>
        <w:t> ;</w:t>
      </w:r>
    </w:p>
    <w:p w14:paraId="4422CA0B" w14:textId="09D73C3D" w:rsidR="001A2679" w:rsidRDefault="001A2679" w:rsidP="0082564C">
      <w:pPr>
        <w:pStyle w:val="Paragraphedeliste"/>
        <w:numPr>
          <w:ilvl w:val="0"/>
          <w:numId w:val="27"/>
        </w:numPr>
        <w:jc w:val="both"/>
        <w:rPr>
          <w:rFonts w:ascii="Times New Roman" w:hAnsi="Times New Roman" w:cs="Times New Roman"/>
          <w:sz w:val="24"/>
          <w:szCs w:val="24"/>
        </w:rPr>
      </w:pPr>
      <w:r w:rsidRPr="0082564C">
        <w:rPr>
          <w:rFonts w:ascii="Times New Roman" w:hAnsi="Times New Roman" w:cs="Times New Roman"/>
          <w:sz w:val="24"/>
          <w:szCs w:val="24"/>
        </w:rPr>
        <w:t xml:space="preserve"> Développer un portefeuille de programmes et d’initiatives conjointes sur des thématiques prioritaire</w:t>
      </w:r>
      <w:r w:rsidR="009909BB">
        <w:rPr>
          <w:rFonts w:ascii="Times New Roman" w:hAnsi="Times New Roman" w:cs="Times New Roman"/>
          <w:sz w:val="24"/>
          <w:szCs w:val="24"/>
        </w:rPr>
        <w:t xml:space="preserve"> pour le PNUD et le secteur</w:t>
      </w:r>
      <w:r w:rsidRPr="0082564C">
        <w:rPr>
          <w:rFonts w:ascii="Times New Roman" w:hAnsi="Times New Roman" w:cs="Times New Roman"/>
          <w:sz w:val="24"/>
          <w:szCs w:val="24"/>
        </w:rPr>
        <w:t xml:space="preserve"> (avec de rencontres de présentation des idées de projets à des donateurs et partenaires potentiels dont la liste sera développée et régulièrement mise à jour).</w:t>
      </w:r>
    </w:p>
    <w:p w14:paraId="1F773FE2" w14:textId="2F4EC954" w:rsidR="00CC27DF" w:rsidRDefault="009909BB" w:rsidP="0082564C">
      <w:pPr>
        <w:pStyle w:val="Paragraphedeliste"/>
        <w:numPr>
          <w:ilvl w:val="0"/>
          <w:numId w:val="27"/>
        </w:numPr>
        <w:jc w:val="both"/>
        <w:rPr>
          <w:rFonts w:ascii="Times New Roman" w:hAnsi="Times New Roman" w:cs="Times New Roman"/>
          <w:sz w:val="24"/>
          <w:szCs w:val="24"/>
        </w:rPr>
      </w:pPr>
      <w:r>
        <w:rPr>
          <w:rFonts w:ascii="Times New Roman" w:hAnsi="Times New Roman" w:cs="Times New Roman"/>
          <w:sz w:val="24"/>
          <w:szCs w:val="24"/>
        </w:rPr>
        <w:t>Partager les produits de connaissance développés par le Hub Finance du P</w:t>
      </w:r>
      <w:r w:rsidR="00C523BD">
        <w:rPr>
          <w:rFonts w:ascii="Times New Roman" w:hAnsi="Times New Roman" w:cs="Times New Roman"/>
          <w:sz w:val="24"/>
          <w:szCs w:val="24"/>
        </w:rPr>
        <w:t>N</w:t>
      </w:r>
      <w:r>
        <w:rPr>
          <w:rFonts w:ascii="Times New Roman" w:hAnsi="Times New Roman" w:cs="Times New Roman"/>
          <w:sz w:val="24"/>
          <w:szCs w:val="24"/>
        </w:rPr>
        <w:t xml:space="preserve">UD avec le secteur privé, notamment le SDG </w:t>
      </w:r>
      <w:proofErr w:type="spellStart"/>
      <w:r w:rsidR="00C523BD">
        <w:rPr>
          <w:rFonts w:ascii="Times New Roman" w:hAnsi="Times New Roman" w:cs="Times New Roman"/>
          <w:sz w:val="24"/>
          <w:szCs w:val="24"/>
        </w:rPr>
        <w:t>Investor</w:t>
      </w:r>
      <w:proofErr w:type="spellEnd"/>
      <w:r w:rsidR="00C523BD">
        <w:rPr>
          <w:rFonts w:ascii="Times New Roman" w:hAnsi="Times New Roman" w:cs="Times New Roman"/>
          <w:sz w:val="24"/>
          <w:szCs w:val="24"/>
        </w:rPr>
        <w:t xml:space="preserve"> </w:t>
      </w:r>
      <w:proofErr w:type="spellStart"/>
      <w:r>
        <w:rPr>
          <w:rFonts w:ascii="Times New Roman" w:hAnsi="Times New Roman" w:cs="Times New Roman"/>
          <w:sz w:val="24"/>
          <w:szCs w:val="24"/>
        </w:rPr>
        <w:t>map</w:t>
      </w:r>
      <w:proofErr w:type="spellEnd"/>
      <w:r>
        <w:rPr>
          <w:rFonts w:ascii="Times New Roman" w:hAnsi="Times New Roman" w:cs="Times New Roman"/>
          <w:sz w:val="24"/>
          <w:szCs w:val="24"/>
        </w:rPr>
        <w:t>.</w:t>
      </w:r>
    </w:p>
    <w:p w14:paraId="5FEA8BC5" w14:textId="77777777" w:rsidR="00D55AE8" w:rsidRDefault="00D55AE8" w:rsidP="00D55AE8">
      <w:pPr>
        <w:jc w:val="both"/>
        <w:rPr>
          <w:rFonts w:ascii="Times New Roman" w:hAnsi="Times New Roman" w:cs="Times New Roman"/>
          <w:sz w:val="24"/>
          <w:szCs w:val="24"/>
        </w:rPr>
      </w:pPr>
    </w:p>
    <w:p w14:paraId="6A5218F1" w14:textId="77777777" w:rsidR="00D55AE8" w:rsidRPr="00D55AE8" w:rsidRDefault="00D55AE8" w:rsidP="00D55AE8">
      <w:pPr>
        <w:jc w:val="both"/>
        <w:rPr>
          <w:rFonts w:ascii="Times New Roman" w:hAnsi="Times New Roman" w:cs="Times New Roman"/>
          <w:sz w:val="24"/>
          <w:szCs w:val="24"/>
        </w:rPr>
      </w:pPr>
    </w:p>
    <w:p w14:paraId="099E5F24" w14:textId="711FF783" w:rsidR="00E70419" w:rsidRPr="00966020" w:rsidRDefault="008D6EED" w:rsidP="00966020">
      <w:pPr>
        <w:pStyle w:val="Titre1"/>
        <w:rPr>
          <w:b/>
          <w:bCs/>
          <w:color w:val="1F4E79" w:themeColor="accent5" w:themeShade="80"/>
          <w:lang w:val="fr-CI"/>
        </w:rPr>
      </w:pPr>
      <w:bookmarkStart w:id="43" w:name="_Toc139363451"/>
      <w:r>
        <w:rPr>
          <w:b/>
          <w:bCs/>
          <w:color w:val="1F4E79" w:themeColor="accent5" w:themeShade="80"/>
          <w:lang w:val="fr-CI"/>
        </w:rPr>
        <w:t>6</w:t>
      </w:r>
      <w:r w:rsidR="00C03405" w:rsidRPr="00471B36">
        <w:rPr>
          <w:b/>
          <w:bCs/>
          <w:color w:val="1F4E79" w:themeColor="accent5" w:themeShade="80"/>
          <w:lang w:val="fr-CI"/>
        </w:rPr>
        <w:t>. Risque</w:t>
      </w:r>
      <w:r w:rsidR="00E70419">
        <w:rPr>
          <w:b/>
          <w:bCs/>
          <w:color w:val="1F4E79" w:themeColor="accent5" w:themeShade="80"/>
          <w:lang w:val="fr-CI"/>
        </w:rPr>
        <w:t>s</w:t>
      </w:r>
      <w:r w:rsidR="00C03405" w:rsidRPr="00471B36">
        <w:rPr>
          <w:b/>
          <w:bCs/>
          <w:color w:val="1F4E79" w:themeColor="accent5" w:themeShade="80"/>
          <w:lang w:val="fr-CI"/>
        </w:rPr>
        <w:t xml:space="preserve"> et Evaluation du succès</w:t>
      </w:r>
      <w:r w:rsidR="00966020">
        <w:rPr>
          <w:b/>
          <w:bCs/>
          <w:color w:val="1F4E79" w:themeColor="accent5" w:themeShade="80"/>
          <w:lang w:val="fr-CI"/>
        </w:rPr>
        <w:t>.</w:t>
      </w:r>
      <w:bookmarkEnd w:id="43"/>
    </w:p>
    <w:p w14:paraId="0026831B" w14:textId="77777777" w:rsidR="008D6EED" w:rsidRDefault="008D6EED" w:rsidP="00E70419">
      <w:pPr>
        <w:pStyle w:val="Titre2"/>
      </w:pPr>
    </w:p>
    <w:p w14:paraId="6E43057A" w14:textId="72674DF4" w:rsidR="00E70419" w:rsidRPr="00E70419" w:rsidRDefault="00E70419" w:rsidP="00E70419">
      <w:pPr>
        <w:pStyle w:val="Titre2"/>
      </w:pPr>
      <w:bookmarkStart w:id="44" w:name="_Toc139363452"/>
      <w:r w:rsidRPr="00E70419">
        <w:t>a. Risques</w:t>
      </w:r>
      <w:bookmarkEnd w:id="44"/>
      <w:r w:rsidRPr="00E70419">
        <w:t xml:space="preserve"> </w:t>
      </w:r>
    </w:p>
    <w:p w14:paraId="2AFFC8E4" w14:textId="49D79FD5" w:rsidR="000627C6" w:rsidRPr="00E70419" w:rsidRDefault="00E70419" w:rsidP="00E70419">
      <w:pPr>
        <w:jc w:val="both"/>
        <w:rPr>
          <w:rFonts w:ascii="Times New Roman" w:hAnsi="Times New Roman" w:cs="Times New Roman"/>
          <w:sz w:val="24"/>
          <w:szCs w:val="24"/>
        </w:rPr>
      </w:pPr>
      <w:r w:rsidRPr="005F3EF3">
        <w:rPr>
          <w:rFonts w:ascii="Times New Roman" w:hAnsi="Times New Roman" w:cs="Times New Roman"/>
          <w:sz w:val="24"/>
          <w:szCs w:val="24"/>
        </w:rPr>
        <w:t xml:space="preserve">Le </w:t>
      </w:r>
      <w:r w:rsidR="00C523BD">
        <w:rPr>
          <w:rFonts w:ascii="Times New Roman" w:hAnsi="Times New Roman" w:cs="Times New Roman"/>
          <w:sz w:val="24"/>
          <w:szCs w:val="24"/>
        </w:rPr>
        <w:t>PNUD</w:t>
      </w:r>
      <w:r w:rsidR="00C523BD" w:rsidRPr="005F3EF3">
        <w:rPr>
          <w:rFonts w:ascii="Times New Roman" w:hAnsi="Times New Roman" w:cs="Times New Roman"/>
          <w:sz w:val="24"/>
          <w:szCs w:val="24"/>
        </w:rPr>
        <w:t xml:space="preserve"> </w:t>
      </w:r>
      <w:r w:rsidRPr="005F3EF3">
        <w:rPr>
          <w:rFonts w:ascii="Times New Roman" w:hAnsi="Times New Roman" w:cs="Times New Roman"/>
          <w:sz w:val="24"/>
          <w:szCs w:val="24"/>
        </w:rPr>
        <w:t xml:space="preserve">est conscient que ses interactions avec le secteur privé dans le cadre de la mobilisation des ressources </w:t>
      </w:r>
      <w:r w:rsidR="000153BA" w:rsidRPr="005F3EF3">
        <w:rPr>
          <w:rFonts w:ascii="Times New Roman" w:hAnsi="Times New Roman" w:cs="Times New Roman"/>
          <w:sz w:val="24"/>
          <w:szCs w:val="24"/>
        </w:rPr>
        <w:t>pourrai</w:t>
      </w:r>
      <w:r w:rsidR="000153BA">
        <w:rPr>
          <w:rFonts w:ascii="Times New Roman" w:hAnsi="Times New Roman" w:cs="Times New Roman"/>
          <w:sz w:val="24"/>
          <w:szCs w:val="24"/>
        </w:rPr>
        <w:t>ent</w:t>
      </w:r>
      <w:r w:rsidRPr="005F3EF3">
        <w:rPr>
          <w:rFonts w:ascii="Times New Roman" w:hAnsi="Times New Roman" w:cs="Times New Roman"/>
          <w:sz w:val="24"/>
          <w:szCs w:val="24"/>
        </w:rPr>
        <w:t xml:space="preserve"> comporter des risques, qu’elle se doit de gérer avec efficacité. La dynamique de mobilisation élargie aux entités du secteur privé peut faire naître d’autres risques environnementaux, sociaux et risques liés à la gouvernance susceptibles de nuire à la réputation de l’Organisation. L’adoption d’une politique d’ouverture des partenariats au secteur privé nécessite des mécanismes adéquats pour cerner et gérer les risques qui sont susceptibles de porter atteinte </w:t>
      </w:r>
      <w:r>
        <w:rPr>
          <w:rFonts w:ascii="Times New Roman" w:hAnsi="Times New Roman" w:cs="Times New Roman"/>
          <w:sz w:val="24"/>
          <w:szCs w:val="24"/>
        </w:rPr>
        <w:t>à l’</w:t>
      </w:r>
      <w:r w:rsidRPr="005F3EF3">
        <w:rPr>
          <w:rFonts w:ascii="Times New Roman" w:hAnsi="Times New Roman" w:cs="Times New Roman"/>
          <w:sz w:val="24"/>
          <w:szCs w:val="24"/>
        </w:rPr>
        <w:t xml:space="preserve">indépendance et </w:t>
      </w:r>
      <w:r>
        <w:rPr>
          <w:rFonts w:ascii="Times New Roman" w:hAnsi="Times New Roman" w:cs="Times New Roman"/>
          <w:sz w:val="24"/>
          <w:szCs w:val="24"/>
        </w:rPr>
        <w:t>impartialité du PNUD.</w:t>
      </w:r>
    </w:p>
    <w:p w14:paraId="59966CB7" w14:textId="6DFEE345" w:rsidR="00E70419" w:rsidRPr="00A53E2D" w:rsidRDefault="00E70419" w:rsidP="00E70419">
      <w:pPr>
        <w:pStyle w:val="Titre2"/>
      </w:pPr>
      <w:bookmarkStart w:id="45" w:name="_Toc139363453"/>
      <w:r>
        <w:t>b. E</w:t>
      </w:r>
      <w:r w:rsidRPr="00A53E2D">
        <w:t>v</w:t>
      </w:r>
      <w:r>
        <w:t>aluation du succès.</w:t>
      </w:r>
      <w:bookmarkEnd w:id="45"/>
    </w:p>
    <w:p w14:paraId="227E9982" w14:textId="7D8CD725" w:rsidR="004B7F51" w:rsidRDefault="00F22CF2" w:rsidP="005F3EF3">
      <w:pPr>
        <w:jc w:val="both"/>
        <w:rPr>
          <w:rFonts w:ascii="Times New Roman" w:hAnsi="Times New Roman" w:cs="Times New Roman"/>
          <w:sz w:val="24"/>
          <w:szCs w:val="24"/>
        </w:rPr>
      </w:pPr>
      <w:r>
        <w:rPr>
          <w:rFonts w:ascii="Times New Roman" w:hAnsi="Times New Roman" w:cs="Times New Roman"/>
          <w:sz w:val="24"/>
          <w:szCs w:val="24"/>
        </w:rPr>
        <w:t xml:space="preserve">L’Evaluation du succès de la stratégie reposera sur l’atteinte des différents résultats assignés à la </w:t>
      </w:r>
      <w:r w:rsidR="00E3334E">
        <w:rPr>
          <w:rFonts w:ascii="Times New Roman" w:hAnsi="Times New Roman" w:cs="Times New Roman"/>
          <w:sz w:val="24"/>
          <w:szCs w:val="24"/>
        </w:rPr>
        <w:t>stratégie</w:t>
      </w:r>
      <w:r>
        <w:rPr>
          <w:rFonts w:ascii="Times New Roman" w:hAnsi="Times New Roman" w:cs="Times New Roman"/>
          <w:sz w:val="24"/>
          <w:szCs w:val="24"/>
        </w:rPr>
        <w:t>, notamment</w:t>
      </w:r>
      <w:r w:rsidR="00E3334E">
        <w:rPr>
          <w:rFonts w:ascii="Times New Roman" w:hAnsi="Times New Roman" w:cs="Times New Roman"/>
          <w:sz w:val="24"/>
          <w:szCs w:val="24"/>
        </w:rPr>
        <w:t xml:space="preserve">, la </w:t>
      </w:r>
      <w:r>
        <w:rPr>
          <w:rFonts w:ascii="Times New Roman" w:hAnsi="Times New Roman" w:cs="Times New Roman"/>
          <w:sz w:val="24"/>
          <w:szCs w:val="24"/>
        </w:rPr>
        <w:t>mobilisation des ressources</w:t>
      </w:r>
      <w:r w:rsidR="00E3334E">
        <w:rPr>
          <w:rFonts w:ascii="Times New Roman" w:hAnsi="Times New Roman" w:cs="Times New Roman"/>
          <w:sz w:val="24"/>
          <w:szCs w:val="24"/>
        </w:rPr>
        <w:t xml:space="preserve"> en temps réel</w:t>
      </w:r>
      <w:r>
        <w:rPr>
          <w:rFonts w:ascii="Times New Roman" w:hAnsi="Times New Roman" w:cs="Times New Roman"/>
          <w:sz w:val="24"/>
          <w:szCs w:val="24"/>
        </w:rPr>
        <w:t xml:space="preserve">, pour la réalisation des différents programmes et projets du PNUD. </w:t>
      </w:r>
      <w:r w:rsidR="00E3334E">
        <w:rPr>
          <w:rFonts w:ascii="Times New Roman" w:hAnsi="Times New Roman" w:cs="Times New Roman"/>
          <w:sz w:val="24"/>
          <w:szCs w:val="24"/>
        </w:rPr>
        <w:t xml:space="preserve">Il existe au sein du bureau une </w:t>
      </w:r>
      <w:proofErr w:type="spellStart"/>
      <w:r w:rsidR="00E3334E">
        <w:rPr>
          <w:rFonts w:ascii="Times New Roman" w:hAnsi="Times New Roman" w:cs="Times New Roman"/>
          <w:sz w:val="24"/>
          <w:szCs w:val="24"/>
        </w:rPr>
        <w:t>task</w:t>
      </w:r>
      <w:proofErr w:type="spellEnd"/>
      <w:r w:rsidR="00E3334E">
        <w:rPr>
          <w:rFonts w:ascii="Times New Roman" w:hAnsi="Times New Roman" w:cs="Times New Roman"/>
          <w:sz w:val="24"/>
          <w:szCs w:val="24"/>
        </w:rPr>
        <w:t xml:space="preserve"> force en matière de mobilisation de ressources, forte de sept personnes avec deux instances : une Présidence, un secrétariat technique, avec une périodicité mensuelle de réunion. En dehors de cette </w:t>
      </w:r>
      <w:proofErr w:type="spellStart"/>
      <w:r w:rsidR="00E3334E">
        <w:rPr>
          <w:rFonts w:ascii="Times New Roman" w:hAnsi="Times New Roman" w:cs="Times New Roman"/>
          <w:sz w:val="24"/>
          <w:szCs w:val="24"/>
        </w:rPr>
        <w:t>task</w:t>
      </w:r>
      <w:proofErr w:type="spellEnd"/>
      <w:r w:rsidR="00E3334E">
        <w:rPr>
          <w:rFonts w:ascii="Times New Roman" w:hAnsi="Times New Roman" w:cs="Times New Roman"/>
          <w:sz w:val="24"/>
          <w:szCs w:val="24"/>
        </w:rPr>
        <w:t xml:space="preserve"> force, chacun à son niveau est amené à travailler dans le sens de la mobilisation des ressources</w:t>
      </w:r>
      <w:r w:rsidR="004B7F51">
        <w:rPr>
          <w:rFonts w:ascii="Times New Roman" w:hAnsi="Times New Roman" w:cs="Times New Roman"/>
          <w:sz w:val="24"/>
          <w:szCs w:val="24"/>
        </w:rPr>
        <w:t>.</w:t>
      </w:r>
    </w:p>
    <w:p w14:paraId="2433772E" w14:textId="77777777" w:rsidR="00BB4B6B" w:rsidRDefault="00BB4B6B" w:rsidP="005F3EF3">
      <w:pPr>
        <w:jc w:val="both"/>
        <w:rPr>
          <w:rFonts w:ascii="Times New Roman" w:hAnsi="Times New Roman" w:cs="Times New Roman"/>
          <w:sz w:val="24"/>
          <w:szCs w:val="24"/>
        </w:rPr>
      </w:pPr>
    </w:p>
    <w:p w14:paraId="10A08C1C" w14:textId="77777777" w:rsidR="00BB4B6B" w:rsidRDefault="00BB4B6B" w:rsidP="005F3EF3">
      <w:pPr>
        <w:jc w:val="both"/>
        <w:rPr>
          <w:rFonts w:ascii="Times New Roman" w:hAnsi="Times New Roman" w:cs="Times New Roman"/>
          <w:sz w:val="24"/>
          <w:szCs w:val="24"/>
        </w:rPr>
      </w:pPr>
    </w:p>
    <w:p w14:paraId="3C465AD0" w14:textId="77777777" w:rsidR="00BB4B6B" w:rsidRDefault="00BB4B6B" w:rsidP="005F3EF3">
      <w:pPr>
        <w:jc w:val="both"/>
        <w:rPr>
          <w:rFonts w:ascii="Times New Roman" w:hAnsi="Times New Roman" w:cs="Times New Roman"/>
          <w:sz w:val="24"/>
          <w:szCs w:val="24"/>
        </w:rPr>
      </w:pPr>
    </w:p>
    <w:p w14:paraId="4B5128CC" w14:textId="77777777" w:rsidR="00BB4B6B" w:rsidRDefault="00BB4B6B" w:rsidP="005F3EF3">
      <w:pPr>
        <w:jc w:val="both"/>
        <w:rPr>
          <w:rFonts w:ascii="Times New Roman" w:hAnsi="Times New Roman" w:cs="Times New Roman"/>
          <w:sz w:val="24"/>
          <w:szCs w:val="24"/>
        </w:rPr>
      </w:pPr>
    </w:p>
    <w:p w14:paraId="44C5FF08" w14:textId="77777777" w:rsidR="00BB4B6B" w:rsidRDefault="00BB4B6B" w:rsidP="005F3EF3">
      <w:pPr>
        <w:jc w:val="both"/>
        <w:rPr>
          <w:rFonts w:ascii="Times New Roman" w:hAnsi="Times New Roman" w:cs="Times New Roman"/>
          <w:sz w:val="24"/>
          <w:szCs w:val="24"/>
        </w:rPr>
      </w:pPr>
    </w:p>
    <w:p w14:paraId="199A5B71" w14:textId="77777777" w:rsidR="00BB4B6B" w:rsidRDefault="00BB4B6B" w:rsidP="005F3EF3">
      <w:pPr>
        <w:jc w:val="both"/>
        <w:rPr>
          <w:rFonts w:ascii="Times New Roman" w:hAnsi="Times New Roman" w:cs="Times New Roman"/>
          <w:sz w:val="24"/>
          <w:szCs w:val="24"/>
        </w:rPr>
      </w:pPr>
    </w:p>
    <w:p w14:paraId="29A8C2BE" w14:textId="77777777" w:rsidR="00BB4B6B" w:rsidRDefault="00BB4B6B" w:rsidP="005F3EF3">
      <w:pPr>
        <w:jc w:val="both"/>
        <w:rPr>
          <w:rFonts w:ascii="Times New Roman" w:hAnsi="Times New Roman" w:cs="Times New Roman"/>
          <w:sz w:val="24"/>
          <w:szCs w:val="24"/>
        </w:rPr>
      </w:pPr>
    </w:p>
    <w:p w14:paraId="7171B4D6" w14:textId="77777777" w:rsidR="00BB4B6B" w:rsidRDefault="00BB4B6B" w:rsidP="005F3EF3">
      <w:pPr>
        <w:jc w:val="both"/>
        <w:rPr>
          <w:rFonts w:ascii="Times New Roman" w:hAnsi="Times New Roman" w:cs="Times New Roman"/>
          <w:sz w:val="24"/>
          <w:szCs w:val="24"/>
        </w:rPr>
      </w:pPr>
    </w:p>
    <w:p w14:paraId="459D286A" w14:textId="77777777" w:rsidR="00BB4B6B" w:rsidRDefault="00BB4B6B" w:rsidP="005F3EF3">
      <w:pPr>
        <w:jc w:val="both"/>
        <w:rPr>
          <w:rFonts w:ascii="Times New Roman" w:hAnsi="Times New Roman" w:cs="Times New Roman"/>
          <w:sz w:val="24"/>
          <w:szCs w:val="24"/>
        </w:rPr>
      </w:pPr>
    </w:p>
    <w:p w14:paraId="07E164B7" w14:textId="77777777" w:rsidR="00BB4B6B" w:rsidRDefault="00BB4B6B" w:rsidP="005F3EF3">
      <w:pPr>
        <w:jc w:val="both"/>
        <w:rPr>
          <w:rFonts w:ascii="Times New Roman" w:hAnsi="Times New Roman" w:cs="Times New Roman"/>
          <w:sz w:val="24"/>
          <w:szCs w:val="24"/>
        </w:rPr>
      </w:pPr>
    </w:p>
    <w:p w14:paraId="3DC85032" w14:textId="77777777" w:rsidR="00BB4B6B" w:rsidRDefault="00BB4B6B" w:rsidP="005F3EF3">
      <w:pPr>
        <w:jc w:val="both"/>
        <w:rPr>
          <w:rFonts w:ascii="Times New Roman" w:hAnsi="Times New Roman" w:cs="Times New Roman"/>
          <w:sz w:val="24"/>
          <w:szCs w:val="24"/>
        </w:rPr>
      </w:pPr>
    </w:p>
    <w:p w14:paraId="6BA5A3F3" w14:textId="77777777" w:rsidR="00BB4B6B" w:rsidRDefault="00BB4B6B" w:rsidP="005F3EF3">
      <w:pPr>
        <w:jc w:val="both"/>
        <w:rPr>
          <w:rFonts w:ascii="Times New Roman" w:hAnsi="Times New Roman" w:cs="Times New Roman"/>
          <w:sz w:val="24"/>
          <w:szCs w:val="24"/>
        </w:rPr>
      </w:pPr>
    </w:p>
    <w:p w14:paraId="4F90A8A2" w14:textId="77777777" w:rsidR="00BB4B6B" w:rsidRDefault="00BB4B6B" w:rsidP="005F3EF3">
      <w:pPr>
        <w:jc w:val="both"/>
        <w:rPr>
          <w:rFonts w:ascii="Times New Roman" w:hAnsi="Times New Roman" w:cs="Times New Roman"/>
          <w:sz w:val="24"/>
          <w:szCs w:val="24"/>
        </w:rPr>
      </w:pPr>
    </w:p>
    <w:p w14:paraId="488BEE6E" w14:textId="77777777" w:rsidR="00BB4B6B" w:rsidRDefault="00BB4B6B" w:rsidP="005F3EF3">
      <w:pPr>
        <w:jc w:val="both"/>
        <w:rPr>
          <w:rFonts w:ascii="Times New Roman" w:hAnsi="Times New Roman" w:cs="Times New Roman"/>
          <w:sz w:val="24"/>
          <w:szCs w:val="24"/>
        </w:rPr>
      </w:pPr>
    </w:p>
    <w:p w14:paraId="6BD1727C" w14:textId="56D22369" w:rsidR="000153BA" w:rsidRDefault="000153BA" w:rsidP="004B7F51">
      <w:pPr>
        <w:pStyle w:val="Titre1"/>
        <w:jc w:val="center"/>
        <w:rPr>
          <w:b/>
          <w:bCs/>
          <w:color w:val="1F4E79" w:themeColor="accent5" w:themeShade="80"/>
          <w:lang w:val="fr-CI"/>
        </w:rPr>
      </w:pPr>
      <w:bookmarkStart w:id="46" w:name="_Toc139363454"/>
      <w:r w:rsidRPr="004B7F51">
        <w:rPr>
          <w:b/>
          <w:bCs/>
          <w:color w:val="1F4E79" w:themeColor="accent5" w:themeShade="80"/>
          <w:lang w:val="fr-CI"/>
        </w:rPr>
        <w:t>Annexes</w:t>
      </w:r>
      <w:r w:rsidR="00790324">
        <w:rPr>
          <w:b/>
          <w:bCs/>
          <w:color w:val="1F4E79" w:themeColor="accent5" w:themeShade="80"/>
          <w:lang w:val="fr-CI"/>
        </w:rPr>
        <w:t> : Stratégies de Mobilisation des ressources par piliers</w:t>
      </w:r>
      <w:bookmarkEnd w:id="46"/>
    </w:p>
    <w:p w14:paraId="26A8A7B4" w14:textId="77777777" w:rsidR="00790324" w:rsidRPr="00790324" w:rsidRDefault="00790324" w:rsidP="00790324"/>
    <w:p w14:paraId="0B0D0604" w14:textId="77777777" w:rsidR="000153BA" w:rsidRPr="00D825A1" w:rsidRDefault="000153BA" w:rsidP="000153BA">
      <w:pPr>
        <w:spacing w:after="0"/>
        <w:jc w:val="center"/>
        <w:rPr>
          <w:b/>
          <w:bCs/>
          <w:sz w:val="24"/>
          <w:szCs w:val="24"/>
        </w:rPr>
      </w:pPr>
      <w:r w:rsidRPr="00D825A1">
        <w:rPr>
          <w:b/>
          <w:bCs/>
          <w:sz w:val="24"/>
          <w:szCs w:val="24"/>
        </w:rPr>
        <w:t xml:space="preserve">Stratégie du portefeuille Gouvernance inclusive, Etat de droit et qualité </w:t>
      </w:r>
    </w:p>
    <w:p w14:paraId="0DAC6F2B" w14:textId="77777777" w:rsidR="000153BA" w:rsidRPr="00D825A1" w:rsidRDefault="000153BA" w:rsidP="000153BA">
      <w:pPr>
        <w:spacing w:after="0"/>
        <w:jc w:val="center"/>
        <w:rPr>
          <w:b/>
          <w:bCs/>
          <w:sz w:val="24"/>
          <w:szCs w:val="24"/>
        </w:rPr>
      </w:pPr>
      <w:r>
        <w:rPr>
          <w:b/>
          <w:bCs/>
          <w:sz w:val="24"/>
          <w:szCs w:val="24"/>
        </w:rPr>
        <w:t>D</w:t>
      </w:r>
      <w:r w:rsidRPr="00D825A1">
        <w:rPr>
          <w:b/>
          <w:bCs/>
          <w:sz w:val="24"/>
          <w:szCs w:val="24"/>
        </w:rPr>
        <w:t>es Institutions pour la maturation des pipelines</w:t>
      </w:r>
      <w:r>
        <w:rPr>
          <w:b/>
          <w:bCs/>
          <w:sz w:val="24"/>
          <w:szCs w:val="24"/>
        </w:rPr>
        <w:t>.</w:t>
      </w:r>
    </w:p>
    <w:p w14:paraId="2B318270" w14:textId="77777777" w:rsidR="000153BA" w:rsidRPr="00D825A1" w:rsidRDefault="000153BA" w:rsidP="000153BA">
      <w:pPr>
        <w:spacing w:after="0"/>
        <w:jc w:val="both"/>
      </w:pPr>
    </w:p>
    <w:p w14:paraId="2565D6E9" w14:textId="77777777" w:rsidR="000153BA" w:rsidRPr="00D825A1" w:rsidRDefault="000153BA" w:rsidP="000153BA">
      <w:pPr>
        <w:spacing w:after="0"/>
        <w:jc w:val="both"/>
      </w:pPr>
      <w:r w:rsidRPr="00D825A1">
        <w:t>Le portefeuille Gouvernance inclusive, Etat de droit et qualité des Institutions est engagé sur le développement d’importantes initiatives dont l’essentiel a déjà l’objet de discussions très avancées avec les Bailleurs potentiels avec en prime des lettres ou des courriels d’intentions de financement. L’enjeu de ces discussions est d’assurer la soutenabilité du portefeuille et partant celle du Bureau sur le court et moyen terme avec le déploiement d’initiatives majeures en soutien aux efforts des acteurs nationaux. Le pipeline du portefeuille gouvernance comporte 13 initiatives pour un budget total de US 32 100 000. Les perspectives de mobilisation des ressources sur les trois prochaines années au regard du degré de maturité des pipelines se présentent comme suit :</w:t>
      </w:r>
    </w:p>
    <w:p w14:paraId="4EF2626A" w14:textId="77777777" w:rsidR="000153BA" w:rsidRPr="00D825A1" w:rsidRDefault="000153BA" w:rsidP="000153BA">
      <w:pPr>
        <w:spacing w:after="0"/>
        <w:jc w:val="both"/>
      </w:pPr>
    </w:p>
    <w:tbl>
      <w:tblPr>
        <w:tblStyle w:val="Grilledutableau"/>
        <w:tblW w:w="0" w:type="auto"/>
        <w:tblInd w:w="1413" w:type="dxa"/>
        <w:tblLook w:val="04A0" w:firstRow="1" w:lastRow="0" w:firstColumn="1" w:lastColumn="0" w:noHBand="0" w:noVBand="1"/>
      </w:tblPr>
      <w:tblGrid>
        <w:gridCol w:w="2484"/>
        <w:gridCol w:w="2724"/>
        <w:gridCol w:w="2439"/>
      </w:tblGrid>
      <w:tr w:rsidR="000153BA" w:rsidRPr="00D825A1" w14:paraId="3F68A801" w14:textId="77777777" w:rsidTr="00590AA5">
        <w:tc>
          <w:tcPr>
            <w:tcW w:w="3544" w:type="dxa"/>
            <w:shd w:val="clear" w:color="auto" w:fill="FFD966" w:themeFill="accent4" w:themeFillTint="99"/>
          </w:tcPr>
          <w:p w14:paraId="43B65812" w14:textId="77777777" w:rsidR="000153BA" w:rsidRPr="00D825A1" w:rsidRDefault="000153BA" w:rsidP="00590AA5">
            <w:pPr>
              <w:jc w:val="center"/>
              <w:rPr>
                <w:b/>
                <w:bCs/>
                <w:sz w:val="18"/>
                <w:szCs w:val="18"/>
              </w:rPr>
            </w:pPr>
            <w:r w:rsidRPr="00D825A1">
              <w:rPr>
                <w:b/>
                <w:bCs/>
                <w:sz w:val="18"/>
                <w:szCs w:val="18"/>
              </w:rPr>
              <w:t>2022</w:t>
            </w:r>
          </w:p>
        </w:tc>
        <w:tc>
          <w:tcPr>
            <w:tcW w:w="3969" w:type="dxa"/>
            <w:shd w:val="clear" w:color="auto" w:fill="00B0F0"/>
          </w:tcPr>
          <w:p w14:paraId="455D8308" w14:textId="77777777" w:rsidR="000153BA" w:rsidRPr="00D825A1" w:rsidRDefault="000153BA" w:rsidP="00590AA5">
            <w:pPr>
              <w:jc w:val="center"/>
              <w:rPr>
                <w:b/>
                <w:bCs/>
                <w:sz w:val="18"/>
                <w:szCs w:val="18"/>
              </w:rPr>
            </w:pPr>
            <w:r w:rsidRPr="00D825A1">
              <w:rPr>
                <w:b/>
                <w:bCs/>
                <w:sz w:val="18"/>
                <w:szCs w:val="18"/>
              </w:rPr>
              <w:t>2023</w:t>
            </w:r>
          </w:p>
        </w:tc>
        <w:tc>
          <w:tcPr>
            <w:tcW w:w="3543" w:type="dxa"/>
            <w:shd w:val="clear" w:color="auto" w:fill="A8D08D" w:themeFill="accent6" w:themeFillTint="99"/>
          </w:tcPr>
          <w:p w14:paraId="2F78913D" w14:textId="77777777" w:rsidR="000153BA" w:rsidRPr="00D825A1" w:rsidRDefault="000153BA" w:rsidP="00590AA5">
            <w:pPr>
              <w:jc w:val="center"/>
              <w:rPr>
                <w:b/>
                <w:bCs/>
                <w:sz w:val="18"/>
                <w:szCs w:val="18"/>
              </w:rPr>
            </w:pPr>
            <w:r w:rsidRPr="00D825A1">
              <w:rPr>
                <w:b/>
                <w:bCs/>
                <w:sz w:val="18"/>
                <w:szCs w:val="18"/>
              </w:rPr>
              <w:t>2024</w:t>
            </w:r>
          </w:p>
        </w:tc>
      </w:tr>
      <w:tr w:rsidR="000153BA" w:rsidRPr="00D825A1" w14:paraId="587342F0" w14:textId="77777777" w:rsidTr="00590AA5">
        <w:tc>
          <w:tcPr>
            <w:tcW w:w="3544" w:type="dxa"/>
          </w:tcPr>
          <w:p w14:paraId="2D01F5D9" w14:textId="77777777" w:rsidR="000153BA" w:rsidRPr="00D825A1" w:rsidRDefault="000153BA" w:rsidP="00590AA5">
            <w:pPr>
              <w:jc w:val="center"/>
              <w:rPr>
                <w:sz w:val="18"/>
                <w:szCs w:val="18"/>
              </w:rPr>
            </w:pPr>
            <w:r w:rsidRPr="00D825A1">
              <w:rPr>
                <w:sz w:val="18"/>
                <w:szCs w:val="18"/>
              </w:rPr>
              <w:t>US 3 350 000</w:t>
            </w:r>
          </w:p>
        </w:tc>
        <w:tc>
          <w:tcPr>
            <w:tcW w:w="3969" w:type="dxa"/>
          </w:tcPr>
          <w:p w14:paraId="3F41443F" w14:textId="77777777" w:rsidR="000153BA" w:rsidRPr="00D825A1" w:rsidRDefault="000153BA" w:rsidP="00590AA5">
            <w:pPr>
              <w:jc w:val="center"/>
              <w:rPr>
                <w:sz w:val="18"/>
                <w:szCs w:val="18"/>
              </w:rPr>
            </w:pPr>
            <w:r w:rsidRPr="00D825A1">
              <w:rPr>
                <w:sz w:val="18"/>
                <w:szCs w:val="18"/>
              </w:rPr>
              <w:t xml:space="preserve">US 10 250 000 </w:t>
            </w:r>
          </w:p>
        </w:tc>
        <w:tc>
          <w:tcPr>
            <w:tcW w:w="3543" w:type="dxa"/>
          </w:tcPr>
          <w:p w14:paraId="45E40A7D" w14:textId="77777777" w:rsidR="000153BA" w:rsidRPr="00D825A1" w:rsidRDefault="000153BA" w:rsidP="00590AA5">
            <w:pPr>
              <w:jc w:val="center"/>
              <w:rPr>
                <w:sz w:val="18"/>
                <w:szCs w:val="18"/>
              </w:rPr>
            </w:pPr>
            <w:r w:rsidRPr="00D825A1">
              <w:rPr>
                <w:sz w:val="18"/>
                <w:szCs w:val="18"/>
              </w:rPr>
              <w:t>US 7 000 000</w:t>
            </w:r>
          </w:p>
        </w:tc>
      </w:tr>
      <w:tr w:rsidR="000153BA" w:rsidRPr="00DF6E7F" w14:paraId="43A26783" w14:textId="77777777" w:rsidTr="00590AA5">
        <w:tc>
          <w:tcPr>
            <w:tcW w:w="3544" w:type="dxa"/>
          </w:tcPr>
          <w:p w14:paraId="58DBCFBF" w14:textId="77777777" w:rsidR="000153BA" w:rsidRPr="000153BA" w:rsidRDefault="000153BA" w:rsidP="00590AA5">
            <w:pPr>
              <w:jc w:val="center"/>
              <w:rPr>
                <w:i/>
                <w:iCs/>
                <w:sz w:val="18"/>
                <w:szCs w:val="18"/>
                <w:lang w:val="fr-CI"/>
              </w:rPr>
            </w:pPr>
            <w:r w:rsidRPr="000153BA">
              <w:rPr>
                <w:i/>
                <w:iCs/>
                <w:sz w:val="18"/>
                <w:szCs w:val="18"/>
                <w:lang w:val="fr-CI"/>
              </w:rPr>
              <w:t>Allemagne, UE, République de Corée, France</w:t>
            </w:r>
          </w:p>
        </w:tc>
        <w:tc>
          <w:tcPr>
            <w:tcW w:w="3969" w:type="dxa"/>
          </w:tcPr>
          <w:p w14:paraId="03BDB512" w14:textId="77777777" w:rsidR="000153BA" w:rsidRPr="00D825A1" w:rsidRDefault="000153BA" w:rsidP="00590AA5">
            <w:pPr>
              <w:jc w:val="center"/>
              <w:rPr>
                <w:i/>
                <w:iCs/>
                <w:sz w:val="18"/>
                <w:szCs w:val="18"/>
              </w:rPr>
            </w:pPr>
            <w:r w:rsidRPr="00D825A1">
              <w:rPr>
                <w:i/>
                <w:iCs/>
                <w:sz w:val="18"/>
                <w:szCs w:val="18"/>
              </w:rPr>
              <w:t xml:space="preserve">Canada, JICA, </w:t>
            </w:r>
            <w:proofErr w:type="spellStart"/>
            <w:r w:rsidRPr="00D825A1">
              <w:rPr>
                <w:i/>
                <w:iCs/>
                <w:sz w:val="18"/>
                <w:szCs w:val="18"/>
              </w:rPr>
              <w:t>Japon</w:t>
            </w:r>
            <w:proofErr w:type="spellEnd"/>
            <w:r w:rsidRPr="00D825A1">
              <w:rPr>
                <w:i/>
                <w:iCs/>
                <w:sz w:val="18"/>
                <w:szCs w:val="18"/>
              </w:rPr>
              <w:t>, USA, UNDP (Hub Dak, RSCA)</w:t>
            </w:r>
          </w:p>
        </w:tc>
        <w:tc>
          <w:tcPr>
            <w:tcW w:w="3543" w:type="dxa"/>
          </w:tcPr>
          <w:p w14:paraId="1FD82F7C" w14:textId="77777777" w:rsidR="000153BA" w:rsidRPr="00D825A1" w:rsidRDefault="000153BA" w:rsidP="00590AA5">
            <w:pPr>
              <w:jc w:val="center"/>
              <w:rPr>
                <w:i/>
                <w:iCs/>
                <w:sz w:val="18"/>
                <w:szCs w:val="18"/>
              </w:rPr>
            </w:pPr>
            <w:r w:rsidRPr="00D825A1">
              <w:rPr>
                <w:i/>
                <w:iCs/>
                <w:sz w:val="18"/>
                <w:szCs w:val="18"/>
              </w:rPr>
              <w:t xml:space="preserve">JICA, </w:t>
            </w:r>
            <w:proofErr w:type="spellStart"/>
            <w:r w:rsidRPr="00D825A1">
              <w:rPr>
                <w:i/>
                <w:iCs/>
                <w:sz w:val="18"/>
                <w:szCs w:val="18"/>
              </w:rPr>
              <w:t>Gouv</w:t>
            </w:r>
            <w:proofErr w:type="spellEnd"/>
            <w:r w:rsidRPr="00D825A1">
              <w:rPr>
                <w:i/>
                <w:iCs/>
                <w:sz w:val="18"/>
                <w:szCs w:val="18"/>
              </w:rPr>
              <w:t xml:space="preserve"> RCI, UNDP (Hub Dak, RSCA)</w:t>
            </w:r>
          </w:p>
        </w:tc>
      </w:tr>
    </w:tbl>
    <w:p w14:paraId="4869E0A9" w14:textId="77777777" w:rsidR="000153BA" w:rsidRPr="000153BA" w:rsidRDefault="000153BA" w:rsidP="000153BA">
      <w:pPr>
        <w:spacing w:after="0"/>
        <w:jc w:val="both"/>
        <w:rPr>
          <w:lang w:val="en-US"/>
        </w:rPr>
      </w:pPr>
    </w:p>
    <w:p w14:paraId="20DC8598" w14:textId="77777777" w:rsidR="000153BA" w:rsidRPr="00D825A1" w:rsidRDefault="000153BA" w:rsidP="000153BA">
      <w:pPr>
        <w:spacing w:after="0"/>
        <w:jc w:val="both"/>
      </w:pPr>
      <w:r w:rsidRPr="00D825A1">
        <w:t>Le défi majeur qui se pose aujourd’hui est la finalisation des discussions, la signature des conventions et la mise à disposition effective des ressources. A ce défi, il convient d’ajouter celui de la mobilisation de la contrepartie Etat pour les initiatives développées dans le cadre du nouveau Programme Etat de Côte d’Ivoire – PNUD pour la période 2021-2025.</w:t>
      </w:r>
    </w:p>
    <w:p w14:paraId="12FA8C23" w14:textId="71C450D7" w:rsidR="000153BA" w:rsidRPr="00D825A1" w:rsidRDefault="000153BA" w:rsidP="000153BA">
      <w:pPr>
        <w:spacing w:before="120"/>
        <w:jc w:val="both"/>
      </w:pPr>
      <w:r w:rsidRPr="00D825A1">
        <w:t xml:space="preserve">Pour relever ces deux défis, la stratégie mise en place s’articule autour deux axes majeures : </w:t>
      </w:r>
      <w:r w:rsidRPr="00D825A1">
        <w:rPr>
          <w:b/>
          <w:bCs/>
          <w:i/>
          <w:iCs/>
        </w:rPr>
        <w:t>(i)</w:t>
      </w:r>
      <w:r w:rsidRPr="00D825A1">
        <w:t xml:space="preserve"> un dialogue permanent et des séances techniques régulières avec les Bailleurs potentiels pour finaliser les propositions dans des délais records ; </w:t>
      </w:r>
      <w:r w:rsidRPr="00D825A1">
        <w:rPr>
          <w:b/>
          <w:bCs/>
          <w:i/>
          <w:iCs/>
        </w:rPr>
        <w:t>(ii)</w:t>
      </w:r>
      <w:r w:rsidRPr="00D825A1">
        <w:t xml:space="preserve"> l’instauration d’un plaidoyer de haut niveau aussi bien stratégique qu’opérationnel avec les partenaires du Gouvernement pour une meilleure compréhension de la pertinence et des opportunités qu’offre le transfert des ressources de la contrepartie nationale au PNUD.</w:t>
      </w:r>
    </w:p>
    <w:p w14:paraId="30DEE917" w14:textId="77777777" w:rsidR="000153BA" w:rsidRPr="00D825A1" w:rsidRDefault="000153BA" w:rsidP="000153BA">
      <w:r w:rsidRPr="00D825A1">
        <w:t>Le tableau ci-dessous donne une cartographie actualisée des pipelines, leurs statuts et les actions pertinente à prendre pour leur passage en projet.</w:t>
      </w:r>
    </w:p>
    <w:p w14:paraId="72A0F10B" w14:textId="56A5475D" w:rsidR="000153BA" w:rsidRDefault="000153BA" w:rsidP="000153BA"/>
    <w:p w14:paraId="1DAF9AEC" w14:textId="74D704EE" w:rsidR="00790324" w:rsidRDefault="00790324" w:rsidP="000153BA"/>
    <w:p w14:paraId="56405BB4" w14:textId="7E0ADCC2" w:rsidR="00790324" w:rsidRDefault="00790324" w:rsidP="000153BA"/>
    <w:p w14:paraId="5E2401C8" w14:textId="77777777" w:rsidR="00790324" w:rsidRPr="00EC7230" w:rsidRDefault="00790324" w:rsidP="00790324">
      <w:pPr>
        <w:jc w:val="center"/>
        <w:rPr>
          <w:b/>
          <w:bCs/>
          <w:sz w:val="24"/>
          <w:szCs w:val="24"/>
        </w:rPr>
      </w:pPr>
      <w:r w:rsidRPr="00EC7230">
        <w:rPr>
          <w:b/>
          <w:bCs/>
          <w:sz w:val="24"/>
          <w:szCs w:val="24"/>
        </w:rPr>
        <w:t>Stratégie du portefeuille Développement Durable Inclusif pour la mobilisation de ressources</w:t>
      </w:r>
    </w:p>
    <w:p w14:paraId="266545AD" w14:textId="77777777" w:rsidR="00790324" w:rsidRDefault="00790324" w:rsidP="00790324">
      <w:pPr>
        <w:jc w:val="both"/>
      </w:pPr>
      <w:r>
        <w:t>Avec la clôture d’un certain nombre de projets du portefeuille DDI en 2022, le Bureau pays a pris des mesures anticipatives pour le développement du portefeuille. La stratégie proposée s’articule autour de trois axes qui sont : 1) La mobilisation de ressources endogènes au niveau gouvernemental ; 2) La mobilisation de ressources après des partenaires bilatéraux ; et 3) la mobilisation de ressources à travers les fonds verticaux.</w:t>
      </w:r>
    </w:p>
    <w:p w14:paraId="162EC688" w14:textId="77777777" w:rsidR="00790324" w:rsidRPr="005116B0" w:rsidRDefault="00790324" w:rsidP="00790324">
      <w:pPr>
        <w:jc w:val="both"/>
        <w:rPr>
          <w:i/>
          <w:iCs/>
        </w:rPr>
      </w:pPr>
      <w:r w:rsidRPr="005116B0">
        <w:rPr>
          <w:i/>
          <w:iCs/>
        </w:rPr>
        <w:t>Sur le court terme 2022-2023</w:t>
      </w:r>
    </w:p>
    <w:p w14:paraId="1B830A3A" w14:textId="77777777" w:rsidR="00790324" w:rsidRDefault="00790324" w:rsidP="00790324">
      <w:pPr>
        <w:pStyle w:val="Paragraphedeliste"/>
        <w:numPr>
          <w:ilvl w:val="0"/>
          <w:numId w:val="29"/>
        </w:numPr>
        <w:jc w:val="both"/>
      </w:pPr>
      <w:r>
        <w:t xml:space="preserve">Le FIDA, le PNUD et la FAO ont formulé en 2021 une proposition sur l’adaptation des secteurs de l’agriculture et des ressources en aux changement climatique, soumise au Fonds d’Adaptation (FA) qui a été approuvée en 2022. Les échanges sont en cours avec le FIDA (en tant qu’agence du FA) pour positionner le PNUD comme partenaire d’exécution afin de bénéficier d’une partie du financement du FA (au moins 1 million USD). Le </w:t>
      </w:r>
      <w:proofErr w:type="spellStart"/>
      <w:r w:rsidRPr="00E13BC4">
        <w:rPr>
          <w:i/>
          <w:iCs/>
        </w:rPr>
        <w:t>financing</w:t>
      </w:r>
      <w:proofErr w:type="spellEnd"/>
      <w:r w:rsidRPr="00E13BC4">
        <w:rPr>
          <w:i/>
          <w:iCs/>
        </w:rPr>
        <w:t xml:space="preserve"> agreement</w:t>
      </w:r>
      <w:r>
        <w:t xml:space="preserve"> entre le FIDA et le gouvernement est en cours d’élaboration et permettra d’ici le 26 septembre 2022, de préciser les activités prises en charge par le PNUD dans le Projet ;    </w:t>
      </w:r>
    </w:p>
    <w:p w14:paraId="0D2C1D1A" w14:textId="77777777" w:rsidR="00790324" w:rsidRDefault="00790324" w:rsidP="00790324">
      <w:pPr>
        <w:pStyle w:val="Paragraphedeliste"/>
        <w:jc w:val="both"/>
      </w:pPr>
      <w:r>
        <w:t xml:space="preserve"> </w:t>
      </w:r>
    </w:p>
    <w:p w14:paraId="7065339A" w14:textId="77777777" w:rsidR="00790324" w:rsidRDefault="00790324" w:rsidP="00790324">
      <w:pPr>
        <w:pStyle w:val="Paragraphedeliste"/>
        <w:numPr>
          <w:ilvl w:val="0"/>
          <w:numId w:val="29"/>
        </w:numPr>
        <w:jc w:val="both"/>
      </w:pPr>
      <w:r>
        <w:t xml:space="preserve">Le Bureau pays a soumis deux propositions : 1) </w:t>
      </w:r>
      <w:r w:rsidRPr="00D65829">
        <w:rPr>
          <w:i/>
          <w:iCs/>
        </w:rPr>
        <w:t xml:space="preserve">Support to the </w:t>
      </w:r>
      <w:proofErr w:type="spellStart"/>
      <w:r w:rsidRPr="00D65829">
        <w:rPr>
          <w:i/>
          <w:iCs/>
        </w:rPr>
        <w:t>jurisdictional</w:t>
      </w:r>
      <w:proofErr w:type="spellEnd"/>
      <w:r w:rsidRPr="00D65829">
        <w:rPr>
          <w:i/>
          <w:iCs/>
        </w:rPr>
        <w:t xml:space="preserve"> </w:t>
      </w:r>
      <w:proofErr w:type="spellStart"/>
      <w:r w:rsidRPr="00D65829">
        <w:rPr>
          <w:i/>
          <w:iCs/>
        </w:rPr>
        <w:t>implementation</w:t>
      </w:r>
      <w:proofErr w:type="spellEnd"/>
      <w:r w:rsidRPr="00D65829">
        <w:rPr>
          <w:i/>
          <w:iCs/>
        </w:rPr>
        <w:t xml:space="preserve"> of </w:t>
      </w:r>
      <w:proofErr w:type="spellStart"/>
      <w:r w:rsidRPr="00D65829">
        <w:rPr>
          <w:i/>
          <w:iCs/>
        </w:rPr>
        <w:t>Zero-deforestation</w:t>
      </w:r>
      <w:proofErr w:type="spellEnd"/>
      <w:r w:rsidRPr="00D65829">
        <w:rPr>
          <w:i/>
          <w:iCs/>
        </w:rPr>
        <w:t xml:space="preserve"> agricultural production and </w:t>
      </w:r>
      <w:proofErr w:type="spellStart"/>
      <w:r w:rsidRPr="00D65829">
        <w:rPr>
          <w:i/>
          <w:iCs/>
        </w:rPr>
        <w:t>forest</w:t>
      </w:r>
      <w:proofErr w:type="spellEnd"/>
      <w:r w:rsidRPr="00D65829">
        <w:rPr>
          <w:i/>
          <w:iCs/>
        </w:rPr>
        <w:t xml:space="preserve"> </w:t>
      </w:r>
      <w:proofErr w:type="spellStart"/>
      <w:r w:rsidRPr="00D65829">
        <w:rPr>
          <w:i/>
          <w:iCs/>
        </w:rPr>
        <w:t>restoration</w:t>
      </w:r>
      <w:proofErr w:type="spellEnd"/>
      <w:r>
        <w:t xml:space="preserve">, soumis à la Corée pour mobiliser 243 000 USD ; et 2) </w:t>
      </w:r>
      <w:r w:rsidRPr="00D65829">
        <w:rPr>
          <w:i/>
          <w:iCs/>
        </w:rPr>
        <w:t>l’appui au développement des économies locales à travers l’</w:t>
      </w:r>
      <w:r>
        <w:rPr>
          <w:i/>
          <w:iCs/>
        </w:rPr>
        <w:t xml:space="preserve">accès </w:t>
      </w:r>
      <w:r w:rsidRPr="00D65829">
        <w:rPr>
          <w:i/>
          <w:iCs/>
        </w:rPr>
        <w:t>aux sources d’énergies renouvelables</w:t>
      </w:r>
      <w:r>
        <w:t xml:space="preserve">, soumise au Japon pour un financement de 1 millions UNSD ; le </w:t>
      </w:r>
      <w:proofErr w:type="spellStart"/>
      <w:r>
        <w:t>Cimate</w:t>
      </w:r>
      <w:proofErr w:type="spellEnd"/>
      <w:r>
        <w:t xml:space="preserve"> promise 2.0 pour un budget de 200 000 USD ;</w:t>
      </w:r>
    </w:p>
    <w:p w14:paraId="75798DE2" w14:textId="77777777" w:rsidR="00790324" w:rsidRDefault="00790324" w:rsidP="00790324">
      <w:pPr>
        <w:pStyle w:val="Paragraphedeliste"/>
        <w:jc w:val="both"/>
      </w:pPr>
    </w:p>
    <w:p w14:paraId="53450984" w14:textId="77777777" w:rsidR="00790324" w:rsidRDefault="00790324" w:rsidP="00790324">
      <w:pPr>
        <w:pStyle w:val="Paragraphedeliste"/>
        <w:numPr>
          <w:ilvl w:val="0"/>
          <w:numId w:val="29"/>
        </w:numPr>
        <w:jc w:val="both"/>
      </w:pPr>
      <w:r>
        <w:t>Les échanges et négociations sont également en cours avec le gouvernement pour bénéficier de 4 775 000 USD pour soutenir les initiatives en faveur de la gestion durable des ressources naturelles et de la lutte contre le changement climatiques ; 5 600 000 USD pour le développement local et 4 000 000 USD pour l’entreprenariat des jeunes, soit au total 14 375 000 USD en cours de négociation avec le gouvernement</w:t>
      </w:r>
    </w:p>
    <w:p w14:paraId="1A8AF4E2" w14:textId="77777777" w:rsidR="00790324" w:rsidRPr="005116B0" w:rsidRDefault="00790324" w:rsidP="00790324">
      <w:pPr>
        <w:ind w:left="360"/>
        <w:jc w:val="both"/>
        <w:rPr>
          <w:i/>
          <w:iCs/>
        </w:rPr>
      </w:pPr>
      <w:r w:rsidRPr="005116B0">
        <w:rPr>
          <w:i/>
          <w:iCs/>
        </w:rPr>
        <w:t>Sur le moyen terme</w:t>
      </w:r>
      <w:r>
        <w:rPr>
          <w:i/>
          <w:iCs/>
        </w:rPr>
        <w:t xml:space="preserve"> 2024</w:t>
      </w:r>
    </w:p>
    <w:p w14:paraId="5FE1331A" w14:textId="77777777" w:rsidR="00790324" w:rsidRDefault="00790324" w:rsidP="00790324">
      <w:pPr>
        <w:ind w:left="360"/>
        <w:jc w:val="both"/>
      </w:pPr>
      <w:r>
        <w:t xml:space="preserve">Des initiatives de mobilisation des ressources sont en cours, au niveau des fonds verticaux notamment le GEF sur les villes durables (5 millions USD) et GCF sur le système d’alerte précoce (30 millions USD). En outre, des échanges sont en cours (avec la préparation de notes conceptuelles) pour la mobilisation de ressources sur l’entreprenariat jeunes (3 millions USD, MASTER CARD), le financement des villes et mise en œuvre des NDC (10 millions USD, FMDV et UE) et la gestion durable des forêts (Canada). </w:t>
      </w:r>
    </w:p>
    <w:p w14:paraId="01C3EC8D" w14:textId="54CE920D" w:rsidR="00790324" w:rsidRDefault="00790324" w:rsidP="000153BA"/>
    <w:p w14:paraId="0CBDDED1" w14:textId="77C906AB" w:rsidR="00E62293" w:rsidRDefault="00E62293" w:rsidP="000153BA">
      <w:pPr>
        <w:sectPr w:rsidR="00E62293" w:rsidSect="0055778B">
          <w:pgSz w:w="11906" w:h="16838"/>
          <w:pgMar w:top="1418" w:right="1418" w:bottom="1418" w:left="1418" w:header="708" w:footer="708" w:gutter="0"/>
          <w:cols w:space="708"/>
          <w:docGrid w:linePitch="360"/>
        </w:sectPr>
      </w:pPr>
    </w:p>
    <w:p w14:paraId="0E776A48" w14:textId="6B19B0CB" w:rsidR="00790324" w:rsidRDefault="00790324" w:rsidP="000153BA"/>
    <w:p w14:paraId="4C7AB11C" w14:textId="77777777" w:rsidR="00E62293" w:rsidRDefault="00E62293" w:rsidP="00E62293"/>
    <w:p w14:paraId="53A056C7" w14:textId="77777777" w:rsidR="00E62293" w:rsidRDefault="00E62293" w:rsidP="000153BA"/>
    <w:p w14:paraId="234C1D19" w14:textId="77777777" w:rsidR="000153BA" w:rsidRDefault="000153BA" w:rsidP="000153BA"/>
    <w:p w14:paraId="3A05035A" w14:textId="77777777" w:rsidR="000153BA" w:rsidRDefault="000153BA" w:rsidP="000153BA"/>
    <w:sectPr w:rsidR="000153BA" w:rsidSect="00BB4B6B">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CE496" w14:textId="77777777" w:rsidR="00594B63" w:rsidRDefault="00594B63" w:rsidP="000C43C5">
      <w:pPr>
        <w:spacing w:after="0" w:line="240" w:lineRule="auto"/>
      </w:pPr>
      <w:r>
        <w:separator/>
      </w:r>
    </w:p>
  </w:endnote>
  <w:endnote w:type="continuationSeparator" w:id="0">
    <w:p w14:paraId="5CE6B439" w14:textId="77777777" w:rsidR="00594B63" w:rsidRDefault="00594B63" w:rsidP="000C4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man 12cpi">
    <w:altName w:val="Calibri"/>
    <w:charset w:val="00"/>
    <w:family w:val="moder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DBC8" w14:textId="77777777" w:rsidR="004B7F51" w:rsidRDefault="004B7F51">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lang w:val="fr-FR"/>
      </w:rPr>
      <w:t>2</w:t>
    </w:r>
    <w:r>
      <w:rPr>
        <w:caps/>
        <w:color w:val="4472C4" w:themeColor="accent1"/>
      </w:rPr>
      <w:fldChar w:fldCharType="end"/>
    </w:r>
  </w:p>
  <w:p w14:paraId="1FDDF55C" w14:textId="77777777" w:rsidR="004B7F51" w:rsidRDefault="004B7F5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EEF77" w14:textId="77777777" w:rsidR="00594B63" w:rsidRDefault="00594B63" w:rsidP="000C43C5">
      <w:pPr>
        <w:spacing w:after="0" w:line="240" w:lineRule="auto"/>
      </w:pPr>
      <w:r>
        <w:separator/>
      </w:r>
    </w:p>
  </w:footnote>
  <w:footnote w:type="continuationSeparator" w:id="0">
    <w:p w14:paraId="50C0E077" w14:textId="77777777" w:rsidR="00594B63" w:rsidRDefault="00594B63" w:rsidP="000C43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8344C"/>
    <w:multiLevelType w:val="hybridMultilevel"/>
    <w:tmpl w:val="81668AF0"/>
    <w:lvl w:ilvl="0" w:tplc="300C0019">
      <w:start w:val="1"/>
      <w:numFmt w:val="lowerLetter"/>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 w15:restartNumberingAfterBreak="0">
    <w:nsid w:val="0A8E0F9C"/>
    <w:multiLevelType w:val="hybridMultilevel"/>
    <w:tmpl w:val="53963486"/>
    <w:lvl w:ilvl="0" w:tplc="5E88F328">
      <w:start w:val="3"/>
      <w:numFmt w:val="decimal"/>
      <w:lvlText w:val="%1."/>
      <w:lvlJc w:val="left"/>
      <w:pPr>
        <w:ind w:left="720" w:hanging="360"/>
      </w:pPr>
      <w:rPr>
        <w:rFonts w:hint="default"/>
        <w:b/>
        <w:bCs/>
        <w:color w:val="0070C0"/>
        <w:sz w:val="28"/>
        <w:szCs w:val="28"/>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 w15:restartNumberingAfterBreak="0">
    <w:nsid w:val="10540D6F"/>
    <w:multiLevelType w:val="hybridMultilevel"/>
    <w:tmpl w:val="4828B7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D55D0"/>
    <w:multiLevelType w:val="hybridMultilevel"/>
    <w:tmpl w:val="E932CD8E"/>
    <w:lvl w:ilvl="0" w:tplc="A746A448">
      <w:start w:val="1"/>
      <w:numFmt w:val="lowerRoman"/>
      <w:lvlText w:val="%1)"/>
      <w:lvlJc w:val="left"/>
      <w:pPr>
        <w:ind w:left="1080" w:hanging="72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4" w15:restartNumberingAfterBreak="0">
    <w:nsid w:val="168802F8"/>
    <w:multiLevelType w:val="hybridMultilevel"/>
    <w:tmpl w:val="20A259F2"/>
    <w:lvl w:ilvl="0" w:tplc="9A041CEE">
      <w:start w:val="1"/>
      <w:numFmt w:val="lowerLetter"/>
      <w:lvlText w:val="%1."/>
      <w:lvlJc w:val="left"/>
      <w:pPr>
        <w:ind w:left="720" w:hanging="360"/>
      </w:pPr>
      <w:rPr>
        <w:rFonts w:hint="default"/>
        <w:sz w:val="26"/>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5" w15:restartNumberingAfterBreak="0">
    <w:nsid w:val="1D090B46"/>
    <w:multiLevelType w:val="hybridMultilevel"/>
    <w:tmpl w:val="0FEE7EEA"/>
    <w:lvl w:ilvl="0" w:tplc="163A3394">
      <w:start w:val="1"/>
      <w:numFmt w:val="decimal"/>
      <w:lvlText w:val="%1."/>
      <w:lvlJc w:val="left"/>
      <w:pPr>
        <w:ind w:left="1070" w:hanging="71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6" w15:restartNumberingAfterBreak="0">
    <w:nsid w:val="1E6A0E4C"/>
    <w:multiLevelType w:val="hybridMultilevel"/>
    <w:tmpl w:val="EEC46EB0"/>
    <w:lvl w:ilvl="0" w:tplc="300C0019">
      <w:start w:val="1"/>
      <w:numFmt w:val="lowerLetter"/>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7" w15:restartNumberingAfterBreak="0">
    <w:nsid w:val="2914149D"/>
    <w:multiLevelType w:val="hybridMultilevel"/>
    <w:tmpl w:val="B3FA1784"/>
    <w:lvl w:ilvl="0" w:tplc="300C0019">
      <w:start w:val="1"/>
      <w:numFmt w:val="lowerLetter"/>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8" w15:restartNumberingAfterBreak="0">
    <w:nsid w:val="2D4F613A"/>
    <w:multiLevelType w:val="hybridMultilevel"/>
    <w:tmpl w:val="44C474D6"/>
    <w:lvl w:ilvl="0" w:tplc="FFFFFFFF">
      <w:start w:val="1"/>
      <w:numFmt w:val="lowerLetter"/>
      <w:lvlText w:val="%1."/>
      <w:lvlJc w:val="left"/>
      <w:pPr>
        <w:ind w:left="720" w:hanging="360"/>
      </w:pPr>
      <w:rPr>
        <w:rFonts w:asciiTheme="majorHAnsi" w:hAnsiTheme="majorHAnsi" w:cstheme="majorBidi" w:hint="default"/>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97439C"/>
    <w:multiLevelType w:val="hybridMultilevel"/>
    <w:tmpl w:val="00B2147E"/>
    <w:lvl w:ilvl="0" w:tplc="300C0019">
      <w:start w:val="1"/>
      <w:numFmt w:val="lowerLetter"/>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0" w15:restartNumberingAfterBreak="0">
    <w:nsid w:val="30CE0122"/>
    <w:multiLevelType w:val="multilevel"/>
    <w:tmpl w:val="0EF06814"/>
    <w:lvl w:ilvl="0">
      <w:start w:val="1"/>
      <w:numFmt w:val="decimal"/>
      <w:lvlText w:val="%1."/>
      <w:lvlJc w:val="left"/>
      <w:pPr>
        <w:ind w:left="2062" w:hanging="360"/>
      </w:pPr>
      <w:rPr>
        <w:rFonts w:asciiTheme="minorHAnsi" w:hAnsiTheme="minorHAnsi" w:cstheme="minorHAnsi" w:hint="default"/>
        <w:b w:val="0"/>
        <w:bCs/>
        <w:i w:val="0"/>
        <w:iCs/>
        <w:strike w:val="0"/>
        <w:dstrike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110C06"/>
    <w:multiLevelType w:val="hybridMultilevel"/>
    <w:tmpl w:val="B6D6BDC0"/>
    <w:lvl w:ilvl="0" w:tplc="300C0019">
      <w:start w:val="1"/>
      <w:numFmt w:val="lowerLetter"/>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2" w15:restartNumberingAfterBreak="0">
    <w:nsid w:val="33A5026E"/>
    <w:multiLevelType w:val="hybridMultilevel"/>
    <w:tmpl w:val="DA6CF4D8"/>
    <w:lvl w:ilvl="0" w:tplc="300C0001">
      <w:start w:val="1"/>
      <w:numFmt w:val="bullet"/>
      <w:lvlText w:val=""/>
      <w:lvlJc w:val="left"/>
      <w:pPr>
        <w:ind w:left="1440" w:hanging="360"/>
      </w:pPr>
      <w:rPr>
        <w:rFonts w:ascii="Symbol" w:hAnsi="Symbol" w:hint="default"/>
      </w:rPr>
    </w:lvl>
    <w:lvl w:ilvl="1" w:tplc="300C0003" w:tentative="1">
      <w:start w:val="1"/>
      <w:numFmt w:val="bullet"/>
      <w:lvlText w:val="o"/>
      <w:lvlJc w:val="left"/>
      <w:pPr>
        <w:ind w:left="2160" w:hanging="360"/>
      </w:pPr>
      <w:rPr>
        <w:rFonts w:ascii="Courier New" w:hAnsi="Courier New" w:cs="Courier New" w:hint="default"/>
      </w:rPr>
    </w:lvl>
    <w:lvl w:ilvl="2" w:tplc="300C0005" w:tentative="1">
      <w:start w:val="1"/>
      <w:numFmt w:val="bullet"/>
      <w:lvlText w:val=""/>
      <w:lvlJc w:val="left"/>
      <w:pPr>
        <w:ind w:left="2880" w:hanging="360"/>
      </w:pPr>
      <w:rPr>
        <w:rFonts w:ascii="Wingdings" w:hAnsi="Wingdings" w:hint="default"/>
      </w:rPr>
    </w:lvl>
    <w:lvl w:ilvl="3" w:tplc="300C0001" w:tentative="1">
      <w:start w:val="1"/>
      <w:numFmt w:val="bullet"/>
      <w:lvlText w:val=""/>
      <w:lvlJc w:val="left"/>
      <w:pPr>
        <w:ind w:left="3600" w:hanging="360"/>
      </w:pPr>
      <w:rPr>
        <w:rFonts w:ascii="Symbol" w:hAnsi="Symbol" w:hint="default"/>
      </w:rPr>
    </w:lvl>
    <w:lvl w:ilvl="4" w:tplc="300C0003" w:tentative="1">
      <w:start w:val="1"/>
      <w:numFmt w:val="bullet"/>
      <w:lvlText w:val="o"/>
      <w:lvlJc w:val="left"/>
      <w:pPr>
        <w:ind w:left="4320" w:hanging="360"/>
      </w:pPr>
      <w:rPr>
        <w:rFonts w:ascii="Courier New" w:hAnsi="Courier New" w:cs="Courier New" w:hint="default"/>
      </w:rPr>
    </w:lvl>
    <w:lvl w:ilvl="5" w:tplc="300C0005" w:tentative="1">
      <w:start w:val="1"/>
      <w:numFmt w:val="bullet"/>
      <w:lvlText w:val=""/>
      <w:lvlJc w:val="left"/>
      <w:pPr>
        <w:ind w:left="5040" w:hanging="360"/>
      </w:pPr>
      <w:rPr>
        <w:rFonts w:ascii="Wingdings" w:hAnsi="Wingdings" w:hint="default"/>
      </w:rPr>
    </w:lvl>
    <w:lvl w:ilvl="6" w:tplc="300C0001" w:tentative="1">
      <w:start w:val="1"/>
      <w:numFmt w:val="bullet"/>
      <w:lvlText w:val=""/>
      <w:lvlJc w:val="left"/>
      <w:pPr>
        <w:ind w:left="5760" w:hanging="360"/>
      </w:pPr>
      <w:rPr>
        <w:rFonts w:ascii="Symbol" w:hAnsi="Symbol" w:hint="default"/>
      </w:rPr>
    </w:lvl>
    <w:lvl w:ilvl="7" w:tplc="300C0003" w:tentative="1">
      <w:start w:val="1"/>
      <w:numFmt w:val="bullet"/>
      <w:lvlText w:val="o"/>
      <w:lvlJc w:val="left"/>
      <w:pPr>
        <w:ind w:left="6480" w:hanging="360"/>
      </w:pPr>
      <w:rPr>
        <w:rFonts w:ascii="Courier New" w:hAnsi="Courier New" w:cs="Courier New" w:hint="default"/>
      </w:rPr>
    </w:lvl>
    <w:lvl w:ilvl="8" w:tplc="300C0005" w:tentative="1">
      <w:start w:val="1"/>
      <w:numFmt w:val="bullet"/>
      <w:lvlText w:val=""/>
      <w:lvlJc w:val="left"/>
      <w:pPr>
        <w:ind w:left="7200" w:hanging="360"/>
      </w:pPr>
      <w:rPr>
        <w:rFonts w:ascii="Wingdings" w:hAnsi="Wingdings" w:hint="default"/>
      </w:rPr>
    </w:lvl>
  </w:abstractNum>
  <w:abstractNum w:abstractNumId="13" w15:restartNumberingAfterBreak="0">
    <w:nsid w:val="33DE0956"/>
    <w:multiLevelType w:val="hybridMultilevel"/>
    <w:tmpl w:val="01300228"/>
    <w:lvl w:ilvl="0" w:tplc="5D121690">
      <w:start w:val="1"/>
      <w:numFmt w:val="lowerLetter"/>
      <w:lvlText w:val="%1."/>
      <w:lvlJc w:val="left"/>
      <w:pPr>
        <w:ind w:left="1068" w:hanging="708"/>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4" w15:restartNumberingAfterBreak="0">
    <w:nsid w:val="33E51E80"/>
    <w:multiLevelType w:val="hybridMultilevel"/>
    <w:tmpl w:val="5642BC2E"/>
    <w:lvl w:ilvl="0" w:tplc="94006C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4876A28"/>
    <w:multiLevelType w:val="hybridMultilevel"/>
    <w:tmpl w:val="51B4C028"/>
    <w:lvl w:ilvl="0" w:tplc="F058F786">
      <w:start w:val="1"/>
      <w:numFmt w:val="lowerLetter"/>
      <w:lvlText w:val="%1."/>
      <w:lvlJc w:val="left"/>
      <w:pPr>
        <w:ind w:left="720" w:hanging="360"/>
      </w:pPr>
      <w:rPr>
        <w:rFonts w:hint="default"/>
        <w:sz w:val="24"/>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6" w15:restartNumberingAfterBreak="0">
    <w:nsid w:val="39506044"/>
    <w:multiLevelType w:val="hybridMultilevel"/>
    <w:tmpl w:val="025CE750"/>
    <w:lvl w:ilvl="0" w:tplc="3DE29762">
      <w:start w:val="3"/>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7" w15:restartNumberingAfterBreak="0">
    <w:nsid w:val="39A363E7"/>
    <w:multiLevelType w:val="hybridMultilevel"/>
    <w:tmpl w:val="4974658E"/>
    <w:lvl w:ilvl="0" w:tplc="300C0019">
      <w:start w:val="1"/>
      <w:numFmt w:val="lowerLetter"/>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8" w15:restartNumberingAfterBreak="0">
    <w:nsid w:val="42D810B5"/>
    <w:multiLevelType w:val="hybridMultilevel"/>
    <w:tmpl w:val="441C53FC"/>
    <w:lvl w:ilvl="0" w:tplc="1638BC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415102D"/>
    <w:multiLevelType w:val="hybridMultilevel"/>
    <w:tmpl w:val="641AA4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8C75A4"/>
    <w:multiLevelType w:val="hybridMultilevel"/>
    <w:tmpl w:val="FEDAB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1138B1"/>
    <w:multiLevelType w:val="hybridMultilevel"/>
    <w:tmpl w:val="48BA6C0A"/>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2" w15:restartNumberingAfterBreak="0">
    <w:nsid w:val="50687DCA"/>
    <w:multiLevelType w:val="hybridMultilevel"/>
    <w:tmpl w:val="B0ECB91C"/>
    <w:lvl w:ilvl="0" w:tplc="8F8A2EA4">
      <w:start w:val="2"/>
      <w:numFmt w:val="decimal"/>
      <w:lvlText w:val="%1."/>
      <w:lvlJc w:val="left"/>
      <w:pPr>
        <w:ind w:left="1080" w:hanging="360"/>
      </w:pPr>
      <w:rPr>
        <w:rFonts w:hint="default"/>
      </w:rPr>
    </w:lvl>
    <w:lvl w:ilvl="1" w:tplc="300C0019" w:tentative="1">
      <w:start w:val="1"/>
      <w:numFmt w:val="lowerLetter"/>
      <w:lvlText w:val="%2."/>
      <w:lvlJc w:val="left"/>
      <w:pPr>
        <w:ind w:left="1800" w:hanging="360"/>
      </w:pPr>
    </w:lvl>
    <w:lvl w:ilvl="2" w:tplc="300C001B" w:tentative="1">
      <w:start w:val="1"/>
      <w:numFmt w:val="lowerRoman"/>
      <w:lvlText w:val="%3."/>
      <w:lvlJc w:val="right"/>
      <w:pPr>
        <w:ind w:left="2520" w:hanging="180"/>
      </w:pPr>
    </w:lvl>
    <w:lvl w:ilvl="3" w:tplc="300C000F" w:tentative="1">
      <w:start w:val="1"/>
      <w:numFmt w:val="decimal"/>
      <w:lvlText w:val="%4."/>
      <w:lvlJc w:val="left"/>
      <w:pPr>
        <w:ind w:left="3240" w:hanging="360"/>
      </w:pPr>
    </w:lvl>
    <w:lvl w:ilvl="4" w:tplc="300C0019" w:tentative="1">
      <w:start w:val="1"/>
      <w:numFmt w:val="lowerLetter"/>
      <w:lvlText w:val="%5."/>
      <w:lvlJc w:val="left"/>
      <w:pPr>
        <w:ind w:left="3960" w:hanging="360"/>
      </w:pPr>
    </w:lvl>
    <w:lvl w:ilvl="5" w:tplc="300C001B" w:tentative="1">
      <w:start w:val="1"/>
      <w:numFmt w:val="lowerRoman"/>
      <w:lvlText w:val="%6."/>
      <w:lvlJc w:val="right"/>
      <w:pPr>
        <w:ind w:left="4680" w:hanging="180"/>
      </w:pPr>
    </w:lvl>
    <w:lvl w:ilvl="6" w:tplc="300C000F" w:tentative="1">
      <w:start w:val="1"/>
      <w:numFmt w:val="decimal"/>
      <w:lvlText w:val="%7."/>
      <w:lvlJc w:val="left"/>
      <w:pPr>
        <w:ind w:left="5400" w:hanging="360"/>
      </w:pPr>
    </w:lvl>
    <w:lvl w:ilvl="7" w:tplc="300C0019" w:tentative="1">
      <w:start w:val="1"/>
      <w:numFmt w:val="lowerLetter"/>
      <w:lvlText w:val="%8."/>
      <w:lvlJc w:val="left"/>
      <w:pPr>
        <w:ind w:left="6120" w:hanging="360"/>
      </w:pPr>
    </w:lvl>
    <w:lvl w:ilvl="8" w:tplc="300C001B" w:tentative="1">
      <w:start w:val="1"/>
      <w:numFmt w:val="lowerRoman"/>
      <w:lvlText w:val="%9."/>
      <w:lvlJc w:val="right"/>
      <w:pPr>
        <w:ind w:left="6840" w:hanging="180"/>
      </w:pPr>
    </w:lvl>
  </w:abstractNum>
  <w:abstractNum w:abstractNumId="23" w15:restartNumberingAfterBreak="0">
    <w:nsid w:val="50BD3588"/>
    <w:multiLevelType w:val="hybridMultilevel"/>
    <w:tmpl w:val="5218CFBC"/>
    <w:lvl w:ilvl="0" w:tplc="E7041E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16D07AB"/>
    <w:multiLevelType w:val="multilevel"/>
    <w:tmpl w:val="F1CEEF94"/>
    <w:lvl w:ilvl="0">
      <w:start w:val="2"/>
      <w:numFmt w:val="decimal"/>
      <w:lvlText w:val="%1."/>
      <w:lvlJc w:val="left"/>
      <w:pPr>
        <w:ind w:left="450" w:hanging="450"/>
      </w:pPr>
    </w:lvl>
    <w:lvl w:ilvl="1">
      <w:start w:val="1"/>
      <w:numFmt w:val="decimal"/>
      <w:lvlText w:val="%1.%2."/>
      <w:lvlJc w:val="left"/>
      <w:pPr>
        <w:ind w:left="1996" w:hanging="720"/>
      </w:pPr>
    </w:lvl>
    <w:lvl w:ilvl="2">
      <w:start w:val="1"/>
      <w:numFmt w:val="lowerLetter"/>
      <w:lvlText w:val="%3)"/>
      <w:lvlJc w:val="left"/>
      <w:pPr>
        <w:ind w:left="2912" w:hanging="360"/>
      </w:pPr>
      <w:rPr>
        <w:i w:val="0"/>
      </w:rPr>
    </w:lvl>
    <w:lvl w:ilvl="3">
      <w:start w:val="1"/>
      <w:numFmt w:val="decimal"/>
      <w:lvlText w:val="%1.%2.%3.%4."/>
      <w:lvlJc w:val="left"/>
      <w:pPr>
        <w:ind w:left="4908" w:hanging="1080"/>
      </w:pPr>
    </w:lvl>
    <w:lvl w:ilvl="4">
      <w:start w:val="1"/>
      <w:numFmt w:val="decimal"/>
      <w:lvlText w:val="%1.%2.%3.%4.%5."/>
      <w:lvlJc w:val="left"/>
      <w:pPr>
        <w:ind w:left="6184" w:hanging="1080"/>
      </w:pPr>
    </w:lvl>
    <w:lvl w:ilvl="5">
      <w:start w:val="1"/>
      <w:numFmt w:val="decimal"/>
      <w:lvlText w:val="%1.%2.%3.%4.%5.%6."/>
      <w:lvlJc w:val="left"/>
      <w:pPr>
        <w:ind w:left="7820" w:hanging="1440"/>
      </w:pPr>
    </w:lvl>
    <w:lvl w:ilvl="6">
      <w:start w:val="1"/>
      <w:numFmt w:val="decimal"/>
      <w:lvlText w:val="%1.%2.%3.%4.%5.%6.%7."/>
      <w:lvlJc w:val="left"/>
      <w:pPr>
        <w:ind w:left="9456" w:hanging="1800"/>
      </w:pPr>
    </w:lvl>
    <w:lvl w:ilvl="7">
      <w:start w:val="1"/>
      <w:numFmt w:val="decimal"/>
      <w:lvlText w:val="%1.%2.%3.%4.%5.%6.%7.%8."/>
      <w:lvlJc w:val="left"/>
      <w:pPr>
        <w:ind w:left="10732" w:hanging="1800"/>
      </w:pPr>
    </w:lvl>
    <w:lvl w:ilvl="8">
      <w:start w:val="1"/>
      <w:numFmt w:val="decimal"/>
      <w:lvlText w:val="%1.%2.%3.%4.%5.%6.%7.%8.%9."/>
      <w:lvlJc w:val="left"/>
      <w:pPr>
        <w:ind w:left="12368" w:hanging="2160"/>
      </w:pPr>
    </w:lvl>
  </w:abstractNum>
  <w:abstractNum w:abstractNumId="25" w15:restartNumberingAfterBreak="0">
    <w:nsid w:val="55A31141"/>
    <w:multiLevelType w:val="hybridMultilevel"/>
    <w:tmpl w:val="44C474D6"/>
    <w:lvl w:ilvl="0" w:tplc="FFFFFFFF">
      <w:start w:val="1"/>
      <w:numFmt w:val="lowerLetter"/>
      <w:lvlText w:val="%1."/>
      <w:lvlJc w:val="left"/>
      <w:pPr>
        <w:ind w:left="720" w:hanging="360"/>
      </w:pPr>
      <w:rPr>
        <w:rFonts w:asciiTheme="majorHAnsi" w:hAnsiTheme="majorHAnsi" w:cstheme="majorBidi" w:hint="default"/>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5DE7AB9"/>
    <w:multiLevelType w:val="hybridMultilevel"/>
    <w:tmpl w:val="53963486"/>
    <w:lvl w:ilvl="0" w:tplc="FFFFFFFF">
      <w:start w:val="3"/>
      <w:numFmt w:val="decimal"/>
      <w:lvlText w:val="%1."/>
      <w:lvlJc w:val="left"/>
      <w:pPr>
        <w:ind w:left="720" w:hanging="360"/>
      </w:pPr>
      <w:rPr>
        <w:rFonts w:hint="default"/>
        <w:b/>
        <w:bCs/>
        <w:color w:val="0070C0"/>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551599"/>
    <w:multiLevelType w:val="hybridMultilevel"/>
    <w:tmpl w:val="AFACD576"/>
    <w:lvl w:ilvl="0" w:tplc="9BD27152">
      <w:start w:val="1"/>
      <w:numFmt w:val="lowerRoman"/>
      <w:lvlText w:val="%1.)"/>
      <w:lvlJc w:val="left"/>
      <w:pPr>
        <w:ind w:left="1080" w:hanging="72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8" w15:restartNumberingAfterBreak="0">
    <w:nsid w:val="57A51B59"/>
    <w:multiLevelType w:val="hybridMultilevel"/>
    <w:tmpl w:val="5B32F3CC"/>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90011E4"/>
    <w:multiLevelType w:val="hybridMultilevel"/>
    <w:tmpl w:val="44C474D6"/>
    <w:lvl w:ilvl="0" w:tplc="6C16F272">
      <w:start w:val="1"/>
      <w:numFmt w:val="lowerLetter"/>
      <w:lvlText w:val="%1."/>
      <w:lvlJc w:val="left"/>
      <w:pPr>
        <w:ind w:left="720" w:hanging="360"/>
      </w:pPr>
      <w:rPr>
        <w:rFonts w:asciiTheme="majorHAnsi" w:hAnsiTheme="majorHAnsi" w:cstheme="majorBidi" w:hint="default"/>
        <w:sz w:val="26"/>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0" w15:restartNumberingAfterBreak="0">
    <w:nsid w:val="5C892C34"/>
    <w:multiLevelType w:val="hybridMultilevel"/>
    <w:tmpl w:val="CB6A349E"/>
    <w:lvl w:ilvl="0" w:tplc="40EE35E4">
      <w:start w:val="1"/>
      <w:numFmt w:val="lowerLetter"/>
      <w:lvlText w:val="%1."/>
      <w:lvlJc w:val="left"/>
      <w:pPr>
        <w:ind w:left="720" w:hanging="360"/>
      </w:pPr>
      <w:rPr>
        <w:rFonts w:hint="default"/>
        <w:sz w:val="24"/>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1" w15:restartNumberingAfterBreak="0">
    <w:nsid w:val="62035B82"/>
    <w:multiLevelType w:val="hybridMultilevel"/>
    <w:tmpl w:val="D144DC8E"/>
    <w:lvl w:ilvl="0" w:tplc="DDB87B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AFD4B60"/>
    <w:multiLevelType w:val="hybridMultilevel"/>
    <w:tmpl w:val="B458440C"/>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3" w15:restartNumberingAfterBreak="0">
    <w:nsid w:val="721E3519"/>
    <w:multiLevelType w:val="hybridMultilevel"/>
    <w:tmpl w:val="0FFEC4EC"/>
    <w:lvl w:ilvl="0" w:tplc="32BA6610">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4" w15:restartNumberingAfterBreak="0">
    <w:nsid w:val="766E1FF3"/>
    <w:multiLevelType w:val="hybridMultilevel"/>
    <w:tmpl w:val="C6C2AA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EF7C8E"/>
    <w:multiLevelType w:val="hybridMultilevel"/>
    <w:tmpl w:val="8A764A90"/>
    <w:lvl w:ilvl="0" w:tplc="6668FE6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79AF0694"/>
    <w:multiLevelType w:val="hybridMultilevel"/>
    <w:tmpl w:val="1B3C354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7AB13E13"/>
    <w:multiLevelType w:val="hybridMultilevel"/>
    <w:tmpl w:val="4BC2D156"/>
    <w:lvl w:ilvl="0" w:tplc="300C0019">
      <w:start w:val="2"/>
      <w:numFmt w:val="lowerLetter"/>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8" w15:restartNumberingAfterBreak="0">
    <w:nsid w:val="7E7B091D"/>
    <w:multiLevelType w:val="hybridMultilevel"/>
    <w:tmpl w:val="E548B7C2"/>
    <w:lvl w:ilvl="0" w:tplc="0A386AE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F2F74F0"/>
    <w:multiLevelType w:val="hybridMultilevel"/>
    <w:tmpl w:val="441C3F96"/>
    <w:lvl w:ilvl="0" w:tplc="CF64B396">
      <w:start w:val="1"/>
      <w:numFmt w:val="lowerLetter"/>
      <w:lvlText w:val="%1."/>
      <w:lvlJc w:val="left"/>
      <w:pPr>
        <w:ind w:left="720" w:hanging="360"/>
      </w:pPr>
      <w:rPr>
        <w:rFonts w:asciiTheme="majorHAnsi" w:hAnsiTheme="majorHAnsi" w:cstheme="majorHAnsi" w:hint="default"/>
        <w:color w:val="0070C0"/>
        <w:sz w:val="26"/>
        <w:szCs w:val="26"/>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num w:numId="1" w16cid:durableId="1570113441">
    <w:abstractNumId w:val="30"/>
  </w:num>
  <w:num w:numId="2" w16cid:durableId="1195312482">
    <w:abstractNumId w:val="10"/>
  </w:num>
  <w:num w:numId="3" w16cid:durableId="114682201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51472353">
    <w:abstractNumId w:val="35"/>
  </w:num>
  <w:num w:numId="5" w16cid:durableId="118845223">
    <w:abstractNumId w:val="21"/>
  </w:num>
  <w:num w:numId="6" w16cid:durableId="1792892736">
    <w:abstractNumId w:val="32"/>
  </w:num>
  <w:num w:numId="7" w16cid:durableId="683434480">
    <w:abstractNumId w:val="3"/>
  </w:num>
  <w:num w:numId="8" w16cid:durableId="286550304">
    <w:abstractNumId w:val="13"/>
  </w:num>
  <w:num w:numId="9" w16cid:durableId="1247307959">
    <w:abstractNumId w:val="23"/>
  </w:num>
  <w:num w:numId="10" w16cid:durableId="1980572289">
    <w:abstractNumId w:val="14"/>
  </w:num>
  <w:num w:numId="11" w16cid:durableId="1786923346">
    <w:abstractNumId w:val="18"/>
  </w:num>
  <w:num w:numId="12" w16cid:durableId="929505071">
    <w:abstractNumId w:val="36"/>
  </w:num>
  <w:num w:numId="13" w16cid:durableId="1786388823">
    <w:abstractNumId w:val="38"/>
  </w:num>
  <w:num w:numId="14" w16cid:durableId="75905560">
    <w:abstractNumId w:val="20"/>
  </w:num>
  <w:num w:numId="15" w16cid:durableId="238640473">
    <w:abstractNumId w:val="2"/>
  </w:num>
  <w:num w:numId="16" w16cid:durableId="779840434">
    <w:abstractNumId w:val="34"/>
  </w:num>
  <w:num w:numId="17" w16cid:durableId="914778231">
    <w:abstractNumId w:val="31"/>
  </w:num>
  <w:num w:numId="18" w16cid:durableId="310330483">
    <w:abstractNumId w:val="15"/>
  </w:num>
  <w:num w:numId="19" w16cid:durableId="1297493046">
    <w:abstractNumId w:val="4"/>
  </w:num>
  <w:num w:numId="20" w16cid:durableId="728964889">
    <w:abstractNumId w:val="17"/>
  </w:num>
  <w:num w:numId="21" w16cid:durableId="1637300611">
    <w:abstractNumId w:val="37"/>
  </w:num>
  <w:num w:numId="22" w16cid:durableId="1208057632">
    <w:abstractNumId w:val="22"/>
  </w:num>
  <w:num w:numId="23" w16cid:durableId="1182403574">
    <w:abstractNumId w:val="6"/>
  </w:num>
  <w:num w:numId="24" w16cid:durableId="460804851">
    <w:abstractNumId w:val="7"/>
  </w:num>
  <w:num w:numId="25" w16cid:durableId="264003046">
    <w:abstractNumId w:val="9"/>
  </w:num>
  <w:num w:numId="26" w16cid:durableId="635721355">
    <w:abstractNumId w:val="11"/>
  </w:num>
  <w:num w:numId="27" w16cid:durableId="1351836519">
    <w:abstractNumId w:val="27"/>
  </w:num>
  <w:num w:numId="28" w16cid:durableId="1867210217">
    <w:abstractNumId w:val="0"/>
  </w:num>
  <w:num w:numId="29" w16cid:durableId="186647292">
    <w:abstractNumId w:val="33"/>
  </w:num>
  <w:num w:numId="30" w16cid:durableId="881525626">
    <w:abstractNumId w:val="5"/>
  </w:num>
  <w:num w:numId="31" w16cid:durableId="343745152">
    <w:abstractNumId w:val="29"/>
  </w:num>
  <w:num w:numId="32" w16cid:durableId="878663216">
    <w:abstractNumId w:val="12"/>
  </w:num>
  <w:num w:numId="33" w16cid:durableId="885409797">
    <w:abstractNumId w:val="16"/>
  </w:num>
  <w:num w:numId="34" w16cid:durableId="180628782">
    <w:abstractNumId w:val="1"/>
  </w:num>
  <w:num w:numId="35" w16cid:durableId="1455250687">
    <w:abstractNumId w:val="28"/>
  </w:num>
  <w:num w:numId="36" w16cid:durableId="1099258645">
    <w:abstractNumId w:val="39"/>
  </w:num>
  <w:num w:numId="37" w16cid:durableId="1751194228">
    <w:abstractNumId w:val="26"/>
  </w:num>
  <w:num w:numId="38" w16cid:durableId="448667481">
    <w:abstractNumId w:val="19"/>
  </w:num>
  <w:num w:numId="39" w16cid:durableId="413166023">
    <w:abstractNumId w:val="25"/>
  </w:num>
  <w:num w:numId="40" w16cid:durableId="7458817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72D"/>
    <w:rsid w:val="00001431"/>
    <w:rsid w:val="000110CE"/>
    <w:rsid w:val="00012FAD"/>
    <w:rsid w:val="000153BA"/>
    <w:rsid w:val="0002389A"/>
    <w:rsid w:val="000266D6"/>
    <w:rsid w:val="000335BC"/>
    <w:rsid w:val="00034140"/>
    <w:rsid w:val="00034DA5"/>
    <w:rsid w:val="0003741E"/>
    <w:rsid w:val="0003768E"/>
    <w:rsid w:val="000435B5"/>
    <w:rsid w:val="0004432F"/>
    <w:rsid w:val="00045EB2"/>
    <w:rsid w:val="00046BCD"/>
    <w:rsid w:val="00047054"/>
    <w:rsid w:val="0005028C"/>
    <w:rsid w:val="00054071"/>
    <w:rsid w:val="000552C5"/>
    <w:rsid w:val="000627C6"/>
    <w:rsid w:val="00064FC2"/>
    <w:rsid w:val="0006702E"/>
    <w:rsid w:val="00074C66"/>
    <w:rsid w:val="00076617"/>
    <w:rsid w:val="00081A98"/>
    <w:rsid w:val="000A2953"/>
    <w:rsid w:val="000B1576"/>
    <w:rsid w:val="000B1708"/>
    <w:rsid w:val="000B25E8"/>
    <w:rsid w:val="000B28B5"/>
    <w:rsid w:val="000C2CFD"/>
    <w:rsid w:val="000C43C5"/>
    <w:rsid w:val="000C4539"/>
    <w:rsid w:val="000D1BE6"/>
    <w:rsid w:val="000F41F9"/>
    <w:rsid w:val="00111650"/>
    <w:rsid w:val="00114617"/>
    <w:rsid w:val="00120A1E"/>
    <w:rsid w:val="001214F2"/>
    <w:rsid w:val="00121B38"/>
    <w:rsid w:val="00126BA0"/>
    <w:rsid w:val="00134D1C"/>
    <w:rsid w:val="00136AEB"/>
    <w:rsid w:val="001450D2"/>
    <w:rsid w:val="00151B03"/>
    <w:rsid w:val="001522EF"/>
    <w:rsid w:val="001555AD"/>
    <w:rsid w:val="00162F0F"/>
    <w:rsid w:val="0016725B"/>
    <w:rsid w:val="00171A5B"/>
    <w:rsid w:val="00180798"/>
    <w:rsid w:val="0018160C"/>
    <w:rsid w:val="00192660"/>
    <w:rsid w:val="00195E24"/>
    <w:rsid w:val="001A2679"/>
    <w:rsid w:val="001A271F"/>
    <w:rsid w:val="001A6008"/>
    <w:rsid w:val="001B1646"/>
    <w:rsid w:val="001B1FBF"/>
    <w:rsid w:val="001B20E3"/>
    <w:rsid w:val="001C1609"/>
    <w:rsid w:val="001C2683"/>
    <w:rsid w:val="001D1223"/>
    <w:rsid w:val="001D195C"/>
    <w:rsid w:val="001D22CE"/>
    <w:rsid w:val="001E0185"/>
    <w:rsid w:val="001E0B16"/>
    <w:rsid w:val="001E6B54"/>
    <w:rsid w:val="001F2DD4"/>
    <w:rsid w:val="001F3161"/>
    <w:rsid w:val="001F38E3"/>
    <w:rsid w:val="00200B0B"/>
    <w:rsid w:val="002016F3"/>
    <w:rsid w:val="00201B89"/>
    <w:rsid w:val="00205CE9"/>
    <w:rsid w:val="0021760B"/>
    <w:rsid w:val="00224A8E"/>
    <w:rsid w:val="00226C35"/>
    <w:rsid w:val="00237465"/>
    <w:rsid w:val="00243974"/>
    <w:rsid w:val="0024479B"/>
    <w:rsid w:val="002456ED"/>
    <w:rsid w:val="00255770"/>
    <w:rsid w:val="0026008C"/>
    <w:rsid w:val="0026097E"/>
    <w:rsid w:val="00261A4C"/>
    <w:rsid w:val="00264029"/>
    <w:rsid w:val="00265CE7"/>
    <w:rsid w:val="0026614A"/>
    <w:rsid w:val="0027786A"/>
    <w:rsid w:val="00284FA9"/>
    <w:rsid w:val="00285EBB"/>
    <w:rsid w:val="00285FC9"/>
    <w:rsid w:val="002A19A1"/>
    <w:rsid w:val="002A2EB9"/>
    <w:rsid w:val="002B4289"/>
    <w:rsid w:val="002C1F63"/>
    <w:rsid w:val="002C3850"/>
    <w:rsid w:val="002C4301"/>
    <w:rsid w:val="002C6B31"/>
    <w:rsid w:val="002C74D9"/>
    <w:rsid w:val="002D672C"/>
    <w:rsid w:val="002D79D4"/>
    <w:rsid w:val="002D7CEB"/>
    <w:rsid w:val="002E6560"/>
    <w:rsid w:val="002F39D5"/>
    <w:rsid w:val="002F3FDD"/>
    <w:rsid w:val="002F7A31"/>
    <w:rsid w:val="003015E4"/>
    <w:rsid w:val="00304B95"/>
    <w:rsid w:val="00324DFB"/>
    <w:rsid w:val="0032701B"/>
    <w:rsid w:val="0033296B"/>
    <w:rsid w:val="00333084"/>
    <w:rsid w:val="00336B32"/>
    <w:rsid w:val="0033783E"/>
    <w:rsid w:val="003558E5"/>
    <w:rsid w:val="003566FA"/>
    <w:rsid w:val="00362163"/>
    <w:rsid w:val="003621D6"/>
    <w:rsid w:val="003660CD"/>
    <w:rsid w:val="0037354A"/>
    <w:rsid w:val="00374578"/>
    <w:rsid w:val="00375DF3"/>
    <w:rsid w:val="00382890"/>
    <w:rsid w:val="00386E58"/>
    <w:rsid w:val="00391EF5"/>
    <w:rsid w:val="00394D4E"/>
    <w:rsid w:val="003A1ADE"/>
    <w:rsid w:val="003A20F6"/>
    <w:rsid w:val="003A58FF"/>
    <w:rsid w:val="003C041C"/>
    <w:rsid w:val="003C1CC9"/>
    <w:rsid w:val="003D2B94"/>
    <w:rsid w:val="003E080C"/>
    <w:rsid w:val="003E65C0"/>
    <w:rsid w:val="003F0FEC"/>
    <w:rsid w:val="003F382B"/>
    <w:rsid w:val="003F5559"/>
    <w:rsid w:val="0042237F"/>
    <w:rsid w:val="0042455B"/>
    <w:rsid w:val="00432E2E"/>
    <w:rsid w:val="00433DDA"/>
    <w:rsid w:val="0043577F"/>
    <w:rsid w:val="00436EA6"/>
    <w:rsid w:val="004470EE"/>
    <w:rsid w:val="004533EE"/>
    <w:rsid w:val="00456BF3"/>
    <w:rsid w:val="00457DD6"/>
    <w:rsid w:val="00462E98"/>
    <w:rsid w:val="00467B34"/>
    <w:rsid w:val="004714A9"/>
    <w:rsid w:val="00471B36"/>
    <w:rsid w:val="00474210"/>
    <w:rsid w:val="0047632E"/>
    <w:rsid w:val="004814B4"/>
    <w:rsid w:val="0048717B"/>
    <w:rsid w:val="0049705E"/>
    <w:rsid w:val="00497BE6"/>
    <w:rsid w:val="00497E03"/>
    <w:rsid w:val="004A166D"/>
    <w:rsid w:val="004A6E7B"/>
    <w:rsid w:val="004B0908"/>
    <w:rsid w:val="004B7F51"/>
    <w:rsid w:val="004C4D2D"/>
    <w:rsid w:val="004C6B00"/>
    <w:rsid w:val="004D0040"/>
    <w:rsid w:val="004D3785"/>
    <w:rsid w:val="004E163C"/>
    <w:rsid w:val="004E21C4"/>
    <w:rsid w:val="004E2490"/>
    <w:rsid w:val="004E5365"/>
    <w:rsid w:val="004E6937"/>
    <w:rsid w:val="004F79AE"/>
    <w:rsid w:val="004F7DDD"/>
    <w:rsid w:val="00500453"/>
    <w:rsid w:val="00506660"/>
    <w:rsid w:val="00507CC5"/>
    <w:rsid w:val="005235E2"/>
    <w:rsid w:val="005321D1"/>
    <w:rsid w:val="00534A4B"/>
    <w:rsid w:val="00535F79"/>
    <w:rsid w:val="00547EEE"/>
    <w:rsid w:val="0055778B"/>
    <w:rsid w:val="00560670"/>
    <w:rsid w:val="005615B6"/>
    <w:rsid w:val="005720CE"/>
    <w:rsid w:val="005725D1"/>
    <w:rsid w:val="005803CD"/>
    <w:rsid w:val="005809E2"/>
    <w:rsid w:val="00581A8A"/>
    <w:rsid w:val="0058233C"/>
    <w:rsid w:val="00584B1F"/>
    <w:rsid w:val="00590396"/>
    <w:rsid w:val="005914A2"/>
    <w:rsid w:val="00594B63"/>
    <w:rsid w:val="005A2433"/>
    <w:rsid w:val="005B077C"/>
    <w:rsid w:val="005B14D8"/>
    <w:rsid w:val="005C622F"/>
    <w:rsid w:val="005C6308"/>
    <w:rsid w:val="005C76C2"/>
    <w:rsid w:val="005C7FD5"/>
    <w:rsid w:val="005E2A40"/>
    <w:rsid w:val="005F2AC9"/>
    <w:rsid w:val="005F3EF3"/>
    <w:rsid w:val="005F4D9A"/>
    <w:rsid w:val="00602D9C"/>
    <w:rsid w:val="006050CD"/>
    <w:rsid w:val="00605619"/>
    <w:rsid w:val="00613630"/>
    <w:rsid w:val="00634CD7"/>
    <w:rsid w:val="0064030A"/>
    <w:rsid w:val="0064687D"/>
    <w:rsid w:val="00650D96"/>
    <w:rsid w:val="00653E7B"/>
    <w:rsid w:val="006648CC"/>
    <w:rsid w:val="00665606"/>
    <w:rsid w:val="00680AD7"/>
    <w:rsid w:val="00680F6A"/>
    <w:rsid w:val="00684BD8"/>
    <w:rsid w:val="006A1D0E"/>
    <w:rsid w:val="006A55DF"/>
    <w:rsid w:val="006B77A6"/>
    <w:rsid w:val="006C5A0B"/>
    <w:rsid w:val="006C5A4F"/>
    <w:rsid w:val="006D7006"/>
    <w:rsid w:val="006F3B95"/>
    <w:rsid w:val="006F6890"/>
    <w:rsid w:val="00711064"/>
    <w:rsid w:val="0072059C"/>
    <w:rsid w:val="00721BF7"/>
    <w:rsid w:val="00727BC1"/>
    <w:rsid w:val="0073035F"/>
    <w:rsid w:val="00732BD9"/>
    <w:rsid w:val="00735324"/>
    <w:rsid w:val="00745A04"/>
    <w:rsid w:val="00746E7A"/>
    <w:rsid w:val="00751DDA"/>
    <w:rsid w:val="00751F27"/>
    <w:rsid w:val="00752E3E"/>
    <w:rsid w:val="00754343"/>
    <w:rsid w:val="00764E11"/>
    <w:rsid w:val="00765F7C"/>
    <w:rsid w:val="007746C4"/>
    <w:rsid w:val="0078502D"/>
    <w:rsid w:val="00790324"/>
    <w:rsid w:val="0079110E"/>
    <w:rsid w:val="007A5C6B"/>
    <w:rsid w:val="007A6D1C"/>
    <w:rsid w:val="007B017D"/>
    <w:rsid w:val="007B3C32"/>
    <w:rsid w:val="007C002A"/>
    <w:rsid w:val="007C1A9B"/>
    <w:rsid w:val="007C62EF"/>
    <w:rsid w:val="007D730E"/>
    <w:rsid w:val="007D737E"/>
    <w:rsid w:val="007D7ED9"/>
    <w:rsid w:val="007E70C3"/>
    <w:rsid w:val="007F0AE0"/>
    <w:rsid w:val="007F0F13"/>
    <w:rsid w:val="00801E4C"/>
    <w:rsid w:val="00811189"/>
    <w:rsid w:val="00814983"/>
    <w:rsid w:val="008156C2"/>
    <w:rsid w:val="00816A98"/>
    <w:rsid w:val="0082246E"/>
    <w:rsid w:val="0082564C"/>
    <w:rsid w:val="00831CD3"/>
    <w:rsid w:val="0084642A"/>
    <w:rsid w:val="0085196D"/>
    <w:rsid w:val="00857D1D"/>
    <w:rsid w:val="00863F4E"/>
    <w:rsid w:val="0086672D"/>
    <w:rsid w:val="008727AA"/>
    <w:rsid w:val="00884953"/>
    <w:rsid w:val="00894190"/>
    <w:rsid w:val="008A79F1"/>
    <w:rsid w:val="008C710A"/>
    <w:rsid w:val="008D202D"/>
    <w:rsid w:val="008D3C95"/>
    <w:rsid w:val="008D5A05"/>
    <w:rsid w:val="008D6EED"/>
    <w:rsid w:val="008E0D54"/>
    <w:rsid w:val="008F2C0F"/>
    <w:rsid w:val="008F3007"/>
    <w:rsid w:val="008F45B2"/>
    <w:rsid w:val="00902638"/>
    <w:rsid w:val="009026C4"/>
    <w:rsid w:val="00906C05"/>
    <w:rsid w:val="00915A43"/>
    <w:rsid w:val="009167F7"/>
    <w:rsid w:val="00921F18"/>
    <w:rsid w:val="009238B7"/>
    <w:rsid w:val="00925851"/>
    <w:rsid w:val="00925C05"/>
    <w:rsid w:val="00927750"/>
    <w:rsid w:val="00930182"/>
    <w:rsid w:val="00930935"/>
    <w:rsid w:val="00930D51"/>
    <w:rsid w:val="009357C9"/>
    <w:rsid w:val="00953831"/>
    <w:rsid w:val="0095748A"/>
    <w:rsid w:val="009605E2"/>
    <w:rsid w:val="00966020"/>
    <w:rsid w:val="00970F92"/>
    <w:rsid w:val="00971ABE"/>
    <w:rsid w:val="009731A1"/>
    <w:rsid w:val="00974469"/>
    <w:rsid w:val="00981F07"/>
    <w:rsid w:val="00984C78"/>
    <w:rsid w:val="009909BB"/>
    <w:rsid w:val="009915F2"/>
    <w:rsid w:val="00993C81"/>
    <w:rsid w:val="00994935"/>
    <w:rsid w:val="009B58D3"/>
    <w:rsid w:val="009C28C1"/>
    <w:rsid w:val="009E2C48"/>
    <w:rsid w:val="009E38DC"/>
    <w:rsid w:val="00A25B3D"/>
    <w:rsid w:val="00A34566"/>
    <w:rsid w:val="00A4224E"/>
    <w:rsid w:val="00A47C5E"/>
    <w:rsid w:val="00A47D15"/>
    <w:rsid w:val="00A53E2D"/>
    <w:rsid w:val="00A73655"/>
    <w:rsid w:val="00A74006"/>
    <w:rsid w:val="00A7701E"/>
    <w:rsid w:val="00A834A7"/>
    <w:rsid w:val="00A83FED"/>
    <w:rsid w:val="00A8446A"/>
    <w:rsid w:val="00A9397D"/>
    <w:rsid w:val="00A94CC6"/>
    <w:rsid w:val="00A976E2"/>
    <w:rsid w:val="00AA0DF9"/>
    <w:rsid w:val="00AA71BF"/>
    <w:rsid w:val="00AB1B0C"/>
    <w:rsid w:val="00AB3DD7"/>
    <w:rsid w:val="00AD4386"/>
    <w:rsid w:val="00AD4E49"/>
    <w:rsid w:val="00AE0040"/>
    <w:rsid w:val="00AE2414"/>
    <w:rsid w:val="00AE5A57"/>
    <w:rsid w:val="00AF31FC"/>
    <w:rsid w:val="00B012D5"/>
    <w:rsid w:val="00B01D69"/>
    <w:rsid w:val="00B10CCD"/>
    <w:rsid w:val="00B1402A"/>
    <w:rsid w:val="00B15E75"/>
    <w:rsid w:val="00B168DA"/>
    <w:rsid w:val="00B17953"/>
    <w:rsid w:val="00B2012D"/>
    <w:rsid w:val="00B26825"/>
    <w:rsid w:val="00B33389"/>
    <w:rsid w:val="00B44215"/>
    <w:rsid w:val="00B505EA"/>
    <w:rsid w:val="00B508BE"/>
    <w:rsid w:val="00B62F3E"/>
    <w:rsid w:val="00B65B85"/>
    <w:rsid w:val="00B73B6A"/>
    <w:rsid w:val="00B8542A"/>
    <w:rsid w:val="00B912E6"/>
    <w:rsid w:val="00BA3E19"/>
    <w:rsid w:val="00BA5141"/>
    <w:rsid w:val="00BB1BBA"/>
    <w:rsid w:val="00BB2030"/>
    <w:rsid w:val="00BB4B6B"/>
    <w:rsid w:val="00BB725C"/>
    <w:rsid w:val="00BB76AE"/>
    <w:rsid w:val="00BC4BBC"/>
    <w:rsid w:val="00BD022D"/>
    <w:rsid w:val="00BD0A97"/>
    <w:rsid w:val="00BD5321"/>
    <w:rsid w:val="00BE3D97"/>
    <w:rsid w:val="00BF19DB"/>
    <w:rsid w:val="00BF1B1D"/>
    <w:rsid w:val="00C000F7"/>
    <w:rsid w:val="00C03405"/>
    <w:rsid w:val="00C07B32"/>
    <w:rsid w:val="00C07BB9"/>
    <w:rsid w:val="00C10B16"/>
    <w:rsid w:val="00C138EB"/>
    <w:rsid w:val="00C15CCF"/>
    <w:rsid w:val="00C16C25"/>
    <w:rsid w:val="00C20353"/>
    <w:rsid w:val="00C214F9"/>
    <w:rsid w:val="00C30208"/>
    <w:rsid w:val="00C33174"/>
    <w:rsid w:val="00C34159"/>
    <w:rsid w:val="00C42956"/>
    <w:rsid w:val="00C44C83"/>
    <w:rsid w:val="00C47E85"/>
    <w:rsid w:val="00C47FFA"/>
    <w:rsid w:val="00C51663"/>
    <w:rsid w:val="00C523BD"/>
    <w:rsid w:val="00C61280"/>
    <w:rsid w:val="00C677B0"/>
    <w:rsid w:val="00C77063"/>
    <w:rsid w:val="00C81DE1"/>
    <w:rsid w:val="00C97DD4"/>
    <w:rsid w:val="00C97E82"/>
    <w:rsid w:val="00CA5515"/>
    <w:rsid w:val="00CA5B83"/>
    <w:rsid w:val="00CB0021"/>
    <w:rsid w:val="00CB15DA"/>
    <w:rsid w:val="00CB47A6"/>
    <w:rsid w:val="00CB702D"/>
    <w:rsid w:val="00CC234E"/>
    <w:rsid w:val="00CC27DF"/>
    <w:rsid w:val="00CD571E"/>
    <w:rsid w:val="00CD5B96"/>
    <w:rsid w:val="00CE00AE"/>
    <w:rsid w:val="00CE04DE"/>
    <w:rsid w:val="00CE2234"/>
    <w:rsid w:val="00CF4404"/>
    <w:rsid w:val="00D00350"/>
    <w:rsid w:val="00D20F02"/>
    <w:rsid w:val="00D233F0"/>
    <w:rsid w:val="00D23ED4"/>
    <w:rsid w:val="00D27FE0"/>
    <w:rsid w:val="00D30D5D"/>
    <w:rsid w:val="00D312C1"/>
    <w:rsid w:val="00D370F9"/>
    <w:rsid w:val="00D41BAB"/>
    <w:rsid w:val="00D54F95"/>
    <w:rsid w:val="00D55AE8"/>
    <w:rsid w:val="00D568A5"/>
    <w:rsid w:val="00D649BE"/>
    <w:rsid w:val="00D70B29"/>
    <w:rsid w:val="00D71A5F"/>
    <w:rsid w:val="00D746CC"/>
    <w:rsid w:val="00D831E4"/>
    <w:rsid w:val="00D97663"/>
    <w:rsid w:val="00DA4EF9"/>
    <w:rsid w:val="00DA5269"/>
    <w:rsid w:val="00DB18BE"/>
    <w:rsid w:val="00DB23AD"/>
    <w:rsid w:val="00DC2D6D"/>
    <w:rsid w:val="00DD2874"/>
    <w:rsid w:val="00DE1466"/>
    <w:rsid w:val="00DF0FAA"/>
    <w:rsid w:val="00DF6E7F"/>
    <w:rsid w:val="00DF75AB"/>
    <w:rsid w:val="00DF7CB3"/>
    <w:rsid w:val="00E04691"/>
    <w:rsid w:val="00E07E67"/>
    <w:rsid w:val="00E12C78"/>
    <w:rsid w:val="00E20BEC"/>
    <w:rsid w:val="00E265BC"/>
    <w:rsid w:val="00E30AD3"/>
    <w:rsid w:val="00E3334E"/>
    <w:rsid w:val="00E333BD"/>
    <w:rsid w:val="00E41397"/>
    <w:rsid w:val="00E426D2"/>
    <w:rsid w:val="00E43FC8"/>
    <w:rsid w:val="00E52D65"/>
    <w:rsid w:val="00E54741"/>
    <w:rsid w:val="00E565CA"/>
    <w:rsid w:val="00E57AE4"/>
    <w:rsid w:val="00E61A5D"/>
    <w:rsid w:val="00E62293"/>
    <w:rsid w:val="00E63254"/>
    <w:rsid w:val="00E645D0"/>
    <w:rsid w:val="00E646F6"/>
    <w:rsid w:val="00E6660A"/>
    <w:rsid w:val="00E70419"/>
    <w:rsid w:val="00E905DF"/>
    <w:rsid w:val="00E94A1E"/>
    <w:rsid w:val="00EB0650"/>
    <w:rsid w:val="00EC5C84"/>
    <w:rsid w:val="00ED10A6"/>
    <w:rsid w:val="00ED1B36"/>
    <w:rsid w:val="00ED2082"/>
    <w:rsid w:val="00ED4A0C"/>
    <w:rsid w:val="00ED6215"/>
    <w:rsid w:val="00ED6F56"/>
    <w:rsid w:val="00EE2B9B"/>
    <w:rsid w:val="00EE3055"/>
    <w:rsid w:val="00EF1DA3"/>
    <w:rsid w:val="00EF3F86"/>
    <w:rsid w:val="00EF46BE"/>
    <w:rsid w:val="00F025BA"/>
    <w:rsid w:val="00F02C42"/>
    <w:rsid w:val="00F0573F"/>
    <w:rsid w:val="00F13F76"/>
    <w:rsid w:val="00F22CF2"/>
    <w:rsid w:val="00F32237"/>
    <w:rsid w:val="00F3562D"/>
    <w:rsid w:val="00F44485"/>
    <w:rsid w:val="00F53CA7"/>
    <w:rsid w:val="00F55D45"/>
    <w:rsid w:val="00F702E8"/>
    <w:rsid w:val="00F71C6B"/>
    <w:rsid w:val="00F738E5"/>
    <w:rsid w:val="00F74E69"/>
    <w:rsid w:val="00F7508F"/>
    <w:rsid w:val="00F83273"/>
    <w:rsid w:val="00F92BDA"/>
    <w:rsid w:val="00FA5C6B"/>
    <w:rsid w:val="00FC3721"/>
    <w:rsid w:val="00FD1F2F"/>
    <w:rsid w:val="00FE1945"/>
    <w:rsid w:val="00FE2887"/>
    <w:rsid w:val="00FE40A0"/>
    <w:rsid w:val="00FE62DF"/>
    <w:rsid w:val="00FE6735"/>
    <w:rsid w:val="00FF25BD"/>
    <w:rsid w:val="00FF3874"/>
    <w:rsid w:val="00FF466F"/>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20D05"/>
  <w15:chartTrackingRefBased/>
  <w15:docId w15:val="{B0F8494F-5225-4A38-BCFA-37FC249D8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663"/>
  </w:style>
  <w:style w:type="paragraph" w:styleId="Titre1">
    <w:name w:val="heading 1"/>
    <w:basedOn w:val="Normal"/>
    <w:next w:val="Normal"/>
    <w:link w:val="Titre1Car"/>
    <w:uiPriority w:val="9"/>
    <w:qFormat/>
    <w:rsid w:val="00B168DA"/>
    <w:pPr>
      <w:spacing w:before="300" w:after="40" w:line="276" w:lineRule="auto"/>
      <w:outlineLvl w:val="0"/>
    </w:pPr>
    <w:rPr>
      <w:rFonts w:eastAsiaTheme="minorEastAsia"/>
      <w:smallCaps/>
      <w:spacing w:val="5"/>
      <w:sz w:val="28"/>
      <w:szCs w:val="32"/>
      <w:lang w:val="en-US"/>
    </w:rPr>
  </w:style>
  <w:style w:type="paragraph" w:styleId="Titre2">
    <w:name w:val="heading 2"/>
    <w:basedOn w:val="Normal"/>
    <w:next w:val="Normal"/>
    <w:link w:val="Titre2Car"/>
    <w:uiPriority w:val="9"/>
    <w:unhideWhenUsed/>
    <w:qFormat/>
    <w:rsid w:val="006056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2C74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653E7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s,References,RM1,lp1,Liste de points,List Paragraph (numbered (a)),Table/Figure Heading,List Bullet Mary,Numbered Paragraph,Main numbered paragraph,Numbered List Paragraph,123 List Paragraph,List Paragraph nowy,Liste 1,Dot pt,L"/>
    <w:basedOn w:val="Normal"/>
    <w:link w:val="ParagraphedelisteCar"/>
    <w:uiPriority w:val="34"/>
    <w:qFormat/>
    <w:rsid w:val="003566FA"/>
    <w:pPr>
      <w:ind w:left="720"/>
      <w:contextualSpacing/>
    </w:pPr>
  </w:style>
  <w:style w:type="paragraph" w:styleId="Notedebasdepage">
    <w:name w:val="footnote text"/>
    <w:aliases w:val="Footnote Text Char1,Footnote Text Char Char,Char,fn,ALTS FOOTNOTE,single space,FOOTNOTES,Fodnotetekst Tegn,footnote text,Footnote ak,Footnotes,f, Car1,Footnote Text Char1 Char,Footnote Text Char Char Char1,ALTS FOOTNOT,Geneva 9,ADB"/>
    <w:basedOn w:val="Normal"/>
    <w:link w:val="NotedebasdepageCar"/>
    <w:unhideWhenUsed/>
    <w:qFormat/>
    <w:rsid w:val="000C43C5"/>
    <w:pPr>
      <w:spacing w:after="0" w:line="240" w:lineRule="auto"/>
    </w:pPr>
    <w:rPr>
      <w:sz w:val="20"/>
      <w:szCs w:val="20"/>
      <w:lang w:val="fr-FR"/>
    </w:rPr>
  </w:style>
  <w:style w:type="character" w:customStyle="1" w:styleId="NotedebasdepageCar">
    <w:name w:val="Note de bas de page Car"/>
    <w:aliases w:val="Footnote Text Char1 Car,Footnote Text Char Char Car,Char Car,fn Car,ALTS FOOTNOTE Car,single space Car,FOOTNOTES Car,Fodnotetekst Tegn Car,footnote text Car,Footnote ak Car,Footnotes Car,f Car, Car1 Car,ALTS FOOTNOT Car,ADB Car"/>
    <w:basedOn w:val="Policepardfaut"/>
    <w:link w:val="Notedebasdepage"/>
    <w:qFormat/>
    <w:rsid w:val="000C43C5"/>
    <w:rPr>
      <w:sz w:val="20"/>
      <w:szCs w:val="20"/>
      <w:lang w:val="fr-FR"/>
    </w:rPr>
  </w:style>
  <w:style w:type="character" w:styleId="Appelnotedebasdep">
    <w:name w:val="footnote reference"/>
    <w:aliases w:val=" BVI fnr,BVI fnr, BVI fnr Car Car,BVI fnr Car, BVI fnr Car Car Car Car, BVI fnr Car Car Car Car Char, Car Car Char Car Char Car Car Char Car Char Char,Car Car Char Car Char Car Car Char Car Char Char,Error-Fußnotenzeichen5,ftref"/>
    <w:basedOn w:val="Policepardfaut"/>
    <w:link w:val="Char2"/>
    <w:uiPriority w:val="99"/>
    <w:unhideWhenUsed/>
    <w:qFormat/>
    <w:rsid w:val="000C43C5"/>
    <w:rPr>
      <w:vertAlign w:val="superscript"/>
    </w:rPr>
  </w:style>
  <w:style w:type="paragraph" w:styleId="Lgende">
    <w:name w:val="caption"/>
    <w:basedOn w:val="Normal"/>
    <w:next w:val="Normal"/>
    <w:uiPriority w:val="35"/>
    <w:unhideWhenUsed/>
    <w:qFormat/>
    <w:rsid w:val="0033783E"/>
    <w:pPr>
      <w:spacing w:after="200" w:line="240" w:lineRule="auto"/>
    </w:pPr>
    <w:rPr>
      <w:i/>
      <w:iCs/>
      <w:color w:val="44546A" w:themeColor="text2"/>
      <w:sz w:val="18"/>
      <w:szCs w:val="18"/>
      <w:lang w:val="fr-FR"/>
    </w:rPr>
  </w:style>
  <w:style w:type="character" w:customStyle="1" w:styleId="ParagraphedelisteCar">
    <w:name w:val="Paragraphe de liste Car"/>
    <w:aliases w:val="Bullets Car,References Car,RM1 Car,lp1 Car,Liste de points Car,List Paragraph (numbered (a)) Car,Table/Figure Heading Car,List Bullet Mary Car,Numbered Paragraph Car,Main numbered paragraph Car,Numbered List Paragraph Car,L Car"/>
    <w:link w:val="Paragraphedeliste"/>
    <w:uiPriority w:val="34"/>
    <w:qFormat/>
    <w:locked/>
    <w:rsid w:val="0033783E"/>
  </w:style>
  <w:style w:type="character" w:customStyle="1" w:styleId="tlid-translation">
    <w:name w:val="tlid-translation"/>
    <w:rsid w:val="00560670"/>
  </w:style>
  <w:style w:type="table" w:styleId="TableauGrille1Clair-Accentuation5">
    <w:name w:val="Grid Table 1 Light Accent 5"/>
    <w:basedOn w:val="TableauNormal"/>
    <w:uiPriority w:val="46"/>
    <w:rsid w:val="00BA3E19"/>
    <w:pPr>
      <w:spacing w:after="0" w:line="240" w:lineRule="auto"/>
    </w:pPr>
    <w:rPr>
      <w:lang w:val="fr-FR"/>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Char2">
    <w:name w:val="Char2"/>
    <w:basedOn w:val="Normal"/>
    <w:link w:val="Appelnotedebasdep"/>
    <w:uiPriority w:val="99"/>
    <w:rsid w:val="008F2C0F"/>
    <w:pPr>
      <w:spacing w:line="240" w:lineRule="exact"/>
    </w:pPr>
    <w:rPr>
      <w:vertAlign w:val="superscript"/>
    </w:rPr>
  </w:style>
  <w:style w:type="paragraph" w:customStyle="1" w:styleId="Listecouleur-Accent11">
    <w:name w:val="Liste couleur - Accent 11"/>
    <w:basedOn w:val="Normal"/>
    <w:link w:val="Listecouleur-Accent1Car"/>
    <w:uiPriority w:val="99"/>
    <w:qFormat/>
    <w:rsid w:val="00B168DA"/>
    <w:pPr>
      <w:spacing w:after="0" w:line="240" w:lineRule="auto"/>
      <w:ind w:left="720"/>
      <w:contextualSpacing/>
    </w:pPr>
    <w:rPr>
      <w:rFonts w:ascii="Times New Roman" w:eastAsia="Times New Roman" w:hAnsi="Times New Roman" w:cs="Times New Roman"/>
      <w:sz w:val="24"/>
      <w:szCs w:val="24"/>
      <w:lang w:val="fr-FR" w:eastAsia="fr-FR"/>
    </w:rPr>
  </w:style>
  <w:style w:type="character" w:customStyle="1" w:styleId="Listecouleur-Accent1Car">
    <w:name w:val="Liste couleur - Accent 1 Car"/>
    <w:link w:val="Listecouleur-Accent11"/>
    <w:uiPriority w:val="99"/>
    <w:rsid w:val="00B168DA"/>
    <w:rPr>
      <w:rFonts w:ascii="Times New Roman" w:eastAsia="Times New Roman" w:hAnsi="Times New Roman" w:cs="Times New Roman"/>
      <w:sz w:val="24"/>
      <w:szCs w:val="24"/>
      <w:lang w:val="fr-FR" w:eastAsia="fr-FR"/>
    </w:rPr>
  </w:style>
  <w:style w:type="character" w:customStyle="1" w:styleId="Titre1Car">
    <w:name w:val="Titre 1 Car"/>
    <w:basedOn w:val="Policepardfaut"/>
    <w:link w:val="Titre1"/>
    <w:uiPriority w:val="9"/>
    <w:rsid w:val="00B168DA"/>
    <w:rPr>
      <w:rFonts w:eastAsiaTheme="minorEastAsia"/>
      <w:smallCaps/>
      <w:spacing w:val="5"/>
      <w:sz w:val="28"/>
      <w:szCs w:val="32"/>
      <w:lang w:val="en-US"/>
    </w:rPr>
  </w:style>
  <w:style w:type="table" w:styleId="Grilledutableau">
    <w:name w:val="Table Grid"/>
    <w:basedOn w:val="TableauNormal"/>
    <w:uiPriority w:val="39"/>
    <w:rsid w:val="00B168DA"/>
    <w:pPr>
      <w:spacing w:after="0" w:line="240" w:lineRule="auto"/>
      <w:jc w:val="both"/>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35B5"/>
    <w:pPr>
      <w:autoSpaceDE w:val="0"/>
      <w:autoSpaceDN w:val="0"/>
      <w:adjustRightInd w:val="0"/>
      <w:spacing w:after="0" w:line="240" w:lineRule="auto"/>
    </w:pPr>
    <w:rPr>
      <w:rFonts w:ascii="Calibri" w:hAnsi="Calibri" w:cs="Calibri"/>
      <w:color w:val="000000"/>
      <w:sz w:val="24"/>
      <w:szCs w:val="24"/>
      <w:lang w:val="fr-FR"/>
    </w:rPr>
  </w:style>
  <w:style w:type="paragraph" w:styleId="Rvision">
    <w:name w:val="Revision"/>
    <w:hidden/>
    <w:uiPriority w:val="99"/>
    <w:semiHidden/>
    <w:rsid w:val="00386E58"/>
    <w:pPr>
      <w:spacing w:after="0" w:line="240" w:lineRule="auto"/>
    </w:pPr>
  </w:style>
  <w:style w:type="paragraph" w:styleId="En-tte">
    <w:name w:val="header"/>
    <w:basedOn w:val="Normal"/>
    <w:link w:val="En-tteCar"/>
    <w:uiPriority w:val="99"/>
    <w:unhideWhenUsed/>
    <w:rsid w:val="00D30D5D"/>
    <w:pPr>
      <w:tabs>
        <w:tab w:val="center" w:pos="4536"/>
        <w:tab w:val="right" w:pos="9072"/>
      </w:tabs>
      <w:spacing w:after="0" w:line="240" w:lineRule="auto"/>
    </w:pPr>
  </w:style>
  <w:style w:type="character" w:customStyle="1" w:styleId="En-tteCar">
    <w:name w:val="En-tête Car"/>
    <w:basedOn w:val="Policepardfaut"/>
    <w:link w:val="En-tte"/>
    <w:uiPriority w:val="99"/>
    <w:rsid w:val="00D30D5D"/>
  </w:style>
  <w:style w:type="paragraph" w:styleId="Pieddepage">
    <w:name w:val="footer"/>
    <w:basedOn w:val="Normal"/>
    <w:link w:val="PieddepageCar"/>
    <w:uiPriority w:val="99"/>
    <w:unhideWhenUsed/>
    <w:rsid w:val="00D30D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0D5D"/>
  </w:style>
  <w:style w:type="character" w:styleId="Accentuationintense">
    <w:name w:val="Intense Emphasis"/>
    <w:basedOn w:val="Policepardfaut"/>
    <w:uiPriority w:val="21"/>
    <w:qFormat/>
    <w:rsid w:val="00605619"/>
    <w:rPr>
      <w:i/>
      <w:iCs/>
      <w:color w:val="4472C4" w:themeColor="accent1"/>
    </w:rPr>
  </w:style>
  <w:style w:type="character" w:customStyle="1" w:styleId="Titre2Car">
    <w:name w:val="Titre 2 Car"/>
    <w:basedOn w:val="Policepardfaut"/>
    <w:link w:val="Titre2"/>
    <w:uiPriority w:val="9"/>
    <w:rsid w:val="00605619"/>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2C74D9"/>
    <w:pPr>
      <w:keepNext/>
      <w:keepLines/>
      <w:spacing w:before="240" w:after="0" w:line="259" w:lineRule="auto"/>
      <w:outlineLvl w:val="9"/>
    </w:pPr>
    <w:rPr>
      <w:rFonts w:asciiTheme="majorHAnsi" w:eastAsiaTheme="majorEastAsia" w:hAnsiTheme="majorHAnsi" w:cstheme="majorBidi"/>
      <w:smallCaps w:val="0"/>
      <w:color w:val="2F5496" w:themeColor="accent1" w:themeShade="BF"/>
      <w:spacing w:val="0"/>
      <w:sz w:val="32"/>
      <w:lang w:val="fr-CI" w:eastAsia="fr-CI"/>
    </w:rPr>
  </w:style>
  <w:style w:type="paragraph" w:styleId="TM1">
    <w:name w:val="toc 1"/>
    <w:basedOn w:val="Normal"/>
    <w:next w:val="Normal"/>
    <w:autoRedefine/>
    <w:uiPriority w:val="39"/>
    <w:unhideWhenUsed/>
    <w:rsid w:val="002C74D9"/>
    <w:pPr>
      <w:tabs>
        <w:tab w:val="left" w:pos="440"/>
        <w:tab w:val="right" w:leader="dot" w:pos="9771"/>
      </w:tabs>
      <w:spacing w:after="100"/>
    </w:pPr>
    <w:rPr>
      <w:rFonts w:eastAsia="Calibri"/>
      <w:b/>
      <w:bCs/>
      <w:noProof/>
    </w:rPr>
  </w:style>
  <w:style w:type="paragraph" w:styleId="TM2">
    <w:name w:val="toc 2"/>
    <w:basedOn w:val="Normal"/>
    <w:next w:val="Normal"/>
    <w:autoRedefine/>
    <w:uiPriority w:val="39"/>
    <w:unhideWhenUsed/>
    <w:rsid w:val="002C74D9"/>
    <w:pPr>
      <w:spacing w:after="100"/>
      <w:ind w:left="220"/>
    </w:pPr>
  </w:style>
  <w:style w:type="character" w:styleId="Lienhypertexte">
    <w:name w:val="Hyperlink"/>
    <w:basedOn w:val="Policepardfaut"/>
    <w:uiPriority w:val="99"/>
    <w:unhideWhenUsed/>
    <w:rsid w:val="002C74D9"/>
    <w:rPr>
      <w:color w:val="0563C1" w:themeColor="hyperlink"/>
      <w:u w:val="single"/>
    </w:rPr>
  </w:style>
  <w:style w:type="character" w:customStyle="1" w:styleId="Titre3Car">
    <w:name w:val="Titre 3 Car"/>
    <w:basedOn w:val="Policepardfaut"/>
    <w:link w:val="Titre3"/>
    <w:uiPriority w:val="9"/>
    <w:rsid w:val="002C74D9"/>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653E7B"/>
    <w:rPr>
      <w:rFonts w:asciiTheme="majorHAnsi" w:eastAsiaTheme="majorEastAsia" w:hAnsiTheme="majorHAnsi" w:cstheme="majorBidi"/>
      <w:i/>
      <w:iCs/>
      <w:color w:val="2F5496" w:themeColor="accent1" w:themeShade="BF"/>
    </w:rPr>
  </w:style>
  <w:style w:type="paragraph" w:styleId="TM4">
    <w:name w:val="toc 4"/>
    <w:basedOn w:val="Normal"/>
    <w:next w:val="Normal"/>
    <w:autoRedefine/>
    <w:uiPriority w:val="39"/>
    <w:unhideWhenUsed/>
    <w:rsid w:val="00653E7B"/>
    <w:pPr>
      <w:spacing w:after="100"/>
      <w:ind w:left="660"/>
    </w:pPr>
  </w:style>
  <w:style w:type="paragraph" w:styleId="Tabledesillustrations">
    <w:name w:val="table of figures"/>
    <w:basedOn w:val="Normal"/>
    <w:next w:val="Normal"/>
    <w:uiPriority w:val="99"/>
    <w:unhideWhenUsed/>
    <w:rsid w:val="003A58FF"/>
    <w:pPr>
      <w:spacing w:after="0"/>
    </w:pPr>
  </w:style>
  <w:style w:type="table" w:styleId="TableauGrille1Clair">
    <w:name w:val="Grid Table 1 Light"/>
    <w:basedOn w:val="TableauNormal"/>
    <w:uiPriority w:val="46"/>
    <w:rsid w:val="00DB18BE"/>
    <w:pPr>
      <w:spacing w:after="0" w:line="240" w:lineRule="auto"/>
    </w:pPr>
    <w:rPr>
      <w:lang w:val="fr-F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arquedecommentaire">
    <w:name w:val="annotation reference"/>
    <w:basedOn w:val="Policepardfaut"/>
    <w:uiPriority w:val="99"/>
    <w:semiHidden/>
    <w:unhideWhenUsed/>
    <w:rsid w:val="000C2CFD"/>
    <w:rPr>
      <w:sz w:val="16"/>
      <w:szCs w:val="16"/>
    </w:rPr>
  </w:style>
  <w:style w:type="paragraph" w:styleId="Commentaire">
    <w:name w:val="annotation text"/>
    <w:basedOn w:val="Normal"/>
    <w:link w:val="CommentaireCar"/>
    <w:uiPriority w:val="99"/>
    <w:semiHidden/>
    <w:unhideWhenUsed/>
    <w:rsid w:val="000C2CFD"/>
    <w:pPr>
      <w:spacing w:line="240" w:lineRule="auto"/>
    </w:pPr>
    <w:rPr>
      <w:sz w:val="20"/>
      <w:szCs w:val="20"/>
    </w:rPr>
  </w:style>
  <w:style w:type="character" w:customStyle="1" w:styleId="CommentaireCar">
    <w:name w:val="Commentaire Car"/>
    <w:basedOn w:val="Policepardfaut"/>
    <w:link w:val="Commentaire"/>
    <w:uiPriority w:val="99"/>
    <w:semiHidden/>
    <w:rsid w:val="000C2CFD"/>
    <w:rPr>
      <w:sz w:val="20"/>
      <w:szCs w:val="20"/>
    </w:rPr>
  </w:style>
  <w:style w:type="paragraph" w:styleId="Objetducommentaire">
    <w:name w:val="annotation subject"/>
    <w:basedOn w:val="Commentaire"/>
    <w:next w:val="Commentaire"/>
    <w:link w:val="ObjetducommentaireCar"/>
    <w:uiPriority w:val="99"/>
    <w:semiHidden/>
    <w:unhideWhenUsed/>
    <w:rsid w:val="000C2CFD"/>
    <w:rPr>
      <w:b/>
      <w:bCs/>
    </w:rPr>
  </w:style>
  <w:style w:type="character" w:customStyle="1" w:styleId="ObjetducommentaireCar">
    <w:name w:val="Objet du commentaire Car"/>
    <w:basedOn w:val="CommentaireCar"/>
    <w:link w:val="Objetducommentaire"/>
    <w:uiPriority w:val="99"/>
    <w:semiHidden/>
    <w:rsid w:val="000C2CFD"/>
    <w:rPr>
      <w:b/>
      <w:bCs/>
      <w:sz w:val="20"/>
      <w:szCs w:val="20"/>
    </w:rPr>
  </w:style>
  <w:style w:type="table" w:styleId="TableauGrille4-Accentuation1">
    <w:name w:val="Grid Table 4 Accent 1"/>
    <w:basedOn w:val="TableauNormal"/>
    <w:uiPriority w:val="49"/>
    <w:rsid w:val="000153BA"/>
    <w:pPr>
      <w:spacing w:after="0" w:line="240" w:lineRule="auto"/>
    </w:pPr>
    <w:rPr>
      <w:lang w:val="fr-F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0">
    <w:name w:val="default"/>
    <w:basedOn w:val="Normal"/>
    <w:rsid w:val="005F4D9A"/>
    <w:pPr>
      <w:spacing w:before="100" w:beforeAutospacing="1" w:after="100" w:afterAutospacing="1" w:line="240" w:lineRule="auto"/>
    </w:pPr>
    <w:rPr>
      <w:rFonts w:ascii="Times New Roman" w:eastAsia="Times New Roman" w:hAnsi="Times New Roman" w:cs="Times New Roman"/>
      <w:sz w:val="24"/>
      <w:szCs w:val="24"/>
      <w:lang w:val="fr-SN" w:eastAsia="fr-FR"/>
    </w:rPr>
  </w:style>
  <w:style w:type="character" w:customStyle="1" w:styleId="apple-converted-space">
    <w:name w:val="apple-converted-space"/>
    <w:basedOn w:val="Policepardfaut"/>
    <w:rsid w:val="005F4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4156">
      <w:bodyDiv w:val="1"/>
      <w:marLeft w:val="0"/>
      <w:marRight w:val="0"/>
      <w:marTop w:val="0"/>
      <w:marBottom w:val="0"/>
      <w:divBdr>
        <w:top w:val="none" w:sz="0" w:space="0" w:color="auto"/>
        <w:left w:val="none" w:sz="0" w:space="0" w:color="auto"/>
        <w:bottom w:val="none" w:sz="0" w:space="0" w:color="auto"/>
        <w:right w:val="none" w:sz="0" w:space="0" w:color="auto"/>
      </w:divBdr>
    </w:div>
    <w:div w:id="8216202">
      <w:bodyDiv w:val="1"/>
      <w:marLeft w:val="0"/>
      <w:marRight w:val="0"/>
      <w:marTop w:val="0"/>
      <w:marBottom w:val="0"/>
      <w:divBdr>
        <w:top w:val="none" w:sz="0" w:space="0" w:color="auto"/>
        <w:left w:val="none" w:sz="0" w:space="0" w:color="auto"/>
        <w:bottom w:val="none" w:sz="0" w:space="0" w:color="auto"/>
        <w:right w:val="none" w:sz="0" w:space="0" w:color="auto"/>
      </w:divBdr>
    </w:div>
    <w:div w:id="63381723">
      <w:bodyDiv w:val="1"/>
      <w:marLeft w:val="0"/>
      <w:marRight w:val="0"/>
      <w:marTop w:val="0"/>
      <w:marBottom w:val="0"/>
      <w:divBdr>
        <w:top w:val="none" w:sz="0" w:space="0" w:color="auto"/>
        <w:left w:val="none" w:sz="0" w:space="0" w:color="auto"/>
        <w:bottom w:val="none" w:sz="0" w:space="0" w:color="auto"/>
        <w:right w:val="none" w:sz="0" w:space="0" w:color="auto"/>
      </w:divBdr>
    </w:div>
    <w:div w:id="99447686">
      <w:bodyDiv w:val="1"/>
      <w:marLeft w:val="0"/>
      <w:marRight w:val="0"/>
      <w:marTop w:val="0"/>
      <w:marBottom w:val="0"/>
      <w:divBdr>
        <w:top w:val="none" w:sz="0" w:space="0" w:color="auto"/>
        <w:left w:val="none" w:sz="0" w:space="0" w:color="auto"/>
        <w:bottom w:val="none" w:sz="0" w:space="0" w:color="auto"/>
        <w:right w:val="none" w:sz="0" w:space="0" w:color="auto"/>
      </w:divBdr>
    </w:div>
    <w:div w:id="240725499">
      <w:bodyDiv w:val="1"/>
      <w:marLeft w:val="0"/>
      <w:marRight w:val="0"/>
      <w:marTop w:val="0"/>
      <w:marBottom w:val="0"/>
      <w:divBdr>
        <w:top w:val="none" w:sz="0" w:space="0" w:color="auto"/>
        <w:left w:val="none" w:sz="0" w:space="0" w:color="auto"/>
        <w:bottom w:val="none" w:sz="0" w:space="0" w:color="auto"/>
        <w:right w:val="none" w:sz="0" w:space="0" w:color="auto"/>
      </w:divBdr>
    </w:div>
    <w:div w:id="358511485">
      <w:bodyDiv w:val="1"/>
      <w:marLeft w:val="0"/>
      <w:marRight w:val="0"/>
      <w:marTop w:val="0"/>
      <w:marBottom w:val="0"/>
      <w:divBdr>
        <w:top w:val="none" w:sz="0" w:space="0" w:color="auto"/>
        <w:left w:val="none" w:sz="0" w:space="0" w:color="auto"/>
        <w:bottom w:val="none" w:sz="0" w:space="0" w:color="auto"/>
        <w:right w:val="none" w:sz="0" w:space="0" w:color="auto"/>
      </w:divBdr>
    </w:div>
    <w:div w:id="427195471">
      <w:bodyDiv w:val="1"/>
      <w:marLeft w:val="0"/>
      <w:marRight w:val="0"/>
      <w:marTop w:val="0"/>
      <w:marBottom w:val="0"/>
      <w:divBdr>
        <w:top w:val="none" w:sz="0" w:space="0" w:color="auto"/>
        <w:left w:val="none" w:sz="0" w:space="0" w:color="auto"/>
        <w:bottom w:val="none" w:sz="0" w:space="0" w:color="auto"/>
        <w:right w:val="none" w:sz="0" w:space="0" w:color="auto"/>
      </w:divBdr>
    </w:div>
    <w:div w:id="568271176">
      <w:bodyDiv w:val="1"/>
      <w:marLeft w:val="0"/>
      <w:marRight w:val="0"/>
      <w:marTop w:val="0"/>
      <w:marBottom w:val="0"/>
      <w:divBdr>
        <w:top w:val="none" w:sz="0" w:space="0" w:color="auto"/>
        <w:left w:val="none" w:sz="0" w:space="0" w:color="auto"/>
        <w:bottom w:val="none" w:sz="0" w:space="0" w:color="auto"/>
        <w:right w:val="none" w:sz="0" w:space="0" w:color="auto"/>
      </w:divBdr>
    </w:div>
    <w:div w:id="588197802">
      <w:bodyDiv w:val="1"/>
      <w:marLeft w:val="0"/>
      <w:marRight w:val="0"/>
      <w:marTop w:val="0"/>
      <w:marBottom w:val="0"/>
      <w:divBdr>
        <w:top w:val="none" w:sz="0" w:space="0" w:color="auto"/>
        <w:left w:val="none" w:sz="0" w:space="0" w:color="auto"/>
        <w:bottom w:val="none" w:sz="0" w:space="0" w:color="auto"/>
        <w:right w:val="none" w:sz="0" w:space="0" w:color="auto"/>
      </w:divBdr>
    </w:div>
    <w:div w:id="757560923">
      <w:bodyDiv w:val="1"/>
      <w:marLeft w:val="0"/>
      <w:marRight w:val="0"/>
      <w:marTop w:val="0"/>
      <w:marBottom w:val="0"/>
      <w:divBdr>
        <w:top w:val="none" w:sz="0" w:space="0" w:color="auto"/>
        <w:left w:val="none" w:sz="0" w:space="0" w:color="auto"/>
        <w:bottom w:val="none" w:sz="0" w:space="0" w:color="auto"/>
        <w:right w:val="none" w:sz="0" w:space="0" w:color="auto"/>
      </w:divBdr>
    </w:div>
    <w:div w:id="830759283">
      <w:bodyDiv w:val="1"/>
      <w:marLeft w:val="0"/>
      <w:marRight w:val="0"/>
      <w:marTop w:val="0"/>
      <w:marBottom w:val="0"/>
      <w:divBdr>
        <w:top w:val="none" w:sz="0" w:space="0" w:color="auto"/>
        <w:left w:val="none" w:sz="0" w:space="0" w:color="auto"/>
        <w:bottom w:val="none" w:sz="0" w:space="0" w:color="auto"/>
        <w:right w:val="none" w:sz="0" w:space="0" w:color="auto"/>
      </w:divBdr>
    </w:div>
    <w:div w:id="892546043">
      <w:bodyDiv w:val="1"/>
      <w:marLeft w:val="0"/>
      <w:marRight w:val="0"/>
      <w:marTop w:val="0"/>
      <w:marBottom w:val="0"/>
      <w:divBdr>
        <w:top w:val="none" w:sz="0" w:space="0" w:color="auto"/>
        <w:left w:val="none" w:sz="0" w:space="0" w:color="auto"/>
        <w:bottom w:val="none" w:sz="0" w:space="0" w:color="auto"/>
        <w:right w:val="none" w:sz="0" w:space="0" w:color="auto"/>
      </w:divBdr>
    </w:div>
    <w:div w:id="894779116">
      <w:bodyDiv w:val="1"/>
      <w:marLeft w:val="0"/>
      <w:marRight w:val="0"/>
      <w:marTop w:val="0"/>
      <w:marBottom w:val="0"/>
      <w:divBdr>
        <w:top w:val="none" w:sz="0" w:space="0" w:color="auto"/>
        <w:left w:val="none" w:sz="0" w:space="0" w:color="auto"/>
        <w:bottom w:val="none" w:sz="0" w:space="0" w:color="auto"/>
        <w:right w:val="none" w:sz="0" w:space="0" w:color="auto"/>
      </w:divBdr>
    </w:div>
    <w:div w:id="997423250">
      <w:bodyDiv w:val="1"/>
      <w:marLeft w:val="0"/>
      <w:marRight w:val="0"/>
      <w:marTop w:val="0"/>
      <w:marBottom w:val="0"/>
      <w:divBdr>
        <w:top w:val="none" w:sz="0" w:space="0" w:color="auto"/>
        <w:left w:val="none" w:sz="0" w:space="0" w:color="auto"/>
        <w:bottom w:val="none" w:sz="0" w:space="0" w:color="auto"/>
        <w:right w:val="none" w:sz="0" w:space="0" w:color="auto"/>
      </w:divBdr>
    </w:div>
    <w:div w:id="1059400881">
      <w:bodyDiv w:val="1"/>
      <w:marLeft w:val="0"/>
      <w:marRight w:val="0"/>
      <w:marTop w:val="0"/>
      <w:marBottom w:val="0"/>
      <w:divBdr>
        <w:top w:val="none" w:sz="0" w:space="0" w:color="auto"/>
        <w:left w:val="none" w:sz="0" w:space="0" w:color="auto"/>
        <w:bottom w:val="none" w:sz="0" w:space="0" w:color="auto"/>
        <w:right w:val="none" w:sz="0" w:space="0" w:color="auto"/>
      </w:divBdr>
    </w:div>
    <w:div w:id="1246770181">
      <w:bodyDiv w:val="1"/>
      <w:marLeft w:val="0"/>
      <w:marRight w:val="0"/>
      <w:marTop w:val="0"/>
      <w:marBottom w:val="0"/>
      <w:divBdr>
        <w:top w:val="none" w:sz="0" w:space="0" w:color="auto"/>
        <w:left w:val="none" w:sz="0" w:space="0" w:color="auto"/>
        <w:bottom w:val="none" w:sz="0" w:space="0" w:color="auto"/>
        <w:right w:val="none" w:sz="0" w:space="0" w:color="auto"/>
      </w:divBdr>
    </w:div>
    <w:div w:id="1355375808">
      <w:bodyDiv w:val="1"/>
      <w:marLeft w:val="0"/>
      <w:marRight w:val="0"/>
      <w:marTop w:val="0"/>
      <w:marBottom w:val="0"/>
      <w:divBdr>
        <w:top w:val="none" w:sz="0" w:space="0" w:color="auto"/>
        <w:left w:val="none" w:sz="0" w:space="0" w:color="auto"/>
        <w:bottom w:val="none" w:sz="0" w:space="0" w:color="auto"/>
        <w:right w:val="none" w:sz="0" w:space="0" w:color="auto"/>
      </w:divBdr>
    </w:div>
    <w:div w:id="1451390320">
      <w:bodyDiv w:val="1"/>
      <w:marLeft w:val="0"/>
      <w:marRight w:val="0"/>
      <w:marTop w:val="0"/>
      <w:marBottom w:val="0"/>
      <w:divBdr>
        <w:top w:val="none" w:sz="0" w:space="0" w:color="auto"/>
        <w:left w:val="none" w:sz="0" w:space="0" w:color="auto"/>
        <w:bottom w:val="none" w:sz="0" w:space="0" w:color="auto"/>
        <w:right w:val="none" w:sz="0" w:space="0" w:color="auto"/>
      </w:divBdr>
    </w:div>
    <w:div w:id="1622148484">
      <w:bodyDiv w:val="1"/>
      <w:marLeft w:val="0"/>
      <w:marRight w:val="0"/>
      <w:marTop w:val="0"/>
      <w:marBottom w:val="0"/>
      <w:divBdr>
        <w:top w:val="none" w:sz="0" w:space="0" w:color="auto"/>
        <w:left w:val="none" w:sz="0" w:space="0" w:color="auto"/>
        <w:bottom w:val="none" w:sz="0" w:space="0" w:color="auto"/>
        <w:right w:val="none" w:sz="0" w:space="0" w:color="auto"/>
      </w:divBdr>
    </w:div>
    <w:div w:id="1626425078">
      <w:bodyDiv w:val="1"/>
      <w:marLeft w:val="0"/>
      <w:marRight w:val="0"/>
      <w:marTop w:val="0"/>
      <w:marBottom w:val="0"/>
      <w:divBdr>
        <w:top w:val="none" w:sz="0" w:space="0" w:color="auto"/>
        <w:left w:val="none" w:sz="0" w:space="0" w:color="auto"/>
        <w:bottom w:val="none" w:sz="0" w:space="0" w:color="auto"/>
        <w:right w:val="none" w:sz="0" w:space="0" w:color="auto"/>
      </w:divBdr>
    </w:div>
    <w:div w:id="1653871370">
      <w:bodyDiv w:val="1"/>
      <w:marLeft w:val="0"/>
      <w:marRight w:val="0"/>
      <w:marTop w:val="0"/>
      <w:marBottom w:val="0"/>
      <w:divBdr>
        <w:top w:val="none" w:sz="0" w:space="0" w:color="auto"/>
        <w:left w:val="none" w:sz="0" w:space="0" w:color="auto"/>
        <w:bottom w:val="none" w:sz="0" w:space="0" w:color="auto"/>
        <w:right w:val="none" w:sz="0" w:space="0" w:color="auto"/>
      </w:divBdr>
    </w:div>
    <w:div w:id="1808473375">
      <w:bodyDiv w:val="1"/>
      <w:marLeft w:val="0"/>
      <w:marRight w:val="0"/>
      <w:marTop w:val="0"/>
      <w:marBottom w:val="0"/>
      <w:divBdr>
        <w:top w:val="none" w:sz="0" w:space="0" w:color="auto"/>
        <w:left w:val="none" w:sz="0" w:space="0" w:color="auto"/>
        <w:bottom w:val="none" w:sz="0" w:space="0" w:color="auto"/>
        <w:right w:val="none" w:sz="0" w:space="0" w:color="auto"/>
      </w:divBdr>
    </w:div>
    <w:div w:id="1813713055">
      <w:bodyDiv w:val="1"/>
      <w:marLeft w:val="0"/>
      <w:marRight w:val="0"/>
      <w:marTop w:val="0"/>
      <w:marBottom w:val="0"/>
      <w:divBdr>
        <w:top w:val="none" w:sz="0" w:space="0" w:color="auto"/>
        <w:left w:val="none" w:sz="0" w:space="0" w:color="auto"/>
        <w:bottom w:val="none" w:sz="0" w:space="0" w:color="auto"/>
        <w:right w:val="none" w:sz="0" w:space="0" w:color="auto"/>
      </w:divBdr>
    </w:div>
    <w:div w:id="1855920969">
      <w:bodyDiv w:val="1"/>
      <w:marLeft w:val="0"/>
      <w:marRight w:val="0"/>
      <w:marTop w:val="0"/>
      <w:marBottom w:val="0"/>
      <w:divBdr>
        <w:top w:val="none" w:sz="0" w:space="0" w:color="auto"/>
        <w:left w:val="none" w:sz="0" w:space="0" w:color="auto"/>
        <w:bottom w:val="none" w:sz="0" w:space="0" w:color="auto"/>
        <w:right w:val="none" w:sz="0" w:space="0" w:color="auto"/>
      </w:divBdr>
    </w:div>
    <w:div w:id="1856846435">
      <w:bodyDiv w:val="1"/>
      <w:marLeft w:val="0"/>
      <w:marRight w:val="0"/>
      <w:marTop w:val="0"/>
      <w:marBottom w:val="0"/>
      <w:divBdr>
        <w:top w:val="none" w:sz="0" w:space="0" w:color="auto"/>
        <w:left w:val="none" w:sz="0" w:space="0" w:color="auto"/>
        <w:bottom w:val="none" w:sz="0" w:space="0" w:color="auto"/>
        <w:right w:val="none" w:sz="0" w:space="0" w:color="auto"/>
      </w:divBdr>
    </w:div>
    <w:div w:id="1965115484">
      <w:bodyDiv w:val="1"/>
      <w:marLeft w:val="0"/>
      <w:marRight w:val="0"/>
      <w:marTop w:val="0"/>
      <w:marBottom w:val="0"/>
      <w:divBdr>
        <w:top w:val="none" w:sz="0" w:space="0" w:color="auto"/>
        <w:left w:val="none" w:sz="0" w:space="0" w:color="auto"/>
        <w:bottom w:val="none" w:sz="0" w:space="0" w:color="auto"/>
        <w:right w:val="none" w:sz="0" w:space="0" w:color="auto"/>
      </w:divBdr>
    </w:div>
    <w:div w:id="210340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50.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ristian.boga\AppData\Local\Microsoft\Windows\INetCache\Content.Outlook\YI1H2MFK\FINEX_PTF_2016-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10.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hristian.boga\AppData\Local\Microsoft\Windows\INetCache\Content.Outlook\M10YX3KX\Pipeline%20040720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049325730835373E-2"/>
          <c:y val="0.11806475349521708"/>
          <c:w val="0.92161726311988779"/>
          <c:h val="0.77937778473055108"/>
        </c:manualLayout>
      </c:layout>
      <c:scatterChart>
        <c:scatterStyle val="lineMarker"/>
        <c:varyColors val="0"/>
        <c:ser>
          <c:idx val="0"/>
          <c:order val="0"/>
          <c:tx>
            <c:strRef>
              <c:f>Feuil2!$E$22</c:f>
              <c:strCache>
                <c:ptCount val="1"/>
                <c:pt idx="0">
                  <c:v>Côte d'Ivoire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8314176245210725E-2"/>
                  <c:y val="-5.88668138337012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8E-473F-A45F-14C2CF7F3301}"/>
                </c:ext>
              </c:extLst>
            </c:dLbl>
            <c:dLbl>
              <c:idx val="1"/>
              <c:layout>
                <c:manualLayout>
                  <c:x val="-3.6185610898254617E-2"/>
                  <c:y val="-4.4150110375275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8E-473F-A45F-14C2CF7F3301}"/>
                </c:ext>
              </c:extLst>
            </c:dLbl>
            <c:dLbl>
              <c:idx val="2"/>
              <c:layout>
                <c:manualLayout>
                  <c:x val="-2.554278416347382E-2"/>
                  <c:y val="-4.4150110375275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8E-473F-A45F-14C2CF7F3301}"/>
                </c:ext>
              </c:extLst>
            </c:dLbl>
            <c:dLbl>
              <c:idx val="3"/>
              <c:layout>
                <c:manualLayout>
                  <c:x val="-1.9157088122605442E-2"/>
                  <c:y val="-4.782928623988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8E-473F-A45F-14C2CF7F3301}"/>
                </c:ext>
              </c:extLst>
            </c:dLbl>
            <c:dLbl>
              <c:idx val="4"/>
              <c:layout>
                <c:manualLayout>
                  <c:x val="-2.3414218816517667E-2"/>
                  <c:y val="3.679175864606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8E-473F-A45F-14C2CF7F3301}"/>
                </c:ext>
              </c:extLst>
            </c:dLbl>
            <c:dLbl>
              <c:idx val="5"/>
              <c:layout>
                <c:manualLayout>
                  <c:x val="-2.5314717604743853E-2"/>
                  <c:y val="-8.4687679346204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8E-473F-A45F-14C2CF7F33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Feuil2!$D$23:$D$28</c:f>
              <c:numCache>
                <c:formatCode>General</c:formatCode>
                <c:ptCount val="6"/>
                <c:pt idx="0">
                  <c:v>2016</c:v>
                </c:pt>
                <c:pt idx="1">
                  <c:v>2017</c:v>
                </c:pt>
                <c:pt idx="2">
                  <c:v>2018</c:v>
                </c:pt>
                <c:pt idx="3">
                  <c:v>2019</c:v>
                </c:pt>
                <c:pt idx="4">
                  <c:v>2020</c:v>
                </c:pt>
                <c:pt idx="5">
                  <c:v>2021</c:v>
                </c:pt>
              </c:numCache>
            </c:numRef>
          </c:xVal>
          <c:yVal>
            <c:numRef>
              <c:f>Feuil2!$E$23:$E$28</c:f>
              <c:numCache>
                <c:formatCode>General</c:formatCode>
                <c:ptCount val="6"/>
                <c:pt idx="0">
                  <c:v>7.2</c:v>
                </c:pt>
                <c:pt idx="1">
                  <c:v>7.4</c:v>
                </c:pt>
                <c:pt idx="2">
                  <c:v>6.9</c:v>
                </c:pt>
                <c:pt idx="3">
                  <c:v>6.2</c:v>
                </c:pt>
                <c:pt idx="4">
                  <c:v>2</c:v>
                </c:pt>
                <c:pt idx="5">
                  <c:v>7.4</c:v>
                </c:pt>
              </c:numCache>
            </c:numRef>
          </c:yVal>
          <c:smooth val="0"/>
          <c:extLst>
            <c:ext xmlns:c16="http://schemas.microsoft.com/office/drawing/2014/chart" uri="{C3380CC4-5D6E-409C-BE32-E72D297353CC}">
              <c16:uniqueId val="{00000006-1E8E-473F-A45F-14C2CF7F3301}"/>
            </c:ext>
          </c:extLst>
        </c:ser>
        <c:ser>
          <c:idx val="1"/>
          <c:order val="1"/>
          <c:tx>
            <c:strRef>
              <c:f>Feuil2!$F$22</c:f>
              <c:strCache>
                <c:ptCount val="1"/>
                <c:pt idx="0">
                  <c:v>Afrique Subsaharienne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5542784163473799E-2"/>
                  <c:y val="3.6791758646063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8E-473F-A45F-14C2CF7F33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Feuil2!$D$23:$D$28</c:f>
              <c:numCache>
                <c:formatCode>General</c:formatCode>
                <c:ptCount val="6"/>
                <c:pt idx="0">
                  <c:v>2016</c:v>
                </c:pt>
                <c:pt idx="1">
                  <c:v>2017</c:v>
                </c:pt>
                <c:pt idx="2">
                  <c:v>2018</c:v>
                </c:pt>
                <c:pt idx="3">
                  <c:v>2019</c:v>
                </c:pt>
                <c:pt idx="4">
                  <c:v>2020</c:v>
                </c:pt>
                <c:pt idx="5">
                  <c:v>2021</c:v>
                </c:pt>
              </c:numCache>
            </c:numRef>
          </c:xVal>
          <c:yVal>
            <c:numRef>
              <c:f>Feuil2!$F$23:$F$28</c:f>
              <c:numCache>
                <c:formatCode>General</c:formatCode>
                <c:ptCount val="6"/>
                <c:pt idx="0">
                  <c:v>1.4</c:v>
                </c:pt>
                <c:pt idx="1">
                  <c:v>2.7</c:v>
                </c:pt>
                <c:pt idx="2">
                  <c:v>3.1</c:v>
                </c:pt>
                <c:pt idx="3">
                  <c:v>2.4</c:v>
                </c:pt>
                <c:pt idx="4">
                  <c:v>-3</c:v>
                </c:pt>
                <c:pt idx="5">
                  <c:v>4</c:v>
                </c:pt>
              </c:numCache>
            </c:numRef>
          </c:yVal>
          <c:smooth val="0"/>
          <c:extLst>
            <c:ext xmlns:c16="http://schemas.microsoft.com/office/drawing/2014/chart" uri="{C3380CC4-5D6E-409C-BE32-E72D297353CC}">
              <c16:uniqueId val="{00000008-1E8E-473F-A45F-14C2CF7F3301}"/>
            </c:ext>
          </c:extLst>
        </c:ser>
        <c:dLbls>
          <c:showLegendKey val="0"/>
          <c:showVal val="0"/>
          <c:showCatName val="0"/>
          <c:showSerName val="0"/>
          <c:showPercent val="0"/>
          <c:showBubbleSize val="0"/>
        </c:dLbls>
        <c:axId val="1401298591"/>
        <c:axId val="1401293183"/>
      </c:scatterChart>
      <c:valAx>
        <c:axId val="14012985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1293183"/>
        <c:crosses val="autoZero"/>
        <c:crossBetween val="midCat"/>
      </c:valAx>
      <c:valAx>
        <c:axId val="1401293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129859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755527054445293E-2"/>
          <c:y val="0.14443146417445485"/>
          <c:w val="0.88159961313247059"/>
          <c:h val="0.76523260234993995"/>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2278593680462863E-2"/>
                  <c:y val="4.2834890965732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9E-4D21-9EE5-01177B2D4BF3}"/>
                </c:ext>
              </c:extLst>
            </c:dLbl>
            <c:dLbl>
              <c:idx val="1"/>
              <c:layout>
                <c:manualLayout>
                  <c:x val="-2.8927458834000889E-2"/>
                  <c:y val="5.0623052959501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9E-4D21-9EE5-01177B2D4BF3}"/>
                </c:ext>
              </c:extLst>
            </c:dLbl>
            <c:dLbl>
              <c:idx val="3"/>
              <c:layout>
                <c:manualLayout>
                  <c:x val="-4.6728971962616904E-2"/>
                  <c:y val="-5.0623052959501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9E-4D21-9EE5-01177B2D4B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Feuil1!$E$22:$E$27</c:f>
              <c:numCache>
                <c:formatCode>General</c:formatCode>
                <c:ptCount val="6"/>
                <c:pt idx="0">
                  <c:v>2016</c:v>
                </c:pt>
                <c:pt idx="1">
                  <c:v>2017</c:v>
                </c:pt>
                <c:pt idx="2">
                  <c:v>2018</c:v>
                </c:pt>
                <c:pt idx="3">
                  <c:v>2019</c:v>
                </c:pt>
                <c:pt idx="4">
                  <c:v>2020</c:v>
                </c:pt>
                <c:pt idx="5">
                  <c:v>2021</c:v>
                </c:pt>
              </c:numCache>
            </c:numRef>
          </c:xVal>
          <c:yVal>
            <c:numRef>
              <c:f>Feuil1!$F$22:$F$27</c:f>
              <c:numCache>
                <c:formatCode>General</c:formatCode>
                <c:ptCount val="6"/>
                <c:pt idx="0">
                  <c:v>1705</c:v>
                </c:pt>
                <c:pt idx="1">
                  <c:v>1880.3</c:v>
                </c:pt>
                <c:pt idx="2">
                  <c:v>2373</c:v>
                </c:pt>
                <c:pt idx="3">
                  <c:v>3931.8</c:v>
                </c:pt>
                <c:pt idx="4">
                  <c:v>3484.6</c:v>
                </c:pt>
                <c:pt idx="5">
                  <c:v>2127.5</c:v>
                </c:pt>
              </c:numCache>
            </c:numRef>
          </c:yVal>
          <c:smooth val="0"/>
          <c:extLst>
            <c:ext xmlns:c16="http://schemas.microsoft.com/office/drawing/2014/chart" uri="{C3380CC4-5D6E-409C-BE32-E72D297353CC}">
              <c16:uniqueId val="{00000003-2C9E-4D21-9EE5-01177B2D4BF3}"/>
            </c:ext>
          </c:extLst>
        </c:ser>
        <c:dLbls>
          <c:showLegendKey val="0"/>
          <c:showVal val="0"/>
          <c:showCatName val="0"/>
          <c:showSerName val="0"/>
          <c:showPercent val="0"/>
          <c:showBubbleSize val="0"/>
        </c:dLbls>
        <c:axId val="1399221679"/>
        <c:axId val="1399217103"/>
      </c:scatterChart>
      <c:valAx>
        <c:axId val="13992216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99217103"/>
        <c:crosses val="autoZero"/>
        <c:crossBetween val="midCat"/>
      </c:valAx>
      <c:valAx>
        <c:axId val="1399217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99221679"/>
        <c:crosses val="autoZero"/>
        <c:crossBetween val="midCat"/>
      </c:valAx>
      <c:spPr>
        <a:noFill/>
        <a:ln>
          <a:noFill/>
        </a:ln>
        <a:effectLst/>
      </c:spPr>
    </c:plotArea>
    <c:plotVisOnly val="1"/>
    <c:dispBlanksAs val="gap"/>
    <c:showDLblsOverMax val="0"/>
  </c:chart>
  <c:spPr>
    <a:solidFill>
      <a:schemeClr val="bg1"/>
    </a:solidFill>
    <a:ln w="9525" cap="flat" cmpd="thinThick"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Feuil1!$B$4:$B$6</c:f>
              <c:strCache>
                <c:ptCount val="3"/>
                <c:pt idx="0">
                  <c:v>Appui Programmes/Projets</c:v>
                </c:pt>
                <c:pt idx="1">
                  <c:v>Appui Budgétaires</c:v>
                </c:pt>
                <c:pt idx="2">
                  <c:v>Garanties</c:v>
                </c:pt>
              </c:strCache>
            </c:strRef>
          </c:cat>
          <c:val>
            <c:numRef>
              <c:f>Feuil1!$C$4:$C$6</c:f>
              <c:numCache>
                <c:formatCode>General</c:formatCode>
                <c:ptCount val="3"/>
                <c:pt idx="0">
                  <c:v>81.599999999999994</c:v>
                </c:pt>
                <c:pt idx="1">
                  <c:v>14.9</c:v>
                </c:pt>
                <c:pt idx="2">
                  <c:v>3.5</c:v>
                </c:pt>
              </c:numCache>
            </c:numRef>
          </c:val>
          <c:extLst>
            <c:ext xmlns:c16="http://schemas.microsoft.com/office/drawing/2014/chart" uri="{C3380CC4-5D6E-409C-BE32-E72D297353CC}">
              <c16:uniqueId val="{00000000-9010-433D-BF52-86B28D34F410}"/>
            </c:ext>
          </c:extLst>
        </c:ser>
        <c:dLbls>
          <c:showLegendKey val="0"/>
          <c:showVal val="0"/>
          <c:showCatName val="0"/>
          <c:showSerName val="0"/>
          <c:showPercent val="0"/>
          <c:showBubbleSize val="0"/>
        </c:dLbls>
        <c:gapWidth val="182"/>
        <c:axId val="499062376"/>
        <c:axId val="499062704"/>
      </c:barChart>
      <c:catAx>
        <c:axId val="499062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99062704"/>
        <c:crosses val="autoZero"/>
        <c:auto val="1"/>
        <c:lblAlgn val="ctr"/>
        <c:lblOffset val="100"/>
        <c:noMultiLvlLbl val="0"/>
      </c:catAx>
      <c:valAx>
        <c:axId val="499062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99062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87-421E-90DB-FB1F64CE772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87-421E-90DB-FB1F64CE772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787-421E-90DB-FB1F64CE772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Feuil9!$H$4:$H$6</c:f>
              <c:strCache>
                <c:ptCount val="3"/>
                <c:pt idx="0">
                  <c:v>Prêts</c:v>
                </c:pt>
                <c:pt idx="1">
                  <c:v>C2D</c:v>
                </c:pt>
                <c:pt idx="2">
                  <c:v>Dons</c:v>
                </c:pt>
              </c:strCache>
            </c:strRef>
          </c:cat>
          <c:val>
            <c:numRef>
              <c:f>Feuil9!$I$4:$I$6</c:f>
              <c:numCache>
                <c:formatCode>General</c:formatCode>
                <c:ptCount val="3"/>
                <c:pt idx="0">
                  <c:v>81.099999999999994</c:v>
                </c:pt>
                <c:pt idx="1">
                  <c:v>14.9</c:v>
                </c:pt>
                <c:pt idx="2">
                  <c:v>4</c:v>
                </c:pt>
              </c:numCache>
            </c:numRef>
          </c:val>
          <c:extLst>
            <c:ext xmlns:c16="http://schemas.microsoft.com/office/drawing/2014/chart" uri="{C3380CC4-5D6E-409C-BE32-E72D297353CC}">
              <c16:uniqueId val="{00000006-5787-421E-90DB-FB1F64CE77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Feuil5!$F$41:$F$69</c:f>
              <c:strCache>
                <c:ptCount val="29"/>
                <c:pt idx="0">
                  <c:v>Fondation Pour le Renforcement des Capacités</c:v>
                </c:pt>
                <c:pt idx="1">
                  <c:v>Programme des Nations Unies pour l'Environnement</c:v>
                </c:pt>
                <c:pt idx="2">
                  <c:v>Convention sur le commerce international des espèces de faune </c:v>
                </c:pt>
                <c:pt idx="3">
                  <c:v>Fonds Européen pour le Développement 10</c:v>
                </c:pt>
                <c:pt idx="4">
                  <c:v>Fonds d’assistance technique pour les pays à revenu intermédiaire</c:v>
                </c:pt>
                <c:pt idx="5">
                  <c:v>Opération des Nations Unies en Côte d'Ivoire</c:v>
                </c:pt>
                <c:pt idx="6">
                  <c:v>Facilité Africaine de l’Eau</c:v>
                </c:pt>
                <c:pt idx="7">
                  <c:v>Fonds Central d'Intervention d'Urgence</c:v>
                </c:pt>
                <c:pt idx="8">
                  <c:v>Fonds de Consolidation de la Paix des Nations Unies</c:v>
                </c:pt>
                <c:pt idx="9">
                  <c:v>Entité des Nations Unies pour l'égalité des sexes et l'autonomisation des femmes</c:v>
                </c:pt>
                <c:pt idx="10">
                  <c:v>Fonds Fiduciaire_ Banque Mondiale</c:v>
                </c:pt>
                <c:pt idx="11">
                  <c:v>Fonds Fiduciaire du Programme d'Adaptation de l'Agriculture Paysanne </c:v>
                </c:pt>
                <c:pt idx="12">
                  <c:v>Organisation des Nations Unies pour l'alimentation et l'agriculture</c:v>
                </c:pt>
                <c:pt idx="13">
                  <c:v>Union Européenne</c:v>
                </c:pt>
                <c:pt idx="14">
                  <c:v>Programme mondial pour l’agriculture et la sécurité alimentaire</c:v>
                </c:pt>
                <c:pt idx="15">
                  <c:v>Union Économique et Monétaire Ouest Africaine</c:v>
                </c:pt>
                <c:pt idx="16">
                  <c:v>Organisation Mondiale de la Santé</c:v>
                </c:pt>
                <c:pt idx="17">
                  <c:v>Haut Commissariat des Réfugiés</c:v>
                </c:pt>
                <c:pt idx="18">
                  <c:v>UE Ligne Thématique</c:v>
                </c:pt>
                <c:pt idx="19">
                  <c:v>Fonds Fiduciaire d'Urgence _ Union Européenne</c:v>
                </c:pt>
                <c:pt idx="20">
                  <c:v>Fonds Mondial pour l'Environnement</c:v>
                </c:pt>
                <c:pt idx="21">
                  <c:v>Fonds des Nations Unies pour la Population</c:v>
                </c:pt>
                <c:pt idx="22">
                  <c:v>Programme des Nations Unies pour le Développement</c:v>
                </c:pt>
                <c:pt idx="23">
                  <c:v>Instrument de Voisinage, de Développement et de Coopération </c:v>
                </c:pt>
                <c:pt idx="24">
                  <c:v>Fonds Européen pour le Développement Regional</c:v>
                </c:pt>
                <c:pt idx="25">
                  <c:v>Gavi Alliance</c:v>
                </c:pt>
                <c:pt idx="26">
                  <c:v>Fonds Européen pour le Développement </c:v>
                </c:pt>
                <c:pt idx="27">
                  <c:v>Organisation des Nations Unies pour l'Enfance</c:v>
                </c:pt>
                <c:pt idx="28">
                  <c:v>Fonds Mondial</c:v>
                </c:pt>
              </c:strCache>
            </c:strRef>
          </c:cat>
          <c:val>
            <c:numRef>
              <c:f>Feuil5!$G$41:$G$69</c:f>
              <c:numCache>
                <c:formatCode>0.0</c:formatCode>
                <c:ptCount val="29"/>
                <c:pt idx="0">
                  <c:v>6.0018901828569836E-4</c:v>
                </c:pt>
                <c:pt idx="1">
                  <c:v>6.5148813327623708E-3</c:v>
                </c:pt>
                <c:pt idx="2">
                  <c:v>1.0526543515004991E-2</c:v>
                </c:pt>
                <c:pt idx="3">
                  <c:v>2.2294444235489222E-2</c:v>
                </c:pt>
                <c:pt idx="4">
                  <c:v>2.3250477887277122E-2</c:v>
                </c:pt>
                <c:pt idx="5">
                  <c:v>4.226518145717513E-2</c:v>
                </c:pt>
                <c:pt idx="6">
                  <c:v>6.7597236030102828E-2</c:v>
                </c:pt>
                <c:pt idx="7">
                  <c:v>0.1304561790688914</c:v>
                </c:pt>
                <c:pt idx="8">
                  <c:v>0.14014516809715494</c:v>
                </c:pt>
                <c:pt idx="9">
                  <c:v>0.14059893458648962</c:v>
                </c:pt>
                <c:pt idx="10">
                  <c:v>0.3119810035924579</c:v>
                </c:pt>
                <c:pt idx="11">
                  <c:v>0.39635123849055554</c:v>
                </c:pt>
                <c:pt idx="12">
                  <c:v>0.43904479884451802</c:v>
                </c:pt>
                <c:pt idx="13">
                  <c:v>0.64637023800891258</c:v>
                </c:pt>
                <c:pt idx="14">
                  <c:v>0.80486873451366436</c:v>
                </c:pt>
                <c:pt idx="15">
                  <c:v>1.1512218097569118</c:v>
                </c:pt>
                <c:pt idx="16">
                  <c:v>1.6743077080626161</c:v>
                </c:pt>
                <c:pt idx="17">
                  <c:v>2.0866138741023073</c:v>
                </c:pt>
                <c:pt idx="18">
                  <c:v>2.1614525979388284</c:v>
                </c:pt>
                <c:pt idx="19">
                  <c:v>2.2284803086847083</c:v>
                </c:pt>
                <c:pt idx="20">
                  <c:v>2.9908703632046842</c:v>
                </c:pt>
                <c:pt idx="21">
                  <c:v>3.0292603183150537</c:v>
                </c:pt>
                <c:pt idx="22">
                  <c:v>3.7180807742908391</c:v>
                </c:pt>
                <c:pt idx="23">
                  <c:v>4.6018118374339227</c:v>
                </c:pt>
                <c:pt idx="24">
                  <c:v>5.3089086393795801</c:v>
                </c:pt>
                <c:pt idx="25">
                  <c:v>7.0762186212214333</c:v>
                </c:pt>
                <c:pt idx="26">
                  <c:v>16.556383307917642</c:v>
                </c:pt>
                <c:pt idx="27">
                  <c:v>16.586427955274353</c:v>
                </c:pt>
                <c:pt idx="28">
                  <c:v>27.647096635738365</c:v>
                </c:pt>
              </c:numCache>
            </c:numRef>
          </c:val>
          <c:extLst>
            <c:ext xmlns:c16="http://schemas.microsoft.com/office/drawing/2014/chart" uri="{C3380CC4-5D6E-409C-BE32-E72D297353CC}">
              <c16:uniqueId val="{00000000-4AF2-496F-B59A-A75C15EA0F51}"/>
            </c:ext>
          </c:extLst>
        </c:ser>
        <c:dLbls>
          <c:showLegendKey val="0"/>
          <c:showVal val="0"/>
          <c:showCatName val="0"/>
          <c:showSerName val="0"/>
          <c:showPercent val="0"/>
          <c:showBubbleSize val="0"/>
        </c:dLbls>
        <c:gapWidth val="182"/>
        <c:axId val="45528127"/>
        <c:axId val="45526879"/>
      </c:barChart>
      <c:catAx>
        <c:axId val="45528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5526879"/>
        <c:crosses val="autoZero"/>
        <c:auto val="1"/>
        <c:lblAlgn val="ctr"/>
        <c:lblOffset val="100"/>
        <c:noMultiLvlLbl val="0"/>
      </c:catAx>
      <c:valAx>
        <c:axId val="4552687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5528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Feuil5!$F$41:$F$69</c:f>
              <c:strCache>
                <c:ptCount val="29"/>
                <c:pt idx="0">
                  <c:v>Fondation Pour le Renforcement des Capacités</c:v>
                </c:pt>
                <c:pt idx="1">
                  <c:v>Programme des Nations Unies pour l'Environnement</c:v>
                </c:pt>
                <c:pt idx="2">
                  <c:v>Convention sur le commerce international des espèces de faune </c:v>
                </c:pt>
                <c:pt idx="3">
                  <c:v>Fonds Européen pour le Développement 10</c:v>
                </c:pt>
                <c:pt idx="4">
                  <c:v>Fonds d’assistance technique pour les pays à revenu intermédiaire</c:v>
                </c:pt>
                <c:pt idx="5">
                  <c:v>Opération des Nations Unies en Côte d'Ivoire</c:v>
                </c:pt>
                <c:pt idx="6">
                  <c:v>Facilité Africaine de l’Eau</c:v>
                </c:pt>
                <c:pt idx="7">
                  <c:v>Fonds Central d'Intervention d'Urgence</c:v>
                </c:pt>
                <c:pt idx="8">
                  <c:v>Fonds de Consolidation de la Paix des Nations Unies</c:v>
                </c:pt>
                <c:pt idx="9">
                  <c:v>Entité des Nations Unies pour l'égalité des sexes et l'autonomisation des femmes</c:v>
                </c:pt>
                <c:pt idx="10">
                  <c:v>Fonds Fiduciaire_ Banque Mondiale</c:v>
                </c:pt>
                <c:pt idx="11">
                  <c:v>Fonds Fiduciaire du Programme d'Adaptation de l'Agriculture Paysanne </c:v>
                </c:pt>
                <c:pt idx="12">
                  <c:v>Organisation des Nations Unies pour l'alimentation et l'agriculture</c:v>
                </c:pt>
                <c:pt idx="13">
                  <c:v>Union Européenne</c:v>
                </c:pt>
                <c:pt idx="14">
                  <c:v>Programme mondial pour l’agriculture et la sécurité alimentaire</c:v>
                </c:pt>
                <c:pt idx="15">
                  <c:v>Union Économique et Monétaire Ouest Africaine</c:v>
                </c:pt>
                <c:pt idx="16">
                  <c:v>Organisation Mondiale de la Santé</c:v>
                </c:pt>
                <c:pt idx="17">
                  <c:v>Haut Commissariat des Réfugiés</c:v>
                </c:pt>
                <c:pt idx="18">
                  <c:v>UE Ligne Thématique</c:v>
                </c:pt>
                <c:pt idx="19">
                  <c:v>Fonds Fiduciaire d'Urgence _ Union Européenne</c:v>
                </c:pt>
                <c:pt idx="20">
                  <c:v>Fonds Mondial pour l'Environnement</c:v>
                </c:pt>
                <c:pt idx="21">
                  <c:v>Fonds des Nations Unies pour la Population</c:v>
                </c:pt>
                <c:pt idx="22">
                  <c:v>Programme des Nations Unies pour le Développement</c:v>
                </c:pt>
                <c:pt idx="23">
                  <c:v>Instrument de Voisinage, de Développement et de Coopération </c:v>
                </c:pt>
                <c:pt idx="24">
                  <c:v>Fonds Européen pour le Développement Regional</c:v>
                </c:pt>
                <c:pt idx="25">
                  <c:v>Gavi Alliance</c:v>
                </c:pt>
                <c:pt idx="26">
                  <c:v>Fonds Européen pour le Développement </c:v>
                </c:pt>
                <c:pt idx="27">
                  <c:v>Organisation des Nations Unies pour l'Enfance</c:v>
                </c:pt>
                <c:pt idx="28">
                  <c:v>Fonds Mondial</c:v>
                </c:pt>
              </c:strCache>
            </c:strRef>
          </c:cat>
          <c:val>
            <c:numRef>
              <c:f>Feuil5!$G$41:$G$69</c:f>
              <c:numCache>
                <c:formatCode>0.0</c:formatCode>
                <c:ptCount val="29"/>
                <c:pt idx="0">
                  <c:v>6.0018901828569836E-4</c:v>
                </c:pt>
                <c:pt idx="1">
                  <c:v>6.5148813327623708E-3</c:v>
                </c:pt>
                <c:pt idx="2">
                  <c:v>1.0526543515004991E-2</c:v>
                </c:pt>
                <c:pt idx="3">
                  <c:v>2.2294444235489222E-2</c:v>
                </c:pt>
                <c:pt idx="4">
                  <c:v>2.3250477887277122E-2</c:v>
                </c:pt>
                <c:pt idx="5">
                  <c:v>4.226518145717513E-2</c:v>
                </c:pt>
                <c:pt idx="6">
                  <c:v>6.7597236030102828E-2</c:v>
                </c:pt>
                <c:pt idx="7">
                  <c:v>0.1304561790688914</c:v>
                </c:pt>
                <c:pt idx="8">
                  <c:v>0.14014516809715494</c:v>
                </c:pt>
                <c:pt idx="9">
                  <c:v>0.14059893458648962</c:v>
                </c:pt>
                <c:pt idx="10">
                  <c:v>0.3119810035924579</c:v>
                </c:pt>
                <c:pt idx="11">
                  <c:v>0.39635123849055554</c:v>
                </c:pt>
                <c:pt idx="12">
                  <c:v>0.43904479884451802</c:v>
                </c:pt>
                <c:pt idx="13">
                  <c:v>0.64637023800891258</c:v>
                </c:pt>
                <c:pt idx="14">
                  <c:v>0.80486873451366436</c:v>
                </c:pt>
                <c:pt idx="15">
                  <c:v>1.1512218097569118</c:v>
                </c:pt>
                <c:pt idx="16">
                  <c:v>1.6743077080626161</c:v>
                </c:pt>
                <c:pt idx="17">
                  <c:v>2.0866138741023073</c:v>
                </c:pt>
                <c:pt idx="18">
                  <c:v>2.1614525979388284</c:v>
                </c:pt>
                <c:pt idx="19">
                  <c:v>2.2284803086847083</c:v>
                </c:pt>
                <c:pt idx="20">
                  <c:v>2.9908703632046842</c:v>
                </c:pt>
                <c:pt idx="21">
                  <c:v>3.0292603183150537</c:v>
                </c:pt>
                <c:pt idx="22">
                  <c:v>3.7180807742908391</c:v>
                </c:pt>
                <c:pt idx="23">
                  <c:v>4.6018118374339227</c:v>
                </c:pt>
                <c:pt idx="24">
                  <c:v>5.3089086393795801</c:v>
                </c:pt>
                <c:pt idx="25">
                  <c:v>7.0762186212214333</c:v>
                </c:pt>
                <c:pt idx="26">
                  <c:v>16.556383307917642</c:v>
                </c:pt>
                <c:pt idx="27">
                  <c:v>16.586427955274353</c:v>
                </c:pt>
                <c:pt idx="28">
                  <c:v>27.647096635738365</c:v>
                </c:pt>
              </c:numCache>
            </c:numRef>
          </c:val>
          <c:extLst>
            <c:ext xmlns:c16="http://schemas.microsoft.com/office/drawing/2014/chart" uri="{C3380CC4-5D6E-409C-BE32-E72D297353CC}">
              <c16:uniqueId val="{00000000-4AF2-496F-B59A-A75C15EA0F51}"/>
            </c:ext>
          </c:extLst>
        </c:ser>
        <c:dLbls>
          <c:showLegendKey val="0"/>
          <c:showVal val="0"/>
          <c:showCatName val="0"/>
          <c:showSerName val="0"/>
          <c:showPercent val="0"/>
          <c:showBubbleSize val="0"/>
        </c:dLbls>
        <c:gapWidth val="182"/>
        <c:axId val="45528127"/>
        <c:axId val="45526879"/>
      </c:barChart>
      <c:catAx>
        <c:axId val="45528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5526879"/>
        <c:crosses val="autoZero"/>
        <c:auto val="1"/>
        <c:lblAlgn val="ctr"/>
        <c:lblOffset val="100"/>
        <c:noMultiLvlLbl val="0"/>
      </c:catAx>
      <c:valAx>
        <c:axId val="4552687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5528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Feuil3!$B$72:$B$91</c:f>
              <c:strCache>
                <c:ptCount val="20"/>
                <c:pt idx="0">
                  <c:v>Fonds Spécial du Nigeria</c:v>
                </c:pt>
                <c:pt idx="1">
                  <c:v>Fonds Stratégique pour le Climat</c:v>
                </c:pt>
                <c:pt idx="2">
                  <c:v>Fonds d’Appui à la Transition</c:v>
                </c:pt>
                <c:pt idx="3">
                  <c:v>Fonds International pour le Développement Agricole</c:v>
                </c:pt>
                <c:pt idx="4">
                  <c:v>OPEC Fund for International Development</c:v>
                </c:pt>
                <c:pt idx="5">
                  <c:v>Banque Islamique de Développement - IJARAH</c:v>
                </c:pt>
                <c:pt idx="6">
                  <c:v>Banque Arabe pour le Développement Economique en Afrique</c:v>
                </c:pt>
                <c:pt idx="7">
                  <c:v>Banque d'Investissement et de Développement et de la CEDEAO</c:v>
                </c:pt>
                <c:pt idx="8">
                  <c:v>Banque Européenne d'Investissements</c:v>
                </c:pt>
                <c:pt idx="9">
                  <c:v>Banque Internationale pour la Reconstruction et le Développement</c:v>
                </c:pt>
                <c:pt idx="10">
                  <c:v>Banque Islamique de Développement</c:v>
                </c:pt>
                <c:pt idx="11">
                  <c:v>Fonds Africain de Développement</c:v>
                </c:pt>
                <c:pt idx="12">
                  <c:v>Banque Gabonaise et Française Internationale</c:v>
                </c:pt>
                <c:pt idx="13">
                  <c:v>Banque Islamique de Développement - ISTISNA'A</c:v>
                </c:pt>
                <c:pt idx="14">
                  <c:v>Banque Ouest Africaine de Développement</c:v>
                </c:pt>
                <c:pt idx="15">
                  <c:v>Banque Africaine d'Import-Export</c:v>
                </c:pt>
                <c:pt idx="16">
                  <c:v>Scale Up Facility</c:v>
                </c:pt>
                <c:pt idx="17">
                  <c:v>Banque Africaine de Développement</c:v>
                </c:pt>
                <c:pt idx="18">
                  <c:v>Fonds Monétaire International</c:v>
                </c:pt>
                <c:pt idx="19">
                  <c:v>Association Internationale de Développement</c:v>
                </c:pt>
              </c:strCache>
            </c:strRef>
          </c:cat>
          <c:val>
            <c:numRef>
              <c:f>Feuil3!$C$72:$C$91</c:f>
              <c:numCache>
                <c:formatCode>0.0</c:formatCode>
                <c:ptCount val="20"/>
                <c:pt idx="0">
                  <c:v>5.3639161492407099E-2</c:v>
                </c:pt>
                <c:pt idx="1">
                  <c:v>5.536830005989659E-2</c:v>
                </c:pt>
                <c:pt idx="2">
                  <c:v>0.12677552808871015</c:v>
                </c:pt>
                <c:pt idx="3">
                  <c:v>0.32118276089174996</c:v>
                </c:pt>
                <c:pt idx="4">
                  <c:v>0.37395146197607576</c:v>
                </c:pt>
                <c:pt idx="5">
                  <c:v>0.62940866891477876</c:v>
                </c:pt>
                <c:pt idx="6">
                  <c:v>0.77552079230040949</c:v>
                </c:pt>
                <c:pt idx="7">
                  <c:v>1.0364634364438594</c:v>
                </c:pt>
                <c:pt idx="8">
                  <c:v>1.3449891571626147</c:v>
                </c:pt>
                <c:pt idx="9">
                  <c:v>1.7084537707837057</c:v>
                </c:pt>
                <c:pt idx="10">
                  <c:v>1.8611337293342423</c:v>
                </c:pt>
                <c:pt idx="11">
                  <c:v>2.3528768409399996</c:v>
                </c:pt>
                <c:pt idx="12">
                  <c:v>2.881021972646999</c:v>
                </c:pt>
                <c:pt idx="13">
                  <c:v>4.349502004398385</c:v>
                </c:pt>
                <c:pt idx="14">
                  <c:v>4.6968844952411679</c:v>
                </c:pt>
                <c:pt idx="15">
                  <c:v>5.5096916557190783</c:v>
                </c:pt>
                <c:pt idx="16">
                  <c:v>5.6944212412489987</c:v>
                </c:pt>
                <c:pt idx="17">
                  <c:v>14.159287289433427</c:v>
                </c:pt>
                <c:pt idx="18">
                  <c:v>19.403032364752484</c:v>
                </c:pt>
                <c:pt idx="19">
                  <c:v>32.666395368169823</c:v>
                </c:pt>
              </c:numCache>
            </c:numRef>
          </c:val>
          <c:extLst>
            <c:ext xmlns:c16="http://schemas.microsoft.com/office/drawing/2014/chart" uri="{C3380CC4-5D6E-409C-BE32-E72D297353CC}">
              <c16:uniqueId val="{00000000-CE80-4316-BF00-0B92BC4602C7}"/>
            </c:ext>
          </c:extLst>
        </c:ser>
        <c:dLbls>
          <c:showLegendKey val="0"/>
          <c:showVal val="0"/>
          <c:showCatName val="0"/>
          <c:showSerName val="0"/>
          <c:showPercent val="0"/>
          <c:showBubbleSize val="0"/>
        </c:dLbls>
        <c:gapWidth val="182"/>
        <c:axId val="267746687"/>
        <c:axId val="267745439"/>
      </c:barChart>
      <c:catAx>
        <c:axId val="267746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7745439"/>
        <c:crosses val="autoZero"/>
        <c:auto val="1"/>
        <c:lblAlgn val="ctr"/>
        <c:lblOffset val="100"/>
        <c:noMultiLvlLbl val="0"/>
      </c:catAx>
      <c:valAx>
        <c:axId val="26774543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7746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5D9E-4123-BB65-8D7442634EA1}"/>
              </c:ext>
            </c:extLst>
          </c:dPt>
          <c:dPt>
            <c:idx val="1"/>
            <c:invertIfNegative val="0"/>
            <c:bubble3D val="0"/>
            <c:spPr>
              <a:solidFill>
                <a:srgbClr val="0070C0"/>
              </a:solidFill>
              <a:ln>
                <a:noFill/>
              </a:ln>
              <a:effectLst/>
            </c:spPr>
            <c:extLst>
              <c:ext xmlns:c16="http://schemas.microsoft.com/office/drawing/2014/chart" uri="{C3380CC4-5D6E-409C-BE32-E72D297353CC}">
                <c16:uniqueId val="{00000003-5D9E-4123-BB65-8D7442634EA1}"/>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5D9E-4123-BB65-8D7442634EA1}"/>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Feuil1!$J$45:$J$47</c:f>
              <c:strCache>
                <c:ptCount val="3"/>
                <c:pt idx="0">
                  <c:v>Multilatéral</c:v>
                </c:pt>
                <c:pt idx="1">
                  <c:v>Commercial</c:v>
                </c:pt>
                <c:pt idx="2">
                  <c:v>Bilatéral </c:v>
                </c:pt>
              </c:strCache>
            </c:strRef>
          </c:cat>
          <c:val>
            <c:numRef>
              <c:f>Feuil1!$K$45:$K$47</c:f>
              <c:numCache>
                <c:formatCode>General</c:formatCode>
                <c:ptCount val="3"/>
                <c:pt idx="0">
                  <c:v>41.5</c:v>
                </c:pt>
                <c:pt idx="1">
                  <c:v>32.1</c:v>
                </c:pt>
                <c:pt idx="2">
                  <c:v>26.4</c:v>
                </c:pt>
              </c:numCache>
            </c:numRef>
          </c:val>
          <c:extLst>
            <c:ext xmlns:c16="http://schemas.microsoft.com/office/drawing/2014/chart" uri="{C3380CC4-5D6E-409C-BE32-E72D297353CC}">
              <c16:uniqueId val="{00000006-5D9E-4123-BB65-8D7442634EA1}"/>
            </c:ext>
          </c:extLst>
        </c:ser>
        <c:dLbls>
          <c:showLegendKey val="0"/>
          <c:showVal val="0"/>
          <c:showCatName val="0"/>
          <c:showSerName val="0"/>
          <c:showPercent val="0"/>
          <c:showBubbleSize val="0"/>
        </c:dLbls>
        <c:gapWidth val="150"/>
        <c:axId val="609809592"/>
        <c:axId val="609808280"/>
      </c:barChart>
      <c:catAx>
        <c:axId val="609809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9808280"/>
        <c:crosses val="autoZero"/>
        <c:auto val="1"/>
        <c:lblAlgn val="ctr"/>
        <c:lblOffset val="100"/>
        <c:noMultiLvlLbl val="0"/>
      </c:catAx>
      <c:valAx>
        <c:axId val="609808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9809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1">
                <a:solidFill>
                  <a:sysClr val="windowText" lastClr="000000"/>
                </a:solidFill>
              </a:rPr>
              <a:t>Evolution des financements</a:t>
            </a:r>
            <a:r>
              <a:rPr lang="en-US" b="1" baseline="0">
                <a:solidFill>
                  <a:sysClr val="windowText" lastClr="000000"/>
                </a:solidFill>
              </a:rPr>
              <a:t> actuels et projections sur les 3 prochaines années (en milliers de $)</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r-FR"/>
        </a:p>
      </c:txPr>
    </c:title>
    <c:autoTitleDeleted val="0"/>
    <c:plotArea>
      <c:layout/>
      <c:lineChart>
        <c:grouping val="standard"/>
        <c:varyColors val="0"/>
        <c:ser>
          <c:idx val="0"/>
          <c:order val="0"/>
          <c:tx>
            <c:strRef>
              <c:f>Feuil1!$A$4</c:f>
              <c:strCache>
                <c:ptCount val="1"/>
                <c:pt idx="0">
                  <c:v>Total TRAC</c:v>
                </c:pt>
              </c:strCache>
            </c:strRef>
          </c:tx>
          <c:spPr>
            <a:ln w="28575" cap="rnd">
              <a:solidFill>
                <a:schemeClr val="accent6">
                  <a:lumMod val="75000"/>
                </a:schemeClr>
              </a:solidFill>
              <a:prstDash val="sysDash"/>
              <a:round/>
            </a:ln>
            <a:effectLst/>
          </c:spPr>
          <c:marker>
            <c:symbol val="none"/>
          </c:marker>
          <c:cat>
            <c:numRef>
              <c:f>Feuil1!$B$3:$F$3</c:f>
              <c:numCache>
                <c:formatCode>General</c:formatCode>
                <c:ptCount val="5"/>
                <c:pt idx="0">
                  <c:v>2021</c:v>
                </c:pt>
                <c:pt idx="1">
                  <c:v>2022</c:v>
                </c:pt>
                <c:pt idx="2">
                  <c:v>2023</c:v>
                </c:pt>
                <c:pt idx="3">
                  <c:v>2024</c:v>
                </c:pt>
                <c:pt idx="4">
                  <c:v>2025</c:v>
                </c:pt>
              </c:numCache>
            </c:numRef>
          </c:cat>
          <c:val>
            <c:numRef>
              <c:f>Feuil1!$B$4:$F$4</c:f>
              <c:numCache>
                <c:formatCode>General</c:formatCode>
                <c:ptCount val="5"/>
                <c:pt idx="0">
                  <c:v>1460</c:v>
                </c:pt>
                <c:pt idx="1">
                  <c:v>1059</c:v>
                </c:pt>
                <c:pt idx="2">
                  <c:v>1059</c:v>
                </c:pt>
                <c:pt idx="3">
                  <c:v>1059</c:v>
                </c:pt>
                <c:pt idx="4">
                  <c:v>1059</c:v>
                </c:pt>
              </c:numCache>
            </c:numRef>
          </c:val>
          <c:smooth val="0"/>
          <c:extLst>
            <c:ext xmlns:c16="http://schemas.microsoft.com/office/drawing/2014/chart" uri="{C3380CC4-5D6E-409C-BE32-E72D297353CC}">
              <c16:uniqueId val="{00000000-C5BA-42D3-B05F-C8D2170AECB1}"/>
            </c:ext>
          </c:extLst>
        </c:ser>
        <c:ser>
          <c:idx val="1"/>
          <c:order val="1"/>
          <c:tx>
            <c:strRef>
              <c:f>Feuil1!$A$5</c:f>
              <c:strCache>
                <c:ptCount val="1"/>
                <c:pt idx="0">
                  <c:v>Governement</c:v>
                </c:pt>
              </c:strCache>
            </c:strRef>
          </c:tx>
          <c:spPr>
            <a:ln w="28575" cap="rnd">
              <a:solidFill>
                <a:schemeClr val="accent2"/>
              </a:solidFill>
              <a:round/>
            </a:ln>
            <a:effectLst/>
          </c:spPr>
          <c:marker>
            <c:symbol val="none"/>
          </c:marker>
          <c:cat>
            <c:numRef>
              <c:f>Feuil1!$B$3:$F$3</c:f>
              <c:numCache>
                <c:formatCode>General</c:formatCode>
                <c:ptCount val="5"/>
                <c:pt idx="0">
                  <c:v>2021</c:v>
                </c:pt>
                <c:pt idx="1">
                  <c:v>2022</c:v>
                </c:pt>
                <c:pt idx="2">
                  <c:v>2023</c:v>
                </c:pt>
                <c:pt idx="3">
                  <c:v>2024</c:v>
                </c:pt>
                <c:pt idx="4">
                  <c:v>2025</c:v>
                </c:pt>
              </c:numCache>
            </c:numRef>
          </c:cat>
          <c:val>
            <c:numRef>
              <c:f>Feuil1!$B$5:$F$5</c:f>
              <c:numCache>
                <c:formatCode>General</c:formatCode>
                <c:ptCount val="5"/>
                <c:pt idx="0">
                  <c:v>400</c:v>
                </c:pt>
                <c:pt idx="1">
                  <c:v>500</c:v>
                </c:pt>
                <c:pt idx="2">
                  <c:v>1500</c:v>
                </c:pt>
                <c:pt idx="3">
                  <c:v>1000</c:v>
                </c:pt>
                <c:pt idx="4">
                  <c:v>1000</c:v>
                </c:pt>
              </c:numCache>
            </c:numRef>
          </c:val>
          <c:smooth val="0"/>
          <c:extLst>
            <c:ext xmlns:c16="http://schemas.microsoft.com/office/drawing/2014/chart" uri="{C3380CC4-5D6E-409C-BE32-E72D297353CC}">
              <c16:uniqueId val="{00000001-C5BA-42D3-B05F-C8D2170AECB1}"/>
            </c:ext>
          </c:extLst>
        </c:ser>
        <c:ser>
          <c:idx val="2"/>
          <c:order val="2"/>
          <c:tx>
            <c:strRef>
              <c:f>Feuil1!$A$6</c:f>
              <c:strCache>
                <c:ptCount val="1"/>
                <c:pt idx="0">
                  <c:v>Cost-Sharing</c:v>
                </c:pt>
              </c:strCache>
            </c:strRef>
          </c:tx>
          <c:spPr>
            <a:ln w="28575" cap="rnd">
              <a:solidFill>
                <a:schemeClr val="tx1"/>
              </a:solidFill>
              <a:round/>
            </a:ln>
            <a:effectLst/>
          </c:spPr>
          <c:marker>
            <c:symbol val="none"/>
          </c:marker>
          <c:cat>
            <c:numRef>
              <c:f>Feuil1!$B$3:$F$3</c:f>
              <c:numCache>
                <c:formatCode>General</c:formatCode>
                <c:ptCount val="5"/>
                <c:pt idx="0">
                  <c:v>2021</c:v>
                </c:pt>
                <c:pt idx="1">
                  <c:v>2022</c:v>
                </c:pt>
                <c:pt idx="2">
                  <c:v>2023</c:v>
                </c:pt>
                <c:pt idx="3">
                  <c:v>2024</c:v>
                </c:pt>
                <c:pt idx="4">
                  <c:v>2025</c:v>
                </c:pt>
              </c:numCache>
            </c:numRef>
          </c:cat>
          <c:val>
            <c:numRef>
              <c:f>Feuil1!$B$6:$F$6</c:f>
              <c:numCache>
                <c:formatCode>General</c:formatCode>
                <c:ptCount val="5"/>
                <c:pt idx="0">
                  <c:v>2849</c:v>
                </c:pt>
                <c:pt idx="1">
                  <c:v>5484</c:v>
                </c:pt>
                <c:pt idx="2">
                  <c:v>14209</c:v>
                </c:pt>
                <c:pt idx="3">
                  <c:v>13343</c:v>
                </c:pt>
                <c:pt idx="4">
                  <c:v>15055</c:v>
                </c:pt>
              </c:numCache>
            </c:numRef>
          </c:val>
          <c:smooth val="0"/>
          <c:extLst>
            <c:ext xmlns:c16="http://schemas.microsoft.com/office/drawing/2014/chart" uri="{C3380CC4-5D6E-409C-BE32-E72D297353CC}">
              <c16:uniqueId val="{00000002-C5BA-42D3-B05F-C8D2170AECB1}"/>
            </c:ext>
          </c:extLst>
        </c:ser>
        <c:ser>
          <c:idx val="3"/>
          <c:order val="3"/>
          <c:tx>
            <c:strRef>
              <c:f>Feuil1!$A$7</c:f>
              <c:strCache>
                <c:ptCount val="1"/>
                <c:pt idx="0">
                  <c:v>Fonds Verts/Thématques</c:v>
                </c:pt>
              </c:strCache>
            </c:strRef>
          </c:tx>
          <c:spPr>
            <a:ln w="28575" cap="rnd">
              <a:solidFill>
                <a:srgbClr val="0070C0"/>
              </a:solidFill>
              <a:prstDash val="dash"/>
              <a:round/>
            </a:ln>
            <a:effectLst/>
          </c:spPr>
          <c:marker>
            <c:symbol val="none"/>
          </c:marker>
          <c:cat>
            <c:numRef>
              <c:f>Feuil1!$B$3:$F$3</c:f>
              <c:numCache>
                <c:formatCode>General</c:formatCode>
                <c:ptCount val="5"/>
                <c:pt idx="0">
                  <c:v>2021</c:v>
                </c:pt>
                <c:pt idx="1">
                  <c:v>2022</c:v>
                </c:pt>
                <c:pt idx="2">
                  <c:v>2023</c:v>
                </c:pt>
                <c:pt idx="3">
                  <c:v>2024</c:v>
                </c:pt>
                <c:pt idx="4">
                  <c:v>2025</c:v>
                </c:pt>
              </c:numCache>
            </c:numRef>
          </c:cat>
          <c:val>
            <c:numRef>
              <c:f>Feuil1!$B$7:$F$7</c:f>
              <c:numCache>
                <c:formatCode>General</c:formatCode>
                <c:ptCount val="5"/>
                <c:pt idx="0">
                  <c:v>2170</c:v>
                </c:pt>
                <c:pt idx="1">
                  <c:v>2368</c:v>
                </c:pt>
                <c:pt idx="2">
                  <c:v>1501</c:v>
                </c:pt>
                <c:pt idx="3">
                  <c:v>4025</c:v>
                </c:pt>
                <c:pt idx="4">
                  <c:v>2800</c:v>
                </c:pt>
              </c:numCache>
            </c:numRef>
          </c:val>
          <c:smooth val="0"/>
          <c:extLst>
            <c:ext xmlns:c16="http://schemas.microsoft.com/office/drawing/2014/chart" uri="{C3380CC4-5D6E-409C-BE32-E72D297353CC}">
              <c16:uniqueId val="{00000003-C5BA-42D3-B05F-C8D2170AECB1}"/>
            </c:ext>
          </c:extLst>
        </c:ser>
        <c:dLbls>
          <c:showLegendKey val="0"/>
          <c:showVal val="0"/>
          <c:showCatName val="0"/>
          <c:showSerName val="0"/>
          <c:showPercent val="0"/>
          <c:showBubbleSize val="0"/>
        </c:dLbls>
        <c:smooth val="0"/>
        <c:axId val="481543728"/>
        <c:axId val="481529584"/>
      </c:lineChart>
      <c:catAx>
        <c:axId val="48154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1529584"/>
        <c:crosses val="autoZero"/>
        <c:auto val="1"/>
        <c:lblAlgn val="ctr"/>
        <c:lblOffset val="100"/>
        <c:noMultiLvlLbl val="0"/>
      </c:catAx>
      <c:valAx>
        <c:axId val="48152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154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'MyDept Pipeline by Opportunity '!$AC$45</c:f>
              <c:strCache>
                <c:ptCount val="1"/>
                <c:pt idx="0">
                  <c:v>Montant ($)</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8E-4E86-AE65-70861BFEB01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8E-4E86-AE65-70861BFEB01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8E-4E86-AE65-70861BFEB0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'MyDept Pipeline by Opportunity '!$AB$46:$AB$48</c:f>
              <c:strCache>
                <c:ptCount val="3"/>
                <c:pt idx="0">
                  <c:v>A-Hard Pipeline (90%)</c:v>
                </c:pt>
                <c:pt idx="1">
                  <c:v> B-Soft Pipeline (50-70%)</c:v>
                </c:pt>
                <c:pt idx="2">
                  <c:v>C- Ideas (30%)</c:v>
                </c:pt>
              </c:strCache>
            </c:strRef>
          </c:cat>
          <c:val>
            <c:numRef>
              <c:f>'MyDept Pipeline by Opportunity '!$AC$46:$AC$48</c:f>
              <c:numCache>
                <c:formatCode>#,##0</c:formatCode>
                <c:ptCount val="3"/>
                <c:pt idx="0">
                  <c:v>19736000</c:v>
                </c:pt>
                <c:pt idx="1">
                  <c:v>15800000</c:v>
                </c:pt>
                <c:pt idx="2">
                  <c:v>46146000</c:v>
                </c:pt>
              </c:numCache>
            </c:numRef>
          </c:val>
          <c:extLst>
            <c:ext xmlns:c16="http://schemas.microsoft.com/office/drawing/2014/chart" uri="{C3380CC4-5D6E-409C-BE32-E72D297353CC}">
              <c16:uniqueId val="{00000003-378E-4E86-AE65-70861BFEB019}"/>
            </c:ext>
          </c:extLst>
        </c:ser>
        <c:dLbls>
          <c:showLegendKey val="0"/>
          <c:showVal val="0"/>
          <c:showCatName val="0"/>
          <c:showSerName val="0"/>
          <c:showPercent val="0"/>
          <c:showBubbleSize val="0"/>
        </c:dLbls>
        <c:gapWidth val="182"/>
        <c:axId val="717383048"/>
        <c:axId val="717381968"/>
      </c:barChart>
      <c:catAx>
        <c:axId val="717383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17381968"/>
        <c:crosses val="autoZero"/>
        <c:auto val="1"/>
        <c:lblAlgn val="ctr"/>
        <c:lblOffset val="100"/>
        <c:noMultiLvlLbl val="0"/>
      </c:catAx>
      <c:valAx>
        <c:axId val="717381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17383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189D55CE79B4C85B221187B157378" ma:contentTypeVersion="14" ma:contentTypeDescription="Create a new document." ma:contentTypeScope="" ma:versionID="97af35dc1332919dbde61c42adffeec8">
  <xsd:schema xmlns:xsd="http://www.w3.org/2001/XMLSchema" xmlns:xs="http://www.w3.org/2001/XMLSchema" xmlns:p="http://schemas.microsoft.com/office/2006/metadata/properties" xmlns:ns3="2c2f8587-6f93-4769-927d-a0b146a7779a" xmlns:ns4="afa06299-e13b-421e-8a07-f64d8ef0d4ca" targetNamespace="http://schemas.microsoft.com/office/2006/metadata/properties" ma:root="true" ma:fieldsID="1fdd79e22450ccf6ffe14c69e26266dc" ns3:_="" ns4:_="">
    <xsd:import namespace="2c2f8587-6f93-4769-927d-a0b146a7779a"/>
    <xsd:import namespace="afa06299-e13b-421e-8a07-f64d8ef0d4c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LengthInSecond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f8587-6f93-4769-927d-a0b146a777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a06299-e13b-421e-8a07-f64d8ef0d4c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050AAF-0147-4261-AB0A-EB54D0CC4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f8587-6f93-4769-927d-a0b146a7779a"/>
    <ds:schemaRef ds:uri="afa06299-e13b-421e-8a07-f64d8ef0d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97A326-1C9B-468C-9DB9-21B81B4C0287}">
  <ds:schemaRefs>
    <ds:schemaRef ds:uri="http://schemas.openxmlformats.org/officeDocument/2006/bibliography"/>
  </ds:schemaRefs>
</ds:datastoreItem>
</file>

<file path=customXml/itemProps3.xml><?xml version="1.0" encoding="utf-8"?>
<ds:datastoreItem xmlns:ds="http://schemas.openxmlformats.org/officeDocument/2006/customXml" ds:itemID="{EE01A436-361B-49ED-AC4B-7A18973BAF6F}">
  <ds:schemaRefs>
    <ds:schemaRef ds:uri="http://schemas.microsoft.com/sharepoint/v3/contenttype/forms"/>
  </ds:schemaRefs>
</ds:datastoreItem>
</file>

<file path=customXml/itemProps4.xml><?xml version="1.0" encoding="utf-8"?>
<ds:datastoreItem xmlns:ds="http://schemas.openxmlformats.org/officeDocument/2006/customXml" ds:itemID="{FD72FBF0-E26E-49D9-93E3-751305767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10166</Words>
  <Characters>55917</Characters>
  <Application>Microsoft Office Word</Application>
  <DocSecurity>0</DocSecurity>
  <Lines>465</Lines>
  <Paragraphs>131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Boga</dc:creator>
  <cp:keywords/>
  <dc:description/>
  <cp:lastModifiedBy>Christian Boga</cp:lastModifiedBy>
  <cp:revision>2</cp:revision>
  <dcterms:created xsi:type="dcterms:W3CDTF">2023-09-28T14:04:00Z</dcterms:created>
  <dcterms:modified xsi:type="dcterms:W3CDTF">2023-09-28T14:04:00Z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0x0101009F5189D55CE79B4C85B221187B157378</vt:lpwstr>
  </property>
</Properties>
</file>