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FC" w:rsidRPr="00985C2D" w:rsidRDefault="00C832ED" w:rsidP="00052528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What is </w:t>
      </w:r>
      <w:r w:rsidR="0031388F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Value Added </w:t>
      </w:r>
      <w:r w:rsidR="00E1474A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Tax</w:t>
      </w:r>
      <w:r w:rsidR="0031388F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(VAT)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:rsidR="00B262D8" w:rsidRPr="00985C2D" w:rsidRDefault="0031388F" w:rsidP="001712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85C2D">
        <w:rPr>
          <w:rFonts w:ascii="Arial" w:hAnsi="Arial" w:cs="Arial"/>
          <w:sz w:val="24"/>
          <w:szCs w:val="24"/>
        </w:rPr>
        <w:t xml:space="preserve">VAT is a consumption tax levied on taxable supplies of goods and services in The Gambia and </w:t>
      </w:r>
      <w:r w:rsidR="000E16BE" w:rsidRPr="00985C2D">
        <w:rPr>
          <w:rFonts w:ascii="Arial" w:hAnsi="Arial" w:cs="Arial"/>
          <w:sz w:val="24"/>
          <w:szCs w:val="24"/>
        </w:rPr>
        <w:t xml:space="preserve">on </w:t>
      </w:r>
      <w:r w:rsidRPr="00985C2D">
        <w:rPr>
          <w:rFonts w:ascii="Arial" w:hAnsi="Arial" w:cs="Arial"/>
          <w:sz w:val="24"/>
          <w:szCs w:val="24"/>
        </w:rPr>
        <w:t xml:space="preserve">goods imported. It is not a tax on profits. </w:t>
      </w:r>
      <w:r w:rsidR="0065675E" w:rsidRPr="00985C2D">
        <w:rPr>
          <w:rFonts w:ascii="Arial" w:hAnsi="Arial" w:cs="Arial"/>
          <w:sz w:val="24"/>
          <w:szCs w:val="24"/>
        </w:rPr>
        <w:t xml:space="preserve"> </w:t>
      </w:r>
    </w:p>
    <w:p w:rsidR="007863F0" w:rsidRPr="00C460BB" w:rsidRDefault="007863F0" w:rsidP="00667A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4"/>
          <w:sz w:val="16"/>
          <w:szCs w:val="16"/>
          <w:lang w:val="en-US"/>
        </w:rPr>
      </w:pPr>
    </w:p>
    <w:p w:rsidR="000959F0" w:rsidRPr="00985C2D" w:rsidRDefault="000959F0" w:rsidP="008E5E35">
      <w:pPr>
        <w:pStyle w:val="ListParagraph"/>
        <w:numPr>
          <w:ilvl w:val="0"/>
          <w:numId w:val="1"/>
        </w:numPr>
        <w:spacing w:after="0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Who should </w:t>
      </w:r>
      <w:proofErr w:type="gramStart"/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Register</w:t>
      </w:r>
      <w:proofErr w:type="gramEnd"/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Charge VAT?</w:t>
      </w:r>
    </w:p>
    <w:p w:rsidR="000959F0" w:rsidRPr="00985C2D" w:rsidRDefault="000959F0" w:rsidP="008027AF">
      <w:pPr>
        <w:pStyle w:val="ListParagraph"/>
        <w:numPr>
          <w:ilvl w:val="0"/>
          <w:numId w:val="18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All businesses with taxable supplies</w:t>
      </w:r>
      <w:r w:rsidR="00FE5929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(sales)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D1</w:t>
      </w:r>
      <w:proofErr w:type="gramStart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,000,000</w:t>
      </w:r>
      <w:proofErr w:type="gramEnd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over </w:t>
      </w:r>
      <w:r w:rsidR="008027A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 a tax year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are required to </w:t>
      </w:r>
      <w:r w:rsidR="008027AF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compulsorily 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register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charge VAT.  </w:t>
      </w:r>
    </w:p>
    <w:p w:rsidR="008027AF" w:rsidRPr="00985C2D" w:rsidRDefault="000959F0" w:rsidP="008027AF">
      <w:pPr>
        <w:pStyle w:val="ListParagraph"/>
        <w:numPr>
          <w:ilvl w:val="0"/>
          <w:numId w:val="17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In addition, business</w:t>
      </w:r>
      <w:r w:rsidR="00FE5929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es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with taxable supplies </w:t>
      </w:r>
      <w:r w:rsidR="00FE5929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of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D500</w:t>
      </w:r>
      <w:proofErr w:type="gramStart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,000</w:t>
      </w:r>
      <w:proofErr w:type="gramEnd"/>
      <w:r w:rsidR="00FE5929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above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027A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 a tax year </w:t>
      </w:r>
      <w:r w:rsidR="00FE5929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may 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voluntarily register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8027A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</w:p>
    <w:p w:rsidR="008027AF" w:rsidRPr="00985C2D" w:rsidRDefault="008027AF" w:rsidP="008027AF">
      <w:pPr>
        <w:pStyle w:val="ListParagraph"/>
        <w:numPr>
          <w:ilvl w:val="0"/>
          <w:numId w:val="16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Businesses who do not meet these thresholds 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cannot register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cannot charge VAT.</w:t>
      </w:r>
    </w:p>
    <w:p w:rsidR="000959F0" w:rsidRPr="00985C2D" w:rsidRDefault="00C460BB" w:rsidP="000959F0">
      <w:pPr>
        <w:spacing w:after="0"/>
        <w:ind w:left="-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VAT registra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nts</w:t>
      </w:r>
      <w:r w:rsidR="000D7305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are required to:</w:t>
      </w:r>
    </w:p>
    <w:p w:rsidR="000D7305" w:rsidRPr="00985C2D" w:rsidRDefault="000D7305" w:rsidP="000D7305">
      <w:pPr>
        <w:pStyle w:val="ListParagraph"/>
        <w:numPr>
          <w:ilvl w:val="0"/>
          <w:numId w:val="16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Keep proper records of their business transactions</w:t>
      </w:r>
      <w:r w:rsidR="00FE5929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0D7305" w:rsidRPr="00985C2D" w:rsidRDefault="000D7305" w:rsidP="000D7305">
      <w:pPr>
        <w:pStyle w:val="ListParagraph"/>
        <w:numPr>
          <w:ilvl w:val="0"/>
          <w:numId w:val="16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Display their Certificate</w:t>
      </w:r>
      <w:r w:rsidR="00BC72E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VAT Registration at all business premises.</w:t>
      </w:r>
    </w:p>
    <w:p w:rsidR="000D7305" w:rsidRPr="00985C2D" w:rsidRDefault="000D7305" w:rsidP="000D7305">
      <w:pPr>
        <w:pStyle w:val="ListParagraph"/>
        <w:numPr>
          <w:ilvl w:val="0"/>
          <w:numId w:val="16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Issue VAT inclusive invoices and receipts</w:t>
      </w:r>
      <w:r w:rsidR="009204D8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500010" w:rsidRDefault="00500010" w:rsidP="000D7305">
      <w:pPr>
        <w:pStyle w:val="ListParagraph"/>
        <w:numPr>
          <w:ilvl w:val="0"/>
          <w:numId w:val="16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Advertise and quote prices </w:t>
      </w:r>
      <w:r w:rsidR="00BC72E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inclusive of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VAT</w:t>
      </w:r>
      <w:r w:rsidR="00096592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C460BB" w:rsidRPr="00C460BB" w:rsidRDefault="00C460BB" w:rsidP="00C460BB">
      <w:pPr>
        <w:spacing w:after="0"/>
        <w:ind w:left="-20"/>
        <w:jc w:val="both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096592" w:rsidRPr="00985C2D" w:rsidRDefault="00096592" w:rsidP="007B1851">
      <w:pPr>
        <w:pStyle w:val="ListParagraph"/>
        <w:numPr>
          <w:ilvl w:val="0"/>
          <w:numId w:val="1"/>
        </w:numPr>
        <w:spacing w:after="0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What are </w:t>
      </w:r>
      <w:r w:rsidR="00BC72E6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Benefits </w:t>
      </w:r>
      <w:r w:rsidR="00BC72E6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f Registering for VAT?</w:t>
      </w:r>
    </w:p>
    <w:p w:rsidR="00784CA2" w:rsidRDefault="00096592" w:rsidP="007B1851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VAT </w:t>
      </w:r>
      <w:r w:rsidR="00BC72E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registrants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C72E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are able to claim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Input VAT credits</w:t>
      </w:r>
      <w:r w:rsidR="00020C5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 i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mplying that </w:t>
      </w:r>
      <w:r w:rsidR="00BC72E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VAT </w:t>
      </w:r>
      <w:r w:rsidR="00BC72E6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paid on any expenditure can be recovered from GRA. 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</w:p>
    <w:p w:rsidR="00C460BB" w:rsidRPr="00C460BB" w:rsidRDefault="00C460BB" w:rsidP="007B1851">
      <w:pPr>
        <w:spacing w:after="0"/>
        <w:jc w:val="both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500010" w:rsidRPr="00985C2D" w:rsidRDefault="00500010" w:rsidP="008E5E35">
      <w:pPr>
        <w:pStyle w:val="ListParagraph"/>
        <w:numPr>
          <w:ilvl w:val="0"/>
          <w:numId w:val="1"/>
        </w:numPr>
        <w:spacing w:after="0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 a </w:t>
      </w:r>
      <w:r w:rsidR="00096592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VAT Registrant De-R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egister</w:t>
      </w:r>
      <w:r w:rsidR="00C460BB" w:rsidRPr="00C460B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C460BB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="00C460BB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ater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:rsidR="00096592" w:rsidRPr="00985C2D" w:rsidRDefault="00096592" w:rsidP="00096592">
      <w:pPr>
        <w:spacing w:after="0"/>
        <w:ind w:left="-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YES.  A </w:t>
      </w:r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business that have registered for 2 years and whose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turnover was below </w:t>
      </w:r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D500</w:t>
      </w:r>
      <w:proofErr w:type="gramStart"/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,000</w:t>
      </w:r>
      <w:proofErr w:type="gramEnd"/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last 12 months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can de-register. </w:t>
      </w:r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However, the registrant is required to be filing regularly within this two-year period. Also, the CG can cancel a taxpayer’s registration if satisfied that the</w:t>
      </w:r>
      <w:r w:rsidR="00183D6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183D6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h</w:t>
      </w:r>
      <w:r w:rsidR="0018527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as</w:t>
      </w:r>
      <w:proofErr w:type="gramEnd"/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not </w:t>
      </w:r>
      <w:r w:rsidR="00183D6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been </w:t>
      </w:r>
      <w:r w:rsidR="0018527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183D6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18527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et</w:t>
      </w:r>
      <w:r w:rsidR="00183D6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ing</w:t>
      </w:r>
      <w:r w:rsidR="0018527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their obligation</w:t>
      </w:r>
      <w:r w:rsidR="00183D6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 w:rsidR="0018527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</w:p>
    <w:p w:rsidR="00985C2D" w:rsidRPr="00C460BB" w:rsidRDefault="00985C2D" w:rsidP="00096592">
      <w:pPr>
        <w:spacing w:after="0"/>
        <w:ind w:left="-20"/>
        <w:jc w:val="both"/>
        <w:rPr>
          <w:rFonts w:ascii="Arial" w:eastAsia="Times New Roman" w:hAnsi="Arial" w:cs="Arial"/>
          <w:bCs/>
          <w:color w:val="FF0000"/>
          <w:sz w:val="16"/>
          <w:szCs w:val="16"/>
        </w:rPr>
      </w:pPr>
    </w:p>
    <w:p w:rsidR="00A779FC" w:rsidRPr="00985C2D" w:rsidRDefault="006775D2" w:rsidP="008E5E35">
      <w:pPr>
        <w:pStyle w:val="ListParagraph"/>
        <w:numPr>
          <w:ilvl w:val="0"/>
          <w:numId w:val="1"/>
        </w:numPr>
        <w:spacing w:after="0"/>
        <w:ind w:left="3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Who </w:t>
      </w:r>
      <w:r w:rsidR="00546F54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is Liable to Pay </w:t>
      </w:r>
      <w:r w:rsidR="000C57AB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VAT</w:t>
      </w:r>
      <w:r w:rsidR="00546F54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183D6C" w:rsidRPr="00985C2D" w:rsidRDefault="00DE6032" w:rsidP="007863F0">
      <w:pPr>
        <w:autoSpaceDE w:val="0"/>
        <w:autoSpaceDN w:val="0"/>
        <w:adjustRightInd w:val="0"/>
        <w:spacing w:after="0" w:line="240" w:lineRule="auto"/>
        <w:ind w:left="-2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 w:rsidR="007863F0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ll </w:t>
      </w:r>
      <w:r w:rsidR="000C57AB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consumers of taxable goods and services in The Gambia are liable to pay VAT.  </w:t>
      </w:r>
      <w:r w:rsidR="00CA30A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Equally all importers of taxable goods or services are liable to pay VAT. </w:t>
      </w:r>
    </w:p>
    <w:p w:rsidR="00183D6C" w:rsidRPr="00C460BB" w:rsidRDefault="00183D6C" w:rsidP="007863F0">
      <w:pPr>
        <w:autoSpaceDE w:val="0"/>
        <w:autoSpaceDN w:val="0"/>
        <w:adjustRightInd w:val="0"/>
        <w:spacing w:after="0" w:line="240" w:lineRule="auto"/>
        <w:ind w:left="-20"/>
        <w:jc w:val="both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183D6C" w:rsidRPr="00985C2D" w:rsidRDefault="00183D6C" w:rsidP="007B1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sz w:val="24"/>
          <w:szCs w:val="24"/>
        </w:rPr>
        <w:t xml:space="preserve">Who is </w:t>
      </w:r>
      <w:r w:rsidR="007B1851" w:rsidRPr="00985C2D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985C2D">
        <w:rPr>
          <w:rFonts w:ascii="Arial" w:eastAsia="Times New Roman" w:hAnsi="Arial" w:cs="Arial"/>
          <w:b/>
          <w:bCs/>
          <w:sz w:val="24"/>
          <w:szCs w:val="24"/>
        </w:rPr>
        <w:t>ligible for VAT Refund</w:t>
      </w:r>
      <w:r w:rsidR="007B1851" w:rsidRPr="00985C2D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0C57AB" w:rsidRPr="00985C2D" w:rsidRDefault="00A02AB8" w:rsidP="009204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5C2D">
        <w:rPr>
          <w:rFonts w:ascii="Arial" w:eastAsia="Times New Roman" w:hAnsi="Arial" w:cs="Arial"/>
          <w:bCs/>
          <w:sz w:val="24"/>
          <w:szCs w:val="24"/>
        </w:rPr>
        <w:t>Diplomatic</w:t>
      </w:r>
      <w:r w:rsidR="009204D8" w:rsidRPr="00985C2D">
        <w:rPr>
          <w:rFonts w:ascii="Arial" w:eastAsia="Times New Roman" w:hAnsi="Arial" w:cs="Arial"/>
          <w:bCs/>
          <w:sz w:val="24"/>
          <w:szCs w:val="24"/>
        </w:rPr>
        <w:t xml:space="preserve"> missions and diplomats.</w:t>
      </w:r>
    </w:p>
    <w:p w:rsidR="007B1851" w:rsidRPr="00985C2D" w:rsidRDefault="007B1851" w:rsidP="009204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5C2D">
        <w:rPr>
          <w:rFonts w:ascii="Arial" w:eastAsia="Times New Roman" w:hAnsi="Arial" w:cs="Arial"/>
          <w:bCs/>
          <w:sz w:val="24"/>
          <w:szCs w:val="24"/>
        </w:rPr>
        <w:t>International Organisations</w:t>
      </w:r>
    </w:p>
    <w:p w:rsidR="007B1851" w:rsidRPr="00985C2D" w:rsidRDefault="007B1851" w:rsidP="009204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985C2D">
        <w:rPr>
          <w:rFonts w:ascii="Arial" w:eastAsia="Times New Roman" w:hAnsi="Arial" w:cs="Arial"/>
          <w:bCs/>
          <w:sz w:val="24"/>
          <w:szCs w:val="24"/>
        </w:rPr>
        <w:t>Non Governmental</w:t>
      </w:r>
      <w:proofErr w:type="spellEnd"/>
      <w:r w:rsidRPr="00985C2D">
        <w:rPr>
          <w:rFonts w:ascii="Arial" w:eastAsia="Times New Roman" w:hAnsi="Arial" w:cs="Arial"/>
          <w:bCs/>
          <w:sz w:val="24"/>
          <w:szCs w:val="24"/>
        </w:rPr>
        <w:t xml:space="preserve"> Organisations</w:t>
      </w:r>
    </w:p>
    <w:p w:rsidR="009204D8" w:rsidRPr="00985C2D" w:rsidRDefault="007B1851" w:rsidP="009204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VAT registrants who incur more input VAT for three consecutive months can apply for refund to GRA. </w:t>
      </w:r>
      <w:r w:rsidRPr="00985C2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B7329" w:rsidRPr="00985C2D" w:rsidRDefault="007D6E87" w:rsidP="009204D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85C2D">
        <w:rPr>
          <w:rFonts w:ascii="Arial" w:eastAsia="Times New Roman" w:hAnsi="Arial" w:cs="Arial"/>
          <w:bCs/>
          <w:sz w:val="24"/>
          <w:szCs w:val="24"/>
        </w:rPr>
        <w:t>Registrants, where</w:t>
      </w:r>
      <w:r w:rsidR="000B7329" w:rsidRPr="00985C2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85C2D">
        <w:rPr>
          <w:rFonts w:ascii="Arial" w:eastAsia="Times New Roman" w:hAnsi="Arial" w:cs="Arial"/>
          <w:bCs/>
          <w:sz w:val="24"/>
          <w:szCs w:val="24"/>
        </w:rPr>
        <w:t>50% of their supplies in the preceding 12 months are zero rated e.g. e</w:t>
      </w:r>
      <w:r w:rsidR="000B7329" w:rsidRPr="00985C2D">
        <w:rPr>
          <w:rFonts w:ascii="Arial" w:eastAsia="Times New Roman" w:hAnsi="Arial" w:cs="Arial"/>
          <w:bCs/>
          <w:sz w:val="24"/>
          <w:szCs w:val="24"/>
        </w:rPr>
        <w:t>xporters</w:t>
      </w:r>
      <w:r w:rsidRPr="00985C2D">
        <w:rPr>
          <w:rFonts w:ascii="Arial" w:eastAsia="Times New Roman" w:hAnsi="Arial" w:cs="Arial"/>
          <w:bCs/>
          <w:sz w:val="24"/>
          <w:szCs w:val="24"/>
        </w:rPr>
        <w:t>.</w:t>
      </w:r>
      <w:r w:rsidR="000B7329" w:rsidRPr="00985C2D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7B1851" w:rsidRPr="00C460BB" w:rsidRDefault="007B1851" w:rsidP="00C460BB">
      <w:pPr>
        <w:autoSpaceDE w:val="0"/>
        <w:autoSpaceDN w:val="0"/>
        <w:adjustRightInd w:val="0"/>
        <w:spacing w:after="0" w:line="240" w:lineRule="auto"/>
        <w:ind w:left="-2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2AB8" w:rsidRPr="00985C2D" w:rsidRDefault="00A02AB8" w:rsidP="00514EB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are the Exempted Supplies</w:t>
      </w:r>
    </w:p>
    <w:p w:rsidR="00A02AB8" w:rsidRPr="00985C2D" w:rsidRDefault="00A02AB8" w:rsidP="001712A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Exempt supplies are goods and services that </w:t>
      </w:r>
      <w:r w:rsidR="007D6E8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 VAT is charged on.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Th</w:t>
      </w:r>
      <w:r w:rsidR="007D6E8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is includes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A02AB8" w:rsidRPr="00985C2D" w:rsidRDefault="00A02AB8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Basic foods such as rice, sugar, flour, cooking oil, onions, potatoes, </w:t>
      </w:r>
      <w:proofErr w:type="spellStart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etc</w:t>
      </w:r>
      <w:proofErr w:type="spellEnd"/>
    </w:p>
    <w:p w:rsidR="007D6E87" w:rsidRPr="00985C2D" w:rsidRDefault="00A02AB8" w:rsidP="007D6E87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Educational services</w:t>
      </w:r>
      <w:r w:rsidR="007D6E8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7D6E87" w:rsidRPr="00985C2D" w:rsidRDefault="007D6E87" w:rsidP="007D6E87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Prescription drugs </w:t>
      </w:r>
    </w:p>
    <w:p w:rsidR="00A02AB8" w:rsidRPr="00985C2D" w:rsidRDefault="00A02AB8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Medical, dental, 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veterinary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optical services </w:t>
      </w:r>
    </w:p>
    <w:p w:rsidR="008727C1" w:rsidRPr="00985C2D" w:rsidRDefault="008727C1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Agriculture and aquaculture inputs and equipment </w:t>
      </w:r>
    </w:p>
    <w:p w:rsidR="008727C1" w:rsidRPr="00985C2D" w:rsidRDefault="008727C1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Unprocessed agricultural and </w:t>
      </w:r>
      <w:proofErr w:type="spellStart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aquacultural</w:t>
      </w:r>
      <w:proofErr w:type="spellEnd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products</w:t>
      </w:r>
    </w:p>
    <w:p w:rsidR="008727C1" w:rsidRPr="00985C2D" w:rsidRDefault="008727C1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Life and health insurance</w:t>
      </w:r>
    </w:p>
    <w:p w:rsidR="008727C1" w:rsidRPr="00985C2D" w:rsidRDefault="008727C1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Financial services not rendered for a fee or commission.</w:t>
      </w:r>
    </w:p>
    <w:p w:rsidR="008727C1" w:rsidRPr="00985C2D" w:rsidRDefault="008727C1" w:rsidP="00C460BB">
      <w:pPr>
        <w:pStyle w:val="ListParagraph"/>
        <w:numPr>
          <w:ilvl w:val="0"/>
          <w:numId w:val="20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Domestic transportation and ferry servic</w:t>
      </w:r>
      <w:r w:rsidR="00F8101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es, excluding transportation related to tourism.</w:t>
      </w:r>
    </w:p>
    <w:p w:rsidR="008727C1" w:rsidRPr="00985C2D" w:rsidRDefault="008727C1" w:rsidP="00A02AB8">
      <w:pPr>
        <w:pStyle w:val="ListParagraph"/>
        <w:numPr>
          <w:ilvl w:val="0"/>
          <w:numId w:val="20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Residential properties</w:t>
      </w:r>
    </w:p>
    <w:p w:rsidR="008727C1" w:rsidRDefault="00BC0524" w:rsidP="00C460BB">
      <w:pPr>
        <w:pStyle w:val="ListParagraph"/>
        <w:numPr>
          <w:ilvl w:val="0"/>
          <w:numId w:val="20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Monthly d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omestic electricity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consumption 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below </w:t>
      </w:r>
      <w:r w:rsidR="00F8101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1,000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kw</w:t>
      </w:r>
      <w:r w:rsidR="00500010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h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water below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250 cubic meters.</w:t>
      </w:r>
    </w:p>
    <w:p w:rsidR="00C460BB" w:rsidRPr="00C460BB" w:rsidRDefault="00C460BB" w:rsidP="00C460BB">
      <w:pPr>
        <w:spacing w:after="0"/>
        <w:ind w:left="-20"/>
        <w:jc w:val="both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A779FC" w:rsidRPr="00985C2D" w:rsidRDefault="00792022" w:rsidP="00514EB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What is the </w:t>
      </w:r>
      <w:r w:rsidR="000C57AB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VAT 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Rate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C0524" w:rsidRPr="00985C2D" w:rsidRDefault="00DE6032" w:rsidP="00C460BB">
      <w:pPr>
        <w:pStyle w:val="ListParagraph"/>
        <w:numPr>
          <w:ilvl w:val="0"/>
          <w:numId w:val="24"/>
        </w:numPr>
        <w:spacing w:after="0"/>
        <w:ind w:left="34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 w:rsidR="00BC052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standard </w:t>
      </w:r>
      <w:r w:rsidR="000C57AB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VAT rate</w:t>
      </w:r>
      <w:r w:rsidR="00BC052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is 15</w:t>
      </w:r>
      <w:r w:rsidR="00CC321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C321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percent</w:t>
      </w:r>
      <w:proofErr w:type="spellEnd"/>
      <w:r w:rsidR="00BC052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This rate is applied to all goods and services unless they are specifically exempted.  </w:t>
      </w:r>
    </w:p>
    <w:p w:rsidR="00BC0524" w:rsidRPr="00985C2D" w:rsidRDefault="00CC321E" w:rsidP="00BC0524">
      <w:pPr>
        <w:pStyle w:val="ListParagraph"/>
        <w:numPr>
          <w:ilvl w:val="0"/>
          <w:numId w:val="24"/>
        </w:numPr>
        <w:spacing w:after="0"/>
        <w:ind w:left="34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Zero </w:t>
      </w:r>
      <w:proofErr w:type="spellStart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percent</w:t>
      </w:r>
      <w:proofErr w:type="spellEnd"/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C052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is applied to exports of goods and services. </w:t>
      </w:r>
      <w:r w:rsidR="000C57AB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0C57AB" w:rsidRPr="00C460BB" w:rsidRDefault="000C57AB" w:rsidP="00C460BB">
      <w:pPr>
        <w:spacing w:after="0"/>
        <w:ind w:left="-20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A779FC" w:rsidRPr="00985C2D" w:rsidRDefault="0018736A" w:rsidP="00514EB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 is </w:t>
      </w:r>
      <w:r w:rsidR="0065675E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VAT 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Calculated?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1712AA" w:rsidRDefault="000959F0" w:rsidP="00020C56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All taxable supplies by a registered supplier are VAT inclusive.  </w:t>
      </w:r>
      <w:r w:rsidR="00FF40B0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example,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r w:rsidR="006567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 a trader makes a taxable supply worth D1</w:t>
      </w:r>
      <w:proofErr w:type="gramStart"/>
      <w:r w:rsidR="006567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,150,000</w:t>
      </w:r>
      <w:proofErr w:type="gramEnd"/>
      <w:r w:rsidR="006567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 then the VAT element is D150,000</w:t>
      </w:r>
      <w:r w:rsidR="00B262D8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This is arrived at by dividing the selling price by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115% and multiplying it by 15%, the VAT rate </w:t>
      </w:r>
      <w:r w:rsidR="006567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(D1</w:t>
      </w:r>
      <w:proofErr w:type="gramStart"/>
      <w:r w:rsidR="006567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,150,000</w:t>
      </w:r>
      <w:proofErr w:type="gramEnd"/>
      <w:r w:rsidR="006567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/115*15). </w:t>
      </w:r>
    </w:p>
    <w:p w:rsidR="00985C2D" w:rsidRPr="00C460BB" w:rsidRDefault="00985C2D" w:rsidP="00020C56">
      <w:pPr>
        <w:spacing w:after="0"/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0C57AB" w:rsidRPr="00985C2D" w:rsidRDefault="000C57AB" w:rsidP="00514EB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is VAT collected?</w:t>
      </w:r>
    </w:p>
    <w:p w:rsidR="00012652" w:rsidRPr="00985C2D" w:rsidRDefault="00012652" w:rsidP="000C57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VAT is collected at the point of imports and also</w:t>
      </w:r>
      <w:r w:rsidR="000C57AB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by registered </w:t>
      </w:r>
      <w:r w:rsidR="00B262D8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businesses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when taxable goods and services are sold domestically. Registered businesses then forward the collected VAT to GRA each month. </w:t>
      </w:r>
    </w:p>
    <w:p w:rsidR="000C57AB" w:rsidRDefault="00012652" w:rsidP="000C57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</w:p>
    <w:p w:rsidR="00C460BB" w:rsidRDefault="00C460BB" w:rsidP="000C57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460BB" w:rsidRPr="00985C2D" w:rsidRDefault="00C460BB" w:rsidP="000C57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779FC" w:rsidRPr="00985C2D" w:rsidRDefault="009E5043" w:rsidP="00514EB6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How Often </w:t>
      </w:r>
      <w:r w:rsidR="00DE1527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Must a Registrant 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Fil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 </w:t>
      </w:r>
      <w:r w:rsidR="0035469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Make 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Payment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="00A779FC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DC67F9" w:rsidRPr="00985C2D" w:rsidRDefault="008027AF" w:rsidP="00BC0A5E">
      <w:pPr>
        <w:pStyle w:val="ListParagraph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VAT registrants </w:t>
      </w:r>
      <w:r w:rsidR="0035469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are required to file </w:t>
      </w:r>
      <w:r w:rsidR="00422415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prescribed VAT return form 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and make payments for all amounts due</w:t>
      </w:r>
      <w:r w:rsidR="0035469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monthly</w:t>
      </w:r>
      <w:r w:rsidR="00B37DB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36621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0E08B2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due date </w:t>
      </w:r>
      <w:r w:rsidR="00BC0A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each month’s filing and </w:t>
      </w:r>
      <w:r w:rsidR="00BC0A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payment 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is the 15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th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the following month.</w:t>
      </w:r>
      <w:r w:rsidR="00FB69B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E1527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B69B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Import VAT is payable before the goods are released.</w:t>
      </w:r>
    </w:p>
    <w:p w:rsidR="00422415" w:rsidRPr="00985C2D" w:rsidRDefault="00422415" w:rsidP="00BC0A5E">
      <w:pPr>
        <w:pStyle w:val="ListParagraph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775D2" w:rsidRPr="00985C2D" w:rsidRDefault="006775D2" w:rsidP="000E08B2">
      <w:pPr>
        <w:pStyle w:val="ListParagraph"/>
        <w:numPr>
          <w:ilvl w:val="0"/>
          <w:numId w:val="1"/>
        </w:numPr>
        <w:spacing w:after="0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 and </w:t>
      </w:r>
      <w:r w:rsidR="009E5043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W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here to </w:t>
      </w:r>
      <w:r w:rsidR="009E5043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ile and </w:t>
      </w:r>
      <w:r w:rsidR="009E5043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ake </w:t>
      </w:r>
      <w:r w:rsidR="009E5043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ayments</w:t>
      </w:r>
      <w:r w:rsidR="009E5043"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</w:p>
    <w:p w:rsidR="004211ED" w:rsidRPr="00985C2D" w:rsidRDefault="000D7305" w:rsidP="004224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VAT registrants </w:t>
      </w:r>
      <w:r w:rsidR="00FB69B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can</w:t>
      </w:r>
      <w:r w:rsidR="00EC47D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submit their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VAT </w:t>
      </w:r>
      <w:r w:rsidR="0036621C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returns </w:t>
      </w:r>
      <w:r w:rsidR="00EC47D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at </w:t>
      </w:r>
      <w:r w:rsidR="00FB69B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any GRA office</w:t>
      </w:r>
      <w:r w:rsidR="00EC47D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  <w:r w:rsidR="00E523C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Payments </w:t>
      </w:r>
      <w:r w:rsidR="00FB69BA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due </w:t>
      </w:r>
      <w:r w:rsidR="00BC0A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should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also </w:t>
      </w:r>
      <w:r w:rsidR="00BC0A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be made at</w:t>
      </w:r>
      <w:r w:rsidR="00EC47D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any GRA office or a</w:t>
      </w:r>
      <w:r w:rsidR="00E523C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 any of GRA’s </w:t>
      </w:r>
      <w:r w:rsidR="00EC47DF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designated </w:t>
      </w:r>
      <w:r w:rsidR="00E523C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partner banks</w:t>
      </w:r>
      <w:r w:rsidR="00BC0A5E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4211ED" w:rsidRPr="00985C2D" w:rsidRDefault="004211ED" w:rsidP="004211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F65" w:rsidRDefault="00B70F65" w:rsidP="00B70F6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Objection &amp; Appeal of Tax Decisions</w:t>
      </w:r>
    </w:p>
    <w:p w:rsidR="00B70F65" w:rsidRDefault="00B70F65" w:rsidP="00B70F65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70F6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Taxpayers not satisfied with any tax decision can, within 30 days, object to such a decision through the Objection and Appeal process.  The process starts at the GRA (Domestic Taxes Department) through to the Tax Tribunal and then to the Court of Appeal. </w:t>
      </w:r>
    </w:p>
    <w:p w:rsidR="00B70F65" w:rsidRDefault="00B70F65" w:rsidP="00B70F65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779FC" w:rsidRPr="00B70F65" w:rsidRDefault="009708F2" w:rsidP="00B70F65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70F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Who is </w:t>
      </w:r>
      <w:proofErr w:type="gramStart"/>
      <w:r w:rsidRPr="00B70F65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Exempted</w:t>
      </w:r>
      <w:proofErr w:type="gramEnd"/>
      <w:r w:rsidR="00422415" w:rsidRPr="00B70F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from VAT Filing and Payment</w:t>
      </w:r>
      <w:r w:rsidRPr="00B70F65">
        <w:rPr>
          <w:rFonts w:ascii="Arial" w:eastAsia="Times New Roman" w:hAnsi="Arial" w:cs="Arial"/>
          <w:b/>
          <w:bCs/>
          <w:color w:val="000000"/>
          <w:sz w:val="24"/>
          <w:szCs w:val="24"/>
        </w:rPr>
        <w:t>?</w:t>
      </w:r>
      <w:r w:rsidR="006775D2" w:rsidRPr="00B70F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34881" w:rsidRPr="00985C2D" w:rsidRDefault="00422415" w:rsidP="00020C5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As long as a business remains registered, they are not exempted </w:t>
      </w:r>
      <w:r w:rsidR="00A02AB8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from 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monthly </w:t>
      </w:r>
      <w:r w:rsidR="00A02AB8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filing </w:t>
      </w:r>
      <w:r w:rsidR="008727C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="00A02AB8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payment.  </w:t>
      </w:r>
      <w:r w:rsidR="001F3BF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Even where there are no business transactions during a given month</w:t>
      </w:r>
      <w:r w:rsidR="00034881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no sales</w:t>
      </w:r>
      <w:r w:rsidR="001F3BF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registrant is required to file a return.  </w:t>
      </w:r>
    </w:p>
    <w:p w:rsidR="00A779FC" w:rsidRPr="00985C2D" w:rsidRDefault="009204D8" w:rsidP="00020C5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</w:t>
      </w:r>
      <w:r w:rsidR="009708F2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</w:p>
    <w:p w:rsidR="00A779FC" w:rsidRPr="00985C2D" w:rsidRDefault="00A779FC" w:rsidP="00514EB6">
      <w:pPr>
        <w:pStyle w:val="ListParagraph"/>
        <w:numPr>
          <w:ilvl w:val="0"/>
          <w:numId w:val="1"/>
        </w:numPr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Offences </w:t>
      </w:r>
    </w:p>
    <w:p w:rsidR="00572B63" w:rsidRPr="00985C2D" w:rsidRDefault="00572B63" w:rsidP="00386863">
      <w:pPr>
        <w:pStyle w:val="ListParagraph"/>
        <w:spacing w:after="0"/>
        <w:ind w:left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The following are offences punishable under the Income and Value Added Tax Act 2012.</w:t>
      </w:r>
    </w:p>
    <w:p w:rsidR="00034881" w:rsidRPr="00985C2D" w:rsidRDefault="00034881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Fa</w:t>
      </w:r>
      <w:r w:rsidR="001F3BF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il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ure </w:t>
      </w:r>
      <w:r w:rsidR="001F3BF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to register </w:t>
      </w: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for VAT.</w:t>
      </w:r>
    </w:p>
    <w:p w:rsidR="00034881" w:rsidRPr="00985C2D" w:rsidRDefault="00034881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Failure to maintain proper records</w:t>
      </w:r>
    </w:p>
    <w:p w:rsidR="00034881" w:rsidRPr="00985C2D" w:rsidRDefault="00034881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Failure to lodge VAT returns </w:t>
      </w:r>
      <w:r w:rsidR="000808B4"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or other documents </w:t>
      </w:r>
    </w:p>
    <w:p w:rsidR="000808B4" w:rsidRPr="00985C2D" w:rsidRDefault="00034881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Giving misleading information </w:t>
      </w:r>
    </w:p>
    <w:p w:rsidR="000808B4" w:rsidRPr="00985C2D" w:rsidRDefault="000808B4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Failure to notify the CG for a change in business or address</w:t>
      </w:r>
    </w:p>
    <w:p w:rsidR="000808B4" w:rsidRPr="00985C2D" w:rsidRDefault="000808B4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Failure to apply to the CG for cancellation of registration</w:t>
      </w:r>
    </w:p>
    <w:p w:rsidR="000808B4" w:rsidRPr="00985C2D" w:rsidRDefault="000808B4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Failure to provide VAT invoices, credit note, debit note as required by the law</w:t>
      </w:r>
    </w:p>
    <w:p w:rsidR="000808B4" w:rsidRPr="00985C2D" w:rsidRDefault="000808B4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Failure to recover tax from a person holding money on behalf of a taxpayer</w:t>
      </w:r>
    </w:p>
    <w:p w:rsidR="00985C2D" w:rsidRPr="00985C2D" w:rsidRDefault="00985C2D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Improper use of TIN</w:t>
      </w:r>
    </w:p>
    <w:p w:rsidR="00985C2D" w:rsidRPr="00985C2D" w:rsidRDefault="00985C2D" w:rsidP="00514EB6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85C2D">
        <w:rPr>
          <w:rFonts w:ascii="Arial" w:eastAsia="Times New Roman" w:hAnsi="Arial" w:cs="Arial"/>
          <w:bCs/>
          <w:color w:val="000000"/>
          <w:sz w:val="24"/>
          <w:szCs w:val="24"/>
        </w:rPr>
        <w:t>Obstructing revenue officers in the performance of their duty.</w:t>
      </w:r>
    </w:p>
    <w:p w:rsidR="00985C2D" w:rsidRPr="00985C2D" w:rsidRDefault="00985C2D" w:rsidP="00985C2D">
      <w:pPr>
        <w:pStyle w:val="ListParagraph"/>
        <w:spacing w:after="0"/>
        <w:ind w:left="36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1712AA" w:rsidRDefault="001712AA" w:rsidP="00985C2D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985C2D" w:rsidRDefault="00985C2D" w:rsidP="00985C2D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985C2D" w:rsidRDefault="00985C2D" w:rsidP="00985C2D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985C2D" w:rsidRDefault="00985C2D" w:rsidP="00985C2D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985C2D" w:rsidRPr="00985C2D" w:rsidRDefault="00985C2D" w:rsidP="00985C2D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1712AA" w:rsidRPr="00C460BB" w:rsidRDefault="001712AA" w:rsidP="001712A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C460BB">
        <w:rPr>
          <w:rFonts w:ascii="Arial" w:hAnsi="Arial" w:cs="Arial"/>
          <w:b/>
          <w:i/>
          <w:sz w:val="24"/>
          <w:szCs w:val="24"/>
        </w:rPr>
        <w:t xml:space="preserve">This brochure is not intended as an exhaustive explanation </w:t>
      </w:r>
      <w:r w:rsidR="00020C56" w:rsidRPr="00C460BB">
        <w:rPr>
          <w:rFonts w:ascii="Arial" w:hAnsi="Arial" w:cs="Arial"/>
          <w:b/>
          <w:i/>
          <w:sz w:val="24"/>
          <w:szCs w:val="24"/>
        </w:rPr>
        <w:t xml:space="preserve">or replacement </w:t>
      </w:r>
      <w:r w:rsidRPr="00C460BB">
        <w:rPr>
          <w:rFonts w:ascii="Arial" w:hAnsi="Arial" w:cs="Arial"/>
          <w:b/>
          <w:i/>
          <w:sz w:val="24"/>
          <w:szCs w:val="24"/>
        </w:rPr>
        <w:t xml:space="preserve">of </w:t>
      </w:r>
      <w:r w:rsidR="00020C56" w:rsidRPr="00C460BB">
        <w:rPr>
          <w:rFonts w:ascii="Arial" w:hAnsi="Arial" w:cs="Arial"/>
          <w:b/>
          <w:i/>
          <w:sz w:val="24"/>
          <w:szCs w:val="24"/>
        </w:rPr>
        <w:t>VAT laws</w:t>
      </w:r>
      <w:r w:rsidRPr="00C460BB">
        <w:rPr>
          <w:rFonts w:ascii="Arial" w:hAnsi="Arial" w:cs="Arial"/>
          <w:b/>
          <w:i/>
          <w:sz w:val="24"/>
          <w:szCs w:val="24"/>
        </w:rPr>
        <w:t>.  If you require detailed information about your corporation tax obligations, you should contact the nearest GRA Office.</w:t>
      </w: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5C2D" w:rsidRDefault="00985C2D" w:rsidP="001712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2AA" w:rsidRPr="00A5061F" w:rsidRDefault="001712AA" w:rsidP="001712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-118745</wp:posOffset>
            </wp:positionV>
            <wp:extent cx="2971800" cy="1819275"/>
            <wp:effectExtent l="0" t="0" r="0" b="0"/>
            <wp:wrapNone/>
            <wp:docPr id="1" name="Picture 1" descr="GRA Logo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 Logo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92" r="-7903" b="12109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9718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2AA" w:rsidRDefault="001712AA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712AA" w:rsidRDefault="001712AA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712AA" w:rsidRDefault="001712AA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712AA" w:rsidRDefault="001712AA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712AA" w:rsidRDefault="001712AA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712AA" w:rsidRDefault="001712AA" w:rsidP="001712AA">
      <w:pPr>
        <w:pStyle w:val="ListParagraph"/>
        <w:ind w:left="0"/>
        <w:rPr>
          <w:rFonts w:ascii="Arial" w:eastAsia="Times New Roman" w:hAnsi="Arial" w:cs="Arial"/>
          <w:b/>
          <w:bCs/>
          <w:color w:val="000000"/>
        </w:rPr>
      </w:pPr>
    </w:p>
    <w:p w:rsidR="001712AA" w:rsidRDefault="001712AA" w:rsidP="001712AA">
      <w:pPr>
        <w:pStyle w:val="ListParagraph"/>
        <w:spacing w:after="0"/>
        <w:ind w:left="0"/>
        <w:rPr>
          <w:rFonts w:ascii="Arial" w:hAnsi="Arial" w:cs="Arial"/>
          <w:b/>
          <w:sz w:val="36"/>
          <w:szCs w:val="36"/>
        </w:rPr>
      </w:pPr>
    </w:p>
    <w:p w:rsidR="001712AA" w:rsidRPr="009C6C43" w:rsidRDefault="001712AA" w:rsidP="001712AA">
      <w:pPr>
        <w:pStyle w:val="ListParagraph"/>
        <w:spacing w:after="0"/>
        <w:ind w:left="0"/>
        <w:rPr>
          <w:rFonts w:ascii="Arial" w:hAnsi="Arial" w:cs="Arial"/>
          <w:b/>
          <w:sz w:val="37"/>
          <w:szCs w:val="37"/>
        </w:rPr>
      </w:pPr>
      <w:r w:rsidRPr="009C6C43">
        <w:rPr>
          <w:rFonts w:ascii="Arial" w:hAnsi="Arial" w:cs="Arial"/>
          <w:b/>
          <w:sz w:val="37"/>
          <w:szCs w:val="37"/>
        </w:rPr>
        <w:t>Gambia Revenue Authority</w:t>
      </w:r>
    </w:p>
    <w:p w:rsidR="00114DD5" w:rsidRDefault="00114DD5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12AA" w:rsidRPr="00114DD5" w:rsidRDefault="001712AA" w:rsidP="001712A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114DD5">
        <w:rPr>
          <w:rFonts w:ascii="Arial" w:eastAsia="Times New Roman" w:hAnsi="Arial" w:cs="Arial"/>
          <w:b/>
          <w:bCs/>
          <w:color w:val="000000"/>
          <w:sz w:val="36"/>
          <w:szCs w:val="36"/>
        </w:rPr>
        <w:t>V</w:t>
      </w:r>
      <w:r w:rsidR="00114DD5" w:rsidRPr="00114D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alue </w:t>
      </w:r>
      <w:r w:rsidRPr="00114DD5">
        <w:rPr>
          <w:rFonts w:ascii="Arial" w:eastAsia="Times New Roman" w:hAnsi="Arial" w:cs="Arial"/>
          <w:b/>
          <w:bCs/>
          <w:color w:val="000000"/>
          <w:sz w:val="36"/>
          <w:szCs w:val="36"/>
        </w:rPr>
        <w:t>A</w:t>
      </w:r>
      <w:r w:rsidR="00114DD5" w:rsidRPr="00114DD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dded </w:t>
      </w:r>
      <w:r w:rsidRPr="00114DD5">
        <w:rPr>
          <w:rFonts w:ascii="Arial" w:eastAsia="Times New Roman" w:hAnsi="Arial" w:cs="Arial"/>
          <w:b/>
          <w:bCs/>
          <w:color w:val="000000"/>
          <w:sz w:val="36"/>
          <w:szCs w:val="36"/>
        </w:rPr>
        <w:t>T</w:t>
      </w:r>
      <w:r w:rsidR="00114DD5" w:rsidRPr="00114DD5">
        <w:rPr>
          <w:rFonts w:ascii="Arial" w:eastAsia="Times New Roman" w:hAnsi="Arial" w:cs="Arial"/>
          <w:b/>
          <w:bCs/>
          <w:color w:val="000000"/>
          <w:sz w:val="36"/>
          <w:szCs w:val="36"/>
        </w:rPr>
        <w:t>ax Brochure</w:t>
      </w:r>
    </w:p>
    <w:p w:rsidR="00C460BB" w:rsidRDefault="00C460BB" w:rsidP="001712AA">
      <w:pPr>
        <w:spacing w:after="0"/>
        <w:rPr>
          <w:rFonts w:ascii="Arial" w:hAnsi="Arial" w:cs="Arial"/>
          <w:b/>
          <w:sz w:val="36"/>
          <w:szCs w:val="36"/>
        </w:rPr>
      </w:pPr>
    </w:p>
    <w:p w:rsidR="001712AA" w:rsidRPr="00CF5F18" w:rsidRDefault="001712AA" w:rsidP="001712AA">
      <w:pPr>
        <w:spacing w:after="0"/>
        <w:rPr>
          <w:rFonts w:ascii="Arial" w:eastAsia="Times New Roman" w:hAnsi="Arial" w:cs="Arial"/>
          <w:b/>
          <w:bCs/>
          <w:color w:val="000000"/>
          <w:sz w:val="72"/>
          <w:szCs w:val="72"/>
        </w:rPr>
      </w:pPr>
      <w:r w:rsidRPr="00CF5F18">
        <w:rPr>
          <w:rFonts w:ascii="Arial" w:hAnsi="Arial" w:cs="Arial"/>
          <w:b/>
          <w:sz w:val="36"/>
          <w:szCs w:val="36"/>
        </w:rPr>
        <w:t>HEAD OFFICE: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Revenue House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78/79 Liberation Avenue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 xml:space="preserve">Banjul, </w:t>
      </w:r>
      <w:proofErr w:type="gramStart"/>
      <w:r w:rsidRPr="00CF5F18">
        <w:rPr>
          <w:rFonts w:ascii="Arial" w:hAnsi="Arial" w:cs="Arial"/>
          <w:sz w:val="24"/>
          <w:szCs w:val="24"/>
        </w:rPr>
        <w:t>The</w:t>
      </w:r>
      <w:proofErr w:type="gramEnd"/>
      <w:r w:rsidRPr="00CF5F18">
        <w:rPr>
          <w:rFonts w:ascii="Arial" w:hAnsi="Arial" w:cs="Arial"/>
          <w:sz w:val="24"/>
          <w:szCs w:val="24"/>
        </w:rPr>
        <w:t xml:space="preserve"> Gambia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 xml:space="preserve">Tel: 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Fax:</w:t>
      </w:r>
    </w:p>
    <w:p w:rsidR="001712AA" w:rsidRPr="00936B1B" w:rsidRDefault="001712AA" w:rsidP="001712AA">
      <w:pPr>
        <w:pStyle w:val="ListParagraph"/>
        <w:spacing w:after="0"/>
        <w:ind w:left="0"/>
        <w:rPr>
          <w:rFonts w:ascii="Arial" w:hAnsi="Arial" w:cs="Arial"/>
          <w:sz w:val="16"/>
          <w:szCs w:val="16"/>
        </w:rPr>
      </w:pPr>
    </w:p>
    <w:p w:rsidR="001712AA" w:rsidRPr="00936B1B" w:rsidRDefault="001712AA" w:rsidP="001712AA">
      <w:pPr>
        <w:pStyle w:val="ListParagraph"/>
        <w:spacing w:after="0"/>
        <w:ind w:left="0"/>
        <w:rPr>
          <w:rFonts w:ascii="Arial" w:hAnsi="Arial" w:cs="Arial"/>
          <w:b/>
          <w:sz w:val="36"/>
          <w:szCs w:val="36"/>
        </w:rPr>
      </w:pPr>
      <w:r w:rsidRPr="00936B1B">
        <w:rPr>
          <w:rFonts w:ascii="Arial" w:hAnsi="Arial" w:cs="Arial"/>
          <w:b/>
          <w:sz w:val="36"/>
          <w:szCs w:val="36"/>
        </w:rPr>
        <w:t xml:space="preserve">BRANCHES:                    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Barra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Basse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 xml:space="preserve">Brikama 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proofErr w:type="spellStart"/>
      <w:r w:rsidRPr="00CF5F18">
        <w:rPr>
          <w:rFonts w:ascii="Arial" w:hAnsi="Arial" w:cs="Arial"/>
          <w:sz w:val="24"/>
          <w:szCs w:val="24"/>
        </w:rPr>
        <w:t>Brikamaba</w:t>
      </w:r>
      <w:proofErr w:type="spellEnd"/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Brusubi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Farafenni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>Kanifing</w:t>
      </w: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 xml:space="preserve">Soma </w:t>
      </w:r>
    </w:p>
    <w:p w:rsidR="001712AA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proofErr w:type="spellStart"/>
      <w:r w:rsidRPr="00CF5F18">
        <w:rPr>
          <w:rFonts w:ascii="Arial" w:hAnsi="Arial" w:cs="Arial"/>
          <w:sz w:val="24"/>
          <w:szCs w:val="24"/>
        </w:rPr>
        <w:t>Talinding</w:t>
      </w:r>
      <w:proofErr w:type="spellEnd"/>
    </w:p>
    <w:p w:rsidR="001712AA" w:rsidRDefault="001712AA" w:rsidP="001712A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1712AA" w:rsidRPr="00CF5F18" w:rsidRDefault="001712AA" w:rsidP="001712A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F5F18">
        <w:rPr>
          <w:rFonts w:ascii="Arial" w:hAnsi="Arial" w:cs="Arial"/>
          <w:sz w:val="24"/>
          <w:szCs w:val="24"/>
        </w:rPr>
        <w:t xml:space="preserve"> </w:t>
      </w:r>
      <w:r w:rsidRPr="00CF5F18">
        <w:rPr>
          <w:rFonts w:ascii="Arial" w:hAnsi="Arial" w:cs="Arial"/>
          <w:b/>
          <w:sz w:val="24"/>
          <w:szCs w:val="24"/>
        </w:rPr>
        <w:t xml:space="preserve">E-mail: Webpage: </w:t>
      </w:r>
      <w:hyperlink r:id="rId8" w:history="1">
        <w:r w:rsidRPr="00457B63">
          <w:rPr>
            <w:rStyle w:val="Hyperlink"/>
            <w:rFonts w:ascii="Arial" w:hAnsi="Arial" w:cs="Arial"/>
            <w:b/>
            <w:sz w:val="24"/>
            <w:szCs w:val="24"/>
          </w:rPr>
          <w:t>www.gra.gm</w:t>
        </w:r>
      </w:hyperlink>
    </w:p>
    <w:sectPr w:rsidR="001712AA" w:rsidRPr="00CF5F18" w:rsidSect="001712AA">
      <w:pgSz w:w="16838" w:h="11906" w:orient="landscape"/>
      <w:pgMar w:top="397" w:right="397" w:bottom="284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710"/>
    <w:multiLevelType w:val="hybridMultilevel"/>
    <w:tmpl w:val="59D23D2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459768E"/>
    <w:multiLevelType w:val="hybridMultilevel"/>
    <w:tmpl w:val="D4B4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6090A"/>
    <w:multiLevelType w:val="hybridMultilevel"/>
    <w:tmpl w:val="030A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4432B"/>
    <w:multiLevelType w:val="hybridMultilevel"/>
    <w:tmpl w:val="2842A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E08A6"/>
    <w:multiLevelType w:val="hybridMultilevel"/>
    <w:tmpl w:val="135883A6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>
    <w:nsid w:val="0E627600"/>
    <w:multiLevelType w:val="hybridMultilevel"/>
    <w:tmpl w:val="AF223642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4EF53A0"/>
    <w:multiLevelType w:val="hybridMultilevel"/>
    <w:tmpl w:val="D102D444"/>
    <w:lvl w:ilvl="0" w:tplc="0809000F">
      <w:start w:val="1"/>
      <w:numFmt w:val="decimal"/>
      <w:lvlText w:val="%1."/>
      <w:lvlJc w:val="left"/>
      <w:pPr>
        <w:ind w:left="700" w:hanging="360"/>
      </w:p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7304457"/>
    <w:multiLevelType w:val="hybridMultilevel"/>
    <w:tmpl w:val="AD30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E063D"/>
    <w:multiLevelType w:val="hybridMultilevel"/>
    <w:tmpl w:val="47CE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C7F35"/>
    <w:multiLevelType w:val="hybridMultilevel"/>
    <w:tmpl w:val="EB189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E3A47"/>
    <w:multiLevelType w:val="hybridMultilevel"/>
    <w:tmpl w:val="E38CE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1663D"/>
    <w:multiLevelType w:val="hybridMultilevel"/>
    <w:tmpl w:val="1F1839C2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9A35CB5"/>
    <w:multiLevelType w:val="hybridMultilevel"/>
    <w:tmpl w:val="8E2CD716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>
    <w:nsid w:val="44C86D97"/>
    <w:multiLevelType w:val="hybridMultilevel"/>
    <w:tmpl w:val="30E6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A361A"/>
    <w:multiLevelType w:val="hybridMultilevel"/>
    <w:tmpl w:val="89D6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07CDD"/>
    <w:multiLevelType w:val="hybridMultilevel"/>
    <w:tmpl w:val="33D492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E21EC"/>
    <w:multiLevelType w:val="hybridMultilevel"/>
    <w:tmpl w:val="33E090C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67A6033"/>
    <w:multiLevelType w:val="hybridMultilevel"/>
    <w:tmpl w:val="C9D2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05F93"/>
    <w:multiLevelType w:val="hybridMultilevel"/>
    <w:tmpl w:val="C438283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63601E87"/>
    <w:multiLevelType w:val="hybridMultilevel"/>
    <w:tmpl w:val="B212F918"/>
    <w:lvl w:ilvl="0" w:tplc="0809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0">
    <w:nsid w:val="6935611A"/>
    <w:multiLevelType w:val="hybridMultilevel"/>
    <w:tmpl w:val="DDD4BA6C"/>
    <w:lvl w:ilvl="0" w:tplc="5314AD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324BF"/>
    <w:multiLevelType w:val="hybridMultilevel"/>
    <w:tmpl w:val="B6BA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25F65"/>
    <w:multiLevelType w:val="hybridMultilevel"/>
    <w:tmpl w:val="E8408046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3">
    <w:nsid w:val="7A462617"/>
    <w:multiLevelType w:val="hybridMultilevel"/>
    <w:tmpl w:val="FE8A853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13"/>
  </w:num>
  <w:num w:numId="8">
    <w:abstractNumId w:val="14"/>
  </w:num>
  <w:num w:numId="9">
    <w:abstractNumId w:val="3"/>
  </w:num>
  <w:num w:numId="10">
    <w:abstractNumId w:val="23"/>
  </w:num>
  <w:num w:numId="11">
    <w:abstractNumId w:val="8"/>
  </w:num>
  <w:num w:numId="12">
    <w:abstractNumId w:val="18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  <w:num w:numId="17">
    <w:abstractNumId w:val="22"/>
  </w:num>
  <w:num w:numId="18">
    <w:abstractNumId w:val="12"/>
  </w:num>
  <w:num w:numId="19">
    <w:abstractNumId w:val="4"/>
  </w:num>
  <w:num w:numId="20">
    <w:abstractNumId w:val="16"/>
  </w:num>
  <w:num w:numId="21">
    <w:abstractNumId w:val="11"/>
  </w:num>
  <w:num w:numId="22">
    <w:abstractNumId w:val="17"/>
  </w:num>
  <w:num w:numId="23">
    <w:abstractNumId w:val="6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FC"/>
    <w:rsid w:val="00000F6C"/>
    <w:rsid w:val="00012652"/>
    <w:rsid w:val="00020C56"/>
    <w:rsid w:val="00021352"/>
    <w:rsid w:val="00034881"/>
    <w:rsid w:val="00052528"/>
    <w:rsid w:val="00070D26"/>
    <w:rsid w:val="000710F1"/>
    <w:rsid w:val="000808B4"/>
    <w:rsid w:val="0008377B"/>
    <w:rsid w:val="000959F0"/>
    <w:rsid w:val="00096592"/>
    <w:rsid w:val="000A7E16"/>
    <w:rsid w:val="000B7329"/>
    <w:rsid w:val="000C57AB"/>
    <w:rsid w:val="000D0891"/>
    <w:rsid w:val="000D7305"/>
    <w:rsid w:val="000E08B2"/>
    <w:rsid w:val="000E16BE"/>
    <w:rsid w:val="000E5AE7"/>
    <w:rsid w:val="00114DD5"/>
    <w:rsid w:val="00116B1A"/>
    <w:rsid w:val="00157F94"/>
    <w:rsid w:val="00164F1E"/>
    <w:rsid w:val="001712AA"/>
    <w:rsid w:val="00183D6C"/>
    <w:rsid w:val="0018527A"/>
    <w:rsid w:val="0018736A"/>
    <w:rsid w:val="001A0011"/>
    <w:rsid w:val="001C4E1E"/>
    <w:rsid w:val="001D6FDC"/>
    <w:rsid w:val="001F3BF4"/>
    <w:rsid w:val="0031388F"/>
    <w:rsid w:val="0035469C"/>
    <w:rsid w:val="00365EF4"/>
    <w:rsid w:val="0036621C"/>
    <w:rsid w:val="00386863"/>
    <w:rsid w:val="0039510A"/>
    <w:rsid w:val="003F02A7"/>
    <w:rsid w:val="003F570A"/>
    <w:rsid w:val="00416D3F"/>
    <w:rsid w:val="004211ED"/>
    <w:rsid w:val="00422415"/>
    <w:rsid w:val="00433850"/>
    <w:rsid w:val="00460455"/>
    <w:rsid w:val="004A7C79"/>
    <w:rsid w:val="004D5DF5"/>
    <w:rsid w:val="00500010"/>
    <w:rsid w:val="00514EB6"/>
    <w:rsid w:val="00517BEA"/>
    <w:rsid w:val="00521F78"/>
    <w:rsid w:val="00540966"/>
    <w:rsid w:val="00546F54"/>
    <w:rsid w:val="00562CB5"/>
    <w:rsid w:val="00572B63"/>
    <w:rsid w:val="005B4CFC"/>
    <w:rsid w:val="005C48FB"/>
    <w:rsid w:val="005D7A82"/>
    <w:rsid w:val="00647CF1"/>
    <w:rsid w:val="0065675E"/>
    <w:rsid w:val="00666199"/>
    <w:rsid w:val="00667A7A"/>
    <w:rsid w:val="006775D2"/>
    <w:rsid w:val="00677981"/>
    <w:rsid w:val="006B10B8"/>
    <w:rsid w:val="0074187B"/>
    <w:rsid w:val="00751083"/>
    <w:rsid w:val="0077170F"/>
    <w:rsid w:val="00771F32"/>
    <w:rsid w:val="00784CA2"/>
    <w:rsid w:val="007863F0"/>
    <w:rsid w:val="00792022"/>
    <w:rsid w:val="007B1851"/>
    <w:rsid w:val="007C27FA"/>
    <w:rsid w:val="007D6E87"/>
    <w:rsid w:val="007F17A2"/>
    <w:rsid w:val="008027AF"/>
    <w:rsid w:val="00822E1F"/>
    <w:rsid w:val="008346D9"/>
    <w:rsid w:val="00840270"/>
    <w:rsid w:val="00856849"/>
    <w:rsid w:val="00856E5E"/>
    <w:rsid w:val="008727C1"/>
    <w:rsid w:val="008A4689"/>
    <w:rsid w:val="008B535D"/>
    <w:rsid w:val="008E5E35"/>
    <w:rsid w:val="00910563"/>
    <w:rsid w:val="0091493B"/>
    <w:rsid w:val="009204D8"/>
    <w:rsid w:val="009224F4"/>
    <w:rsid w:val="00943BA7"/>
    <w:rsid w:val="0094404E"/>
    <w:rsid w:val="009542C1"/>
    <w:rsid w:val="009708F2"/>
    <w:rsid w:val="00985C2D"/>
    <w:rsid w:val="009B4868"/>
    <w:rsid w:val="009C54CD"/>
    <w:rsid w:val="009E5043"/>
    <w:rsid w:val="00A02AB8"/>
    <w:rsid w:val="00A44000"/>
    <w:rsid w:val="00A63569"/>
    <w:rsid w:val="00A779FC"/>
    <w:rsid w:val="00A80CAD"/>
    <w:rsid w:val="00A926E7"/>
    <w:rsid w:val="00A93001"/>
    <w:rsid w:val="00A97D60"/>
    <w:rsid w:val="00AF05E1"/>
    <w:rsid w:val="00B128FB"/>
    <w:rsid w:val="00B262D8"/>
    <w:rsid w:val="00B34AF0"/>
    <w:rsid w:val="00B37DB1"/>
    <w:rsid w:val="00B471E8"/>
    <w:rsid w:val="00B63287"/>
    <w:rsid w:val="00B70F65"/>
    <w:rsid w:val="00BB3299"/>
    <w:rsid w:val="00BC0524"/>
    <w:rsid w:val="00BC0A5E"/>
    <w:rsid w:val="00BC72E6"/>
    <w:rsid w:val="00C1627B"/>
    <w:rsid w:val="00C460BB"/>
    <w:rsid w:val="00C66C83"/>
    <w:rsid w:val="00C832ED"/>
    <w:rsid w:val="00CA30AA"/>
    <w:rsid w:val="00CA44A1"/>
    <w:rsid w:val="00CC321E"/>
    <w:rsid w:val="00CD52C8"/>
    <w:rsid w:val="00D46E9D"/>
    <w:rsid w:val="00D81F29"/>
    <w:rsid w:val="00DB67DE"/>
    <w:rsid w:val="00DC67F9"/>
    <w:rsid w:val="00DE1527"/>
    <w:rsid w:val="00DE6032"/>
    <w:rsid w:val="00DF6159"/>
    <w:rsid w:val="00E1474A"/>
    <w:rsid w:val="00E32CAE"/>
    <w:rsid w:val="00E523C4"/>
    <w:rsid w:val="00E768A6"/>
    <w:rsid w:val="00EB44B4"/>
    <w:rsid w:val="00EC47DF"/>
    <w:rsid w:val="00F47B51"/>
    <w:rsid w:val="00F57CC5"/>
    <w:rsid w:val="00F704A9"/>
    <w:rsid w:val="00F81011"/>
    <w:rsid w:val="00FB69BA"/>
    <w:rsid w:val="00FE5929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9FC"/>
    <w:pPr>
      <w:ind w:left="720"/>
      <w:contextualSpacing/>
    </w:pPr>
  </w:style>
  <w:style w:type="table" w:styleId="TableGrid">
    <w:name w:val="Table Grid"/>
    <w:basedOn w:val="TableNormal"/>
    <w:uiPriority w:val="59"/>
    <w:rsid w:val="00A8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12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9FC"/>
    <w:pPr>
      <w:ind w:left="720"/>
      <w:contextualSpacing/>
    </w:pPr>
  </w:style>
  <w:style w:type="table" w:styleId="TableGrid">
    <w:name w:val="Table Grid"/>
    <w:basedOn w:val="TableNormal"/>
    <w:uiPriority w:val="59"/>
    <w:rsid w:val="00A8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12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.g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EC35-82FF-49BA-AFEB-7C9DDFA9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M_Njie</dc:creator>
  <cp:lastModifiedBy>Adama Njie</cp:lastModifiedBy>
  <cp:revision>2</cp:revision>
  <cp:lastPrinted>2014-07-02T08:47:00Z</cp:lastPrinted>
  <dcterms:created xsi:type="dcterms:W3CDTF">2014-07-02T08:48:00Z</dcterms:created>
  <dcterms:modified xsi:type="dcterms:W3CDTF">2014-07-02T08:48:00Z</dcterms:modified>
</cp:coreProperties>
</file>