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82"/>
        <w:tblW w:w="9568" w:type="dxa"/>
        <w:tblLayout w:type="fixed"/>
        <w:tblCellMar>
          <w:left w:w="70" w:type="dxa"/>
          <w:right w:w="70" w:type="dxa"/>
        </w:tblCellMar>
        <w:tblLook w:val="0000" w:firstRow="0" w:lastRow="0" w:firstColumn="0" w:lastColumn="0" w:noHBand="0" w:noVBand="0"/>
      </w:tblPr>
      <w:tblGrid>
        <w:gridCol w:w="7867"/>
        <w:gridCol w:w="1701"/>
      </w:tblGrid>
      <w:tr w:rsidR="00BE0380" w:rsidRPr="008E38C2" w:rsidTr="00AF48D2">
        <w:trPr>
          <w:trHeight w:val="529"/>
        </w:trPr>
        <w:tc>
          <w:tcPr>
            <w:tcW w:w="7867" w:type="dxa"/>
          </w:tcPr>
          <w:p w:rsidR="00BE0380" w:rsidRPr="00ED098F" w:rsidRDefault="00BE0380" w:rsidP="00AF48D2">
            <w:pPr>
              <w:pStyle w:val="En-tte"/>
              <w:tabs>
                <w:tab w:val="left" w:pos="700"/>
              </w:tabs>
              <w:rPr>
                <w:rFonts w:ascii="Myriad Pro" w:hAnsi="Myriad Pro"/>
                <w:b/>
                <w:bCs/>
                <w:color w:val="0000FF"/>
              </w:rPr>
            </w:pPr>
            <w:r w:rsidRPr="00ED098F">
              <w:rPr>
                <w:rFonts w:ascii="Myriad Pro" w:hAnsi="Myriad Pro"/>
                <w:b/>
                <w:bCs/>
                <w:color w:val="0000FF"/>
              </w:rPr>
              <w:t>Programme des Nations Unies pour le développement</w:t>
            </w:r>
          </w:p>
          <w:p w:rsidR="00BE0380" w:rsidRPr="00E25CD7" w:rsidRDefault="00BE0380" w:rsidP="00AF48D2">
            <w:pPr>
              <w:rPr>
                <w:rFonts w:ascii="Arial" w:hAnsi="Arial" w:cs="Arial"/>
                <w:b/>
              </w:rPr>
            </w:pPr>
          </w:p>
        </w:tc>
        <w:tc>
          <w:tcPr>
            <w:tcW w:w="1701" w:type="dxa"/>
            <w:vMerge w:val="restart"/>
          </w:tcPr>
          <w:p w:rsidR="00BE0380" w:rsidRDefault="00BE0380" w:rsidP="00BE0380">
            <w:pPr>
              <w:spacing w:after="0"/>
              <w:jc w:val="center"/>
              <w:rPr>
                <w:rFonts w:ascii="Myriad Pro" w:hAnsi="Myriad Pro"/>
                <w:bCs/>
                <w:i/>
                <w:color w:val="0000FF"/>
              </w:rPr>
            </w:pPr>
            <w:r>
              <w:rPr>
                <w:noProof/>
                <w:lang w:val="en-US"/>
              </w:rPr>
              <w:drawing>
                <wp:anchor distT="0" distB="0" distL="114300" distR="114300" simplePos="0" relativeHeight="251660288" behindDoc="1" locked="0" layoutInCell="1" allowOverlap="0">
                  <wp:simplePos x="0" y="0"/>
                  <wp:positionH relativeFrom="column">
                    <wp:posOffset>233680</wp:posOffset>
                  </wp:positionH>
                  <wp:positionV relativeFrom="paragraph">
                    <wp:posOffset>3175</wp:posOffset>
                  </wp:positionV>
                  <wp:extent cx="374015" cy="659130"/>
                  <wp:effectExtent l="19050" t="0" r="6985" b="0"/>
                  <wp:wrapTight wrapText="bothSides">
                    <wp:wrapPolygon edited="0">
                      <wp:start x="-1100" y="0"/>
                      <wp:lineTo x="-1100" y="21225"/>
                      <wp:lineTo x="22003" y="21225"/>
                      <wp:lineTo x="22003" y="0"/>
                      <wp:lineTo x="-1100" y="0"/>
                    </wp:wrapPolygon>
                  </wp:wrapTight>
                  <wp:docPr id="18" name="logo" descr="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NUD"/>
                          <pic:cNvPicPr>
                            <a:picLocks noChangeAspect="1" noChangeArrowheads="1"/>
                          </pic:cNvPicPr>
                        </pic:nvPicPr>
                        <pic:blipFill>
                          <a:blip r:embed="rId7" r:link="rId8"/>
                          <a:srcRect/>
                          <a:stretch>
                            <a:fillRect/>
                          </a:stretch>
                        </pic:blipFill>
                        <pic:spPr bwMode="auto">
                          <a:xfrm>
                            <a:off x="0" y="0"/>
                            <a:ext cx="374015" cy="659130"/>
                          </a:xfrm>
                          <a:prstGeom prst="rect">
                            <a:avLst/>
                          </a:prstGeom>
                          <a:noFill/>
                          <a:ln w="9525">
                            <a:noFill/>
                            <a:miter lim="800000"/>
                            <a:headEnd/>
                            <a:tailEnd/>
                          </a:ln>
                        </pic:spPr>
                      </pic:pic>
                    </a:graphicData>
                  </a:graphic>
                </wp:anchor>
              </w:drawing>
            </w:r>
            <w:r w:rsidRPr="0007582A">
              <w:rPr>
                <w:rFonts w:ascii="Myriad Pro" w:hAnsi="Myriad Pro"/>
                <w:bCs/>
                <w:i/>
                <w:color w:val="0000FF"/>
              </w:rPr>
              <w:t>République</w:t>
            </w:r>
          </w:p>
          <w:p w:rsidR="00BE0380" w:rsidRPr="008E38C2" w:rsidRDefault="00BE0380" w:rsidP="00BE0380">
            <w:pPr>
              <w:spacing w:after="0"/>
              <w:jc w:val="center"/>
              <w:rPr>
                <w:b/>
              </w:rPr>
            </w:pPr>
            <w:r w:rsidRPr="0007582A">
              <w:rPr>
                <w:rFonts w:ascii="Myriad Pro" w:hAnsi="Myriad Pro"/>
                <w:bCs/>
                <w:i/>
                <w:color w:val="0000FF"/>
              </w:rPr>
              <w:t>Centrafricaine</w:t>
            </w:r>
          </w:p>
        </w:tc>
      </w:tr>
      <w:tr w:rsidR="00BE0380" w:rsidTr="00AF48D2">
        <w:trPr>
          <w:trHeight w:val="259"/>
        </w:trPr>
        <w:tc>
          <w:tcPr>
            <w:tcW w:w="7867" w:type="dxa"/>
          </w:tcPr>
          <w:p w:rsidR="00BE0380" w:rsidRPr="00E25CD7" w:rsidRDefault="00BE0380" w:rsidP="00AF48D2">
            <w:pPr>
              <w:rPr>
                <w:rFonts w:ascii="Arial" w:hAnsi="Arial" w:cs="Arial"/>
              </w:rPr>
            </w:pPr>
          </w:p>
        </w:tc>
        <w:tc>
          <w:tcPr>
            <w:tcW w:w="1701" w:type="dxa"/>
            <w:vMerge/>
          </w:tcPr>
          <w:p w:rsidR="00BE0380" w:rsidRDefault="00BE0380" w:rsidP="00AF48D2"/>
        </w:tc>
      </w:tr>
    </w:tbl>
    <w:p w:rsidR="00D2241C" w:rsidRDefault="00D2241C" w:rsidP="00BE0380">
      <w:pPr>
        <w:spacing w:before="84" w:after="0" w:line="240" w:lineRule="auto"/>
        <w:jc w:val="center"/>
        <w:outlineLvl w:val="0"/>
        <w:rPr>
          <w:rFonts w:eastAsia="Times New Roman" w:cs="Times New Roman"/>
          <w:b/>
          <w:color w:val="003399"/>
          <w:kern w:val="36"/>
          <w:sz w:val="32"/>
          <w:szCs w:val="32"/>
        </w:rPr>
      </w:pPr>
    </w:p>
    <w:p w:rsidR="009363BE" w:rsidRPr="00D2241C" w:rsidRDefault="00B563D4" w:rsidP="00D2241C">
      <w:pPr>
        <w:spacing w:after="0" w:line="240" w:lineRule="auto"/>
        <w:jc w:val="center"/>
        <w:outlineLvl w:val="0"/>
        <w:rPr>
          <w:rFonts w:eastAsia="Times New Roman" w:cs="Times New Roman"/>
          <w:b/>
          <w:color w:val="003399"/>
          <w:kern w:val="36"/>
          <w:sz w:val="32"/>
          <w:szCs w:val="32"/>
        </w:rPr>
      </w:pPr>
      <w:r w:rsidRPr="00D2241C">
        <w:rPr>
          <w:rFonts w:eastAsia="Times New Roman" w:cs="Times New Roman"/>
          <w:b/>
          <w:color w:val="003399"/>
          <w:kern w:val="36"/>
          <w:sz w:val="32"/>
          <w:szCs w:val="32"/>
        </w:rPr>
        <w:t xml:space="preserve">TERMES DE REFERENCE POUR L’EVALUATION </w:t>
      </w:r>
      <w:r w:rsidR="00A53B99" w:rsidRPr="00D2241C">
        <w:rPr>
          <w:rFonts w:eastAsia="Times New Roman" w:cs="Times New Roman"/>
          <w:b/>
          <w:color w:val="003399"/>
          <w:kern w:val="36"/>
          <w:sz w:val="32"/>
          <w:szCs w:val="32"/>
        </w:rPr>
        <w:t xml:space="preserve">CADRE </w:t>
      </w:r>
      <w:r w:rsidR="004A14B5" w:rsidRPr="00D2241C">
        <w:rPr>
          <w:rFonts w:eastAsia="Times New Roman" w:cs="Times New Roman"/>
          <w:b/>
          <w:color w:val="003399"/>
          <w:kern w:val="36"/>
          <w:sz w:val="32"/>
          <w:szCs w:val="32"/>
        </w:rPr>
        <w:t xml:space="preserve">DU </w:t>
      </w:r>
      <w:r w:rsidR="00A53B99" w:rsidRPr="00D2241C">
        <w:rPr>
          <w:rFonts w:eastAsia="Times New Roman" w:cs="Times New Roman"/>
          <w:b/>
          <w:color w:val="003399"/>
          <w:kern w:val="36"/>
          <w:sz w:val="32"/>
          <w:szCs w:val="32"/>
        </w:rPr>
        <w:t xml:space="preserve">PROGRAMME </w:t>
      </w:r>
      <w:r w:rsidR="00EA19A4">
        <w:rPr>
          <w:rFonts w:eastAsia="Times New Roman" w:cs="Times New Roman"/>
          <w:b/>
          <w:color w:val="003399"/>
          <w:kern w:val="36"/>
          <w:sz w:val="32"/>
          <w:szCs w:val="32"/>
        </w:rPr>
        <w:t xml:space="preserve">DE COOPERATION </w:t>
      </w:r>
      <w:r w:rsidR="00A53B99" w:rsidRPr="00D2241C">
        <w:rPr>
          <w:rFonts w:eastAsia="Times New Roman" w:cs="Times New Roman"/>
          <w:b/>
          <w:color w:val="003399"/>
          <w:kern w:val="36"/>
          <w:sz w:val="32"/>
          <w:szCs w:val="32"/>
        </w:rPr>
        <w:t>DU PNUD 201</w:t>
      </w:r>
      <w:r w:rsidR="004A14B5" w:rsidRPr="00D2241C">
        <w:rPr>
          <w:rFonts w:eastAsia="Times New Roman" w:cs="Times New Roman"/>
          <w:b/>
          <w:color w:val="003399"/>
          <w:kern w:val="36"/>
          <w:sz w:val="32"/>
          <w:szCs w:val="32"/>
        </w:rPr>
        <w:t>2</w:t>
      </w:r>
      <w:r w:rsidR="00A53B99" w:rsidRPr="00D2241C">
        <w:rPr>
          <w:rFonts w:eastAsia="Times New Roman" w:cs="Times New Roman"/>
          <w:b/>
          <w:color w:val="003399"/>
          <w:kern w:val="36"/>
          <w:sz w:val="32"/>
          <w:szCs w:val="32"/>
        </w:rPr>
        <w:t xml:space="preserve"> - 2016</w:t>
      </w:r>
    </w:p>
    <w:p w:rsidR="00483634" w:rsidRDefault="00483634" w:rsidP="00D2241C">
      <w:pPr>
        <w:spacing w:after="0" w:line="312" w:lineRule="auto"/>
        <w:jc w:val="both"/>
        <w:rPr>
          <w:rFonts w:eastAsia="Times New Roman" w:cs="Times New Roman"/>
          <w:color w:val="333333"/>
        </w:rPr>
      </w:pPr>
    </w:p>
    <w:p w:rsidR="00483634" w:rsidRDefault="009363BE" w:rsidP="004863D7">
      <w:pPr>
        <w:spacing w:after="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 xml:space="preserve">Les </w:t>
      </w:r>
      <w:r w:rsidR="00483634" w:rsidRPr="00D2241C">
        <w:rPr>
          <w:rFonts w:ascii="Times New Roman" w:hAnsi="Times New Roman" w:cs="Times New Roman"/>
          <w:sz w:val="20"/>
          <w:szCs w:val="20"/>
        </w:rPr>
        <w:t xml:space="preserve">présents termes de référence visent l’évaluation de la mise en œuvre du </w:t>
      </w:r>
      <w:r w:rsidR="00A53B99" w:rsidRPr="00D2241C">
        <w:rPr>
          <w:rFonts w:ascii="Times New Roman" w:hAnsi="Times New Roman" w:cs="Times New Roman"/>
          <w:sz w:val="20"/>
          <w:szCs w:val="20"/>
        </w:rPr>
        <w:t xml:space="preserve">cadre </w:t>
      </w:r>
      <w:r w:rsidR="00483634" w:rsidRPr="00D2241C">
        <w:rPr>
          <w:rFonts w:ascii="Times New Roman" w:hAnsi="Times New Roman" w:cs="Times New Roman"/>
          <w:sz w:val="20"/>
          <w:szCs w:val="20"/>
        </w:rPr>
        <w:t>programm</w:t>
      </w:r>
      <w:r w:rsidR="00A53B99" w:rsidRPr="00D2241C">
        <w:rPr>
          <w:rFonts w:ascii="Times New Roman" w:hAnsi="Times New Roman" w:cs="Times New Roman"/>
          <w:sz w:val="20"/>
          <w:szCs w:val="20"/>
        </w:rPr>
        <w:t>atiqu</w:t>
      </w:r>
      <w:r w:rsidR="00483634" w:rsidRPr="00D2241C">
        <w:rPr>
          <w:rFonts w:ascii="Times New Roman" w:hAnsi="Times New Roman" w:cs="Times New Roman"/>
          <w:sz w:val="20"/>
          <w:szCs w:val="20"/>
        </w:rPr>
        <w:t xml:space="preserve">e </w:t>
      </w:r>
      <w:r w:rsidR="00A53B99" w:rsidRPr="00D2241C">
        <w:rPr>
          <w:rFonts w:ascii="Times New Roman" w:hAnsi="Times New Roman" w:cs="Times New Roman"/>
          <w:sz w:val="20"/>
          <w:szCs w:val="20"/>
        </w:rPr>
        <w:t>201</w:t>
      </w:r>
      <w:r w:rsidR="004A14B5" w:rsidRPr="00D2241C">
        <w:rPr>
          <w:rFonts w:ascii="Times New Roman" w:hAnsi="Times New Roman" w:cs="Times New Roman"/>
          <w:sz w:val="20"/>
          <w:szCs w:val="20"/>
        </w:rPr>
        <w:t>2</w:t>
      </w:r>
      <w:r w:rsidR="00483634" w:rsidRPr="00D2241C">
        <w:rPr>
          <w:rFonts w:ascii="Times New Roman" w:hAnsi="Times New Roman" w:cs="Times New Roman"/>
          <w:sz w:val="20"/>
          <w:szCs w:val="20"/>
        </w:rPr>
        <w:t xml:space="preserve"> – 201</w:t>
      </w:r>
      <w:r w:rsidR="004A14B5" w:rsidRPr="00D2241C">
        <w:rPr>
          <w:rFonts w:ascii="Times New Roman" w:hAnsi="Times New Roman" w:cs="Times New Roman"/>
          <w:sz w:val="20"/>
          <w:szCs w:val="20"/>
        </w:rPr>
        <w:t>6</w:t>
      </w:r>
      <w:r w:rsidR="00483634" w:rsidRPr="00D2241C">
        <w:rPr>
          <w:rFonts w:ascii="Times New Roman" w:hAnsi="Times New Roman" w:cs="Times New Roman"/>
          <w:sz w:val="20"/>
          <w:szCs w:val="20"/>
        </w:rPr>
        <w:t>. A l’issue de cet exercice des options stratégiques fiables en termes d’impact, d’effets seront disponibles et pourront servir de base à la réalisation du prochain cycle de programme de coopération</w:t>
      </w:r>
      <w:r w:rsidR="00A53B99" w:rsidRPr="00D2241C">
        <w:rPr>
          <w:rFonts w:ascii="Times New Roman" w:hAnsi="Times New Roman" w:cs="Times New Roman"/>
          <w:sz w:val="20"/>
          <w:szCs w:val="20"/>
        </w:rPr>
        <w:t>.</w:t>
      </w:r>
    </w:p>
    <w:p w:rsidR="004863D7" w:rsidRPr="00D2241C" w:rsidRDefault="004863D7" w:rsidP="004863D7">
      <w:pPr>
        <w:spacing w:after="0" w:line="256" w:lineRule="auto"/>
        <w:ind w:firstLine="360"/>
        <w:jc w:val="both"/>
        <w:rPr>
          <w:rFonts w:ascii="Times New Roman" w:hAnsi="Times New Roman" w:cs="Times New Roman"/>
          <w:sz w:val="20"/>
          <w:szCs w:val="20"/>
        </w:rPr>
      </w:pPr>
    </w:p>
    <w:p w:rsidR="009363BE" w:rsidRPr="00B563D4" w:rsidRDefault="009363BE" w:rsidP="00D2241C">
      <w:pPr>
        <w:spacing w:after="0" w:line="312" w:lineRule="auto"/>
        <w:ind w:left="426" w:hanging="426"/>
        <w:jc w:val="both"/>
        <w:rPr>
          <w:rFonts w:eastAsia="Times New Roman" w:cs="Times New Roman"/>
          <w:b/>
          <w:color w:val="003399"/>
          <w:sz w:val="36"/>
          <w:szCs w:val="29"/>
        </w:rPr>
      </w:pPr>
      <w:r w:rsidRPr="00B563D4">
        <w:rPr>
          <w:rFonts w:eastAsia="Times New Roman" w:cs="Times New Roman"/>
          <w:color w:val="333333"/>
        </w:rPr>
        <w:t xml:space="preserve"> </w:t>
      </w:r>
      <w:r w:rsidRPr="00D2241C">
        <w:rPr>
          <w:rFonts w:eastAsia="Times New Roman" w:cs="Times New Roman"/>
          <w:b/>
          <w:color w:val="003399"/>
          <w:sz w:val="28"/>
          <w:szCs w:val="28"/>
        </w:rPr>
        <w:t>1. Historique et contexte</w:t>
      </w:r>
    </w:p>
    <w:p w:rsidR="004A14B5" w:rsidRPr="006265DF" w:rsidRDefault="004A14B5" w:rsidP="006265DF">
      <w:pPr>
        <w:spacing w:before="120" w:after="160" w:line="256" w:lineRule="auto"/>
        <w:ind w:firstLine="360"/>
        <w:jc w:val="both"/>
        <w:rPr>
          <w:rFonts w:ascii="Times New Roman" w:hAnsi="Times New Roman" w:cs="Times New Roman"/>
          <w:sz w:val="20"/>
          <w:szCs w:val="20"/>
        </w:rPr>
      </w:pPr>
      <w:r w:rsidRPr="006265DF">
        <w:rPr>
          <w:rFonts w:ascii="Times New Roman" w:hAnsi="Times New Roman" w:cs="Times New Roman"/>
          <w:sz w:val="20"/>
          <w:szCs w:val="20"/>
        </w:rPr>
        <w:t xml:space="preserve">Le Document de Programme Pays du PNUD-RCA en cours porte sur la période 2012-2016. Il est aligné sur l’UNDAF 2012-2016, lui-même aligné sur le DSRP II 2011-2015. Malheureusement ce programme n’a pu être exécuté à cause de la crise politico-militaire sans précédent qui a affecté le pays dès décembre 2012 ouvrant ainsi une longue période de transition qui a conduit à la suspension de l’UNDAF. </w:t>
      </w:r>
    </w:p>
    <w:p w:rsidR="004A14B5" w:rsidRPr="006265DF" w:rsidRDefault="004A14B5" w:rsidP="006265DF">
      <w:pPr>
        <w:spacing w:before="120" w:after="160" w:line="256" w:lineRule="auto"/>
        <w:ind w:firstLine="360"/>
        <w:jc w:val="both"/>
        <w:rPr>
          <w:rFonts w:ascii="Times New Roman" w:hAnsi="Times New Roman" w:cs="Times New Roman"/>
          <w:sz w:val="20"/>
          <w:szCs w:val="20"/>
        </w:rPr>
      </w:pPr>
      <w:r w:rsidRPr="006265DF">
        <w:rPr>
          <w:rFonts w:ascii="Times New Roman" w:hAnsi="Times New Roman" w:cs="Times New Roman"/>
          <w:sz w:val="20"/>
          <w:szCs w:val="20"/>
        </w:rPr>
        <w:t>Les soubresauts de cette période tumultueuse ont conduit le Système des Nations Unies à formuler sur la base de la feuille de route du Gouvernement de transition et des différents accords politiques, un cadre stratégique intérimaire 2014-2015, sur lequel les priorités programmatiques du PNUD ont été alignées. La formulation de ces priorités a été facilitée par une équipe d’experts du siège, déployée en octobre 2013. L’objectif principal de ce cadre intérimaire était de soutenir les efforts de stabilisation de la RCA pendant la période de transition par l’amélioration du climat politique et sécuritaire permettant l’organisation d’élections libres, transparentes et crédibles. L’assistance du PNUD était également focalisée sur la sécurité communautaire et la résilience, ainsi que sur la promotion des droits humains, la reconstitution du capital social et des systèmes locaux de gouvernance.</w:t>
      </w:r>
    </w:p>
    <w:p w:rsidR="004A14B5" w:rsidRPr="006265DF" w:rsidRDefault="004A14B5" w:rsidP="006265DF">
      <w:pPr>
        <w:spacing w:before="120" w:after="160" w:line="256" w:lineRule="auto"/>
        <w:ind w:firstLine="360"/>
        <w:jc w:val="both"/>
        <w:rPr>
          <w:rFonts w:ascii="Times New Roman" w:hAnsi="Times New Roman" w:cs="Times New Roman"/>
          <w:sz w:val="20"/>
          <w:szCs w:val="20"/>
        </w:rPr>
      </w:pPr>
      <w:r w:rsidRPr="006265DF">
        <w:rPr>
          <w:rFonts w:ascii="Times New Roman" w:hAnsi="Times New Roman" w:cs="Times New Roman"/>
          <w:sz w:val="20"/>
          <w:szCs w:val="20"/>
        </w:rPr>
        <w:t xml:space="preserve">Ainsi sur la base d’une analyse du conflit et de son expérience passée, le PNUD a concentré son appui durant la période intérimaire 2013-2015 sur trois domaines clés : i) la protection des communautés affectées par le conflit armé et leur résilience ; ii) la réinsertion communautaire des ex-combattants dans leurs zones d’origine et, iii) la mise en place d’un partenariat stratégique pour l’appui aux institutions de transition y compris le renforcement des capacités de planification stratégique. En début 2014, s’appuyant sur l’évolution politique résultant du sommet des chefs d’Etat de la CEEAC, ayant conduit au retrait du chef de l’Etat de transition et du Premier ministre qui a ouvert la voie à une transition nouvelle, le PNUD a restructuré ses priorités autour de deux axes à savoir (i) la stabilisation des communautés et (ii) l’appui aux institutions de transition. C’est sur la base de ce cadre que l’assistance du PNUD s’est organisée durant la période 2014-2015. </w:t>
      </w:r>
    </w:p>
    <w:p w:rsidR="004A14B5" w:rsidRPr="00D2241C" w:rsidRDefault="004A14B5" w:rsidP="00D2241C">
      <w:pPr>
        <w:spacing w:before="120" w:after="16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 xml:space="preserve">Alors que le pays s’achemine progressivement vers la fin de la transition, les défis à sa stabilité demeurent encore nombreux et complexes. </w:t>
      </w:r>
    </w:p>
    <w:p w:rsidR="004A14B5" w:rsidRPr="00D2241C" w:rsidRDefault="004A14B5" w:rsidP="00D2241C">
      <w:pPr>
        <w:spacing w:before="120" w:after="16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 xml:space="preserve">En effet, malgré les progrès enregistrés sur le plan sécuritaire, le scrutin du 30 décembre 2015 s’est déroulé sans incident sécuritaire majeur, le pays connaît encore des enclaves où plusieurs milliers de personnes sont otages des groupes armés, les dissensions au sein de la population restent vivaces avec des interactions socioéconomiques limitées entre communautés. La méfiance et la peur de représailles demeurent encore réelles. Les clivages ethniques ou religieux, souvent entretenus par l’élite politique, continuent de réguler les tensions au sein de quelques rares </w:t>
      </w:r>
      <w:r w:rsidRPr="00D2241C">
        <w:rPr>
          <w:rFonts w:ascii="Times New Roman" w:hAnsi="Times New Roman" w:cs="Times New Roman"/>
          <w:sz w:val="20"/>
          <w:szCs w:val="20"/>
        </w:rPr>
        <w:lastRenderedPageBreak/>
        <w:t>communautés encore multiconfessionnelles. Le sentiment d’insécurité</w:t>
      </w:r>
      <w:r>
        <w:rPr>
          <w:rStyle w:val="Appelnotedebasdep"/>
          <w:rFonts w:ascii="Times New Roman" w:hAnsi="Times New Roman" w:cs="Times New Roman"/>
          <w:sz w:val="20"/>
          <w:szCs w:val="20"/>
        </w:rPr>
        <w:footnoteReference w:id="1"/>
      </w:r>
      <w:r w:rsidRPr="00D2241C">
        <w:rPr>
          <w:rFonts w:ascii="Times New Roman" w:hAnsi="Times New Roman" w:cs="Times New Roman"/>
          <w:sz w:val="20"/>
          <w:szCs w:val="20"/>
        </w:rPr>
        <w:t xml:space="preserve"> (53</w:t>
      </w:r>
      <w:r w:rsidRPr="00D2241C">
        <w:rPr>
          <w:rFonts w:ascii="Times New Roman" w:hAnsi="Times New Roman" w:cs="Times New Roman"/>
          <w:sz w:val="20"/>
          <w:szCs w:val="20"/>
          <w:vertAlign w:val="superscript"/>
        </w:rPr>
        <w:t>ème</w:t>
      </w:r>
      <w:r w:rsidRPr="00D2241C">
        <w:rPr>
          <w:rFonts w:ascii="Times New Roman" w:hAnsi="Times New Roman" w:cs="Times New Roman"/>
          <w:sz w:val="20"/>
          <w:szCs w:val="20"/>
        </w:rPr>
        <w:t xml:space="preserve"> sur 54 pays en Afrique avec un score de 8.3/100 selon Ibrahim MO Index 2015) est permanent malgré la reprise des fonctions essentielles de l’Etat dans plusieurs localités (sécurité, justice, Administration, etc.). Les groupes armés occupent encore certaines parties du territoire qui échappe au contrôle de l’Etat laissant chez plusieurs citoyens centrafricains, un sentiment d’abandon de l’Etat. Ce sentiment est renforcé par l’exposition quasi-quotidienne des populations aux exactions des groupes armés centrafricains et étrangers. La RCA en raison de son positionnement géostratégique au cœur d’une région instable, subit les contrecoups de l’instabilité régionale avec la persistance des conflits au Darfour et en RDC, la guerre civile au Soudan du Sud, les exactions de la LRA, et des indices non encore confirmés d’une présence de la secte Boko Haram dans ses zones frontalières avec le Cameroun.</w:t>
      </w:r>
    </w:p>
    <w:p w:rsidR="004A14B5" w:rsidRPr="00D2241C" w:rsidRDefault="004A14B5" w:rsidP="00D2241C">
      <w:pPr>
        <w:spacing w:before="120" w:after="16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 xml:space="preserve">Dans ce contexte caractérisé par une faible présence de l’Etat, les violations des droits de l’homme, particulièrement les violences à l’égard des femmes sont quasi-permanentes, les populations étant exposées aux groupes rebelles, à une justice souvent administrée par ceux-ci ou les communautés elles-mêmes, et aux groupes armés qui exploitent impunément les ressources naturelles du pays. L’appareil judiciaire dysfonctionnel dans plusieurs localités du pays reprend progressivement ses activités mais les décisions rendues sont souvent entachées d’irrégularités et révèlent l’inobservation des règles éthiques accentuant ainsi l’impunité. La restauration de l'autorité de l'Etat et le désarmement des groupes armés sur toute l'étendue du territoire demeurent un impératif majeur. Plusieurs actions doivent être entreprises en vue de favoriser le retour de la légalité, le rétablissement des institutions étatiques et la sensibilisation des citoyens sur leur fonctionnement crédible. </w:t>
      </w:r>
    </w:p>
    <w:p w:rsidR="004A14B5" w:rsidRPr="00D2241C" w:rsidRDefault="004A14B5" w:rsidP="00D2241C">
      <w:pPr>
        <w:spacing w:before="120" w:after="16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En dépit de ses potentialités (vastes terres agricoles, meilleure pluviométrie, densité du réseau hydrographique, richesse du sous-sol, etc.), la RCA reste parmi les pays les plus pauvres avec un indice de développement humain estimé à 0,350 la plaçant au 187</w:t>
      </w:r>
      <w:r w:rsidRPr="00D2241C">
        <w:rPr>
          <w:rFonts w:ascii="Times New Roman" w:hAnsi="Times New Roman" w:cs="Times New Roman"/>
          <w:sz w:val="20"/>
          <w:szCs w:val="20"/>
          <w:vertAlign w:val="superscript"/>
        </w:rPr>
        <w:t>ème</w:t>
      </w:r>
      <w:r w:rsidRPr="00D2241C">
        <w:rPr>
          <w:rFonts w:ascii="Times New Roman" w:hAnsi="Times New Roman" w:cs="Times New Roman"/>
          <w:sz w:val="20"/>
          <w:szCs w:val="20"/>
        </w:rPr>
        <w:t xml:space="preserve"> rang sur 188 (RMDH 2015). Classée parmi les Pays les Moins Avancés et considérée comme Etat fragile, en raison du caractère cyclique des crises qu’elle a traversé, la RCA connaît une situation économique et financière difficile qui ne lui permet pas de faire face à ses dépenses courantes. La qualité de la gouvernance</w:t>
      </w:r>
      <w:r>
        <w:rPr>
          <w:rStyle w:val="Appelnotedebasdep"/>
          <w:rFonts w:ascii="Times New Roman" w:hAnsi="Times New Roman" w:cs="Times New Roman"/>
          <w:sz w:val="20"/>
          <w:szCs w:val="20"/>
        </w:rPr>
        <w:footnoteReference w:id="2"/>
      </w:r>
      <w:r w:rsidRPr="00D2241C">
        <w:rPr>
          <w:rFonts w:ascii="Times New Roman" w:hAnsi="Times New Roman" w:cs="Times New Roman"/>
          <w:sz w:val="20"/>
          <w:szCs w:val="20"/>
        </w:rPr>
        <w:t>, les crises à répétition ainsi que le faible engagement de l’élite dans la recherche de solutions constituent des facteurs qui limitent les perspectives de développement économique du pays. Le niveau de corruption dans la gestion publique reste élevé</w:t>
      </w:r>
      <w:r>
        <w:rPr>
          <w:rStyle w:val="Appelnotedebasdep"/>
          <w:rFonts w:ascii="Times New Roman" w:hAnsi="Times New Roman" w:cs="Times New Roman"/>
          <w:sz w:val="20"/>
          <w:szCs w:val="20"/>
        </w:rPr>
        <w:footnoteReference w:id="3"/>
      </w:r>
      <w:r w:rsidRPr="00D2241C">
        <w:rPr>
          <w:rFonts w:ascii="Times New Roman" w:hAnsi="Times New Roman" w:cs="Times New Roman"/>
          <w:sz w:val="20"/>
          <w:szCs w:val="20"/>
        </w:rPr>
        <w:t>. Le manque de transparence dans l’exploitation et la gestion des ressources naturelles continue d’alimenter les crises. Le secteur privé national, très embryonnaire est laissé à l’abandon par l’Etat et ne peut donc créer des emplois à même d’occuper une jeunesse majoritairement non qualifiée. Selon l’enquête 2016 de la Banque mondiale relative au climat des affaires, le pays se classe 185</w:t>
      </w:r>
      <w:r w:rsidRPr="00D2241C">
        <w:rPr>
          <w:rFonts w:ascii="Times New Roman" w:hAnsi="Times New Roman" w:cs="Times New Roman"/>
          <w:sz w:val="20"/>
          <w:szCs w:val="20"/>
          <w:vertAlign w:val="superscript"/>
        </w:rPr>
        <w:t>ème</w:t>
      </w:r>
      <w:r w:rsidRPr="00D2241C">
        <w:rPr>
          <w:rFonts w:ascii="Times New Roman" w:hAnsi="Times New Roman" w:cs="Times New Roman"/>
          <w:sz w:val="20"/>
          <w:szCs w:val="20"/>
        </w:rPr>
        <w:t xml:space="preserve"> sur 189. La dégradation avancée des infrastructures routières, les difficultés d’accès aux facteurs de production </w:t>
      </w:r>
      <w:r>
        <w:rPr>
          <w:rStyle w:val="Appelnotedebasdep"/>
          <w:rFonts w:ascii="Times New Roman" w:hAnsi="Times New Roman" w:cs="Times New Roman"/>
          <w:sz w:val="20"/>
          <w:szCs w:val="20"/>
        </w:rPr>
        <w:footnoteReference w:id="4"/>
      </w:r>
      <w:r w:rsidRPr="00D2241C">
        <w:rPr>
          <w:rFonts w:ascii="Times New Roman" w:hAnsi="Times New Roman" w:cs="Times New Roman"/>
          <w:sz w:val="20"/>
          <w:szCs w:val="20"/>
        </w:rPr>
        <w:t xml:space="preserve"> (seulement 9% de centrafricains ont accès à l’électricité, la plupart des populations utilisent la biomasse comme source d’énergie alternative), les tracasseries administratives et la multiplicité des procédures administratives ainsi que les incidents sécuritaires réguliers sur les grands axes routiers compromettent les échanges commerciaux. Toutefois, il faut relever que depuis quelques mois, la situation sécuritaire s’est nettement améliorée sur le principal corridor d’approvisionnement du pays grâce à la protection des convois par les forces des Nations unies.</w:t>
      </w:r>
    </w:p>
    <w:p w:rsidR="004A14B5" w:rsidRPr="00D2241C" w:rsidRDefault="004A14B5" w:rsidP="00D2241C">
      <w:pPr>
        <w:spacing w:before="120" w:after="160" w:line="256" w:lineRule="auto"/>
        <w:ind w:firstLine="360"/>
        <w:jc w:val="both"/>
        <w:rPr>
          <w:rFonts w:ascii="Times New Roman" w:hAnsi="Times New Roman" w:cs="Times New Roman"/>
          <w:sz w:val="20"/>
          <w:szCs w:val="20"/>
        </w:rPr>
      </w:pPr>
      <w:r w:rsidRPr="00D2241C">
        <w:rPr>
          <w:rFonts w:ascii="Times New Roman" w:hAnsi="Times New Roman" w:cs="Times New Roman"/>
          <w:sz w:val="20"/>
          <w:szCs w:val="20"/>
        </w:rPr>
        <w:t>D’autres problèmes affectent la disponibilité du capital humain et compromettent la perspective de l’atteinte des OMD. Il s’agit entre autres, d’un taux de pauvreté élevé</w:t>
      </w:r>
      <w:r>
        <w:rPr>
          <w:rStyle w:val="Appelnotedebasdep"/>
          <w:rFonts w:ascii="Times New Roman" w:hAnsi="Times New Roman" w:cs="Times New Roman"/>
          <w:sz w:val="20"/>
          <w:szCs w:val="20"/>
        </w:rPr>
        <w:footnoteReference w:id="5"/>
      </w:r>
      <w:r w:rsidRPr="00D2241C">
        <w:rPr>
          <w:rFonts w:ascii="Times New Roman" w:hAnsi="Times New Roman" w:cs="Times New Roman"/>
          <w:sz w:val="20"/>
          <w:szCs w:val="20"/>
        </w:rPr>
        <w:t>, de la faiblesse de l’investissement dans les secteurs sociaux (santé et éducation), de la qualité de l’enseignement, d’un taux de malnutrition et d’insécurité alimentaire</w:t>
      </w:r>
      <w:r>
        <w:rPr>
          <w:rStyle w:val="Appelnotedebasdep"/>
          <w:rFonts w:ascii="Times New Roman" w:hAnsi="Times New Roman" w:cs="Times New Roman"/>
          <w:sz w:val="20"/>
          <w:szCs w:val="20"/>
        </w:rPr>
        <w:footnoteReference w:id="6"/>
      </w:r>
      <w:r w:rsidRPr="00D2241C">
        <w:rPr>
          <w:rFonts w:ascii="Times New Roman" w:hAnsi="Times New Roman" w:cs="Times New Roman"/>
          <w:sz w:val="20"/>
          <w:szCs w:val="20"/>
        </w:rPr>
        <w:t xml:space="preserve"> aigu ainsi qu’une situation humanitaire toujours préoccupante avec 460 000 réfugiés dans les pays voisins et près de 450 000 personnes déplacées internes dont la plupart sont des femmes et des enfants. Les crises à répétition ont aggravé cette situation en accroissant la vulnérabilité des plus pauvres. Ainsi, la malnutrition sévère touche 40.7% des enfants dont 20.8% souffrent d’insuffisance pondérale et le risque de décès maternel a augmenté de 63% entre 2012 et 2015 (Rapport National OMD 2015). Le taux de séroprévalence estimé à 4.1% bien qu’en baise reste parmi le plus élevé de la sous-région. La cadence des crises et conflits politico-militaires n’a pas permis d’accroître l’investissement dans </w:t>
      </w:r>
      <w:r w:rsidRPr="00D2241C">
        <w:rPr>
          <w:rFonts w:ascii="Times New Roman" w:hAnsi="Times New Roman" w:cs="Times New Roman"/>
          <w:sz w:val="20"/>
          <w:szCs w:val="20"/>
        </w:rPr>
        <w:lastRenderedPageBreak/>
        <w:t xml:space="preserve">les secteurs sociaux ce qui a accentué la vulnérabilité d’une part importante de la population qui fait face à une situation d’insécurité alimentaire sévère. Aussi, les infrastructures sanitaires, éducatives, routières et sportives sont dans un état de délabrement avancé ou ont été totalement détruites. Ces services essentiels n’ont pas connu depuis plusieurs années un fonctionnement régulier. Les quelques rares services fonctionnels le sont grâce au soutien de la communauté internationale. </w:t>
      </w:r>
    </w:p>
    <w:p w:rsidR="004A14B5" w:rsidRDefault="004A14B5" w:rsidP="004A14B5">
      <w:pPr>
        <w:pStyle w:val="Paragraphedeliste"/>
        <w:spacing w:before="120" w:after="160" w:line="256"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  </w:t>
      </w:r>
    </w:p>
    <w:p w:rsidR="008210DB" w:rsidRDefault="008210DB" w:rsidP="008210DB">
      <w:pPr>
        <w:pStyle w:val="SingleTxt"/>
        <w:tabs>
          <w:tab w:val="clear" w:pos="1267"/>
          <w:tab w:val="left" w:pos="993"/>
        </w:tabs>
        <w:ind w:left="0" w:right="4"/>
        <w:rPr>
          <w:rFonts w:asciiTheme="minorHAnsi" w:hAnsiTheme="minorHAnsi"/>
          <w:lang w:val="fr-FR"/>
        </w:rPr>
      </w:pPr>
    </w:p>
    <w:p w:rsidR="0025484A" w:rsidRDefault="0025484A" w:rsidP="008210DB">
      <w:pPr>
        <w:pStyle w:val="SingleTxt"/>
        <w:tabs>
          <w:tab w:val="clear" w:pos="1267"/>
          <w:tab w:val="left" w:pos="993"/>
        </w:tabs>
        <w:ind w:left="0" w:right="4"/>
        <w:rPr>
          <w:rFonts w:asciiTheme="minorHAnsi" w:hAnsiTheme="minorHAnsi"/>
          <w:lang w:val="fr-FR"/>
        </w:rPr>
      </w:pPr>
    </w:p>
    <w:p w:rsidR="0025484A" w:rsidRDefault="0025484A" w:rsidP="00695EC7">
      <w:pPr>
        <w:spacing w:after="0" w:line="312" w:lineRule="auto"/>
        <w:jc w:val="both"/>
        <w:outlineLvl w:val="5"/>
        <w:rPr>
          <w:rFonts w:eastAsia="Times New Roman" w:cs="Times New Roman"/>
          <w:b/>
          <w:color w:val="003399"/>
          <w:sz w:val="20"/>
          <w:szCs w:val="29"/>
        </w:rPr>
        <w:sectPr w:rsidR="0025484A" w:rsidSect="00483634">
          <w:footerReference w:type="default" r:id="rId9"/>
          <w:pgSz w:w="12240" w:h="15840"/>
          <w:pgMar w:top="1135" w:right="1440" w:bottom="1276" w:left="1440" w:header="708" w:footer="708" w:gutter="0"/>
          <w:cols w:space="708"/>
          <w:docGrid w:linePitch="360"/>
        </w:sectPr>
      </w:pPr>
    </w:p>
    <w:p w:rsidR="00695EC7" w:rsidRPr="00D2241C" w:rsidRDefault="00695EC7" w:rsidP="00D2241C">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lastRenderedPageBreak/>
        <w:t>2. Description des interventions</w:t>
      </w:r>
      <w:r w:rsidR="00483634" w:rsidRPr="00D2241C">
        <w:rPr>
          <w:rFonts w:eastAsia="Times New Roman" w:cs="Times New Roman"/>
          <w:b/>
          <w:color w:val="003399"/>
          <w:sz w:val="28"/>
          <w:szCs w:val="28"/>
        </w:rPr>
        <w:t xml:space="preserve"> dans le cadre programm</w:t>
      </w:r>
      <w:r w:rsidR="00A53B99" w:rsidRPr="00D2241C">
        <w:rPr>
          <w:rFonts w:eastAsia="Times New Roman" w:cs="Times New Roman"/>
          <w:b/>
          <w:color w:val="003399"/>
          <w:sz w:val="28"/>
          <w:szCs w:val="28"/>
        </w:rPr>
        <w:t>atiqu</w:t>
      </w:r>
      <w:r w:rsidR="00483634" w:rsidRPr="00D2241C">
        <w:rPr>
          <w:rFonts w:eastAsia="Times New Roman" w:cs="Times New Roman"/>
          <w:b/>
          <w:color w:val="003399"/>
          <w:sz w:val="28"/>
          <w:szCs w:val="28"/>
        </w:rPr>
        <w:t>e 20</w:t>
      </w:r>
      <w:r w:rsidR="00A53B99" w:rsidRPr="00D2241C">
        <w:rPr>
          <w:rFonts w:eastAsia="Times New Roman" w:cs="Times New Roman"/>
          <w:b/>
          <w:color w:val="003399"/>
          <w:sz w:val="28"/>
          <w:szCs w:val="28"/>
        </w:rPr>
        <w:t>14</w:t>
      </w:r>
      <w:r w:rsidR="00483634" w:rsidRPr="00D2241C">
        <w:rPr>
          <w:rFonts w:eastAsia="Times New Roman" w:cs="Times New Roman"/>
          <w:b/>
          <w:color w:val="003399"/>
          <w:sz w:val="28"/>
          <w:szCs w:val="28"/>
        </w:rPr>
        <w:t xml:space="preserve"> - 201</w:t>
      </w:r>
      <w:r w:rsidR="006265DF" w:rsidRPr="00D2241C">
        <w:rPr>
          <w:rFonts w:eastAsia="Times New Roman" w:cs="Times New Roman"/>
          <w:b/>
          <w:color w:val="003399"/>
          <w:sz w:val="28"/>
          <w:szCs w:val="28"/>
        </w:rPr>
        <w:t>5</w:t>
      </w:r>
      <w:r w:rsidRPr="00D2241C">
        <w:rPr>
          <w:rFonts w:eastAsia="Times New Roman" w:cs="Times New Roman"/>
          <w:b/>
          <w:color w:val="003399"/>
          <w:sz w:val="28"/>
          <w:szCs w:val="28"/>
        </w:rPr>
        <w:t xml:space="preserve"> </w:t>
      </w:r>
    </w:p>
    <w:p w:rsidR="00B37138" w:rsidRDefault="00695EC7" w:rsidP="00EA19A4">
      <w:pPr>
        <w:ind w:left="426"/>
        <w:jc w:val="both"/>
        <w:rPr>
          <w:b/>
          <w:sz w:val="28"/>
        </w:rPr>
      </w:pPr>
      <w:r w:rsidRPr="00695EC7">
        <w:rPr>
          <w:b/>
          <w:sz w:val="28"/>
        </w:rPr>
        <w:t xml:space="preserve">2.1. </w:t>
      </w:r>
      <w:r w:rsidR="00A53B99">
        <w:rPr>
          <w:b/>
          <w:sz w:val="28"/>
        </w:rPr>
        <w:t>Composantes et</w:t>
      </w:r>
      <w:r w:rsidR="00BE0380">
        <w:rPr>
          <w:b/>
          <w:sz w:val="28"/>
        </w:rPr>
        <w:t xml:space="preserve"> </w:t>
      </w:r>
      <w:r w:rsidR="00A53B99">
        <w:rPr>
          <w:b/>
          <w:sz w:val="28"/>
        </w:rPr>
        <w:t>volets</w:t>
      </w:r>
      <w:r w:rsidR="000C3DFB">
        <w:rPr>
          <w:b/>
          <w:sz w:val="28"/>
        </w:rPr>
        <w:t xml:space="preserve"> du programme</w:t>
      </w: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1701"/>
        <w:gridCol w:w="3828"/>
        <w:gridCol w:w="3687"/>
        <w:gridCol w:w="1559"/>
      </w:tblGrid>
      <w:tr w:rsidR="0025484A" w:rsidRPr="0025484A" w:rsidTr="0025484A">
        <w:trPr>
          <w:trHeight w:val="342"/>
        </w:trPr>
        <w:tc>
          <w:tcPr>
            <w:tcW w:w="993" w:type="dxa"/>
            <w:vMerge w:val="restart"/>
            <w:tcBorders>
              <w:top w:val="single" w:sz="4" w:space="0" w:color="auto"/>
              <w:left w:val="single" w:sz="4" w:space="0" w:color="auto"/>
              <w:bottom w:val="single" w:sz="4" w:space="0" w:color="auto"/>
              <w:right w:val="single" w:sz="4" w:space="0" w:color="auto"/>
            </w:tcBorders>
          </w:tcPr>
          <w:p w:rsidR="0025484A" w:rsidRDefault="0025484A" w:rsidP="00EA19A4">
            <w:pPr>
              <w:spacing w:after="0"/>
              <w:jc w:val="center"/>
              <w:rPr>
                <w:b/>
                <w:sz w:val="15"/>
                <w:szCs w:val="15"/>
              </w:rPr>
            </w:pPr>
          </w:p>
          <w:p w:rsidR="0025484A" w:rsidRDefault="0025484A" w:rsidP="00EA19A4">
            <w:pPr>
              <w:spacing w:after="0"/>
              <w:jc w:val="center"/>
              <w:rPr>
                <w:b/>
                <w:sz w:val="15"/>
                <w:szCs w:val="15"/>
              </w:rPr>
            </w:pPr>
            <w:r>
              <w:rPr>
                <w:b/>
                <w:sz w:val="15"/>
                <w:szCs w:val="15"/>
              </w:rPr>
              <w:t>Cadre stratégique National</w:t>
            </w:r>
          </w:p>
          <w:p w:rsidR="0025484A" w:rsidRDefault="0025484A">
            <w:pPr>
              <w:jc w:val="both"/>
              <w:rPr>
                <w:b/>
                <w:sz w:val="15"/>
                <w:szCs w:val="15"/>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tcPr>
          <w:p w:rsidR="0025484A" w:rsidRDefault="0025484A" w:rsidP="00EA19A4">
            <w:pPr>
              <w:spacing w:after="0"/>
              <w:jc w:val="center"/>
              <w:rPr>
                <w:b/>
                <w:sz w:val="15"/>
                <w:szCs w:val="15"/>
              </w:rPr>
            </w:pPr>
          </w:p>
          <w:p w:rsidR="0025484A" w:rsidRDefault="0025484A" w:rsidP="00EA19A4">
            <w:pPr>
              <w:spacing w:after="0"/>
              <w:jc w:val="center"/>
              <w:rPr>
                <w:b/>
                <w:sz w:val="15"/>
                <w:szCs w:val="15"/>
              </w:rPr>
            </w:pPr>
            <w:r>
              <w:rPr>
                <w:b/>
                <w:sz w:val="15"/>
                <w:szCs w:val="15"/>
              </w:rPr>
              <w:t>Résultats du Cadre stratégique SNU 2014-2015</w:t>
            </w:r>
          </w:p>
          <w:p w:rsidR="0025484A" w:rsidRDefault="0025484A">
            <w:pPr>
              <w:rPr>
                <w:b/>
                <w:sz w:val="15"/>
                <w:szCs w:val="15"/>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cPr>
          <w:p w:rsidR="0025484A" w:rsidRDefault="0025484A" w:rsidP="00EA19A4">
            <w:pPr>
              <w:spacing w:after="0"/>
              <w:jc w:val="center"/>
              <w:rPr>
                <w:b/>
                <w:sz w:val="20"/>
                <w:szCs w:val="20"/>
              </w:rPr>
            </w:pPr>
          </w:p>
          <w:p w:rsidR="0025484A" w:rsidRDefault="0025484A" w:rsidP="00EA19A4">
            <w:pPr>
              <w:spacing w:after="0"/>
              <w:jc w:val="center"/>
              <w:rPr>
                <w:b/>
                <w:sz w:val="20"/>
                <w:szCs w:val="20"/>
              </w:rPr>
            </w:pPr>
            <w:r>
              <w:rPr>
                <w:b/>
                <w:sz w:val="20"/>
                <w:szCs w:val="20"/>
              </w:rPr>
              <w:t>Programme d’appui au relèvement et à la stabilisation des communautés « PRESCO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tcPr>
          <w:p w:rsidR="0025484A" w:rsidRDefault="0025484A" w:rsidP="00EA19A4">
            <w:pPr>
              <w:spacing w:after="0"/>
              <w:rPr>
                <w:b/>
                <w:sz w:val="20"/>
                <w:szCs w:val="20"/>
              </w:rPr>
            </w:pPr>
          </w:p>
          <w:p w:rsidR="0025484A" w:rsidRDefault="0025484A" w:rsidP="00EA19A4">
            <w:pPr>
              <w:spacing w:after="0"/>
              <w:ind w:right="-108"/>
              <w:jc w:val="center"/>
              <w:rPr>
                <w:b/>
                <w:sz w:val="20"/>
                <w:szCs w:val="20"/>
              </w:rPr>
            </w:pPr>
            <w:r>
              <w:rPr>
                <w:b/>
                <w:sz w:val="20"/>
                <w:szCs w:val="20"/>
              </w:rPr>
              <w:t>Programme d’appui à la transition en Centrafrique « PACIT »</w:t>
            </w:r>
          </w:p>
        </w:tc>
      </w:tr>
      <w:tr w:rsidR="0025484A" w:rsidTr="0025484A">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5"/>
                <w:szCs w:val="15"/>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5"/>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25484A" w:rsidRDefault="0025484A">
            <w:pPr>
              <w:jc w:val="center"/>
              <w:rPr>
                <w:b/>
                <w:sz w:val="18"/>
                <w:szCs w:val="18"/>
              </w:rPr>
            </w:pPr>
            <w:r>
              <w:rPr>
                <w:b/>
                <w:sz w:val="18"/>
                <w:szCs w:val="18"/>
              </w:rPr>
              <w:t>Composantes</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25484A" w:rsidRDefault="0025484A">
            <w:pPr>
              <w:jc w:val="center"/>
              <w:rPr>
                <w:b/>
                <w:sz w:val="20"/>
                <w:szCs w:val="20"/>
              </w:rPr>
            </w:pPr>
            <w:r>
              <w:rPr>
                <w:b/>
                <w:sz w:val="20"/>
                <w:szCs w:val="20"/>
              </w:rPr>
              <w:t>Volets</w:t>
            </w:r>
          </w:p>
        </w:t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25484A" w:rsidRDefault="0025484A">
            <w:pPr>
              <w:jc w:val="both"/>
              <w:rPr>
                <w:b/>
                <w:sz w:val="20"/>
                <w:szCs w:val="20"/>
              </w:rPr>
            </w:pPr>
            <w:r>
              <w:rPr>
                <w:b/>
                <w:sz w:val="20"/>
                <w:szCs w:val="20"/>
              </w:rPr>
              <w:t>Volets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25484A" w:rsidRDefault="0025484A">
            <w:pPr>
              <w:jc w:val="both"/>
              <w:rPr>
                <w:b/>
                <w:sz w:val="20"/>
                <w:szCs w:val="20"/>
              </w:rPr>
            </w:pPr>
            <w:r>
              <w:rPr>
                <w:b/>
                <w:sz w:val="20"/>
                <w:szCs w:val="20"/>
              </w:rPr>
              <w:t>Composantes</w:t>
            </w:r>
          </w:p>
        </w:tc>
      </w:tr>
      <w:tr w:rsidR="0025484A" w:rsidRPr="0025484A" w:rsidTr="00EA19A4">
        <w:trPr>
          <w:trHeight w:val="755"/>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25484A" w:rsidRDefault="0025484A">
            <w:pPr>
              <w:ind w:left="113" w:right="113"/>
              <w:jc w:val="both"/>
              <w:rPr>
                <w:b/>
                <w:sz w:val="18"/>
                <w:szCs w:val="16"/>
              </w:rPr>
            </w:pPr>
            <w:r>
              <w:rPr>
                <w:b/>
                <w:sz w:val="18"/>
                <w:szCs w:val="16"/>
              </w:rPr>
              <w:t xml:space="preserve">                                                        </w:t>
            </w:r>
          </w:p>
          <w:p w:rsidR="0025484A" w:rsidRDefault="0025484A">
            <w:pPr>
              <w:ind w:left="113" w:right="113"/>
              <w:jc w:val="both"/>
              <w:rPr>
                <w:b/>
                <w:sz w:val="18"/>
                <w:szCs w:val="16"/>
              </w:rPr>
            </w:pPr>
            <w:r>
              <w:rPr>
                <w:b/>
                <w:sz w:val="18"/>
                <w:szCs w:val="16"/>
              </w:rPr>
              <w:t xml:space="preserve">                                                            La feuille de route de la transition</w:t>
            </w:r>
          </w:p>
          <w:p w:rsidR="0025484A" w:rsidRDefault="0025484A">
            <w:pPr>
              <w:ind w:left="113" w:right="113"/>
              <w:jc w:val="both"/>
              <w:rPr>
                <w:b/>
                <w:sz w:val="18"/>
                <w:szCs w:val="16"/>
              </w:rPr>
            </w:pPr>
            <w:r>
              <w:rPr>
                <w:b/>
                <w:sz w:val="18"/>
                <w:szCs w:val="16"/>
              </w:rPr>
              <w:t xml:space="preserve">                                                  Le programme d’urgence du gouvernement</w:t>
            </w:r>
          </w:p>
        </w:tc>
        <w:tc>
          <w:tcPr>
            <w:tcW w:w="2977" w:type="dxa"/>
            <w:vMerge w:val="restart"/>
            <w:tcBorders>
              <w:top w:val="single" w:sz="4" w:space="0" w:color="auto"/>
              <w:left w:val="single" w:sz="4" w:space="0" w:color="auto"/>
              <w:bottom w:val="single" w:sz="4" w:space="0" w:color="auto"/>
              <w:right w:val="single" w:sz="4" w:space="0" w:color="auto"/>
            </w:tcBorders>
          </w:tcPr>
          <w:p w:rsidR="0025484A" w:rsidRDefault="0025484A">
            <w:pPr>
              <w:jc w:val="both"/>
              <w:rPr>
                <w:sz w:val="18"/>
                <w:szCs w:val="18"/>
              </w:rPr>
            </w:pPr>
            <w:r>
              <w:rPr>
                <w:sz w:val="18"/>
                <w:szCs w:val="18"/>
              </w:rPr>
              <w:t>1. La sécurité des personnes et des biens est restaurée sur l’étendue du territoire, l’Etat de droit respecté, et les processus DDR et RSS sont mis en place aussi bien pour la stabilisation immédiate de la RCA que pour sa reconstruction et son développement à plus long terme.</w:t>
            </w:r>
          </w:p>
          <w:p w:rsidR="0025484A" w:rsidRDefault="0025484A">
            <w:pPr>
              <w:jc w:val="both"/>
              <w:rPr>
                <w:sz w:val="18"/>
                <w:szCs w:val="18"/>
              </w:rPr>
            </w:pPr>
          </w:p>
          <w:p w:rsidR="0025484A" w:rsidRDefault="0025484A">
            <w:pPr>
              <w:jc w:val="both"/>
              <w:rPr>
                <w:i/>
                <w:sz w:val="18"/>
                <w:szCs w:val="18"/>
              </w:rPr>
            </w:pPr>
            <w:r>
              <w:rPr>
                <w:sz w:val="18"/>
                <w:szCs w:val="18"/>
              </w:rPr>
              <w:t xml:space="preserve">2. Les services de base et l'assistance humanitaire sont durablement accessibles et </w:t>
            </w:r>
            <w:r w:rsidR="00A53B99">
              <w:rPr>
                <w:sz w:val="18"/>
                <w:szCs w:val="18"/>
              </w:rPr>
              <w:t>disponibles aux</w:t>
            </w:r>
            <w:r>
              <w:rPr>
                <w:sz w:val="18"/>
                <w:szCs w:val="18"/>
              </w:rPr>
              <w:t xml:space="preserve"> populations affectées et vulnérables, et celles-ci recouvrent leurs moyens d’existence et capacités de résilience</w:t>
            </w:r>
          </w:p>
        </w:tc>
        <w:tc>
          <w:tcPr>
            <w:tcW w:w="1701" w:type="dxa"/>
            <w:vMerge w:val="restart"/>
            <w:tcBorders>
              <w:top w:val="single" w:sz="4" w:space="0" w:color="auto"/>
              <w:left w:val="single" w:sz="4" w:space="0" w:color="auto"/>
              <w:bottom w:val="single" w:sz="4" w:space="0" w:color="auto"/>
              <w:right w:val="single" w:sz="4" w:space="0" w:color="auto"/>
            </w:tcBorders>
          </w:tcPr>
          <w:p w:rsidR="0025484A" w:rsidRDefault="0025484A">
            <w:pPr>
              <w:jc w:val="both"/>
              <w:rPr>
                <w:sz w:val="20"/>
                <w:szCs w:val="20"/>
              </w:rPr>
            </w:pPr>
            <w:r>
              <w:rPr>
                <w:sz w:val="20"/>
                <w:szCs w:val="20"/>
              </w:rPr>
              <w:t>1. Renforcement de la cohésion sociale des communautés affectées par la crise</w:t>
            </w:r>
          </w:p>
          <w:p w:rsidR="0025484A" w:rsidRDefault="0025484A">
            <w:pPr>
              <w:jc w:val="both"/>
              <w:rPr>
                <w:sz w:val="20"/>
                <w:szCs w:val="20"/>
              </w:rPr>
            </w:pPr>
          </w:p>
          <w:p w:rsidR="0025484A" w:rsidRDefault="0025484A">
            <w:pPr>
              <w:jc w:val="both"/>
              <w:rPr>
                <w:sz w:val="20"/>
                <w:szCs w:val="20"/>
              </w:rPr>
            </w:pPr>
          </w:p>
          <w:p w:rsidR="0025484A" w:rsidRDefault="0025484A" w:rsidP="00EA19A4">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 xml:space="preserve">1.1. Gestion des </w:t>
            </w:r>
            <w:r w:rsidR="00A53B99">
              <w:rPr>
                <w:sz w:val="20"/>
                <w:szCs w:val="20"/>
              </w:rPr>
              <w:t>conflits, de</w:t>
            </w:r>
            <w:r>
              <w:rPr>
                <w:sz w:val="20"/>
                <w:szCs w:val="20"/>
              </w:rPr>
              <w:t xml:space="preserve"> l’insécurité et de la violence (droits de l’homme) au niveau communautaire </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1.1. Appui aux acteurs de la paix (Ministère, cadre national, etc.)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1. Appui au processus de réconciliation nationale</w:t>
            </w:r>
          </w:p>
        </w:tc>
      </w:tr>
      <w:tr w:rsidR="0025484A" w:rsidRPr="0025484A" w:rsidTr="0025484A">
        <w:trPr>
          <w:trHeight w:val="9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i/>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1.2. Moyens de subsistance et création d’emplois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1.2. Promotion des mécanismes nationaux de dialogue pour la paix, la prévention et la gestion des conflits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r w:rsidR="0025484A" w:rsidRPr="0025484A" w:rsidTr="00EA19A4">
        <w:trPr>
          <w:trHeight w:val="23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i/>
                <w:sz w:val="18"/>
                <w:szCs w:val="18"/>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CCFFCC"/>
            <w:hideMark/>
          </w:tcPr>
          <w:p w:rsidR="0025484A" w:rsidRDefault="0025484A">
            <w:pPr>
              <w:jc w:val="both"/>
              <w:rPr>
                <w:sz w:val="20"/>
                <w:szCs w:val="20"/>
              </w:rPr>
            </w:pPr>
            <w:r>
              <w:rPr>
                <w:sz w:val="20"/>
                <w:szCs w:val="20"/>
              </w:rPr>
              <w:t>1.3. Sensibilisation sur la paix et les violences sexuelles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1.3. Renforcement des capacités de veille de la société civile et des médias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r w:rsidR="0025484A" w:rsidRPr="0025484A" w:rsidTr="0025484A">
        <w:trPr>
          <w:trHeight w:val="6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r>
      <w:tr w:rsidR="0025484A" w:rsidRPr="0025484A" w:rsidTr="0025484A">
        <w:trPr>
          <w:trHeight w:val="8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 xml:space="preserve">3. Les institutions de l’Etat sont </w:t>
            </w:r>
            <w:r>
              <w:rPr>
                <w:bCs/>
                <w:sz w:val="20"/>
                <w:szCs w:val="20"/>
              </w:rPr>
              <w:t>efficaces et prennent mieux en compte les besoins des citoyens, aussi bien au niveau central qu’au niveau local</w:t>
            </w:r>
          </w:p>
        </w:tc>
        <w:tc>
          <w:tcPr>
            <w:tcW w:w="1701" w:type="dxa"/>
            <w:vMerge w:val="restart"/>
            <w:tcBorders>
              <w:top w:val="single" w:sz="4" w:space="0" w:color="auto"/>
              <w:left w:val="single" w:sz="4" w:space="0" w:color="auto"/>
              <w:bottom w:val="single" w:sz="4" w:space="0" w:color="auto"/>
              <w:right w:val="single" w:sz="4" w:space="0" w:color="auto"/>
            </w:tcBorders>
          </w:tcPr>
          <w:p w:rsidR="0025484A" w:rsidRDefault="0025484A">
            <w:pPr>
              <w:jc w:val="both"/>
              <w:rPr>
                <w:sz w:val="20"/>
                <w:szCs w:val="20"/>
              </w:rPr>
            </w:pPr>
            <w:r>
              <w:rPr>
                <w:sz w:val="20"/>
                <w:szCs w:val="20"/>
              </w:rPr>
              <w:t xml:space="preserve">2. Appui à la Relance de l’économie locale </w:t>
            </w:r>
          </w:p>
          <w:p w:rsidR="0025484A" w:rsidRDefault="0025484A">
            <w:pPr>
              <w:jc w:val="both"/>
              <w:rPr>
                <w:sz w:val="20"/>
                <w:szCs w:val="20"/>
              </w:rPr>
            </w:pPr>
          </w:p>
          <w:p w:rsidR="0025484A" w:rsidRDefault="0025484A">
            <w:pPr>
              <w:jc w:val="both"/>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lastRenderedPageBreak/>
              <w:t>2.1. Promotion de l’entreprenariat local et formation professionnelle</w:t>
            </w:r>
          </w:p>
        </w:tc>
        <w:tc>
          <w:tcPr>
            <w:tcW w:w="3686"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15"/>
                <w:szCs w:val="15"/>
              </w:rPr>
            </w:pPr>
            <w:r>
              <w:rPr>
                <w:sz w:val="20"/>
                <w:szCs w:val="20"/>
              </w:rPr>
              <w:t>2.1. Appui aux institutions clés (ANE, Cour Constitutionnelle ; partis politiques ; etc.)</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 xml:space="preserve">2. Appui aux institutions démocratiques et aux élections </w:t>
            </w:r>
          </w:p>
        </w:tc>
      </w:tr>
      <w:tr w:rsidR="0025484A" w:rsidTr="0025484A">
        <w:trPr>
          <w:trHeight w:val="73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2.2. Renforcement des capacités de planification locale avec implication de la société civile</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2.2. Education civique &amp; dialogue politique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r w:rsidR="0025484A" w:rsidTr="0025484A">
        <w:trPr>
          <w:trHeight w:val="5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2.3. Promotion des instruments financiers locaux</w:t>
            </w:r>
          </w:p>
        </w:tc>
        <w:tc>
          <w:tcPr>
            <w:tcW w:w="3686" w:type="dxa"/>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2.3. Appui au système électoral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r w:rsidR="0025484A" w:rsidTr="0025484A">
        <w:trPr>
          <w:trHeight w:val="15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3686"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5484A" w:rsidRDefault="0025484A">
            <w:pPr>
              <w:jc w:val="both"/>
              <w:rPr>
                <w:sz w:val="15"/>
                <w:szCs w:val="15"/>
              </w:rPr>
            </w:pPr>
          </w:p>
        </w:tc>
      </w:tr>
      <w:tr w:rsidR="0025484A" w:rsidRPr="0025484A" w:rsidTr="0025484A">
        <w:trPr>
          <w:cantSplit/>
          <w:trHeight w:val="41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 xml:space="preserve">3. Amélioration de l’accès aux services publics de base et gouvernance locale </w:t>
            </w:r>
          </w:p>
        </w:tc>
        <w:tc>
          <w:tcPr>
            <w:tcW w:w="3827" w:type="dxa"/>
            <w:tcBorders>
              <w:top w:val="single" w:sz="4" w:space="0" w:color="auto"/>
              <w:left w:val="single" w:sz="4" w:space="0" w:color="auto"/>
              <w:bottom w:val="single" w:sz="4" w:space="0" w:color="auto"/>
              <w:right w:val="single" w:sz="4" w:space="0" w:color="auto"/>
            </w:tcBorders>
            <w:shd w:val="clear" w:color="auto" w:fill="8DB3E2"/>
            <w:hideMark/>
          </w:tcPr>
          <w:p w:rsidR="0025484A" w:rsidRDefault="0025484A">
            <w:pPr>
              <w:jc w:val="both"/>
              <w:rPr>
                <w:sz w:val="20"/>
                <w:szCs w:val="20"/>
              </w:rPr>
            </w:pPr>
            <w:r>
              <w:rPr>
                <w:sz w:val="20"/>
                <w:szCs w:val="20"/>
              </w:rPr>
              <w:t>3.1. Réhabilitation des infrastructures publiques locales</w:t>
            </w:r>
          </w:p>
        </w:tc>
        <w:tc>
          <w:tcPr>
            <w:tcW w:w="3686" w:type="dxa"/>
            <w:tcBorders>
              <w:top w:val="single" w:sz="4" w:space="0" w:color="auto"/>
              <w:left w:val="single" w:sz="4" w:space="0" w:color="auto"/>
              <w:bottom w:val="single" w:sz="4" w:space="0" w:color="auto"/>
              <w:right w:val="single" w:sz="4" w:space="0" w:color="auto"/>
            </w:tcBorders>
            <w:shd w:val="clear" w:color="auto" w:fill="CCFFCC"/>
            <w:hideMark/>
          </w:tcPr>
          <w:p w:rsidR="0025484A" w:rsidRDefault="0025484A">
            <w:pPr>
              <w:jc w:val="both"/>
              <w:rPr>
                <w:sz w:val="20"/>
                <w:szCs w:val="20"/>
              </w:rPr>
            </w:pPr>
            <w:r>
              <w:rPr>
                <w:sz w:val="20"/>
                <w:szCs w:val="20"/>
              </w:rPr>
              <w:t>3.1. Justice et droits de l’homme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5484A" w:rsidRDefault="0025484A">
            <w:pPr>
              <w:jc w:val="both"/>
              <w:rPr>
                <w:sz w:val="20"/>
                <w:szCs w:val="20"/>
              </w:rPr>
            </w:pPr>
            <w:r>
              <w:rPr>
                <w:sz w:val="20"/>
                <w:szCs w:val="20"/>
              </w:rPr>
              <w:t>3. Appui à la restauration de l’Etat</w:t>
            </w:r>
          </w:p>
        </w:tc>
      </w:tr>
      <w:tr w:rsidR="0025484A" w:rsidTr="0025484A">
        <w:trPr>
          <w:cantSplit/>
          <w:trHeight w:val="92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00"/>
            <w:hideMark/>
          </w:tcPr>
          <w:p w:rsidR="0025484A" w:rsidRDefault="0025484A">
            <w:pPr>
              <w:jc w:val="both"/>
              <w:rPr>
                <w:sz w:val="20"/>
                <w:szCs w:val="20"/>
              </w:rPr>
            </w:pPr>
            <w:r>
              <w:rPr>
                <w:sz w:val="20"/>
                <w:szCs w:val="20"/>
              </w:rPr>
              <w:t>3.2. Prévention des conflits locaux et renforcement des infrastructures locales de la paix</w:t>
            </w:r>
          </w:p>
        </w:tc>
        <w:tc>
          <w:tcPr>
            <w:tcW w:w="3686" w:type="dxa"/>
            <w:tcBorders>
              <w:top w:val="single" w:sz="4" w:space="0" w:color="auto"/>
              <w:left w:val="single" w:sz="4" w:space="0" w:color="auto"/>
              <w:bottom w:val="single" w:sz="4" w:space="0" w:color="auto"/>
              <w:right w:val="single" w:sz="4" w:space="0" w:color="auto"/>
            </w:tcBorders>
            <w:shd w:val="clear" w:color="auto" w:fill="CCFFCC"/>
            <w:hideMark/>
          </w:tcPr>
          <w:p w:rsidR="0025484A" w:rsidRDefault="0025484A">
            <w:pPr>
              <w:jc w:val="both"/>
              <w:rPr>
                <w:sz w:val="20"/>
                <w:szCs w:val="20"/>
              </w:rPr>
            </w:pPr>
            <w:r>
              <w:rPr>
                <w:sz w:val="20"/>
                <w:szCs w:val="20"/>
              </w:rPr>
              <w:t>3.2. Renforcement de la sécurité</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r w:rsidR="0025484A" w:rsidTr="0025484A">
        <w:trPr>
          <w:cantSplit/>
          <w:trHeight w:val="21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b/>
                <w:sz w:val="18"/>
                <w:szCs w:val="16"/>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8DB3E2"/>
            <w:hideMark/>
          </w:tcPr>
          <w:p w:rsidR="0025484A" w:rsidRDefault="0025484A">
            <w:pPr>
              <w:jc w:val="both"/>
              <w:rPr>
                <w:sz w:val="20"/>
                <w:szCs w:val="20"/>
              </w:rPr>
            </w:pPr>
            <w:r>
              <w:rPr>
                <w:sz w:val="20"/>
                <w:szCs w:val="20"/>
              </w:rPr>
              <w:t>3.3. Renforcement des capacités des acteurs locaux en matière de planification et de gestion du développement</w:t>
            </w:r>
          </w:p>
        </w:tc>
        <w:tc>
          <w:tcPr>
            <w:tcW w:w="3686" w:type="dxa"/>
            <w:tcBorders>
              <w:top w:val="single" w:sz="4" w:space="0" w:color="auto"/>
              <w:left w:val="single" w:sz="4" w:space="0" w:color="auto"/>
              <w:bottom w:val="single" w:sz="4" w:space="0" w:color="auto"/>
              <w:right w:val="single" w:sz="4" w:space="0" w:color="auto"/>
            </w:tcBorders>
            <w:shd w:val="clear" w:color="auto" w:fill="8DB3E2"/>
            <w:hideMark/>
          </w:tcPr>
          <w:p w:rsidR="0025484A" w:rsidRDefault="0025484A">
            <w:pPr>
              <w:jc w:val="both"/>
              <w:rPr>
                <w:sz w:val="20"/>
                <w:szCs w:val="20"/>
              </w:rPr>
            </w:pPr>
            <w:r>
              <w:rPr>
                <w:sz w:val="20"/>
                <w:szCs w:val="20"/>
              </w:rPr>
              <w:t>3.3. Relance de l’administration publique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484A" w:rsidRDefault="0025484A">
            <w:pPr>
              <w:rPr>
                <w:rFonts w:ascii="Times New Roman" w:hAnsi="Times New Roman"/>
                <w:sz w:val="20"/>
                <w:szCs w:val="20"/>
              </w:rPr>
            </w:pPr>
          </w:p>
        </w:tc>
      </w:tr>
    </w:tbl>
    <w:p w:rsidR="0025484A" w:rsidRDefault="0025484A" w:rsidP="00B37138">
      <w:pPr>
        <w:jc w:val="both"/>
        <w:rPr>
          <w:b/>
          <w:sz w:val="28"/>
        </w:rPr>
      </w:pPr>
    </w:p>
    <w:p w:rsidR="0025484A" w:rsidRDefault="0025484A" w:rsidP="00B37138">
      <w:pPr>
        <w:jc w:val="both"/>
        <w:rPr>
          <w:b/>
          <w:sz w:val="28"/>
        </w:rPr>
      </w:pPr>
    </w:p>
    <w:p w:rsidR="0025484A" w:rsidRDefault="0025484A" w:rsidP="00B37138">
      <w:pPr>
        <w:jc w:val="both"/>
        <w:rPr>
          <w:b/>
          <w:sz w:val="28"/>
        </w:rPr>
      </w:pPr>
    </w:p>
    <w:p w:rsidR="0025484A" w:rsidRDefault="0025484A" w:rsidP="00B37138">
      <w:pPr>
        <w:jc w:val="both"/>
        <w:rPr>
          <w:b/>
          <w:sz w:val="28"/>
        </w:rPr>
      </w:pPr>
    </w:p>
    <w:p w:rsidR="0025484A" w:rsidRDefault="0025484A" w:rsidP="00B37138">
      <w:pPr>
        <w:jc w:val="both"/>
        <w:rPr>
          <w:b/>
          <w:sz w:val="28"/>
        </w:rPr>
      </w:pPr>
    </w:p>
    <w:p w:rsidR="0025484A" w:rsidRDefault="0025484A" w:rsidP="00B37138">
      <w:pPr>
        <w:jc w:val="both"/>
        <w:rPr>
          <w:b/>
          <w:sz w:val="28"/>
        </w:rPr>
        <w:sectPr w:rsidR="0025484A" w:rsidSect="0025484A">
          <w:pgSz w:w="15840" w:h="12240" w:orient="landscape"/>
          <w:pgMar w:top="1440" w:right="1135" w:bottom="1440" w:left="1276" w:header="708" w:footer="708" w:gutter="0"/>
          <w:cols w:space="708"/>
          <w:docGrid w:linePitch="360"/>
        </w:sectPr>
      </w:pPr>
    </w:p>
    <w:p w:rsidR="000C3DFB" w:rsidRPr="00B563D4" w:rsidRDefault="000C3DFB" w:rsidP="00EA19A4">
      <w:pPr>
        <w:ind w:left="426"/>
        <w:jc w:val="both"/>
        <w:rPr>
          <w:rFonts w:eastAsia="Times New Roman" w:cs="Times New Roman"/>
          <w:color w:val="333333"/>
        </w:rPr>
      </w:pPr>
      <w:r>
        <w:rPr>
          <w:b/>
          <w:sz w:val="28"/>
        </w:rPr>
        <w:lastRenderedPageBreak/>
        <w:t>2.2</w:t>
      </w:r>
      <w:r w:rsidRPr="00695EC7">
        <w:rPr>
          <w:b/>
          <w:sz w:val="28"/>
        </w:rPr>
        <w:t xml:space="preserve">. </w:t>
      </w:r>
      <w:r w:rsidR="00D56DBB">
        <w:rPr>
          <w:b/>
          <w:sz w:val="28"/>
        </w:rPr>
        <w:t xml:space="preserve">Les </w:t>
      </w:r>
      <w:r w:rsidRPr="000C3DFB">
        <w:rPr>
          <w:b/>
          <w:sz w:val="28"/>
        </w:rPr>
        <w:t>intervention</w:t>
      </w:r>
      <w:r>
        <w:rPr>
          <w:b/>
          <w:sz w:val="28"/>
        </w:rPr>
        <w:t>s</w:t>
      </w:r>
      <w:r w:rsidRPr="000C3DFB">
        <w:rPr>
          <w:b/>
          <w:sz w:val="28"/>
        </w:rPr>
        <w:t xml:space="preserve"> </w:t>
      </w:r>
      <w:r w:rsidR="00D56DBB">
        <w:rPr>
          <w:b/>
          <w:sz w:val="28"/>
        </w:rPr>
        <w:t xml:space="preserve">et leurs caractéristiques </w:t>
      </w:r>
    </w:p>
    <w:p w:rsidR="006265DF" w:rsidRDefault="006265DF" w:rsidP="006265DF">
      <w:pPr>
        <w:pStyle w:val="Paragraphedeliste"/>
        <w:spacing w:before="200" w:after="160" w:line="256" w:lineRule="auto"/>
        <w:ind w:left="567"/>
        <w:rPr>
          <w:rFonts w:ascii="Times New Roman" w:hAnsi="Times New Roman" w:cs="Times New Roman"/>
          <w:b/>
          <w:sz w:val="20"/>
          <w:szCs w:val="20"/>
        </w:rPr>
      </w:pPr>
      <w:r>
        <w:rPr>
          <w:rFonts w:ascii="Times New Roman" w:hAnsi="Times New Roman" w:cs="Times New Roman"/>
          <w:b/>
          <w:sz w:val="20"/>
          <w:szCs w:val="20"/>
        </w:rPr>
        <w:t>Stratégie de l’intervention du PNUD pendant la période d’extension</w:t>
      </w:r>
    </w:p>
    <w:p w:rsidR="006265DF" w:rsidRDefault="006265DF" w:rsidP="006265DF">
      <w:pPr>
        <w:pStyle w:val="Paragraphedeliste"/>
        <w:spacing w:before="200" w:after="160" w:line="256" w:lineRule="auto"/>
        <w:ind w:left="567"/>
        <w:rPr>
          <w:rFonts w:ascii="Times New Roman" w:hAnsi="Times New Roman" w:cs="Times New Roman"/>
          <w:b/>
          <w:sz w:val="20"/>
          <w:szCs w:val="20"/>
        </w:rPr>
      </w:pPr>
    </w:p>
    <w:p w:rsidR="006265DF" w:rsidRDefault="006265DF" w:rsidP="006265DF">
      <w:pPr>
        <w:pStyle w:val="Paragraphedeliste"/>
        <w:numPr>
          <w:ilvl w:val="0"/>
          <w:numId w:val="18"/>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Tirant les enseignements de la mise en œuvre du cadre programmatique 2014-2015, le PNUD poursuivra la consolidation des acquis de ce programme mettant davantage l’accent sur les principes de l’égalité des sexes et de l’autonomisation des femmes. Dans la mise en œuvre du programme, le PNUD suivra les lignes directrices suivantes :</w:t>
      </w:r>
    </w:p>
    <w:p w:rsidR="006265DF" w:rsidRDefault="006265DF" w:rsidP="006265DF">
      <w:pPr>
        <w:pStyle w:val="Paragraphedeliste"/>
        <w:spacing w:before="120" w:after="160" w:line="256" w:lineRule="auto"/>
        <w:ind w:left="360"/>
        <w:jc w:val="both"/>
        <w:rPr>
          <w:rFonts w:ascii="Times New Roman" w:hAnsi="Times New Roman" w:cs="Times New Roman"/>
          <w:sz w:val="20"/>
          <w:szCs w:val="20"/>
        </w:rPr>
      </w:pPr>
    </w:p>
    <w:p w:rsidR="006265DF" w:rsidRDefault="006265DF" w:rsidP="006265DF">
      <w:pPr>
        <w:pStyle w:val="Paragraphedeliste"/>
        <w:numPr>
          <w:ilvl w:val="0"/>
          <w:numId w:val="20"/>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 xml:space="preserve">La poursuite de l'élaboration des programmes intégrés, complémentaires avec un meilleur lien programmatique entre les différents projets. Un recentrage des projets sur les domaines prioritaires du PNUD en privilégiant l’approche programme stratégique où le PNUD dispose d’un avantage comparatif.  </w:t>
      </w:r>
    </w:p>
    <w:p w:rsidR="006265DF" w:rsidRDefault="006265DF" w:rsidP="006265DF">
      <w:pPr>
        <w:pStyle w:val="Paragraphedeliste"/>
        <w:numPr>
          <w:ilvl w:val="0"/>
          <w:numId w:val="20"/>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 xml:space="preserve">La poursuite de la priorisation des programmes intégrés/conjoints avec les autres agences et partenaires hors du Systèmes des Nations Unies afin de répondre au besoin d’une utilisation efficiente des ressources.  </w:t>
      </w:r>
    </w:p>
    <w:p w:rsidR="006265DF" w:rsidRDefault="006265DF" w:rsidP="006265DF">
      <w:pPr>
        <w:pStyle w:val="Paragraphedeliste"/>
        <w:numPr>
          <w:ilvl w:val="0"/>
          <w:numId w:val="20"/>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La flexibilité permettant un meilleur alignement des activités du PNUD aux priorités définies par les nouvelles autorités élues et le plan stratégique de l’administrateur 2014-2017.</w:t>
      </w:r>
    </w:p>
    <w:p w:rsidR="006265DF" w:rsidRDefault="006265DF" w:rsidP="006265DF">
      <w:pPr>
        <w:pStyle w:val="Paragraphedeliste"/>
        <w:numPr>
          <w:ilvl w:val="0"/>
          <w:numId w:val="20"/>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 xml:space="preserve">La poursuite dans certains domaines de la modalité du "Faire faire" par les autres partenaires plus outillés et présents sur le terrain compte tenu de la volatilité et de l’imprévisibilité de la situation sécuritaire dans le pays. </w:t>
      </w:r>
    </w:p>
    <w:p w:rsidR="006265DF" w:rsidRDefault="006265DF" w:rsidP="006265DF">
      <w:pPr>
        <w:pStyle w:val="Paragraphedeliste"/>
        <w:jc w:val="both"/>
        <w:rPr>
          <w:rFonts w:ascii="Times New Roman" w:hAnsi="Times New Roman" w:cs="Times New Roman"/>
          <w:sz w:val="20"/>
          <w:szCs w:val="20"/>
        </w:rPr>
      </w:pPr>
    </w:p>
    <w:p w:rsidR="006265DF" w:rsidRDefault="006265DF" w:rsidP="006265DF">
      <w:pPr>
        <w:pStyle w:val="Paragraphedeliste"/>
        <w:spacing w:before="200" w:after="160" w:line="256" w:lineRule="auto"/>
        <w:ind w:left="567"/>
        <w:rPr>
          <w:rFonts w:ascii="Times New Roman" w:hAnsi="Times New Roman" w:cs="Times New Roman"/>
          <w:b/>
          <w:sz w:val="20"/>
          <w:szCs w:val="20"/>
        </w:rPr>
      </w:pPr>
      <w:r>
        <w:rPr>
          <w:rFonts w:ascii="Times New Roman" w:hAnsi="Times New Roman" w:cs="Times New Roman"/>
          <w:b/>
          <w:sz w:val="20"/>
          <w:szCs w:val="20"/>
        </w:rPr>
        <w:t>Priorités de l’assistance du PNUD pour 2016-2017</w:t>
      </w:r>
    </w:p>
    <w:p w:rsidR="006265DF" w:rsidRDefault="006265DF" w:rsidP="006265DF">
      <w:pPr>
        <w:pStyle w:val="Paragraphedeliste"/>
        <w:spacing w:before="200" w:after="160" w:line="256" w:lineRule="auto"/>
        <w:ind w:left="567"/>
        <w:rPr>
          <w:rFonts w:ascii="Times New Roman" w:hAnsi="Times New Roman" w:cs="Times New Roman"/>
          <w:b/>
          <w:sz w:val="20"/>
          <w:szCs w:val="20"/>
        </w:rPr>
      </w:pPr>
    </w:p>
    <w:p w:rsidR="006265DF" w:rsidRDefault="006265DF" w:rsidP="006265DF">
      <w:pPr>
        <w:pStyle w:val="Paragraphedeliste"/>
        <w:numPr>
          <w:ilvl w:val="0"/>
          <w:numId w:val="18"/>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 xml:space="preserve">Sur la base des leçons tirées de la mise en œuvre du cadre stratégique intérimaire et des progrès accomplis sur le chantier de la stabilisation politique et sécuritaire, en partie grâce à l’appui du PNUD dans les différents domaines prioritaires définis dans la feuille de route du Gouvernement de transition, le PNUD poursuivra son assistance dans deux domaines prioritaires que sont : </w:t>
      </w:r>
    </w:p>
    <w:p w:rsidR="006265DF" w:rsidRDefault="006265DF" w:rsidP="006265DF">
      <w:pPr>
        <w:pStyle w:val="Paragraphedeliste"/>
        <w:spacing w:before="120" w:after="160" w:line="256" w:lineRule="auto"/>
        <w:ind w:left="360"/>
        <w:jc w:val="both"/>
        <w:rPr>
          <w:rFonts w:ascii="Times New Roman" w:hAnsi="Times New Roman" w:cs="Times New Roman"/>
          <w:sz w:val="20"/>
          <w:szCs w:val="20"/>
        </w:rPr>
      </w:pPr>
    </w:p>
    <w:p w:rsidR="006265DF" w:rsidRDefault="006265DF" w:rsidP="006265DF">
      <w:pPr>
        <w:pStyle w:val="Paragraphedeliste"/>
        <w:numPr>
          <w:ilvl w:val="0"/>
          <w:numId w:val="21"/>
        </w:numPr>
        <w:spacing w:after="160" w:line="256" w:lineRule="auto"/>
        <w:ind w:left="851" w:hanging="284"/>
        <w:jc w:val="both"/>
        <w:rPr>
          <w:rFonts w:ascii="Times New Roman" w:hAnsi="Times New Roman" w:cs="Times New Roman"/>
          <w:sz w:val="20"/>
          <w:szCs w:val="20"/>
        </w:rPr>
      </w:pPr>
      <w:r>
        <w:rPr>
          <w:rFonts w:ascii="Times New Roman" w:hAnsi="Times New Roman" w:cs="Times New Roman"/>
          <w:sz w:val="20"/>
          <w:szCs w:val="20"/>
        </w:rPr>
        <w:t xml:space="preserve">La consolidation de la paix et le renforcement des institutions démocratiques ; </w:t>
      </w:r>
    </w:p>
    <w:p w:rsidR="006265DF" w:rsidRDefault="006265DF" w:rsidP="006265DF">
      <w:pPr>
        <w:pStyle w:val="Paragraphedeliste"/>
        <w:numPr>
          <w:ilvl w:val="0"/>
          <w:numId w:val="21"/>
        </w:numPr>
        <w:spacing w:after="160" w:line="256" w:lineRule="auto"/>
        <w:ind w:left="851" w:hanging="284"/>
        <w:jc w:val="both"/>
        <w:rPr>
          <w:rFonts w:ascii="Times New Roman" w:hAnsi="Times New Roman" w:cs="Times New Roman"/>
          <w:sz w:val="20"/>
          <w:szCs w:val="20"/>
        </w:rPr>
      </w:pPr>
      <w:r>
        <w:rPr>
          <w:rFonts w:ascii="Times New Roman" w:hAnsi="Times New Roman" w:cs="Times New Roman"/>
          <w:sz w:val="20"/>
          <w:szCs w:val="20"/>
        </w:rPr>
        <w:t>Le renforcement de la stabilité communautaire et la promotion du développement durable.</w:t>
      </w:r>
    </w:p>
    <w:p w:rsidR="006265DF" w:rsidRDefault="006265DF" w:rsidP="006265DF">
      <w:pPr>
        <w:pStyle w:val="Paragraphedeliste"/>
        <w:ind w:left="851"/>
        <w:jc w:val="both"/>
        <w:rPr>
          <w:rFonts w:ascii="Times New Roman" w:hAnsi="Times New Roman" w:cs="Times New Roman"/>
          <w:sz w:val="20"/>
          <w:szCs w:val="20"/>
        </w:rPr>
      </w:pPr>
    </w:p>
    <w:p w:rsidR="006265DF" w:rsidRDefault="006265DF" w:rsidP="006265DF">
      <w:pPr>
        <w:pStyle w:val="Paragraphedeliste"/>
        <w:numPr>
          <w:ilvl w:val="0"/>
          <w:numId w:val="18"/>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De manière spécifique l’assistance visera les domaines suivants :</w:t>
      </w:r>
    </w:p>
    <w:p w:rsidR="006265DF" w:rsidRDefault="006265DF" w:rsidP="006265DF">
      <w:pPr>
        <w:pStyle w:val="Paragraphedeliste"/>
        <w:spacing w:before="120" w:after="160" w:line="256" w:lineRule="auto"/>
        <w:ind w:left="360"/>
        <w:jc w:val="both"/>
        <w:rPr>
          <w:rFonts w:ascii="Times New Roman" w:hAnsi="Times New Roman" w:cs="Times New Roman"/>
          <w:sz w:val="20"/>
          <w:szCs w:val="20"/>
        </w:rPr>
      </w:pPr>
    </w:p>
    <w:p w:rsidR="006265DF" w:rsidRDefault="006265DF" w:rsidP="006265DF">
      <w:pPr>
        <w:pStyle w:val="Paragraphedeliste"/>
        <w:numPr>
          <w:ilvl w:val="0"/>
          <w:numId w:val="22"/>
        </w:numPr>
        <w:spacing w:before="120" w:after="160" w:line="256" w:lineRule="auto"/>
        <w:jc w:val="both"/>
        <w:rPr>
          <w:rFonts w:ascii="Times New Roman" w:hAnsi="Times New Roman" w:cs="Times New Roman"/>
          <w:sz w:val="20"/>
          <w:szCs w:val="20"/>
        </w:rPr>
      </w:pPr>
      <w:r>
        <w:rPr>
          <w:rFonts w:ascii="Times New Roman" w:hAnsi="Times New Roman" w:cs="Times New Roman"/>
          <w:sz w:val="20"/>
          <w:szCs w:val="20"/>
        </w:rPr>
        <w:t xml:space="preserve">Dans le domaine de la </w:t>
      </w:r>
      <w:r>
        <w:rPr>
          <w:rFonts w:ascii="Times New Roman" w:hAnsi="Times New Roman" w:cs="Times New Roman"/>
          <w:b/>
          <w:sz w:val="20"/>
          <w:szCs w:val="20"/>
        </w:rPr>
        <w:t>consolidation de la paix et du renforcement des institutions démocratiques</w:t>
      </w:r>
      <w:r>
        <w:rPr>
          <w:rFonts w:ascii="Times New Roman" w:hAnsi="Times New Roman" w:cs="Times New Roman"/>
          <w:sz w:val="20"/>
          <w:szCs w:val="20"/>
        </w:rPr>
        <w:t xml:space="preserve"> le PNUD poursuivra son effort de renforcement de la gouvernance démocratique en inscrivant davantage son action en droite ligne de la stratégie nationale de restauration de l’autorité de l’Etat. La fin de la transition ouvrant des perspectives nouvelles dans ce sens, le PNUD accentuera ses efforts dans les domaines clés où le pays a besoin d’une consolidation afin de renforcer la stabilité du pays. Il s’agit (i) </w:t>
      </w:r>
      <w:r>
        <w:rPr>
          <w:rFonts w:ascii="Times New Roman" w:hAnsi="Times New Roman" w:cs="Times New Roman"/>
          <w:i/>
          <w:sz w:val="20"/>
          <w:szCs w:val="20"/>
        </w:rPr>
        <w:t>du renforcement de l’Etat de droit par un appui à la justice, à la sécurité et à la lutte contre la corruption,</w:t>
      </w:r>
      <w:r>
        <w:rPr>
          <w:rFonts w:ascii="Times New Roman" w:hAnsi="Times New Roman" w:cs="Times New Roman"/>
          <w:sz w:val="20"/>
          <w:szCs w:val="20"/>
        </w:rPr>
        <w:t xml:space="preserve"> (ii) </w:t>
      </w:r>
      <w:r>
        <w:rPr>
          <w:rFonts w:ascii="Times New Roman" w:hAnsi="Times New Roman" w:cs="Times New Roman"/>
          <w:i/>
          <w:sz w:val="20"/>
          <w:szCs w:val="20"/>
        </w:rPr>
        <w:t xml:space="preserve">de l’appui au processus de réconciliation nationale et à la consolidation de la paix (iii) de l’appui au redéploiement de l’administration publique et enfin, (iv) du soutien aux principales institutions étatiques et non étatiques. </w:t>
      </w:r>
      <w:r>
        <w:rPr>
          <w:rFonts w:ascii="Times New Roman" w:hAnsi="Times New Roman" w:cs="Times New Roman"/>
          <w:sz w:val="20"/>
          <w:szCs w:val="20"/>
        </w:rPr>
        <w:t xml:space="preserve">Cet appui s’organisera dans le cadre d’un programme intitulé « Programme d’appui à la consolidation de la paix et au renforcement des institutions ». </w:t>
      </w:r>
    </w:p>
    <w:p w:rsidR="006265DF" w:rsidRDefault="006265DF" w:rsidP="006265DF">
      <w:pPr>
        <w:pStyle w:val="Paragraphedeliste"/>
        <w:spacing w:before="120"/>
        <w:ind w:left="360"/>
        <w:jc w:val="both"/>
        <w:rPr>
          <w:rFonts w:ascii="Times New Roman" w:hAnsi="Times New Roman" w:cs="Times New Roman"/>
          <w:sz w:val="20"/>
          <w:szCs w:val="20"/>
        </w:rPr>
      </w:pPr>
      <w:r>
        <w:rPr>
          <w:rFonts w:ascii="Times New Roman" w:hAnsi="Times New Roman" w:cs="Times New Roman"/>
          <w:sz w:val="20"/>
          <w:szCs w:val="20"/>
        </w:rPr>
        <w:t xml:space="preserve">Dans le domaine du </w:t>
      </w:r>
      <w:r>
        <w:rPr>
          <w:rFonts w:ascii="Times New Roman" w:hAnsi="Times New Roman" w:cs="Times New Roman"/>
          <w:b/>
          <w:sz w:val="20"/>
          <w:szCs w:val="20"/>
        </w:rPr>
        <w:t>renforcement de la stabilité communautaire et de la promotion du développement durable</w:t>
      </w:r>
      <w:r>
        <w:rPr>
          <w:rFonts w:ascii="Times New Roman" w:hAnsi="Times New Roman" w:cs="Times New Roman"/>
          <w:sz w:val="20"/>
          <w:szCs w:val="20"/>
        </w:rPr>
        <w:t xml:space="preserve">, l’appui du PNUD visera le renforcement de la résilience. Le programme appuiera (i) </w:t>
      </w:r>
      <w:r>
        <w:rPr>
          <w:rFonts w:ascii="Times New Roman" w:hAnsi="Times New Roman" w:cs="Times New Roman"/>
          <w:i/>
          <w:sz w:val="20"/>
          <w:szCs w:val="20"/>
        </w:rPr>
        <w:t>la planification stratégique et le pilotage du développement</w:t>
      </w:r>
      <w:r>
        <w:rPr>
          <w:rFonts w:ascii="Times New Roman" w:hAnsi="Times New Roman" w:cs="Times New Roman"/>
          <w:sz w:val="20"/>
          <w:szCs w:val="20"/>
        </w:rPr>
        <w:t xml:space="preserve"> à travers la mise en place d’outils de planification, la réalisation d’études stratégiques et le renforcement des fonctions clés de planification, (ii) </w:t>
      </w:r>
      <w:r>
        <w:rPr>
          <w:rFonts w:ascii="Times New Roman" w:hAnsi="Times New Roman" w:cs="Times New Roman"/>
          <w:i/>
          <w:sz w:val="20"/>
          <w:szCs w:val="20"/>
        </w:rPr>
        <w:t xml:space="preserve">la relance économique </w:t>
      </w:r>
      <w:r>
        <w:rPr>
          <w:rFonts w:ascii="Times New Roman" w:hAnsi="Times New Roman" w:cs="Times New Roman"/>
          <w:sz w:val="20"/>
          <w:szCs w:val="20"/>
        </w:rPr>
        <w:t xml:space="preserve">à travers la création et le renforcement des moyens de subsistance au niveau local notamment à travers l’appui à la mise en place d’instruments financiers inclusifs, la gestion et la prévention des conflits locaux y compris la réintégration économique des ex-combattants, la promotion de la cohésion sociale et l’appui à la planification du développement local et enfin, (iii) </w:t>
      </w:r>
      <w:r>
        <w:rPr>
          <w:rFonts w:ascii="Times New Roman" w:hAnsi="Times New Roman" w:cs="Times New Roman"/>
          <w:i/>
          <w:sz w:val="20"/>
          <w:szCs w:val="20"/>
        </w:rPr>
        <w:t>la gestion durable des ressources naturelles et changements climatiques</w:t>
      </w:r>
      <w:r>
        <w:rPr>
          <w:rFonts w:ascii="Times New Roman" w:hAnsi="Times New Roman" w:cs="Times New Roman"/>
          <w:sz w:val="20"/>
          <w:szCs w:val="20"/>
        </w:rPr>
        <w:t xml:space="preserve"> à travers le renforcement des mécanismes de résilience, l’amélioration de l’accès à l’énergie et aux énergies renouvelables et la gestion des ressources naturelles en particulier celles extractives. Ces différents appuis s’organiseront au sein d’un programme « Programme d’appui à la stabilisation communautaire et au développement durable ». </w:t>
      </w:r>
    </w:p>
    <w:p w:rsidR="009363BE" w:rsidRPr="00020322" w:rsidRDefault="009363BE" w:rsidP="00D2241C">
      <w:pPr>
        <w:spacing w:after="0" w:line="312" w:lineRule="auto"/>
        <w:ind w:left="426" w:hanging="426"/>
        <w:jc w:val="both"/>
        <w:rPr>
          <w:rFonts w:eastAsia="Times New Roman" w:cs="Times New Roman"/>
          <w:b/>
          <w:color w:val="003399"/>
          <w:sz w:val="36"/>
          <w:szCs w:val="29"/>
        </w:rPr>
      </w:pPr>
      <w:r w:rsidRPr="00020322">
        <w:rPr>
          <w:rFonts w:eastAsia="Times New Roman" w:cs="Times New Roman"/>
          <w:b/>
          <w:color w:val="003399"/>
          <w:sz w:val="36"/>
          <w:szCs w:val="29"/>
        </w:rPr>
        <w:lastRenderedPageBreak/>
        <w:t xml:space="preserve"> </w:t>
      </w:r>
      <w:r w:rsidR="00020322" w:rsidRPr="00D2241C">
        <w:rPr>
          <w:rFonts w:eastAsia="Times New Roman" w:cs="Times New Roman"/>
          <w:b/>
          <w:color w:val="003399"/>
          <w:sz w:val="28"/>
          <w:szCs w:val="28"/>
        </w:rPr>
        <w:t>3</w:t>
      </w:r>
      <w:r w:rsidRPr="00D2241C">
        <w:rPr>
          <w:rFonts w:eastAsia="Times New Roman" w:cs="Times New Roman"/>
          <w:b/>
          <w:color w:val="003399"/>
          <w:sz w:val="28"/>
          <w:szCs w:val="28"/>
        </w:rPr>
        <w:t>. Objet de l’évaluation</w:t>
      </w:r>
      <w:r w:rsidRPr="00020322">
        <w:rPr>
          <w:rFonts w:eastAsia="Times New Roman" w:cs="Times New Roman"/>
          <w:b/>
          <w:color w:val="003399"/>
          <w:sz w:val="36"/>
          <w:szCs w:val="29"/>
        </w:rPr>
        <w:t xml:space="preserve"> </w:t>
      </w:r>
    </w:p>
    <w:p w:rsidR="009363BE" w:rsidRPr="00E05F31" w:rsidRDefault="00020322" w:rsidP="000871C5">
      <w:pPr>
        <w:spacing w:before="100" w:beforeAutospacing="1" w:after="100" w:afterAutospacing="1" w:line="312" w:lineRule="auto"/>
        <w:jc w:val="both"/>
        <w:rPr>
          <w:rFonts w:ascii="Times New Roman" w:hAnsi="Times New Roman" w:cs="Times New Roman"/>
          <w:sz w:val="20"/>
          <w:szCs w:val="20"/>
        </w:rPr>
      </w:pPr>
      <w:r w:rsidRPr="00E05F31">
        <w:rPr>
          <w:rFonts w:ascii="Times New Roman" w:hAnsi="Times New Roman" w:cs="Times New Roman"/>
          <w:sz w:val="20"/>
          <w:szCs w:val="20"/>
        </w:rPr>
        <w:t xml:space="preserve">La mission de l’évaluation a pour but de fournir une analyse pertinente de l’impact du </w:t>
      </w:r>
      <w:r w:rsidR="009772DE" w:rsidRPr="009772DE">
        <w:rPr>
          <w:rFonts w:ascii="Times New Roman" w:hAnsi="Times New Roman" w:cs="Times New Roman"/>
          <w:sz w:val="20"/>
          <w:szCs w:val="20"/>
        </w:rPr>
        <w:t>cadre programmatique</w:t>
      </w:r>
      <w:r w:rsidRPr="00E05F31">
        <w:rPr>
          <w:rFonts w:ascii="Times New Roman" w:hAnsi="Times New Roman" w:cs="Times New Roman"/>
          <w:sz w:val="20"/>
          <w:szCs w:val="20"/>
        </w:rPr>
        <w:t xml:space="preserve"> en terme</w:t>
      </w:r>
      <w:r w:rsidR="00C662A4" w:rsidRPr="00E05F31">
        <w:rPr>
          <w:rFonts w:ascii="Times New Roman" w:hAnsi="Times New Roman" w:cs="Times New Roman"/>
          <w:sz w:val="20"/>
          <w:szCs w:val="20"/>
        </w:rPr>
        <w:t>s</w:t>
      </w:r>
      <w:r w:rsidRPr="00E05F31">
        <w:rPr>
          <w:rFonts w:ascii="Times New Roman" w:hAnsi="Times New Roman" w:cs="Times New Roman"/>
          <w:sz w:val="20"/>
          <w:szCs w:val="20"/>
        </w:rPr>
        <w:t xml:space="preserve"> de bien-</w:t>
      </w:r>
      <w:r w:rsidR="00C662A4" w:rsidRPr="00E05F31">
        <w:rPr>
          <w:rFonts w:ascii="Times New Roman" w:hAnsi="Times New Roman" w:cs="Times New Roman"/>
          <w:sz w:val="20"/>
          <w:szCs w:val="20"/>
        </w:rPr>
        <w:t xml:space="preserve">être des </w:t>
      </w:r>
      <w:r w:rsidR="00E05F31" w:rsidRPr="00E05F31">
        <w:rPr>
          <w:rFonts w:ascii="Times New Roman" w:hAnsi="Times New Roman" w:cs="Times New Roman"/>
          <w:sz w:val="20"/>
          <w:szCs w:val="20"/>
        </w:rPr>
        <w:t>bénéficiaires des</w:t>
      </w:r>
      <w:r w:rsidR="00C662A4" w:rsidRPr="00E05F31">
        <w:rPr>
          <w:rFonts w:ascii="Times New Roman" w:hAnsi="Times New Roman" w:cs="Times New Roman"/>
          <w:sz w:val="20"/>
          <w:szCs w:val="20"/>
        </w:rPr>
        <w:t xml:space="preserve"> interventions. Elle se focalisera aussi sur les effets, en référence aux </w:t>
      </w:r>
      <w:r w:rsidRPr="00E05F31">
        <w:rPr>
          <w:rFonts w:ascii="Times New Roman" w:hAnsi="Times New Roman" w:cs="Times New Roman"/>
          <w:sz w:val="20"/>
          <w:szCs w:val="20"/>
        </w:rPr>
        <w:t>changements institutionnels générés par les interventions</w:t>
      </w:r>
      <w:r w:rsidR="00C662A4" w:rsidRPr="00E05F31">
        <w:rPr>
          <w:rFonts w:ascii="Times New Roman" w:hAnsi="Times New Roman" w:cs="Times New Roman"/>
          <w:sz w:val="20"/>
          <w:szCs w:val="20"/>
        </w:rPr>
        <w:t xml:space="preserve">, notamment la </w:t>
      </w:r>
      <w:r w:rsidRPr="00E05F31">
        <w:rPr>
          <w:rFonts w:ascii="Times New Roman" w:hAnsi="Times New Roman" w:cs="Times New Roman"/>
          <w:sz w:val="20"/>
          <w:szCs w:val="20"/>
        </w:rPr>
        <w:t xml:space="preserve">performance, </w:t>
      </w:r>
      <w:r w:rsidR="00C662A4" w:rsidRPr="00E05F31">
        <w:rPr>
          <w:rFonts w:ascii="Times New Roman" w:hAnsi="Times New Roman" w:cs="Times New Roman"/>
          <w:sz w:val="20"/>
          <w:szCs w:val="20"/>
        </w:rPr>
        <w:t xml:space="preserve">la </w:t>
      </w:r>
      <w:r w:rsidRPr="00E05F31">
        <w:rPr>
          <w:rFonts w:ascii="Times New Roman" w:hAnsi="Times New Roman" w:cs="Times New Roman"/>
          <w:sz w:val="20"/>
          <w:szCs w:val="20"/>
        </w:rPr>
        <w:t xml:space="preserve">stabilité et </w:t>
      </w:r>
      <w:r w:rsidR="00C662A4" w:rsidRPr="00E05F31">
        <w:rPr>
          <w:rFonts w:ascii="Times New Roman" w:hAnsi="Times New Roman" w:cs="Times New Roman"/>
          <w:sz w:val="20"/>
          <w:szCs w:val="20"/>
        </w:rPr>
        <w:t>l’</w:t>
      </w:r>
      <w:r w:rsidRPr="00E05F31">
        <w:rPr>
          <w:rFonts w:ascii="Times New Roman" w:hAnsi="Times New Roman" w:cs="Times New Roman"/>
          <w:sz w:val="20"/>
          <w:szCs w:val="20"/>
        </w:rPr>
        <w:t>adaptabilité</w:t>
      </w:r>
      <w:r w:rsidR="00C662A4" w:rsidRPr="00E05F31">
        <w:rPr>
          <w:rFonts w:ascii="Times New Roman" w:hAnsi="Times New Roman" w:cs="Times New Roman"/>
          <w:sz w:val="20"/>
          <w:szCs w:val="20"/>
        </w:rPr>
        <w:t xml:space="preserve"> des institutions bénéficiaires des interventions</w:t>
      </w:r>
      <w:r w:rsidR="00E05F31">
        <w:rPr>
          <w:rFonts w:ascii="Times New Roman" w:hAnsi="Times New Roman" w:cs="Times New Roman"/>
          <w:sz w:val="20"/>
          <w:szCs w:val="20"/>
        </w:rPr>
        <w:t>.</w:t>
      </w:r>
      <w:r w:rsidR="00C662A4" w:rsidRPr="00E05F31">
        <w:rPr>
          <w:rFonts w:ascii="Times New Roman" w:hAnsi="Times New Roman" w:cs="Times New Roman"/>
          <w:sz w:val="20"/>
          <w:szCs w:val="20"/>
        </w:rPr>
        <w:t xml:space="preserve"> Elle prendra enfin en compte les aspects </w:t>
      </w:r>
      <w:r w:rsidR="003244DF" w:rsidRPr="00E05F31">
        <w:rPr>
          <w:rFonts w:ascii="Times New Roman" w:hAnsi="Times New Roman" w:cs="Times New Roman"/>
          <w:sz w:val="20"/>
          <w:szCs w:val="20"/>
        </w:rPr>
        <w:t xml:space="preserve">liés à la pertinence des arrangements institutionnels, du développement du leadership national, de l’accroissement des connaissances, de la transparence et de l’obligation de rendre compte. Sur cette base, après l’identification claire des résultats, la </w:t>
      </w:r>
      <w:r w:rsidR="00E05F31" w:rsidRPr="00E05F31">
        <w:rPr>
          <w:rFonts w:ascii="Times New Roman" w:hAnsi="Times New Roman" w:cs="Times New Roman"/>
          <w:sz w:val="20"/>
          <w:szCs w:val="20"/>
        </w:rPr>
        <w:t>mission devra</w:t>
      </w:r>
      <w:r w:rsidR="003244DF" w:rsidRPr="00E05F31">
        <w:rPr>
          <w:rFonts w:ascii="Times New Roman" w:hAnsi="Times New Roman" w:cs="Times New Roman"/>
          <w:sz w:val="20"/>
          <w:szCs w:val="20"/>
        </w:rPr>
        <w:t xml:space="preserve"> fournir des orientations claires sur comment les résultats de l’évaluation seront utilisés et exploités pour servir de base à la formulation du prochain cycle de programme de coopération </w:t>
      </w:r>
    </w:p>
    <w:p w:rsidR="009363BE" w:rsidRPr="00D2241C" w:rsidRDefault="00A83AF9" w:rsidP="00D2241C">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t>4</w:t>
      </w:r>
      <w:r w:rsidR="009363BE" w:rsidRPr="00D2241C">
        <w:rPr>
          <w:rFonts w:eastAsia="Times New Roman" w:cs="Times New Roman"/>
          <w:b/>
          <w:color w:val="003399"/>
          <w:sz w:val="28"/>
          <w:szCs w:val="28"/>
        </w:rPr>
        <w:t xml:space="preserve">. Portée de l’évaluation </w:t>
      </w:r>
    </w:p>
    <w:p w:rsidR="009363BE" w:rsidRPr="00E05F31" w:rsidRDefault="00A83AF9" w:rsidP="000871C5">
      <w:pPr>
        <w:spacing w:before="100" w:beforeAutospacing="1" w:after="100" w:afterAutospacing="1" w:line="312" w:lineRule="auto"/>
        <w:jc w:val="both"/>
        <w:rPr>
          <w:rFonts w:ascii="Times New Roman" w:hAnsi="Times New Roman" w:cs="Times New Roman"/>
          <w:sz w:val="20"/>
          <w:szCs w:val="20"/>
        </w:rPr>
      </w:pPr>
      <w:r w:rsidRPr="00E05F31">
        <w:rPr>
          <w:rFonts w:ascii="Times New Roman" w:hAnsi="Times New Roman" w:cs="Times New Roman"/>
          <w:sz w:val="20"/>
          <w:szCs w:val="20"/>
        </w:rPr>
        <w:t>Cette évaluation est extrêmement importante car positionnée entre le c</w:t>
      </w:r>
      <w:r w:rsidR="00E05F31">
        <w:rPr>
          <w:rFonts w:ascii="Times New Roman" w:hAnsi="Times New Roman" w:cs="Times New Roman"/>
          <w:sz w:val="20"/>
          <w:szCs w:val="20"/>
        </w:rPr>
        <w:t xml:space="preserve">adre </w:t>
      </w:r>
      <w:r w:rsidRPr="00E05F31">
        <w:rPr>
          <w:rFonts w:ascii="Times New Roman" w:hAnsi="Times New Roman" w:cs="Times New Roman"/>
          <w:sz w:val="20"/>
          <w:szCs w:val="20"/>
        </w:rPr>
        <w:t>programm</w:t>
      </w:r>
      <w:r w:rsidR="00E05F31">
        <w:rPr>
          <w:rFonts w:ascii="Times New Roman" w:hAnsi="Times New Roman" w:cs="Times New Roman"/>
          <w:sz w:val="20"/>
          <w:szCs w:val="20"/>
        </w:rPr>
        <w:t>atiqu</w:t>
      </w:r>
      <w:r w:rsidRPr="00E05F31">
        <w:rPr>
          <w:rFonts w:ascii="Times New Roman" w:hAnsi="Times New Roman" w:cs="Times New Roman"/>
          <w:sz w:val="20"/>
          <w:szCs w:val="20"/>
        </w:rPr>
        <w:t>e 20</w:t>
      </w:r>
      <w:r w:rsidR="00E05F31">
        <w:rPr>
          <w:rFonts w:ascii="Times New Roman" w:hAnsi="Times New Roman" w:cs="Times New Roman"/>
          <w:sz w:val="20"/>
          <w:szCs w:val="20"/>
        </w:rPr>
        <w:t>14</w:t>
      </w:r>
      <w:r w:rsidRPr="00E05F31">
        <w:rPr>
          <w:rFonts w:ascii="Times New Roman" w:hAnsi="Times New Roman" w:cs="Times New Roman"/>
          <w:sz w:val="20"/>
          <w:szCs w:val="20"/>
        </w:rPr>
        <w:t>-201</w:t>
      </w:r>
      <w:r w:rsidR="00E05F31">
        <w:rPr>
          <w:rFonts w:ascii="Times New Roman" w:hAnsi="Times New Roman" w:cs="Times New Roman"/>
          <w:sz w:val="20"/>
          <w:szCs w:val="20"/>
        </w:rPr>
        <w:t>6</w:t>
      </w:r>
      <w:r w:rsidRPr="00E05F31">
        <w:rPr>
          <w:rFonts w:ascii="Times New Roman" w:hAnsi="Times New Roman" w:cs="Times New Roman"/>
          <w:sz w:val="20"/>
          <w:szCs w:val="20"/>
        </w:rPr>
        <w:t xml:space="preserve"> et le prochain cycle 201</w:t>
      </w:r>
      <w:r w:rsidR="000871C5">
        <w:rPr>
          <w:rFonts w:ascii="Times New Roman" w:hAnsi="Times New Roman" w:cs="Times New Roman"/>
          <w:sz w:val="20"/>
          <w:szCs w:val="20"/>
        </w:rPr>
        <w:t>8</w:t>
      </w:r>
      <w:r w:rsidRPr="00E05F31">
        <w:rPr>
          <w:rFonts w:ascii="Times New Roman" w:hAnsi="Times New Roman" w:cs="Times New Roman"/>
          <w:sz w:val="20"/>
          <w:szCs w:val="20"/>
        </w:rPr>
        <w:t xml:space="preserve"> – 20</w:t>
      </w:r>
      <w:r w:rsidR="000871C5">
        <w:rPr>
          <w:rFonts w:ascii="Times New Roman" w:hAnsi="Times New Roman" w:cs="Times New Roman"/>
          <w:sz w:val="20"/>
          <w:szCs w:val="20"/>
        </w:rPr>
        <w:t>22.</w:t>
      </w:r>
      <w:r w:rsidR="002667D8" w:rsidRPr="00E05F31">
        <w:rPr>
          <w:rFonts w:ascii="Times New Roman" w:hAnsi="Times New Roman" w:cs="Times New Roman"/>
          <w:sz w:val="20"/>
          <w:szCs w:val="20"/>
        </w:rPr>
        <w:t xml:space="preserve"> Elle va donc couvrir les résultats (effets et produits) définis dans les </w:t>
      </w:r>
      <w:r w:rsidR="009772DE">
        <w:rPr>
          <w:rFonts w:ascii="Times New Roman" w:hAnsi="Times New Roman" w:cs="Times New Roman"/>
          <w:sz w:val="20"/>
          <w:szCs w:val="20"/>
        </w:rPr>
        <w:t xml:space="preserve">volets des six </w:t>
      </w:r>
      <w:r w:rsidR="009772DE" w:rsidRPr="00E05F31">
        <w:rPr>
          <w:rFonts w:ascii="Times New Roman" w:hAnsi="Times New Roman" w:cs="Times New Roman"/>
          <w:sz w:val="20"/>
          <w:szCs w:val="20"/>
        </w:rPr>
        <w:t>composantes</w:t>
      </w:r>
      <w:r w:rsidR="002667D8" w:rsidRPr="00E05F31">
        <w:rPr>
          <w:rFonts w:ascii="Times New Roman" w:hAnsi="Times New Roman" w:cs="Times New Roman"/>
          <w:sz w:val="20"/>
          <w:szCs w:val="20"/>
        </w:rPr>
        <w:t xml:space="preserve"> d</w:t>
      </w:r>
      <w:r w:rsidR="009772DE">
        <w:rPr>
          <w:rFonts w:ascii="Times New Roman" w:hAnsi="Times New Roman" w:cs="Times New Roman"/>
          <w:sz w:val="20"/>
          <w:szCs w:val="20"/>
        </w:rPr>
        <w:t>es deux grands</w:t>
      </w:r>
      <w:r w:rsidR="002667D8" w:rsidRPr="00E05F31">
        <w:rPr>
          <w:rFonts w:ascii="Times New Roman" w:hAnsi="Times New Roman" w:cs="Times New Roman"/>
          <w:sz w:val="20"/>
          <w:szCs w:val="20"/>
        </w:rPr>
        <w:t xml:space="preserve"> programme</w:t>
      </w:r>
      <w:r w:rsidR="009772DE">
        <w:rPr>
          <w:rFonts w:ascii="Times New Roman" w:hAnsi="Times New Roman" w:cs="Times New Roman"/>
          <w:sz w:val="20"/>
          <w:szCs w:val="20"/>
        </w:rPr>
        <w:t>s</w:t>
      </w:r>
      <w:r w:rsidR="002667D8" w:rsidRPr="00E05F31">
        <w:rPr>
          <w:rFonts w:ascii="Times New Roman" w:hAnsi="Times New Roman" w:cs="Times New Roman"/>
          <w:sz w:val="20"/>
          <w:szCs w:val="20"/>
        </w:rPr>
        <w:t xml:space="preserve"> : i. </w:t>
      </w:r>
      <w:r w:rsidR="000871C5" w:rsidRPr="000871C5">
        <w:rPr>
          <w:rFonts w:ascii="Times New Roman" w:hAnsi="Times New Roman" w:cs="Times New Roman"/>
          <w:sz w:val="20"/>
          <w:szCs w:val="20"/>
        </w:rPr>
        <w:t>Renforcement de la cohésion sociale des communautés affectées par la crise</w:t>
      </w:r>
      <w:r w:rsidR="000871C5" w:rsidRPr="00E05F31">
        <w:rPr>
          <w:rFonts w:ascii="Times New Roman" w:hAnsi="Times New Roman" w:cs="Times New Roman"/>
          <w:sz w:val="20"/>
          <w:szCs w:val="20"/>
        </w:rPr>
        <w:t xml:space="preserve"> ;</w:t>
      </w:r>
      <w:r w:rsidR="002667D8" w:rsidRPr="00E05F31">
        <w:rPr>
          <w:rFonts w:ascii="Times New Roman" w:hAnsi="Times New Roman" w:cs="Times New Roman"/>
          <w:sz w:val="20"/>
          <w:szCs w:val="20"/>
        </w:rPr>
        <w:t xml:space="preserve"> ii. </w:t>
      </w:r>
      <w:r w:rsidR="000871C5" w:rsidRPr="000871C5">
        <w:rPr>
          <w:rFonts w:ascii="Times New Roman" w:hAnsi="Times New Roman" w:cs="Times New Roman"/>
          <w:sz w:val="20"/>
          <w:szCs w:val="20"/>
        </w:rPr>
        <w:t>Appui à la Relance de l’économie locale</w:t>
      </w:r>
      <w:r w:rsidR="000871C5">
        <w:rPr>
          <w:rFonts w:ascii="Times New Roman" w:hAnsi="Times New Roman" w:cs="Times New Roman"/>
          <w:sz w:val="20"/>
          <w:szCs w:val="20"/>
        </w:rPr>
        <w:t>,</w:t>
      </w:r>
      <w:r w:rsidR="002667D8" w:rsidRPr="00E05F31">
        <w:rPr>
          <w:rFonts w:ascii="Times New Roman" w:hAnsi="Times New Roman" w:cs="Times New Roman"/>
          <w:sz w:val="20"/>
          <w:szCs w:val="20"/>
        </w:rPr>
        <w:t xml:space="preserve"> iii. </w:t>
      </w:r>
      <w:r w:rsidR="000871C5" w:rsidRPr="000871C5">
        <w:rPr>
          <w:rFonts w:ascii="Times New Roman" w:hAnsi="Times New Roman" w:cs="Times New Roman"/>
          <w:sz w:val="20"/>
          <w:szCs w:val="20"/>
        </w:rPr>
        <w:t>Amélioration de l’accès aux services public</w:t>
      </w:r>
      <w:r w:rsidR="000871C5">
        <w:rPr>
          <w:rFonts w:ascii="Times New Roman" w:hAnsi="Times New Roman" w:cs="Times New Roman"/>
          <w:sz w:val="20"/>
          <w:szCs w:val="20"/>
        </w:rPr>
        <w:t xml:space="preserve">s de base et gouvernance locale, iv. </w:t>
      </w:r>
      <w:r w:rsidR="000871C5" w:rsidRPr="000871C5">
        <w:rPr>
          <w:rFonts w:ascii="Times New Roman" w:hAnsi="Times New Roman" w:cs="Times New Roman"/>
          <w:sz w:val="20"/>
          <w:szCs w:val="20"/>
        </w:rPr>
        <w:t>Appui au processus de réconciliation nationale</w:t>
      </w:r>
      <w:r w:rsidR="000871C5">
        <w:rPr>
          <w:rFonts w:ascii="Times New Roman" w:hAnsi="Times New Roman" w:cs="Times New Roman"/>
          <w:sz w:val="20"/>
          <w:szCs w:val="20"/>
        </w:rPr>
        <w:t xml:space="preserve">, v. </w:t>
      </w:r>
      <w:r w:rsidR="000871C5" w:rsidRPr="000871C5">
        <w:rPr>
          <w:rFonts w:ascii="Times New Roman" w:hAnsi="Times New Roman" w:cs="Times New Roman"/>
          <w:sz w:val="20"/>
          <w:szCs w:val="20"/>
        </w:rPr>
        <w:t>Appui aux institutions</w:t>
      </w:r>
      <w:r w:rsidR="000871C5">
        <w:rPr>
          <w:rFonts w:ascii="Times New Roman" w:hAnsi="Times New Roman" w:cs="Times New Roman"/>
          <w:sz w:val="20"/>
          <w:szCs w:val="20"/>
        </w:rPr>
        <w:t xml:space="preserve"> démocratiques et aux élections et vi. </w:t>
      </w:r>
      <w:r w:rsidR="000871C5" w:rsidRPr="000871C5">
        <w:rPr>
          <w:rFonts w:ascii="Times New Roman" w:hAnsi="Times New Roman" w:cs="Times New Roman"/>
          <w:sz w:val="20"/>
          <w:szCs w:val="20"/>
        </w:rPr>
        <w:t>Appui à la restauration de l’Etat</w:t>
      </w:r>
      <w:r w:rsidR="002667D8" w:rsidRPr="00E05F31">
        <w:rPr>
          <w:rFonts w:ascii="Times New Roman" w:hAnsi="Times New Roman" w:cs="Times New Roman"/>
          <w:sz w:val="20"/>
          <w:szCs w:val="20"/>
        </w:rPr>
        <w:t xml:space="preserve">. Pour cela, il est nécessaire de décrire les aspects des interventions (In put) fournis pour générer les produits, les effets et l’impact attendu. Un accent particulier pourra être mis sur leur calendrier et leur phase d’exécution, leurs zones géographiques, les groupes cibles. </w:t>
      </w:r>
      <w:r w:rsidR="00E00F66" w:rsidRPr="00E05F31">
        <w:rPr>
          <w:rFonts w:ascii="Times New Roman" w:hAnsi="Times New Roman" w:cs="Times New Roman"/>
          <w:sz w:val="20"/>
          <w:szCs w:val="20"/>
        </w:rPr>
        <w:t xml:space="preserve">Un point important est la collecte des principaux sujets d’inquiétude des bénéficiaires sur lesquels l’évaluation accordera une attention particulière et fournir une réponse pour faciliter les prises de décision ou des mesures. Enfin les sujets d’inquiétude pourraient concerner la pertinence, l’efficience, l’efficacité, la durabilité ou l’impact des interventions. Ils devront s’étendre à la connaissance et à la </w:t>
      </w:r>
      <w:r w:rsidR="00E05F31" w:rsidRPr="00E05F31">
        <w:rPr>
          <w:rFonts w:ascii="Times New Roman" w:hAnsi="Times New Roman" w:cs="Times New Roman"/>
          <w:sz w:val="20"/>
          <w:szCs w:val="20"/>
        </w:rPr>
        <w:t>compréhension de</w:t>
      </w:r>
      <w:r w:rsidR="00E00F66" w:rsidRPr="00E05F31">
        <w:rPr>
          <w:rFonts w:ascii="Times New Roman" w:hAnsi="Times New Roman" w:cs="Times New Roman"/>
          <w:sz w:val="20"/>
          <w:szCs w:val="20"/>
        </w:rPr>
        <w:t xml:space="preserve"> la manière dont les interventions ont cherché à appliquer les approches basées sur </w:t>
      </w:r>
      <w:r w:rsidR="00E05F31" w:rsidRPr="00E05F31">
        <w:rPr>
          <w:rFonts w:ascii="Times New Roman" w:hAnsi="Times New Roman" w:cs="Times New Roman"/>
          <w:sz w:val="20"/>
          <w:szCs w:val="20"/>
        </w:rPr>
        <w:t>les droits</w:t>
      </w:r>
      <w:r w:rsidR="00E00F66" w:rsidRPr="00E05F31">
        <w:rPr>
          <w:rFonts w:ascii="Times New Roman" w:hAnsi="Times New Roman" w:cs="Times New Roman"/>
          <w:sz w:val="20"/>
          <w:szCs w:val="20"/>
        </w:rPr>
        <w:t xml:space="preserve"> de l’homme, les facteurs de spécificité de genre dans les efforts de développement</w:t>
      </w:r>
      <w:r w:rsidR="009363BE" w:rsidRPr="00E05F31">
        <w:rPr>
          <w:rFonts w:ascii="Times New Roman" w:hAnsi="Times New Roman" w:cs="Times New Roman"/>
          <w:sz w:val="20"/>
          <w:szCs w:val="20"/>
        </w:rPr>
        <w:t>.</w:t>
      </w:r>
    </w:p>
    <w:p w:rsidR="00851695" w:rsidRDefault="00851695" w:rsidP="00E00F66">
      <w:pPr>
        <w:spacing w:after="0" w:line="312" w:lineRule="auto"/>
        <w:jc w:val="both"/>
        <w:rPr>
          <w:rFonts w:eastAsia="Times New Roman" w:cs="Times New Roman"/>
          <w:b/>
          <w:color w:val="003399"/>
          <w:sz w:val="18"/>
          <w:szCs w:val="29"/>
        </w:rPr>
      </w:pPr>
    </w:p>
    <w:p w:rsidR="009363BE" w:rsidRPr="00D2241C" w:rsidRDefault="00E00F66" w:rsidP="00D2241C">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t>5</w:t>
      </w:r>
      <w:r w:rsidR="009363BE" w:rsidRPr="00D2241C">
        <w:rPr>
          <w:rFonts w:eastAsia="Times New Roman" w:cs="Times New Roman"/>
          <w:b/>
          <w:color w:val="003399"/>
          <w:sz w:val="28"/>
          <w:szCs w:val="28"/>
        </w:rPr>
        <w:t xml:space="preserve">. Questions relatives à l’évaluation </w:t>
      </w:r>
    </w:p>
    <w:p w:rsidR="009363BE" w:rsidRPr="000871C5" w:rsidRDefault="00A549CC" w:rsidP="000871C5">
      <w:pPr>
        <w:spacing w:before="100" w:beforeAutospacing="1" w:after="100" w:afterAutospacing="1" w:line="312" w:lineRule="auto"/>
        <w:jc w:val="both"/>
        <w:rPr>
          <w:rFonts w:ascii="Times New Roman" w:hAnsi="Times New Roman" w:cs="Times New Roman"/>
          <w:sz w:val="20"/>
          <w:szCs w:val="20"/>
        </w:rPr>
      </w:pPr>
      <w:r w:rsidRPr="000871C5">
        <w:rPr>
          <w:rFonts w:eastAsia="Times New Roman" w:cs="Times New Roman"/>
          <w:bCs/>
          <w:color w:val="333333"/>
          <w:sz w:val="20"/>
        </w:rPr>
        <w:t>Après</w:t>
      </w:r>
      <w:r w:rsidRPr="000871C5">
        <w:rPr>
          <w:rFonts w:ascii="Times New Roman" w:hAnsi="Times New Roman" w:cs="Times New Roman"/>
          <w:sz w:val="20"/>
          <w:szCs w:val="20"/>
        </w:rPr>
        <w:t xml:space="preserve"> la mise en œuvre du </w:t>
      </w:r>
      <w:r w:rsidR="000871C5" w:rsidRPr="000871C5">
        <w:rPr>
          <w:rFonts w:ascii="Times New Roman" w:hAnsi="Times New Roman" w:cs="Times New Roman"/>
          <w:sz w:val="20"/>
          <w:szCs w:val="20"/>
        </w:rPr>
        <w:t xml:space="preserve">cadre programmatique 2014-2016 </w:t>
      </w:r>
      <w:r w:rsidRPr="000871C5">
        <w:rPr>
          <w:rFonts w:ascii="Times New Roman" w:hAnsi="Times New Roman" w:cs="Times New Roman"/>
          <w:sz w:val="20"/>
          <w:szCs w:val="20"/>
        </w:rPr>
        <w:t>et en attendant d’entamer le processus de formulation du prochain cycle de progra</w:t>
      </w:r>
      <w:r w:rsidR="009772DE">
        <w:rPr>
          <w:rFonts w:ascii="Times New Roman" w:hAnsi="Times New Roman" w:cs="Times New Roman"/>
          <w:sz w:val="20"/>
          <w:szCs w:val="20"/>
        </w:rPr>
        <w:t>mme, il s’avère indispensable d</w:t>
      </w:r>
      <w:r w:rsidRPr="000871C5">
        <w:rPr>
          <w:rFonts w:ascii="Times New Roman" w:hAnsi="Times New Roman" w:cs="Times New Roman"/>
          <w:sz w:val="20"/>
          <w:szCs w:val="20"/>
        </w:rPr>
        <w:t xml:space="preserve">e commettre la présente mission d’évaluation pour aider à répondre aux questions suivantes </w:t>
      </w:r>
      <w:r w:rsidR="009363BE" w:rsidRPr="000871C5">
        <w:rPr>
          <w:rFonts w:ascii="Times New Roman" w:hAnsi="Times New Roman" w:cs="Times New Roman"/>
          <w:sz w:val="20"/>
          <w:szCs w:val="20"/>
        </w:rPr>
        <w:t xml:space="preserve">: </w:t>
      </w:r>
    </w:p>
    <w:p w:rsidR="009363BE" w:rsidRPr="000871C5"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Les effets ou produits </w:t>
      </w:r>
      <w:r w:rsidR="00A549CC" w:rsidRPr="000871C5">
        <w:rPr>
          <w:rFonts w:ascii="Times New Roman" w:hAnsi="Times New Roman" w:cs="Times New Roman"/>
          <w:sz w:val="20"/>
          <w:szCs w:val="20"/>
        </w:rPr>
        <w:t xml:space="preserve">des composantes </w:t>
      </w:r>
      <w:r w:rsidRPr="000871C5">
        <w:rPr>
          <w:rFonts w:ascii="Times New Roman" w:hAnsi="Times New Roman" w:cs="Times New Roman"/>
          <w:sz w:val="20"/>
          <w:szCs w:val="20"/>
        </w:rPr>
        <w:t xml:space="preserve">ont-ils été atteints ? </w:t>
      </w:r>
    </w:p>
    <w:p w:rsidR="009363BE" w:rsidRPr="000871C5"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Quels progrès ont été réalisés en matière d’effets ? </w:t>
      </w:r>
    </w:p>
    <w:p w:rsidR="009363BE" w:rsidRPr="000871C5"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Quels facteurs ont contribué à atteindre ou ne pas atteindre les effets escomptés ? </w:t>
      </w:r>
    </w:p>
    <w:p w:rsidR="009363BE" w:rsidRPr="000871C5"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Dans quelle mesure les effets du PNUD et le conseil ont contribué aux produits ? </w:t>
      </w:r>
    </w:p>
    <w:p w:rsidR="009363BE" w:rsidRPr="000871C5"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La stratégie de partenariat du PNUD a-t-elle été appropriée et efficace ? </w:t>
      </w:r>
    </w:p>
    <w:p w:rsidR="009363BE" w:rsidRDefault="009363BE" w:rsidP="000871C5">
      <w:pPr>
        <w:pStyle w:val="Paragraphedeliste"/>
        <w:numPr>
          <w:ilvl w:val="0"/>
          <w:numId w:val="23"/>
        </w:numPr>
        <w:spacing w:before="120"/>
        <w:jc w:val="both"/>
        <w:rPr>
          <w:rFonts w:ascii="Times New Roman" w:hAnsi="Times New Roman" w:cs="Times New Roman"/>
          <w:sz w:val="20"/>
          <w:szCs w:val="20"/>
        </w:rPr>
      </w:pPr>
      <w:r w:rsidRPr="000871C5">
        <w:rPr>
          <w:rFonts w:ascii="Times New Roman" w:hAnsi="Times New Roman" w:cs="Times New Roman"/>
          <w:sz w:val="20"/>
          <w:szCs w:val="20"/>
        </w:rPr>
        <w:t xml:space="preserve">Quels facteurs ont contribué à l’efficacité ou l’inefficacité ? </w:t>
      </w:r>
    </w:p>
    <w:p w:rsidR="009772DE" w:rsidRDefault="009772DE" w:rsidP="000871C5">
      <w:pPr>
        <w:pStyle w:val="Paragraphedeliste"/>
        <w:spacing w:before="120"/>
        <w:ind w:left="360"/>
        <w:jc w:val="both"/>
        <w:rPr>
          <w:rFonts w:ascii="Times New Roman" w:hAnsi="Times New Roman" w:cs="Times New Roman"/>
          <w:sz w:val="20"/>
          <w:szCs w:val="20"/>
        </w:rPr>
      </w:pPr>
    </w:p>
    <w:p w:rsidR="009363BE" w:rsidRPr="000871C5" w:rsidRDefault="009363BE" w:rsidP="009772DE">
      <w:pPr>
        <w:spacing w:before="100" w:beforeAutospacing="1" w:after="100" w:afterAutospacing="1" w:line="312" w:lineRule="auto"/>
        <w:jc w:val="both"/>
        <w:rPr>
          <w:rFonts w:ascii="Times New Roman" w:hAnsi="Times New Roman" w:cs="Times New Roman"/>
          <w:sz w:val="20"/>
          <w:szCs w:val="20"/>
        </w:rPr>
      </w:pPr>
      <w:r w:rsidRPr="000871C5">
        <w:rPr>
          <w:rFonts w:ascii="Times New Roman" w:hAnsi="Times New Roman" w:cs="Times New Roman"/>
          <w:sz w:val="20"/>
          <w:szCs w:val="20"/>
        </w:rPr>
        <w:t> </w:t>
      </w:r>
      <w:r w:rsidR="00A549CC" w:rsidRPr="000871C5">
        <w:rPr>
          <w:rFonts w:ascii="Times New Roman" w:hAnsi="Times New Roman" w:cs="Times New Roman"/>
          <w:sz w:val="20"/>
          <w:szCs w:val="20"/>
        </w:rPr>
        <w:t xml:space="preserve">Les représentants des bénéficiaires et les autres parties pourront préalablement </w:t>
      </w:r>
      <w:r w:rsidR="00E60652" w:rsidRPr="000871C5">
        <w:rPr>
          <w:rFonts w:ascii="Times New Roman" w:hAnsi="Times New Roman" w:cs="Times New Roman"/>
          <w:sz w:val="20"/>
          <w:szCs w:val="20"/>
        </w:rPr>
        <w:t>approuver</w:t>
      </w:r>
      <w:r w:rsidR="00A549CC" w:rsidRPr="000871C5">
        <w:rPr>
          <w:rFonts w:ascii="Times New Roman" w:hAnsi="Times New Roman" w:cs="Times New Roman"/>
          <w:sz w:val="20"/>
          <w:szCs w:val="20"/>
        </w:rPr>
        <w:t xml:space="preserve"> ces questions avant que l’équipe de la mission d’évaluation ne puisse </w:t>
      </w:r>
      <w:r w:rsidR="00E60652" w:rsidRPr="000871C5">
        <w:rPr>
          <w:rFonts w:ascii="Times New Roman" w:hAnsi="Times New Roman" w:cs="Times New Roman"/>
          <w:sz w:val="20"/>
          <w:szCs w:val="20"/>
        </w:rPr>
        <w:t xml:space="preserve">enclencher le processus de collecte et d’analyse. </w:t>
      </w:r>
    </w:p>
    <w:p w:rsidR="009363BE" w:rsidRPr="00D2241C" w:rsidRDefault="00E60652" w:rsidP="00D2241C">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lastRenderedPageBreak/>
        <w:t>6</w:t>
      </w:r>
      <w:r w:rsidR="009363BE" w:rsidRPr="00D2241C">
        <w:rPr>
          <w:rFonts w:eastAsia="Times New Roman" w:cs="Times New Roman"/>
          <w:b/>
          <w:color w:val="003399"/>
          <w:sz w:val="28"/>
          <w:szCs w:val="28"/>
        </w:rPr>
        <w:t>. Méthodologie</w:t>
      </w:r>
      <w:r w:rsidR="00DB111E" w:rsidRPr="00D2241C">
        <w:rPr>
          <w:rFonts w:eastAsia="Times New Roman" w:cs="Times New Roman"/>
          <w:b/>
          <w:color w:val="003399"/>
          <w:sz w:val="28"/>
          <w:szCs w:val="28"/>
        </w:rPr>
        <w:t xml:space="preserve"> de l’évaluation</w:t>
      </w:r>
    </w:p>
    <w:p w:rsidR="009363BE" w:rsidRPr="009772DE" w:rsidRDefault="00DB111E" w:rsidP="009772DE">
      <w:p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Les candidats </w:t>
      </w:r>
      <w:r w:rsidR="00635CD5" w:rsidRPr="009772DE">
        <w:rPr>
          <w:rFonts w:ascii="Times New Roman" w:hAnsi="Times New Roman" w:cs="Times New Roman"/>
          <w:sz w:val="20"/>
          <w:szCs w:val="20"/>
        </w:rPr>
        <w:t xml:space="preserve">intéressés à réaliser la présente évaluation </w:t>
      </w:r>
      <w:r w:rsidRPr="009772DE">
        <w:rPr>
          <w:rFonts w:ascii="Times New Roman" w:hAnsi="Times New Roman" w:cs="Times New Roman"/>
          <w:sz w:val="20"/>
          <w:szCs w:val="20"/>
        </w:rPr>
        <w:t xml:space="preserve">sont invités à proposer </w:t>
      </w:r>
      <w:r w:rsidR="009363BE" w:rsidRPr="009772DE">
        <w:rPr>
          <w:rFonts w:ascii="Times New Roman" w:hAnsi="Times New Roman" w:cs="Times New Roman"/>
          <w:sz w:val="20"/>
          <w:szCs w:val="20"/>
        </w:rPr>
        <w:t xml:space="preserve">une approche et une méthode globale, ainsi que des sources de données et des outils qui généreront les réponses les plus fiables et les plus valides aux questions de l’évaluation. </w:t>
      </w:r>
      <w:r w:rsidR="00635CD5" w:rsidRPr="009772DE">
        <w:rPr>
          <w:rFonts w:ascii="Times New Roman" w:hAnsi="Times New Roman" w:cs="Times New Roman"/>
          <w:sz w:val="20"/>
          <w:szCs w:val="20"/>
        </w:rPr>
        <w:t>Toutefois</w:t>
      </w:r>
      <w:r w:rsidR="009363BE" w:rsidRPr="009772DE">
        <w:rPr>
          <w:rFonts w:ascii="Times New Roman" w:hAnsi="Times New Roman" w:cs="Times New Roman"/>
          <w:sz w:val="20"/>
          <w:szCs w:val="20"/>
        </w:rPr>
        <w:t>, les décisions finales relatives à l’élaboration spécifique et aux méthodes d’évaluation d</w:t>
      </w:r>
      <w:r w:rsidR="00635CD5" w:rsidRPr="009772DE">
        <w:rPr>
          <w:rFonts w:ascii="Times New Roman" w:hAnsi="Times New Roman" w:cs="Times New Roman"/>
          <w:sz w:val="20"/>
          <w:szCs w:val="20"/>
        </w:rPr>
        <w:t xml:space="preserve">écouleront </w:t>
      </w:r>
      <w:r w:rsidR="009363BE" w:rsidRPr="009772DE">
        <w:rPr>
          <w:rFonts w:ascii="Times New Roman" w:hAnsi="Times New Roman" w:cs="Times New Roman"/>
          <w:sz w:val="20"/>
          <w:szCs w:val="20"/>
        </w:rPr>
        <w:t xml:space="preserve">des consultations entre </w:t>
      </w:r>
      <w:r w:rsidR="00635CD5" w:rsidRPr="009772DE">
        <w:rPr>
          <w:rFonts w:ascii="Times New Roman" w:hAnsi="Times New Roman" w:cs="Times New Roman"/>
          <w:sz w:val="20"/>
          <w:szCs w:val="20"/>
        </w:rPr>
        <w:t xml:space="preserve">les responsables </w:t>
      </w:r>
      <w:r w:rsidR="009363BE" w:rsidRPr="009772DE">
        <w:rPr>
          <w:rFonts w:ascii="Times New Roman" w:hAnsi="Times New Roman" w:cs="Times New Roman"/>
          <w:sz w:val="20"/>
          <w:szCs w:val="20"/>
        </w:rPr>
        <w:t xml:space="preserve">des </w:t>
      </w:r>
      <w:r w:rsidR="00C62547">
        <w:rPr>
          <w:rFonts w:ascii="Times New Roman" w:hAnsi="Times New Roman" w:cs="Times New Roman"/>
          <w:sz w:val="20"/>
          <w:szCs w:val="20"/>
        </w:rPr>
        <w:t>deux grands</w:t>
      </w:r>
      <w:r w:rsidR="009772DE">
        <w:rPr>
          <w:rFonts w:ascii="Times New Roman" w:hAnsi="Times New Roman" w:cs="Times New Roman"/>
          <w:sz w:val="20"/>
          <w:szCs w:val="20"/>
        </w:rPr>
        <w:t xml:space="preserve"> </w:t>
      </w:r>
      <w:r w:rsidR="009363BE" w:rsidRPr="009772DE">
        <w:rPr>
          <w:rFonts w:ascii="Times New Roman" w:hAnsi="Times New Roman" w:cs="Times New Roman"/>
          <w:sz w:val="20"/>
          <w:szCs w:val="20"/>
        </w:rPr>
        <w:t xml:space="preserve">programmes, les principales parties prenantes </w:t>
      </w:r>
      <w:r w:rsidR="00635CD5" w:rsidRPr="009772DE">
        <w:rPr>
          <w:rFonts w:ascii="Times New Roman" w:hAnsi="Times New Roman" w:cs="Times New Roman"/>
          <w:sz w:val="20"/>
          <w:szCs w:val="20"/>
        </w:rPr>
        <w:t xml:space="preserve">et les évaluateurs </w:t>
      </w:r>
      <w:r w:rsidR="009363BE" w:rsidRPr="009772DE">
        <w:rPr>
          <w:rFonts w:ascii="Times New Roman" w:hAnsi="Times New Roman" w:cs="Times New Roman"/>
          <w:sz w:val="20"/>
          <w:szCs w:val="20"/>
        </w:rPr>
        <w:t xml:space="preserve">quant à savoir ce qui est approprié et faisable afin de répondre au but et aux objectifs de l’évaluation et apporter une réponse aux questions de l’évaluation, au délai et aux données existantes. </w:t>
      </w:r>
    </w:p>
    <w:p w:rsidR="009363BE" w:rsidRPr="009772DE" w:rsidRDefault="009363BE" w:rsidP="00B563D4">
      <w:p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Les termes de référence </w:t>
      </w:r>
      <w:r w:rsidR="00DB111E" w:rsidRPr="009772DE">
        <w:rPr>
          <w:rFonts w:ascii="Times New Roman" w:hAnsi="Times New Roman" w:cs="Times New Roman"/>
          <w:sz w:val="20"/>
          <w:szCs w:val="20"/>
        </w:rPr>
        <w:t>proposé</w:t>
      </w:r>
      <w:r w:rsidR="00F4186E" w:rsidRPr="009772DE">
        <w:rPr>
          <w:rFonts w:ascii="Times New Roman" w:hAnsi="Times New Roman" w:cs="Times New Roman"/>
          <w:sz w:val="20"/>
          <w:szCs w:val="20"/>
        </w:rPr>
        <w:t>s</w:t>
      </w:r>
      <w:r w:rsidR="00DB111E" w:rsidRPr="009772DE">
        <w:rPr>
          <w:rFonts w:ascii="Times New Roman" w:hAnsi="Times New Roman" w:cs="Times New Roman"/>
          <w:sz w:val="20"/>
          <w:szCs w:val="20"/>
        </w:rPr>
        <w:t xml:space="preserve"> par l’équipe de l’évaluation mis en annexe dans le dossier de soumission doivent </w:t>
      </w:r>
      <w:r w:rsidR="00765B92" w:rsidRPr="009772DE">
        <w:rPr>
          <w:rFonts w:ascii="Times New Roman" w:hAnsi="Times New Roman" w:cs="Times New Roman"/>
          <w:sz w:val="20"/>
          <w:szCs w:val="20"/>
        </w:rPr>
        <w:t>décrire :</w:t>
      </w:r>
    </w:p>
    <w:p w:rsidR="009363BE" w:rsidRPr="009772DE" w:rsidRDefault="009363BE" w:rsidP="009772DE">
      <w:pPr>
        <w:pStyle w:val="Paragraphedeliste"/>
        <w:numPr>
          <w:ilvl w:val="0"/>
          <w:numId w:val="24"/>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Sous quelle condition et de quelle manière l’évaluation a été envisagée dans l’élaboration de l’intervention. </w:t>
      </w:r>
    </w:p>
    <w:p w:rsidR="009363BE" w:rsidRPr="009772DE" w:rsidRDefault="009363BE" w:rsidP="009772DE">
      <w:pPr>
        <w:pStyle w:val="Paragraphedeliste"/>
        <w:numPr>
          <w:ilvl w:val="0"/>
          <w:numId w:val="24"/>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Les détails du cadre de résultats et du cadre M&amp;E (Suivi &amp; Evaluation), y compris les indicateurs d’effet et de produit ainsi que les cibles pour mesurer la performance et le statut d’exécution, les points forts et les points faibles de l’élaboration M&amp;E initiale et la qualité des données générées. </w:t>
      </w:r>
    </w:p>
    <w:p w:rsidR="009363BE" w:rsidRPr="009772DE" w:rsidRDefault="00C62547" w:rsidP="009772DE">
      <w:pPr>
        <w:pStyle w:val="Paragraphedeliste"/>
        <w:numPr>
          <w:ilvl w:val="0"/>
          <w:numId w:val="24"/>
        </w:numPr>
        <w:spacing w:before="100" w:beforeAutospacing="1" w:after="100" w:afterAutospacing="1" w:line="312" w:lineRule="auto"/>
        <w:jc w:val="both"/>
        <w:rPr>
          <w:rFonts w:ascii="Times New Roman" w:hAnsi="Times New Roman" w:cs="Times New Roman"/>
          <w:sz w:val="20"/>
          <w:szCs w:val="20"/>
        </w:rPr>
      </w:pPr>
      <w:r>
        <w:rPr>
          <w:rFonts w:ascii="Times New Roman" w:hAnsi="Times New Roman" w:cs="Times New Roman"/>
          <w:sz w:val="20"/>
          <w:szCs w:val="20"/>
        </w:rPr>
        <w:t>La d</w:t>
      </w:r>
      <w:r w:rsidR="009363BE" w:rsidRPr="009772DE">
        <w:rPr>
          <w:rFonts w:ascii="Times New Roman" w:hAnsi="Times New Roman" w:cs="Times New Roman"/>
          <w:sz w:val="20"/>
          <w:szCs w:val="20"/>
        </w:rPr>
        <w:t xml:space="preserve">isponibilité des données globales, régionales et nationales applicables. </w:t>
      </w:r>
    </w:p>
    <w:p w:rsidR="009363BE" w:rsidRPr="009772DE" w:rsidRDefault="009363BE" w:rsidP="009772DE">
      <w:pPr>
        <w:pStyle w:val="Paragraphedeliste"/>
        <w:numPr>
          <w:ilvl w:val="0"/>
          <w:numId w:val="24"/>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Les listes et les descriptions des principales parties prenantes (utilisateurs de l’évaluation, bailleurs partenaires, personnel des organisations chargées de l’exécution et autres organisations, bénéficiaires, etc.) et leur accessibilité.  </w:t>
      </w:r>
    </w:p>
    <w:p w:rsidR="009363BE" w:rsidRPr="00DB111E" w:rsidRDefault="009363BE" w:rsidP="00D2241C">
      <w:pPr>
        <w:spacing w:after="0" w:line="312" w:lineRule="auto"/>
        <w:ind w:left="426" w:hanging="426"/>
        <w:jc w:val="both"/>
        <w:rPr>
          <w:rFonts w:eastAsia="Times New Roman" w:cs="Times New Roman"/>
          <w:b/>
          <w:color w:val="003399"/>
          <w:sz w:val="36"/>
          <w:szCs w:val="29"/>
        </w:rPr>
      </w:pPr>
      <w:r w:rsidRPr="00DB111E">
        <w:rPr>
          <w:rFonts w:eastAsia="Times New Roman" w:cs="Times New Roman"/>
          <w:b/>
          <w:color w:val="003399"/>
          <w:sz w:val="36"/>
          <w:szCs w:val="29"/>
        </w:rPr>
        <w:t> </w:t>
      </w:r>
      <w:r w:rsidR="00DB111E" w:rsidRPr="00D2241C">
        <w:rPr>
          <w:rFonts w:eastAsia="Times New Roman" w:cs="Times New Roman"/>
          <w:b/>
          <w:color w:val="003399"/>
          <w:sz w:val="28"/>
          <w:szCs w:val="28"/>
        </w:rPr>
        <w:t>7</w:t>
      </w:r>
      <w:r w:rsidRPr="00D2241C">
        <w:rPr>
          <w:rFonts w:eastAsia="Times New Roman" w:cs="Times New Roman"/>
          <w:b/>
          <w:color w:val="003399"/>
          <w:sz w:val="28"/>
          <w:szCs w:val="28"/>
        </w:rPr>
        <w:t>. Produits d’évaluation (prestations)</w:t>
      </w:r>
    </w:p>
    <w:p w:rsidR="009363BE" w:rsidRPr="009772DE" w:rsidRDefault="00DB111E" w:rsidP="00B563D4">
      <w:p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L’équipe de l’évaluation devra fournir </w:t>
      </w:r>
      <w:r w:rsidR="00635CD5" w:rsidRPr="009772DE">
        <w:rPr>
          <w:rFonts w:ascii="Times New Roman" w:hAnsi="Times New Roman" w:cs="Times New Roman"/>
          <w:sz w:val="20"/>
          <w:szCs w:val="20"/>
        </w:rPr>
        <w:t xml:space="preserve">à la fin de l’exercice </w:t>
      </w:r>
      <w:r w:rsidR="00E05F31" w:rsidRPr="009772DE">
        <w:rPr>
          <w:rFonts w:ascii="Times New Roman" w:hAnsi="Times New Roman" w:cs="Times New Roman"/>
          <w:sz w:val="20"/>
          <w:szCs w:val="20"/>
        </w:rPr>
        <w:t>les produits comprenant</w:t>
      </w:r>
      <w:r w:rsidR="009363BE" w:rsidRPr="009772DE">
        <w:rPr>
          <w:rFonts w:ascii="Times New Roman" w:hAnsi="Times New Roman" w:cs="Times New Roman"/>
          <w:sz w:val="20"/>
          <w:szCs w:val="20"/>
        </w:rPr>
        <w:t xml:space="preserve">, au </w:t>
      </w:r>
      <w:r w:rsidR="00E05F31" w:rsidRPr="009772DE">
        <w:rPr>
          <w:rFonts w:ascii="Times New Roman" w:hAnsi="Times New Roman" w:cs="Times New Roman"/>
          <w:sz w:val="20"/>
          <w:szCs w:val="20"/>
        </w:rPr>
        <w:t>minimum :</w:t>
      </w:r>
    </w:p>
    <w:p w:rsidR="009363BE" w:rsidRPr="009772DE" w:rsidRDefault="009363BE" w:rsidP="009772DE">
      <w:pPr>
        <w:pStyle w:val="Paragraphedeliste"/>
        <w:numPr>
          <w:ilvl w:val="0"/>
          <w:numId w:val="25"/>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Un rapport initial d’évaluation – Un rapport initial doit être préparé par les évaluateurs avant d’entrer dans l’exercice de recollection de données d’évaluation à part entière.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en désignant un membre de l’équipe qui aura la responsabilité de chaque tâche ou produit. Le rapport initial offre au groupe chargé des programmes et aux évaluateurs une opportunité de vérifier qu’ils partagent la même compréhension au sujet de l’évaluation et également de clarifier tout malentendu au départ. </w:t>
      </w:r>
    </w:p>
    <w:p w:rsidR="009363BE" w:rsidRPr="009772DE" w:rsidRDefault="009363BE" w:rsidP="009772DE">
      <w:pPr>
        <w:pStyle w:val="Paragraphedeliste"/>
        <w:numPr>
          <w:ilvl w:val="0"/>
          <w:numId w:val="25"/>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Projet de rapport d’évaluation – Le groupe chargé des programmes et les principales parties prenantes dans l’évaluation doivent réviser le projet de rapport pour veiller à ce que l’évaluation réponde aux critères de qualité requis (se reporter à l’Annexe 7). </w:t>
      </w:r>
    </w:p>
    <w:p w:rsidR="009363BE" w:rsidRPr="009772DE" w:rsidRDefault="009363BE" w:rsidP="009772DE">
      <w:pPr>
        <w:pStyle w:val="Paragraphedeliste"/>
        <w:numPr>
          <w:ilvl w:val="0"/>
          <w:numId w:val="25"/>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Rapport d’évaluation final. </w:t>
      </w:r>
    </w:p>
    <w:p w:rsidR="009363BE" w:rsidRPr="009772DE" w:rsidRDefault="009363BE" w:rsidP="009772DE">
      <w:pPr>
        <w:pStyle w:val="Paragraphedeliste"/>
        <w:numPr>
          <w:ilvl w:val="0"/>
          <w:numId w:val="25"/>
        </w:num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Evaluation des notes d’informations et autres éléments de connaissance ou participation dans les évènements de partage des connaissances, le cas échéant (voir le Chapitre 8</w:t>
      </w:r>
      <w:r w:rsidR="00635CD5" w:rsidRPr="009772DE">
        <w:rPr>
          <w:rFonts w:ascii="Times New Roman" w:hAnsi="Times New Roman" w:cs="Times New Roman"/>
          <w:sz w:val="20"/>
          <w:szCs w:val="20"/>
        </w:rPr>
        <w:t xml:space="preserve"> du manuel du suivi et évaluation juillet 2009 PNUD</w:t>
      </w:r>
      <w:r w:rsidRPr="009772DE">
        <w:rPr>
          <w:rFonts w:ascii="Times New Roman" w:hAnsi="Times New Roman" w:cs="Times New Roman"/>
          <w:sz w:val="20"/>
          <w:szCs w:val="20"/>
        </w:rPr>
        <w:t xml:space="preserve">). </w:t>
      </w:r>
    </w:p>
    <w:p w:rsidR="007C6C06" w:rsidRPr="007C6C06" w:rsidRDefault="007C6C06" w:rsidP="007C6C06">
      <w:pPr>
        <w:spacing w:before="100" w:beforeAutospacing="1" w:after="100" w:afterAutospacing="1" w:line="312" w:lineRule="auto"/>
        <w:jc w:val="both"/>
        <w:rPr>
          <w:rFonts w:eastAsia="Times New Roman" w:cs="Times New Roman"/>
          <w:bCs/>
          <w:color w:val="333333"/>
          <w:sz w:val="20"/>
        </w:rPr>
      </w:pPr>
    </w:p>
    <w:p w:rsidR="009363BE" w:rsidRPr="00D2241C" w:rsidRDefault="00DB111E" w:rsidP="00DB111E">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lastRenderedPageBreak/>
        <w:t xml:space="preserve">8. </w:t>
      </w:r>
      <w:r w:rsidR="009363BE" w:rsidRPr="00D2241C">
        <w:rPr>
          <w:rFonts w:eastAsia="Times New Roman" w:cs="Times New Roman"/>
          <w:b/>
          <w:color w:val="003399"/>
          <w:sz w:val="28"/>
          <w:szCs w:val="28"/>
        </w:rPr>
        <w:t xml:space="preserve">Composition de l’équipe d’évaluation et compétences requises </w:t>
      </w:r>
    </w:p>
    <w:p w:rsidR="00E05F31" w:rsidRDefault="00E05F31" w:rsidP="00F4186E">
      <w:pPr>
        <w:spacing w:after="0" w:line="312" w:lineRule="auto"/>
        <w:jc w:val="both"/>
        <w:rPr>
          <w:rFonts w:eastAsia="Times New Roman" w:cs="Times New Roman"/>
          <w:bCs/>
          <w:color w:val="333333"/>
          <w:sz w:val="20"/>
        </w:rPr>
      </w:pPr>
    </w:p>
    <w:p w:rsidR="00F4186E" w:rsidRPr="009772DE" w:rsidRDefault="00635CD5" w:rsidP="009772DE">
      <w:pPr>
        <w:spacing w:before="100" w:beforeAutospacing="1" w:after="100" w:afterAutospacing="1" w:line="312" w:lineRule="auto"/>
        <w:jc w:val="both"/>
        <w:rPr>
          <w:rFonts w:ascii="Times New Roman" w:hAnsi="Times New Roman" w:cs="Times New Roman"/>
          <w:sz w:val="20"/>
          <w:szCs w:val="20"/>
        </w:rPr>
      </w:pPr>
      <w:r w:rsidRPr="009772DE">
        <w:rPr>
          <w:rFonts w:ascii="Times New Roman" w:hAnsi="Times New Roman" w:cs="Times New Roman"/>
          <w:sz w:val="20"/>
          <w:szCs w:val="20"/>
        </w:rPr>
        <w:t xml:space="preserve">L’évaluation sera conduite par une équipe de </w:t>
      </w:r>
      <w:r w:rsidR="00C62547">
        <w:rPr>
          <w:rFonts w:ascii="Times New Roman" w:hAnsi="Times New Roman" w:cs="Times New Roman"/>
          <w:sz w:val="20"/>
          <w:szCs w:val="20"/>
        </w:rPr>
        <w:t xml:space="preserve">trois </w:t>
      </w:r>
      <w:r w:rsidRPr="009772DE">
        <w:rPr>
          <w:rFonts w:ascii="Times New Roman" w:hAnsi="Times New Roman" w:cs="Times New Roman"/>
          <w:sz w:val="20"/>
          <w:szCs w:val="20"/>
        </w:rPr>
        <w:t xml:space="preserve">personnes par </w:t>
      </w:r>
      <w:r w:rsidR="00C62547">
        <w:rPr>
          <w:rFonts w:ascii="Times New Roman" w:hAnsi="Times New Roman" w:cs="Times New Roman"/>
          <w:sz w:val="20"/>
          <w:szCs w:val="20"/>
        </w:rPr>
        <w:t>programme</w:t>
      </w:r>
      <w:r w:rsidR="009772DE">
        <w:rPr>
          <w:rFonts w:ascii="Times New Roman" w:hAnsi="Times New Roman" w:cs="Times New Roman"/>
          <w:sz w:val="20"/>
          <w:szCs w:val="20"/>
        </w:rPr>
        <w:t xml:space="preserve">, soit </w:t>
      </w:r>
      <w:r w:rsidR="00C62547">
        <w:rPr>
          <w:rFonts w:ascii="Times New Roman" w:hAnsi="Times New Roman" w:cs="Times New Roman"/>
          <w:sz w:val="20"/>
          <w:szCs w:val="20"/>
        </w:rPr>
        <w:t>six</w:t>
      </w:r>
      <w:r w:rsidR="009772DE">
        <w:rPr>
          <w:rFonts w:ascii="Times New Roman" w:hAnsi="Times New Roman" w:cs="Times New Roman"/>
          <w:sz w:val="20"/>
          <w:szCs w:val="20"/>
        </w:rPr>
        <w:t xml:space="preserve"> consultants</w:t>
      </w:r>
      <w:r w:rsidRPr="009772DE">
        <w:rPr>
          <w:rFonts w:ascii="Times New Roman" w:hAnsi="Times New Roman" w:cs="Times New Roman"/>
          <w:sz w:val="20"/>
          <w:szCs w:val="20"/>
        </w:rPr>
        <w:t>(es)</w:t>
      </w:r>
      <w:r w:rsidR="009772DE">
        <w:rPr>
          <w:rFonts w:ascii="Times New Roman" w:hAnsi="Times New Roman" w:cs="Times New Roman"/>
          <w:sz w:val="20"/>
          <w:szCs w:val="20"/>
        </w:rPr>
        <w:t>.</w:t>
      </w:r>
      <w:r w:rsidRPr="009772DE">
        <w:rPr>
          <w:rFonts w:ascii="Times New Roman" w:hAnsi="Times New Roman" w:cs="Times New Roman"/>
          <w:sz w:val="20"/>
          <w:szCs w:val="20"/>
        </w:rPr>
        <w:t xml:space="preserve"> </w:t>
      </w:r>
      <w:r w:rsidR="00C62547">
        <w:rPr>
          <w:rFonts w:ascii="Times New Roman" w:hAnsi="Times New Roman" w:cs="Times New Roman"/>
          <w:sz w:val="20"/>
          <w:szCs w:val="20"/>
        </w:rPr>
        <w:t>Les candidats</w:t>
      </w:r>
      <w:r w:rsidR="00F4186E" w:rsidRPr="009772DE">
        <w:rPr>
          <w:rFonts w:ascii="Times New Roman" w:hAnsi="Times New Roman" w:cs="Times New Roman"/>
          <w:sz w:val="20"/>
          <w:szCs w:val="20"/>
        </w:rPr>
        <w:t>(es)</w:t>
      </w:r>
      <w:r w:rsidRPr="009772DE">
        <w:rPr>
          <w:rFonts w:ascii="Times New Roman" w:hAnsi="Times New Roman" w:cs="Times New Roman"/>
          <w:sz w:val="20"/>
          <w:szCs w:val="20"/>
        </w:rPr>
        <w:t xml:space="preserve"> </w:t>
      </w:r>
      <w:r w:rsidR="00C62547">
        <w:rPr>
          <w:rFonts w:ascii="Times New Roman" w:hAnsi="Times New Roman" w:cs="Times New Roman"/>
          <w:sz w:val="20"/>
          <w:szCs w:val="20"/>
        </w:rPr>
        <w:t xml:space="preserve">seront </w:t>
      </w:r>
      <w:r w:rsidRPr="009772DE">
        <w:rPr>
          <w:rFonts w:ascii="Times New Roman" w:hAnsi="Times New Roman" w:cs="Times New Roman"/>
          <w:sz w:val="20"/>
          <w:szCs w:val="20"/>
        </w:rPr>
        <w:t xml:space="preserve">répartis ainsi qu’il suit : i. </w:t>
      </w:r>
      <w:r w:rsidR="003E5B69" w:rsidRPr="009772DE">
        <w:rPr>
          <w:rFonts w:ascii="Times New Roman" w:hAnsi="Times New Roman" w:cs="Times New Roman"/>
          <w:sz w:val="20"/>
          <w:szCs w:val="20"/>
        </w:rPr>
        <w:t xml:space="preserve">Pour les </w:t>
      </w:r>
      <w:r w:rsidRPr="009772DE">
        <w:rPr>
          <w:rFonts w:ascii="Times New Roman" w:hAnsi="Times New Roman" w:cs="Times New Roman"/>
          <w:sz w:val="20"/>
          <w:szCs w:val="20"/>
        </w:rPr>
        <w:t>intervention</w:t>
      </w:r>
      <w:r w:rsidR="003E5B69" w:rsidRPr="009772DE">
        <w:rPr>
          <w:rFonts w:ascii="Times New Roman" w:hAnsi="Times New Roman" w:cs="Times New Roman"/>
          <w:sz w:val="20"/>
          <w:szCs w:val="20"/>
        </w:rPr>
        <w:t>s</w:t>
      </w:r>
      <w:r w:rsidRPr="009772DE">
        <w:rPr>
          <w:rFonts w:ascii="Times New Roman" w:hAnsi="Times New Roman" w:cs="Times New Roman"/>
          <w:sz w:val="20"/>
          <w:szCs w:val="20"/>
        </w:rPr>
        <w:t xml:space="preserve"> dans le cadre de l’appui </w:t>
      </w:r>
      <w:r w:rsidR="00C62547" w:rsidRPr="00C62547">
        <w:rPr>
          <w:rFonts w:ascii="Times New Roman" w:hAnsi="Times New Roman" w:cs="Times New Roman"/>
          <w:sz w:val="20"/>
          <w:szCs w:val="20"/>
        </w:rPr>
        <w:t>au relèvement et à la stabilisation des communautés « PRESCO »</w:t>
      </w:r>
      <w:r w:rsidR="003E5B69" w:rsidRPr="009772DE">
        <w:rPr>
          <w:rFonts w:ascii="Times New Roman" w:hAnsi="Times New Roman" w:cs="Times New Roman"/>
          <w:sz w:val="20"/>
          <w:szCs w:val="20"/>
        </w:rPr>
        <w:t>, les tâches seront confiées à un(</w:t>
      </w:r>
      <w:r w:rsidR="00E05F31" w:rsidRPr="009772DE">
        <w:rPr>
          <w:rFonts w:ascii="Times New Roman" w:hAnsi="Times New Roman" w:cs="Times New Roman"/>
          <w:sz w:val="20"/>
          <w:szCs w:val="20"/>
        </w:rPr>
        <w:t>e)</w:t>
      </w:r>
      <w:r w:rsidR="003E5B69" w:rsidRPr="009772DE">
        <w:rPr>
          <w:rFonts w:ascii="Times New Roman" w:hAnsi="Times New Roman" w:cs="Times New Roman"/>
          <w:sz w:val="20"/>
          <w:szCs w:val="20"/>
        </w:rPr>
        <w:t xml:space="preserve"> consultant</w:t>
      </w:r>
      <w:r w:rsidR="00C62547" w:rsidRPr="00C62547">
        <w:rPr>
          <w:rFonts w:ascii="Times New Roman" w:hAnsi="Times New Roman" w:cs="Times New Roman"/>
          <w:sz w:val="20"/>
          <w:szCs w:val="20"/>
        </w:rPr>
        <w:t xml:space="preserve">(e) </w:t>
      </w:r>
      <w:r w:rsidR="003E5B69" w:rsidRPr="009772DE">
        <w:rPr>
          <w:rFonts w:ascii="Times New Roman" w:hAnsi="Times New Roman" w:cs="Times New Roman"/>
          <w:sz w:val="20"/>
          <w:szCs w:val="20"/>
        </w:rPr>
        <w:t xml:space="preserve">internationale et </w:t>
      </w:r>
      <w:r w:rsidR="00C62547">
        <w:rPr>
          <w:rFonts w:ascii="Times New Roman" w:hAnsi="Times New Roman" w:cs="Times New Roman"/>
          <w:sz w:val="20"/>
          <w:szCs w:val="20"/>
        </w:rPr>
        <w:t>deux</w:t>
      </w:r>
      <w:r w:rsidR="003E5B69" w:rsidRPr="009772DE">
        <w:rPr>
          <w:rFonts w:ascii="Times New Roman" w:hAnsi="Times New Roman" w:cs="Times New Roman"/>
          <w:sz w:val="20"/>
          <w:szCs w:val="20"/>
        </w:rPr>
        <w:t xml:space="preserve"> consultant</w:t>
      </w:r>
      <w:r w:rsidR="00C62547" w:rsidRPr="00C62547">
        <w:rPr>
          <w:rFonts w:ascii="Times New Roman" w:hAnsi="Times New Roman" w:cs="Times New Roman"/>
          <w:sz w:val="20"/>
          <w:szCs w:val="20"/>
        </w:rPr>
        <w:t>(e</w:t>
      </w:r>
      <w:r w:rsidR="00C62547">
        <w:rPr>
          <w:rFonts w:ascii="Times New Roman" w:hAnsi="Times New Roman" w:cs="Times New Roman"/>
          <w:sz w:val="20"/>
          <w:szCs w:val="20"/>
        </w:rPr>
        <w:t>s</w:t>
      </w:r>
      <w:r w:rsidR="00C62547" w:rsidRPr="00C62547">
        <w:rPr>
          <w:rFonts w:ascii="Times New Roman" w:hAnsi="Times New Roman" w:cs="Times New Roman"/>
          <w:sz w:val="20"/>
          <w:szCs w:val="20"/>
        </w:rPr>
        <w:t xml:space="preserve">) </w:t>
      </w:r>
      <w:r w:rsidR="003E5B69" w:rsidRPr="009772DE">
        <w:rPr>
          <w:rFonts w:ascii="Times New Roman" w:hAnsi="Times New Roman" w:cs="Times New Roman"/>
          <w:sz w:val="20"/>
          <w:szCs w:val="20"/>
        </w:rPr>
        <w:t>nationa</w:t>
      </w:r>
      <w:r w:rsidR="00C62547">
        <w:rPr>
          <w:rFonts w:ascii="Times New Roman" w:hAnsi="Times New Roman" w:cs="Times New Roman"/>
          <w:sz w:val="20"/>
          <w:szCs w:val="20"/>
        </w:rPr>
        <w:t>ux(</w:t>
      </w:r>
      <w:r w:rsidR="003E5B69" w:rsidRPr="009772DE">
        <w:rPr>
          <w:rFonts w:ascii="Times New Roman" w:hAnsi="Times New Roman" w:cs="Times New Roman"/>
          <w:sz w:val="20"/>
          <w:szCs w:val="20"/>
        </w:rPr>
        <w:t>l</w:t>
      </w:r>
      <w:r w:rsidR="00C62547">
        <w:rPr>
          <w:rFonts w:ascii="Times New Roman" w:hAnsi="Times New Roman" w:cs="Times New Roman"/>
          <w:sz w:val="20"/>
          <w:szCs w:val="20"/>
        </w:rPr>
        <w:t>es)</w:t>
      </w:r>
      <w:r w:rsidR="003E5B69" w:rsidRPr="009772DE">
        <w:rPr>
          <w:rFonts w:ascii="Times New Roman" w:hAnsi="Times New Roman" w:cs="Times New Roman"/>
          <w:sz w:val="20"/>
          <w:szCs w:val="20"/>
        </w:rPr>
        <w:t xml:space="preserve"> ; ii. il en sera de même pour les interventions dans le cadre de </w:t>
      </w:r>
      <w:r w:rsidR="00C62547">
        <w:rPr>
          <w:rFonts w:ascii="Times New Roman" w:hAnsi="Times New Roman" w:cs="Times New Roman"/>
          <w:sz w:val="20"/>
          <w:szCs w:val="20"/>
        </w:rPr>
        <w:t>l</w:t>
      </w:r>
      <w:r w:rsidR="00C62547" w:rsidRPr="00C62547">
        <w:rPr>
          <w:rFonts w:ascii="Times New Roman" w:hAnsi="Times New Roman" w:cs="Times New Roman"/>
          <w:sz w:val="20"/>
          <w:szCs w:val="20"/>
        </w:rPr>
        <w:t>’appui à la transition en Centrafrique « PACIT »</w:t>
      </w:r>
      <w:r w:rsidR="003E5B69" w:rsidRPr="009772DE">
        <w:rPr>
          <w:rFonts w:ascii="Times New Roman" w:hAnsi="Times New Roman" w:cs="Times New Roman"/>
          <w:sz w:val="20"/>
          <w:szCs w:val="20"/>
        </w:rPr>
        <w:t xml:space="preserve">. Pour faciliter la coordination générale un </w:t>
      </w:r>
      <w:r w:rsidR="008A40CF" w:rsidRPr="009772DE">
        <w:rPr>
          <w:rFonts w:ascii="Times New Roman" w:hAnsi="Times New Roman" w:cs="Times New Roman"/>
          <w:sz w:val="20"/>
          <w:szCs w:val="20"/>
        </w:rPr>
        <w:t xml:space="preserve">leader </w:t>
      </w:r>
      <w:r w:rsidR="003E5B69" w:rsidRPr="009772DE">
        <w:rPr>
          <w:rFonts w:ascii="Times New Roman" w:hAnsi="Times New Roman" w:cs="Times New Roman"/>
          <w:sz w:val="20"/>
          <w:szCs w:val="20"/>
        </w:rPr>
        <w:t>est désigné parmi les consultants internationaux qui, avec les consultants nationaux l’appuieront.</w:t>
      </w:r>
    </w:p>
    <w:p w:rsidR="003E5B69" w:rsidRDefault="003E5B69" w:rsidP="00F4186E">
      <w:pPr>
        <w:spacing w:after="0" w:line="312" w:lineRule="auto"/>
        <w:jc w:val="both"/>
        <w:rPr>
          <w:rFonts w:eastAsia="Times New Roman" w:cs="Times New Roman"/>
          <w:b/>
          <w:bCs/>
          <w:color w:val="333333"/>
          <w:sz w:val="24"/>
        </w:rPr>
      </w:pPr>
      <w:r w:rsidRPr="008A40CF">
        <w:rPr>
          <w:rFonts w:eastAsia="Times New Roman" w:cs="Times New Roman"/>
          <w:b/>
          <w:bCs/>
          <w:color w:val="333333"/>
          <w:sz w:val="24"/>
        </w:rPr>
        <w:t>L’</w:t>
      </w:r>
      <w:r w:rsidR="008A40CF" w:rsidRPr="008A40CF">
        <w:rPr>
          <w:rFonts w:eastAsia="Times New Roman" w:cs="Times New Roman"/>
          <w:b/>
          <w:bCs/>
          <w:color w:val="333333"/>
          <w:sz w:val="24"/>
        </w:rPr>
        <w:t>évaluateur leader</w:t>
      </w:r>
    </w:p>
    <w:p w:rsidR="008A40CF" w:rsidRPr="00C62547" w:rsidRDefault="008A40CF" w:rsidP="00C62547">
      <w:pPr>
        <w:spacing w:before="100" w:beforeAutospacing="1" w:after="100" w:afterAutospacing="1" w:line="312" w:lineRule="auto"/>
        <w:jc w:val="both"/>
        <w:rPr>
          <w:rFonts w:ascii="Times New Roman" w:hAnsi="Times New Roman" w:cs="Times New Roman"/>
          <w:sz w:val="20"/>
          <w:szCs w:val="20"/>
        </w:rPr>
      </w:pPr>
      <w:r w:rsidRPr="00C62547">
        <w:rPr>
          <w:rFonts w:ascii="Times New Roman" w:hAnsi="Times New Roman" w:cs="Times New Roman"/>
          <w:sz w:val="20"/>
          <w:szCs w:val="20"/>
        </w:rPr>
        <w:t xml:space="preserve">L’évaluateur leader a pour tâche la supervision technique et la coordination de l’ensemble des contributions des autres consultants à l’exercice. Il fait donc établir le </w:t>
      </w:r>
      <w:r w:rsidR="00851695" w:rsidRPr="00C62547">
        <w:rPr>
          <w:rFonts w:ascii="Times New Roman" w:hAnsi="Times New Roman" w:cs="Times New Roman"/>
          <w:sz w:val="20"/>
          <w:szCs w:val="20"/>
        </w:rPr>
        <w:t>calendrier</w:t>
      </w:r>
      <w:r w:rsidRPr="00C62547">
        <w:rPr>
          <w:rFonts w:ascii="Times New Roman" w:hAnsi="Times New Roman" w:cs="Times New Roman"/>
          <w:sz w:val="20"/>
          <w:szCs w:val="20"/>
        </w:rPr>
        <w:t xml:space="preserve"> des diverses opérations, la méthodologie du travail, organise les réunions pour la mise en cohérence des contributions, coordonne l’élaboration de tous les rapports </w:t>
      </w:r>
      <w:r w:rsidR="003A26D0" w:rsidRPr="00C62547">
        <w:rPr>
          <w:rFonts w:ascii="Times New Roman" w:hAnsi="Times New Roman" w:cs="Times New Roman"/>
          <w:sz w:val="20"/>
          <w:szCs w:val="20"/>
        </w:rPr>
        <w:t xml:space="preserve">(selon le format recommandé dans le manuel du suivi et de l’évaluation </w:t>
      </w:r>
      <w:r w:rsidRPr="00C62547">
        <w:rPr>
          <w:rFonts w:ascii="Times New Roman" w:hAnsi="Times New Roman" w:cs="Times New Roman"/>
          <w:sz w:val="20"/>
          <w:szCs w:val="20"/>
        </w:rPr>
        <w:t xml:space="preserve">et en assure la présentation pour la validation par les parties prenantes. </w:t>
      </w:r>
    </w:p>
    <w:p w:rsidR="008A40CF" w:rsidRDefault="008A40CF" w:rsidP="00F4186E">
      <w:pPr>
        <w:spacing w:after="0" w:line="312" w:lineRule="auto"/>
        <w:jc w:val="both"/>
        <w:rPr>
          <w:rFonts w:eastAsia="Times New Roman" w:cs="Times New Roman"/>
          <w:b/>
          <w:bCs/>
          <w:color w:val="333333"/>
          <w:sz w:val="24"/>
        </w:rPr>
      </w:pPr>
      <w:r w:rsidRPr="008A40CF">
        <w:rPr>
          <w:rFonts w:eastAsia="Times New Roman" w:cs="Times New Roman"/>
          <w:b/>
          <w:bCs/>
          <w:color w:val="333333"/>
          <w:sz w:val="24"/>
        </w:rPr>
        <w:t>Les évaluateurs internationaux</w:t>
      </w:r>
    </w:p>
    <w:p w:rsidR="008A40CF" w:rsidRPr="00C62547" w:rsidRDefault="008A40CF" w:rsidP="00C62547">
      <w:pPr>
        <w:spacing w:before="100" w:beforeAutospacing="1" w:after="100" w:afterAutospacing="1" w:line="312" w:lineRule="auto"/>
        <w:jc w:val="both"/>
        <w:rPr>
          <w:rFonts w:ascii="Times New Roman" w:hAnsi="Times New Roman" w:cs="Times New Roman"/>
          <w:sz w:val="20"/>
          <w:szCs w:val="20"/>
        </w:rPr>
      </w:pPr>
      <w:r w:rsidRPr="00C62547">
        <w:rPr>
          <w:rFonts w:ascii="Times New Roman" w:hAnsi="Times New Roman" w:cs="Times New Roman"/>
          <w:sz w:val="20"/>
          <w:szCs w:val="20"/>
        </w:rPr>
        <w:t xml:space="preserve">Sur la base du calendrier et de la méthodologie de travail adoptée </w:t>
      </w:r>
      <w:r w:rsidR="003A26D0" w:rsidRPr="00C62547">
        <w:rPr>
          <w:rFonts w:ascii="Times New Roman" w:hAnsi="Times New Roman" w:cs="Times New Roman"/>
          <w:sz w:val="20"/>
          <w:szCs w:val="20"/>
        </w:rPr>
        <w:t xml:space="preserve">sous la supervision directe et dans le cadre des réunions adoptées à cette fin, les évaluateurs sont spécifiquement chargés, chacun dans son domaine respectif, de l’exécution des opérations planifiés, à savoir la collecte des données, leur analyse, la formulation de proposition des recommandations et des options stratégiques en guise de préoccupations soulevées par les bénéficiaires et autres parties prenantes. Ils présenteront chacun un rapport sectoriel à mettre en cohérence et consolidé par l’évaluateur leader. Ils participeront au processus d’approbation du rapport </w:t>
      </w:r>
      <w:r w:rsidR="00E05F31" w:rsidRPr="00C62547">
        <w:rPr>
          <w:rFonts w:ascii="Times New Roman" w:hAnsi="Times New Roman" w:cs="Times New Roman"/>
          <w:sz w:val="20"/>
          <w:szCs w:val="20"/>
        </w:rPr>
        <w:t>final pour</w:t>
      </w:r>
      <w:r w:rsidR="003A26D0" w:rsidRPr="00C62547">
        <w:rPr>
          <w:rFonts w:ascii="Times New Roman" w:hAnsi="Times New Roman" w:cs="Times New Roman"/>
          <w:sz w:val="20"/>
          <w:szCs w:val="20"/>
        </w:rPr>
        <w:t xml:space="preserve"> les compléments d’information.   </w:t>
      </w:r>
    </w:p>
    <w:p w:rsidR="008A40CF" w:rsidRDefault="008A40CF" w:rsidP="00F4186E">
      <w:pPr>
        <w:spacing w:after="0" w:line="312" w:lineRule="auto"/>
        <w:jc w:val="both"/>
        <w:rPr>
          <w:rFonts w:eastAsia="Times New Roman" w:cs="Times New Roman"/>
          <w:b/>
          <w:bCs/>
          <w:color w:val="333333"/>
          <w:sz w:val="24"/>
        </w:rPr>
      </w:pPr>
      <w:r w:rsidRPr="008A40CF">
        <w:rPr>
          <w:rFonts w:eastAsia="Times New Roman" w:cs="Times New Roman"/>
          <w:b/>
          <w:bCs/>
          <w:color w:val="333333"/>
          <w:sz w:val="24"/>
        </w:rPr>
        <w:t xml:space="preserve">Les évaluateurs nationaux  </w:t>
      </w:r>
    </w:p>
    <w:p w:rsidR="003A26D0" w:rsidRPr="00C62547" w:rsidRDefault="003A26D0" w:rsidP="00C62547">
      <w:pPr>
        <w:spacing w:before="100" w:beforeAutospacing="1" w:after="100" w:afterAutospacing="1" w:line="312" w:lineRule="auto"/>
        <w:jc w:val="both"/>
        <w:rPr>
          <w:rFonts w:ascii="Times New Roman" w:hAnsi="Times New Roman" w:cs="Times New Roman"/>
          <w:sz w:val="20"/>
          <w:szCs w:val="20"/>
        </w:rPr>
      </w:pPr>
      <w:r w:rsidRPr="00C62547">
        <w:rPr>
          <w:rFonts w:ascii="Times New Roman" w:hAnsi="Times New Roman" w:cs="Times New Roman"/>
          <w:sz w:val="20"/>
          <w:szCs w:val="20"/>
        </w:rPr>
        <w:t xml:space="preserve">Chacun des évaluateurs nationaux, en plus de sa contribution </w:t>
      </w:r>
      <w:r w:rsidR="00044237" w:rsidRPr="00C62547">
        <w:rPr>
          <w:rFonts w:ascii="Times New Roman" w:hAnsi="Times New Roman" w:cs="Times New Roman"/>
          <w:sz w:val="20"/>
          <w:szCs w:val="20"/>
        </w:rPr>
        <w:t xml:space="preserve">à la fourniture de la documentation, à la facilitation des contacts avec les personnes ressources clés (partenaires de mise en œuvre et bénéficiaires) tant à Bangui que dans les zones décentralisées des programmes et l’alimentation des analyses doit concourir à l’élaboration des rapports en veillant sur le respect des normes de qualités, la pertinence des analyses par rapport au contexte,  aux réalités et aux préoccupations des bénéficiaires des interventions. </w:t>
      </w:r>
    </w:p>
    <w:p w:rsidR="00044237" w:rsidRDefault="00044237" w:rsidP="00F4186E">
      <w:pPr>
        <w:spacing w:after="0" w:line="312" w:lineRule="auto"/>
        <w:jc w:val="both"/>
        <w:rPr>
          <w:rFonts w:eastAsia="Times New Roman" w:cs="Times New Roman"/>
          <w:b/>
          <w:bCs/>
          <w:color w:val="333333"/>
          <w:sz w:val="24"/>
        </w:rPr>
      </w:pPr>
      <w:r w:rsidRPr="00044237">
        <w:rPr>
          <w:rFonts w:eastAsia="Times New Roman" w:cs="Times New Roman"/>
          <w:b/>
          <w:bCs/>
          <w:color w:val="333333"/>
          <w:sz w:val="24"/>
        </w:rPr>
        <w:t xml:space="preserve">Profil des évaluateurs </w:t>
      </w:r>
    </w:p>
    <w:p w:rsidR="00E05F31" w:rsidRPr="00044237" w:rsidRDefault="00E05F31" w:rsidP="00F4186E">
      <w:pPr>
        <w:spacing w:after="0" w:line="312" w:lineRule="auto"/>
        <w:jc w:val="both"/>
        <w:rPr>
          <w:rFonts w:eastAsia="Times New Roman" w:cs="Times New Roman"/>
          <w:b/>
          <w:bCs/>
          <w:color w:val="333333"/>
          <w:sz w:val="24"/>
        </w:rPr>
      </w:pPr>
    </w:p>
    <w:p w:rsidR="007B27A0" w:rsidRPr="00AD3EBF" w:rsidRDefault="007B27A0" w:rsidP="00AD3EBF">
      <w:p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Afin de couvrir l’ensemble des composantes du programme le profil </w:t>
      </w:r>
      <w:r w:rsidR="00E05F31" w:rsidRPr="00AD3EBF">
        <w:rPr>
          <w:rFonts w:ascii="Times New Roman" w:hAnsi="Times New Roman" w:cs="Times New Roman"/>
          <w:sz w:val="20"/>
          <w:szCs w:val="20"/>
        </w:rPr>
        <w:t>des évaluateurs</w:t>
      </w:r>
      <w:r w:rsidRPr="00AD3EBF">
        <w:rPr>
          <w:rFonts w:ascii="Times New Roman" w:hAnsi="Times New Roman" w:cs="Times New Roman"/>
          <w:sz w:val="20"/>
          <w:szCs w:val="20"/>
        </w:rPr>
        <w:t xml:space="preserve"> est établi </w:t>
      </w:r>
      <w:r w:rsidR="00EA19A4" w:rsidRPr="00AD3EBF">
        <w:rPr>
          <w:rFonts w:ascii="Times New Roman" w:hAnsi="Times New Roman" w:cs="Times New Roman"/>
          <w:sz w:val="20"/>
          <w:szCs w:val="20"/>
        </w:rPr>
        <w:t>ainsi qu’il</w:t>
      </w:r>
      <w:r w:rsidRPr="00AD3EBF">
        <w:rPr>
          <w:rFonts w:ascii="Times New Roman" w:hAnsi="Times New Roman" w:cs="Times New Roman"/>
          <w:sz w:val="20"/>
          <w:szCs w:val="20"/>
        </w:rPr>
        <w:t xml:space="preserve"> suit ;</w:t>
      </w:r>
    </w:p>
    <w:p w:rsidR="007B27A0" w:rsidRPr="00AD3EBF" w:rsidRDefault="00AD3EBF" w:rsidP="00AD3EBF">
      <w:pPr>
        <w:pStyle w:val="Paragraphedeliste"/>
        <w:numPr>
          <w:ilvl w:val="0"/>
          <w:numId w:val="26"/>
        </w:numPr>
        <w:spacing w:before="100" w:beforeAutospacing="1" w:after="100" w:afterAutospacing="1" w:line="312" w:lineRule="auto"/>
        <w:jc w:val="both"/>
        <w:rPr>
          <w:rFonts w:ascii="Times New Roman" w:hAnsi="Times New Roman" w:cs="Times New Roman"/>
          <w:i/>
          <w:sz w:val="20"/>
          <w:szCs w:val="20"/>
        </w:rPr>
      </w:pPr>
      <w:r w:rsidRPr="00AD3EBF">
        <w:rPr>
          <w:rFonts w:ascii="Times New Roman" w:hAnsi="Times New Roman" w:cs="Times New Roman"/>
          <w:i/>
          <w:sz w:val="20"/>
          <w:szCs w:val="20"/>
        </w:rPr>
        <w:t>Programme d’appui au relèvement et à la stabilisat</w:t>
      </w:r>
      <w:r>
        <w:rPr>
          <w:rFonts w:ascii="Times New Roman" w:hAnsi="Times New Roman" w:cs="Times New Roman"/>
          <w:i/>
          <w:sz w:val="20"/>
          <w:szCs w:val="20"/>
        </w:rPr>
        <w:t>ion des communautés « PRESCO » :</w:t>
      </w:r>
    </w:p>
    <w:p w:rsidR="00AD3EBF" w:rsidRPr="00AD3EBF" w:rsidRDefault="00AD3EBF"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Être titulaire d’au moins BAC plus cinq en droits, sciences sociales, sciences économiques ;</w:t>
      </w:r>
    </w:p>
    <w:p w:rsidR="007B27A0" w:rsidRPr="00AD3EBF" w:rsidRDefault="007B27A0"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lastRenderedPageBreak/>
        <w:t>Avoir conduit au moins cinq processus d’évaluation de programme dans d’autres pays</w:t>
      </w:r>
      <w:r w:rsidR="00E6127E">
        <w:rPr>
          <w:rFonts w:ascii="Times New Roman" w:hAnsi="Times New Roman" w:cs="Times New Roman"/>
          <w:sz w:val="20"/>
          <w:szCs w:val="20"/>
        </w:rPr>
        <w:t>, en particulier les pays en crise</w:t>
      </w:r>
    </w:p>
    <w:p w:rsidR="007B27A0" w:rsidRPr="00AD3EBF" w:rsidRDefault="007B27A0"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Documenter les expériences par la production des rapports y </w:t>
      </w:r>
      <w:r w:rsidR="00B63AF1" w:rsidRPr="00AD3EBF">
        <w:rPr>
          <w:rFonts w:ascii="Times New Roman" w:hAnsi="Times New Roman" w:cs="Times New Roman"/>
          <w:sz w:val="20"/>
          <w:szCs w:val="20"/>
        </w:rPr>
        <w:t>afférant</w:t>
      </w:r>
    </w:p>
    <w:p w:rsidR="007B27A0" w:rsidRPr="00AD3EBF" w:rsidRDefault="00CD4E7F"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Avoir une bonne connaissance du manuel de suivi et de l’évaluation du PNUD et des outils </w:t>
      </w:r>
      <w:r w:rsidR="00B63AF1" w:rsidRPr="00AD3EBF">
        <w:rPr>
          <w:rFonts w:ascii="Times New Roman" w:hAnsi="Times New Roman" w:cs="Times New Roman"/>
          <w:sz w:val="20"/>
          <w:szCs w:val="20"/>
        </w:rPr>
        <w:t xml:space="preserve">de l’évaluation </w:t>
      </w:r>
    </w:p>
    <w:p w:rsidR="00AD3EBF" w:rsidRDefault="00AD3EBF" w:rsidP="00E6127E">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Pr>
          <w:rFonts w:ascii="Times New Roman" w:hAnsi="Times New Roman" w:cs="Times New Roman"/>
          <w:sz w:val="20"/>
          <w:szCs w:val="20"/>
        </w:rPr>
        <w:t>Avoir une b</w:t>
      </w:r>
      <w:r w:rsidR="00B63AF1" w:rsidRPr="00AD3EBF">
        <w:rPr>
          <w:rFonts w:ascii="Times New Roman" w:hAnsi="Times New Roman" w:cs="Times New Roman"/>
          <w:sz w:val="20"/>
          <w:szCs w:val="20"/>
        </w:rPr>
        <w:t>onne maîtrise des outils informatiques (traitement de texte, tableur et gestion de base de données etc</w:t>
      </w:r>
      <w:r w:rsidRPr="00AD3EBF">
        <w:rPr>
          <w:rFonts w:ascii="Times New Roman" w:hAnsi="Times New Roman" w:cs="Times New Roman"/>
          <w:sz w:val="20"/>
          <w:szCs w:val="20"/>
        </w:rPr>
        <w:t xml:space="preserve"> </w:t>
      </w:r>
    </w:p>
    <w:p w:rsidR="00E6127E" w:rsidRPr="00AD3EBF" w:rsidRDefault="00E6127E" w:rsidP="00E6127E">
      <w:pPr>
        <w:pStyle w:val="Paragraphedeliste"/>
        <w:spacing w:before="100" w:beforeAutospacing="1" w:after="100" w:afterAutospacing="1" w:line="312" w:lineRule="auto"/>
        <w:jc w:val="both"/>
        <w:rPr>
          <w:rFonts w:ascii="Times New Roman" w:hAnsi="Times New Roman" w:cs="Times New Roman"/>
          <w:sz w:val="20"/>
          <w:szCs w:val="20"/>
        </w:rPr>
      </w:pPr>
    </w:p>
    <w:p w:rsidR="00851695" w:rsidRPr="00AD3EBF" w:rsidRDefault="00AD3EBF" w:rsidP="00AD3EBF">
      <w:pPr>
        <w:pStyle w:val="Paragraphedeliste"/>
        <w:numPr>
          <w:ilvl w:val="0"/>
          <w:numId w:val="26"/>
        </w:numPr>
        <w:spacing w:before="100" w:beforeAutospacing="1" w:after="100" w:afterAutospacing="1" w:line="312" w:lineRule="auto"/>
        <w:jc w:val="both"/>
        <w:rPr>
          <w:rFonts w:ascii="Times New Roman" w:hAnsi="Times New Roman" w:cs="Times New Roman"/>
          <w:i/>
          <w:sz w:val="20"/>
          <w:szCs w:val="20"/>
        </w:rPr>
      </w:pPr>
      <w:r w:rsidRPr="00AD3EBF">
        <w:rPr>
          <w:rFonts w:ascii="Times New Roman" w:hAnsi="Times New Roman" w:cs="Times New Roman"/>
          <w:i/>
          <w:sz w:val="20"/>
          <w:szCs w:val="20"/>
        </w:rPr>
        <w:t>Programme d’</w:t>
      </w:r>
      <w:r w:rsidRPr="00AD3EBF">
        <w:rPr>
          <w:rFonts w:ascii="Times New Roman" w:hAnsi="Times New Roman" w:cs="Times New Roman"/>
          <w:i/>
          <w:sz w:val="20"/>
          <w:szCs w:val="20"/>
        </w:rPr>
        <w:t>appui à la transition en Centrafrique « PACIT ».</w:t>
      </w:r>
      <w:r w:rsidRPr="00AD3EBF">
        <w:rPr>
          <w:rFonts w:ascii="Times New Roman" w:hAnsi="Times New Roman" w:cs="Times New Roman"/>
          <w:i/>
          <w:sz w:val="20"/>
          <w:szCs w:val="20"/>
        </w:rPr>
        <w:t> :</w:t>
      </w:r>
    </w:p>
    <w:p w:rsidR="00B63AF1" w:rsidRPr="00AD3EBF" w:rsidRDefault="00B63AF1"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Être titulaire d’au moins BAC plus cinq en droits, sciences sociales, sciences </w:t>
      </w:r>
      <w:r w:rsidR="00E05F31" w:rsidRPr="00AD3EBF">
        <w:rPr>
          <w:rFonts w:ascii="Times New Roman" w:hAnsi="Times New Roman" w:cs="Times New Roman"/>
          <w:sz w:val="20"/>
          <w:szCs w:val="20"/>
        </w:rPr>
        <w:t>économiques ;</w:t>
      </w:r>
    </w:p>
    <w:p w:rsidR="00B63AF1" w:rsidRPr="00E6127E" w:rsidRDefault="00B63AF1" w:rsidP="00E6127E">
      <w:pPr>
        <w:pStyle w:val="Paragraphedeliste"/>
        <w:numPr>
          <w:ilvl w:val="0"/>
          <w:numId w:val="27"/>
        </w:numPr>
        <w:rPr>
          <w:rFonts w:ascii="Times New Roman" w:hAnsi="Times New Roman" w:cs="Times New Roman"/>
          <w:sz w:val="20"/>
          <w:szCs w:val="20"/>
        </w:rPr>
      </w:pPr>
      <w:r w:rsidRPr="00E6127E">
        <w:rPr>
          <w:rFonts w:ascii="Times New Roman" w:hAnsi="Times New Roman" w:cs="Times New Roman"/>
          <w:sz w:val="20"/>
          <w:szCs w:val="20"/>
        </w:rPr>
        <w:t>Avoir conduit au moins cinq processus d’évaluation de programme dans d’autres pays</w:t>
      </w:r>
      <w:r w:rsidR="00E6127E">
        <w:rPr>
          <w:rFonts w:ascii="Times New Roman" w:hAnsi="Times New Roman" w:cs="Times New Roman"/>
          <w:sz w:val="20"/>
          <w:szCs w:val="20"/>
        </w:rPr>
        <w:t>,</w:t>
      </w:r>
      <w:r w:rsidR="00E6127E" w:rsidRPr="00E6127E">
        <w:t xml:space="preserve"> </w:t>
      </w:r>
      <w:r w:rsidR="00E6127E" w:rsidRPr="00E6127E">
        <w:rPr>
          <w:rFonts w:ascii="Times New Roman" w:hAnsi="Times New Roman" w:cs="Times New Roman"/>
          <w:sz w:val="20"/>
          <w:szCs w:val="20"/>
        </w:rPr>
        <w:t>en particulier les pays en crise</w:t>
      </w:r>
    </w:p>
    <w:p w:rsidR="00B63AF1" w:rsidRPr="00AD3EBF" w:rsidRDefault="00B63AF1"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Documenter les expériences par la production des rapports y afférant</w:t>
      </w:r>
    </w:p>
    <w:p w:rsidR="00B63AF1" w:rsidRPr="00AD3EBF" w:rsidRDefault="00B63AF1"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Avoir une bonne connaissance du manuel de suivi et de l’évaluation du PNUD et des outils de l’évaluation </w:t>
      </w:r>
    </w:p>
    <w:p w:rsidR="00B63AF1" w:rsidRDefault="00AD3EBF" w:rsidP="00AD3EBF">
      <w:pPr>
        <w:pStyle w:val="Paragraphedeliste"/>
        <w:numPr>
          <w:ilvl w:val="0"/>
          <w:numId w:val="27"/>
        </w:numPr>
        <w:spacing w:before="100" w:beforeAutospacing="1" w:after="100" w:afterAutospacing="1" w:line="312" w:lineRule="auto"/>
        <w:jc w:val="both"/>
        <w:rPr>
          <w:rFonts w:ascii="Times New Roman" w:hAnsi="Times New Roman" w:cs="Times New Roman"/>
          <w:sz w:val="20"/>
          <w:szCs w:val="20"/>
        </w:rPr>
      </w:pPr>
      <w:r w:rsidRPr="00AD3EBF">
        <w:rPr>
          <w:rFonts w:ascii="Times New Roman" w:hAnsi="Times New Roman" w:cs="Times New Roman"/>
          <w:sz w:val="20"/>
          <w:szCs w:val="20"/>
        </w:rPr>
        <w:t xml:space="preserve">Avoir une </w:t>
      </w:r>
      <w:r>
        <w:rPr>
          <w:rFonts w:ascii="Times New Roman" w:hAnsi="Times New Roman" w:cs="Times New Roman"/>
          <w:sz w:val="20"/>
          <w:szCs w:val="20"/>
        </w:rPr>
        <w:t>b</w:t>
      </w:r>
      <w:r w:rsidR="00B63AF1" w:rsidRPr="00AD3EBF">
        <w:rPr>
          <w:rFonts w:ascii="Times New Roman" w:hAnsi="Times New Roman" w:cs="Times New Roman"/>
          <w:sz w:val="20"/>
          <w:szCs w:val="20"/>
        </w:rPr>
        <w:t xml:space="preserve">onne maîtrise des outils informatiques (traitement de texte, tableur et gestion de base de données </w:t>
      </w:r>
      <w:r w:rsidR="00E05F31" w:rsidRPr="00AD3EBF">
        <w:rPr>
          <w:rFonts w:ascii="Times New Roman" w:hAnsi="Times New Roman" w:cs="Times New Roman"/>
          <w:sz w:val="20"/>
          <w:szCs w:val="20"/>
        </w:rPr>
        <w:t>etc.</w:t>
      </w:r>
    </w:p>
    <w:p w:rsidR="009363BE" w:rsidRPr="00D2241C" w:rsidRDefault="00F4186E" w:rsidP="00F4186E">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t>9</w:t>
      </w:r>
      <w:r w:rsidR="009363BE" w:rsidRPr="00D2241C">
        <w:rPr>
          <w:rFonts w:eastAsia="Times New Roman" w:cs="Times New Roman"/>
          <w:b/>
          <w:color w:val="003399"/>
          <w:sz w:val="28"/>
          <w:szCs w:val="28"/>
        </w:rPr>
        <w:t>. Ethique d’évaluation</w:t>
      </w:r>
    </w:p>
    <w:p w:rsidR="009363BE" w:rsidRPr="007C6C06" w:rsidRDefault="009363BE" w:rsidP="00B563D4">
      <w:pPr>
        <w:spacing w:before="100" w:beforeAutospacing="1" w:after="100" w:afterAutospacing="1" w:line="312" w:lineRule="auto"/>
        <w:jc w:val="both"/>
        <w:rPr>
          <w:rFonts w:eastAsia="Times New Roman" w:cs="Times New Roman"/>
          <w:bCs/>
          <w:color w:val="333333"/>
          <w:sz w:val="20"/>
        </w:rPr>
      </w:pPr>
      <w:r w:rsidRPr="00E6127E">
        <w:rPr>
          <w:rFonts w:ascii="Times New Roman" w:hAnsi="Times New Roman" w:cs="Times New Roman"/>
          <w:sz w:val="20"/>
          <w:szCs w:val="20"/>
        </w:rPr>
        <w:t xml:space="preserve">Les </w:t>
      </w:r>
      <w:r w:rsidR="007F6278" w:rsidRPr="00E6127E">
        <w:rPr>
          <w:rFonts w:ascii="Times New Roman" w:hAnsi="Times New Roman" w:cs="Times New Roman"/>
          <w:sz w:val="20"/>
          <w:szCs w:val="20"/>
        </w:rPr>
        <w:t xml:space="preserve">évaluateurs devront se </w:t>
      </w:r>
      <w:r w:rsidR="00E05F31" w:rsidRPr="00E6127E">
        <w:rPr>
          <w:rFonts w:ascii="Times New Roman" w:hAnsi="Times New Roman" w:cs="Times New Roman"/>
          <w:sz w:val="20"/>
          <w:szCs w:val="20"/>
        </w:rPr>
        <w:t>référer, dans</w:t>
      </w:r>
      <w:r w:rsidR="007F6278" w:rsidRPr="00E6127E">
        <w:rPr>
          <w:rFonts w:ascii="Times New Roman" w:hAnsi="Times New Roman" w:cs="Times New Roman"/>
          <w:sz w:val="20"/>
          <w:szCs w:val="20"/>
        </w:rPr>
        <w:t xml:space="preserve"> l’exercice de leur</w:t>
      </w:r>
      <w:r w:rsidR="003C07CA" w:rsidRPr="00E6127E">
        <w:rPr>
          <w:rFonts w:ascii="Times New Roman" w:hAnsi="Times New Roman" w:cs="Times New Roman"/>
          <w:sz w:val="20"/>
          <w:szCs w:val="20"/>
        </w:rPr>
        <w:t>s</w:t>
      </w:r>
      <w:r w:rsidR="007F6278" w:rsidRPr="00E6127E">
        <w:rPr>
          <w:rFonts w:ascii="Times New Roman" w:hAnsi="Times New Roman" w:cs="Times New Roman"/>
          <w:sz w:val="20"/>
          <w:szCs w:val="20"/>
        </w:rPr>
        <w:t xml:space="preserve"> </w:t>
      </w:r>
      <w:r w:rsidR="00E05F31" w:rsidRPr="00E6127E">
        <w:rPr>
          <w:rFonts w:ascii="Times New Roman" w:hAnsi="Times New Roman" w:cs="Times New Roman"/>
          <w:sz w:val="20"/>
          <w:szCs w:val="20"/>
        </w:rPr>
        <w:t>missions, aux</w:t>
      </w:r>
      <w:r w:rsidRPr="00E6127E">
        <w:rPr>
          <w:rFonts w:ascii="Times New Roman" w:hAnsi="Times New Roman" w:cs="Times New Roman"/>
          <w:sz w:val="20"/>
          <w:szCs w:val="20"/>
        </w:rPr>
        <w:t xml:space="preserve"> principes</w:t>
      </w:r>
      <w:r w:rsidR="003C07CA" w:rsidRPr="00E6127E">
        <w:rPr>
          <w:rFonts w:ascii="Times New Roman" w:hAnsi="Times New Roman" w:cs="Times New Roman"/>
          <w:sz w:val="20"/>
          <w:szCs w:val="20"/>
        </w:rPr>
        <w:t xml:space="preserve">, à l’éthique et aux procédures de </w:t>
      </w:r>
      <w:r w:rsidR="00E05F31" w:rsidRPr="00E6127E">
        <w:rPr>
          <w:rFonts w:ascii="Times New Roman" w:hAnsi="Times New Roman" w:cs="Times New Roman"/>
          <w:sz w:val="20"/>
          <w:szCs w:val="20"/>
        </w:rPr>
        <w:t>l’évaluation énoncés dans</w:t>
      </w:r>
      <w:r w:rsidRPr="00E6127E">
        <w:rPr>
          <w:rFonts w:ascii="Times New Roman" w:hAnsi="Times New Roman" w:cs="Times New Roman"/>
          <w:sz w:val="20"/>
          <w:szCs w:val="20"/>
        </w:rPr>
        <w:t xml:space="preserve"> les « Directives éthiques pour l’évaluation »</w:t>
      </w:r>
      <w:r w:rsidR="003C07CA" w:rsidRPr="00E6127E">
        <w:rPr>
          <w:rFonts w:ascii="Times New Roman" w:hAnsi="Times New Roman" w:cs="Times New Roman"/>
          <w:sz w:val="20"/>
          <w:szCs w:val="20"/>
        </w:rPr>
        <w:t xml:space="preserve"> de l’UNEG. La connaissance de ces dispositifs est indispensable pour </w:t>
      </w:r>
      <w:r w:rsidRPr="00E6127E">
        <w:rPr>
          <w:rFonts w:ascii="Times New Roman" w:hAnsi="Times New Roman" w:cs="Times New Roman"/>
          <w:sz w:val="20"/>
          <w:szCs w:val="20"/>
        </w:rPr>
        <w:t>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w:t>
      </w:r>
      <w:r w:rsidRPr="007C6C06">
        <w:rPr>
          <w:rFonts w:eastAsia="Times New Roman" w:cs="Times New Roman"/>
          <w:bCs/>
          <w:color w:val="333333"/>
          <w:sz w:val="20"/>
        </w:rPr>
        <w:t>.</w:t>
      </w:r>
    </w:p>
    <w:p w:rsidR="009363BE" w:rsidRPr="00D2241C" w:rsidRDefault="00F4186E" w:rsidP="00F4186E">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t>10</w:t>
      </w:r>
      <w:r w:rsidR="009363BE" w:rsidRPr="00D2241C">
        <w:rPr>
          <w:rFonts w:eastAsia="Times New Roman" w:cs="Times New Roman"/>
          <w:b/>
          <w:color w:val="003399"/>
          <w:sz w:val="28"/>
          <w:szCs w:val="28"/>
        </w:rPr>
        <w:t xml:space="preserve">. Modalités d’exécution </w:t>
      </w:r>
    </w:p>
    <w:p w:rsidR="003C07CA" w:rsidRPr="00E6127E" w:rsidRDefault="003C07CA" w:rsidP="00B563D4">
      <w:pPr>
        <w:spacing w:before="100" w:beforeAutospacing="1" w:after="100" w:afterAutospacing="1" w:line="312" w:lineRule="auto"/>
        <w:jc w:val="both"/>
        <w:rPr>
          <w:rFonts w:ascii="Times New Roman" w:hAnsi="Times New Roman" w:cs="Times New Roman"/>
          <w:sz w:val="20"/>
          <w:szCs w:val="20"/>
        </w:rPr>
      </w:pPr>
      <w:r w:rsidRPr="00E6127E">
        <w:rPr>
          <w:rFonts w:ascii="Times New Roman" w:hAnsi="Times New Roman" w:cs="Times New Roman"/>
          <w:sz w:val="20"/>
          <w:szCs w:val="20"/>
        </w:rPr>
        <w:t>Pour faciliter le processus d’évaluation la répartition des rôles et des responsabilités des différents intervenants est établie ainsi qu’il suit :</w:t>
      </w:r>
    </w:p>
    <w:p w:rsidR="003C07CA" w:rsidRPr="004136B3" w:rsidRDefault="003C07CA" w:rsidP="00B563D4">
      <w:pPr>
        <w:spacing w:before="100" w:beforeAutospacing="1" w:after="100" w:afterAutospacing="1" w:line="312" w:lineRule="auto"/>
        <w:jc w:val="both"/>
        <w:rPr>
          <w:rFonts w:eastAsia="Times New Roman" w:cs="Times New Roman"/>
          <w:b/>
          <w:bCs/>
          <w:color w:val="333333"/>
        </w:rPr>
      </w:pPr>
      <w:r w:rsidRPr="004136B3">
        <w:rPr>
          <w:rFonts w:eastAsia="Times New Roman" w:cs="Times New Roman"/>
          <w:b/>
          <w:bCs/>
          <w:color w:val="333333"/>
        </w:rPr>
        <w:t>Equipe des évaluateurs</w:t>
      </w:r>
    </w:p>
    <w:p w:rsidR="004136B3" w:rsidRPr="00E6127E" w:rsidRDefault="004136B3" w:rsidP="00B563D4">
      <w:pPr>
        <w:spacing w:before="100" w:beforeAutospacing="1" w:after="100" w:afterAutospacing="1" w:line="312" w:lineRule="auto"/>
        <w:jc w:val="both"/>
        <w:rPr>
          <w:rFonts w:ascii="Times New Roman" w:hAnsi="Times New Roman" w:cs="Times New Roman"/>
          <w:sz w:val="20"/>
          <w:szCs w:val="20"/>
        </w:rPr>
      </w:pPr>
      <w:r w:rsidRPr="00E6127E">
        <w:rPr>
          <w:rFonts w:ascii="Times New Roman" w:hAnsi="Times New Roman" w:cs="Times New Roman"/>
          <w:sz w:val="20"/>
          <w:szCs w:val="20"/>
        </w:rPr>
        <w:t xml:space="preserve">L’équipe d’évaluateur a pour rôle la conduite de l’opération de l’évaluation. Ceci prend en compte la planification des activités, leur exécution </w:t>
      </w:r>
      <w:r w:rsidR="00E05F31" w:rsidRPr="00E6127E">
        <w:rPr>
          <w:rFonts w:ascii="Times New Roman" w:hAnsi="Times New Roman" w:cs="Times New Roman"/>
          <w:sz w:val="20"/>
          <w:szCs w:val="20"/>
        </w:rPr>
        <w:t>en termes de</w:t>
      </w:r>
      <w:r w:rsidRPr="00E6127E">
        <w:rPr>
          <w:rFonts w:ascii="Times New Roman" w:hAnsi="Times New Roman" w:cs="Times New Roman"/>
          <w:sz w:val="20"/>
          <w:szCs w:val="20"/>
        </w:rPr>
        <w:t xml:space="preserve"> collecte des données (interviews, </w:t>
      </w:r>
      <w:r w:rsidR="00906822" w:rsidRPr="00E6127E">
        <w:rPr>
          <w:rFonts w:ascii="Times New Roman" w:hAnsi="Times New Roman" w:cs="Times New Roman"/>
          <w:sz w:val="20"/>
          <w:szCs w:val="20"/>
        </w:rPr>
        <w:t>enquête</w:t>
      </w:r>
      <w:r w:rsidRPr="00E6127E">
        <w:rPr>
          <w:rFonts w:ascii="Times New Roman" w:hAnsi="Times New Roman" w:cs="Times New Roman"/>
          <w:sz w:val="20"/>
          <w:szCs w:val="20"/>
        </w:rPr>
        <w:t xml:space="preserve">, recherche documentaire, visite de terrain), analyse, formulation des options stratégiques et des recommandations, élaboration des rapports, présentation des rapports pour approbation, amendements des rapports conformément aux observations faites par les parties prenantes. Pour ce faire, chaque évaluateur devra se munir de son instrument de travail (ordinateur potable). L’équipe doit </w:t>
      </w:r>
      <w:r w:rsidR="00906822" w:rsidRPr="00E6127E">
        <w:rPr>
          <w:rFonts w:ascii="Times New Roman" w:hAnsi="Times New Roman" w:cs="Times New Roman"/>
          <w:sz w:val="20"/>
          <w:szCs w:val="20"/>
        </w:rPr>
        <w:t xml:space="preserve">utiliser les outils méthodologiques requis (modèle de la matrice de l’évaluation à intégrer dans le premier rapport de démarrage, modèle du rapport final, lecture du code de bonne conduite </w:t>
      </w:r>
      <w:r w:rsidR="00E05F31" w:rsidRPr="00E6127E">
        <w:rPr>
          <w:rFonts w:ascii="Times New Roman" w:hAnsi="Times New Roman" w:cs="Times New Roman"/>
          <w:sz w:val="20"/>
          <w:szCs w:val="20"/>
        </w:rPr>
        <w:t>etc.),</w:t>
      </w:r>
      <w:r w:rsidR="00906822" w:rsidRPr="00E6127E">
        <w:rPr>
          <w:rFonts w:ascii="Times New Roman" w:hAnsi="Times New Roman" w:cs="Times New Roman"/>
          <w:sz w:val="20"/>
          <w:szCs w:val="20"/>
        </w:rPr>
        <w:t xml:space="preserve"> </w:t>
      </w:r>
      <w:r w:rsidRPr="00E6127E">
        <w:rPr>
          <w:rFonts w:ascii="Times New Roman" w:hAnsi="Times New Roman" w:cs="Times New Roman"/>
          <w:sz w:val="20"/>
          <w:szCs w:val="20"/>
        </w:rPr>
        <w:t>fournir les produits atten</w:t>
      </w:r>
      <w:r w:rsidR="00906822" w:rsidRPr="00E6127E">
        <w:rPr>
          <w:rFonts w:ascii="Times New Roman" w:hAnsi="Times New Roman" w:cs="Times New Roman"/>
          <w:sz w:val="20"/>
          <w:szCs w:val="20"/>
        </w:rPr>
        <w:t>dus dans le respect des délais.</w:t>
      </w:r>
    </w:p>
    <w:p w:rsidR="003C07CA" w:rsidRPr="00AA2B56" w:rsidRDefault="003C07CA" w:rsidP="00AA2B56">
      <w:pPr>
        <w:spacing w:after="0" w:line="312" w:lineRule="auto"/>
        <w:jc w:val="both"/>
        <w:rPr>
          <w:rFonts w:eastAsia="Times New Roman" w:cs="Times New Roman"/>
          <w:b/>
          <w:bCs/>
          <w:color w:val="333333"/>
        </w:rPr>
      </w:pPr>
      <w:r w:rsidRPr="00AA2B56">
        <w:rPr>
          <w:rFonts w:eastAsia="Times New Roman" w:cs="Times New Roman"/>
          <w:b/>
          <w:bCs/>
          <w:color w:val="333333"/>
        </w:rPr>
        <w:t>Responsable</w:t>
      </w:r>
      <w:r w:rsidR="00FE1309">
        <w:rPr>
          <w:rFonts w:eastAsia="Times New Roman" w:cs="Times New Roman"/>
          <w:b/>
          <w:bCs/>
          <w:color w:val="333333"/>
        </w:rPr>
        <w:t>s</w:t>
      </w:r>
      <w:r w:rsidRPr="00AA2B56">
        <w:rPr>
          <w:rFonts w:eastAsia="Times New Roman" w:cs="Times New Roman"/>
          <w:b/>
          <w:bCs/>
          <w:color w:val="333333"/>
        </w:rPr>
        <w:t xml:space="preserve"> </w:t>
      </w:r>
      <w:r w:rsidR="004136B3" w:rsidRPr="00AA2B56">
        <w:rPr>
          <w:rFonts w:eastAsia="Times New Roman" w:cs="Times New Roman"/>
          <w:b/>
          <w:bCs/>
          <w:color w:val="333333"/>
        </w:rPr>
        <w:t>du processus de l’évaluation du programme au niveau du PNUD</w:t>
      </w:r>
    </w:p>
    <w:p w:rsidR="00AA2B56" w:rsidRPr="00E6127E" w:rsidRDefault="00AA2B56" w:rsidP="00E6127E">
      <w:pPr>
        <w:spacing w:before="100" w:beforeAutospacing="1" w:after="100" w:afterAutospacing="1" w:line="312" w:lineRule="auto"/>
        <w:jc w:val="both"/>
        <w:rPr>
          <w:rFonts w:ascii="Times New Roman" w:hAnsi="Times New Roman" w:cs="Times New Roman"/>
          <w:sz w:val="20"/>
          <w:szCs w:val="20"/>
        </w:rPr>
      </w:pPr>
      <w:r w:rsidRPr="00E6127E">
        <w:rPr>
          <w:rFonts w:ascii="Times New Roman" w:hAnsi="Times New Roman" w:cs="Times New Roman"/>
          <w:sz w:val="20"/>
          <w:szCs w:val="20"/>
        </w:rPr>
        <w:lastRenderedPageBreak/>
        <w:t xml:space="preserve">La supervision générale du processus est placée sous </w:t>
      </w:r>
      <w:r w:rsidR="00851695" w:rsidRPr="00E6127E">
        <w:rPr>
          <w:rFonts w:ascii="Times New Roman" w:hAnsi="Times New Roman" w:cs="Times New Roman"/>
          <w:sz w:val="20"/>
          <w:szCs w:val="20"/>
        </w:rPr>
        <w:t xml:space="preserve">l’égide de la </w:t>
      </w:r>
      <w:r w:rsidRPr="00E6127E">
        <w:rPr>
          <w:rFonts w:ascii="Times New Roman" w:hAnsi="Times New Roman" w:cs="Times New Roman"/>
          <w:sz w:val="20"/>
          <w:szCs w:val="20"/>
        </w:rPr>
        <w:t xml:space="preserve">direction </w:t>
      </w:r>
      <w:r w:rsidR="00FE1309" w:rsidRPr="00E6127E">
        <w:rPr>
          <w:rFonts w:ascii="Times New Roman" w:hAnsi="Times New Roman" w:cs="Times New Roman"/>
          <w:sz w:val="20"/>
          <w:szCs w:val="20"/>
        </w:rPr>
        <w:t xml:space="preserve">du </w:t>
      </w:r>
      <w:r w:rsidR="00851695" w:rsidRPr="00E6127E">
        <w:rPr>
          <w:rFonts w:ascii="Times New Roman" w:hAnsi="Times New Roman" w:cs="Times New Roman"/>
          <w:sz w:val="20"/>
          <w:szCs w:val="20"/>
        </w:rPr>
        <w:t xml:space="preserve">bureau qui </w:t>
      </w:r>
      <w:r w:rsidRPr="00E6127E">
        <w:rPr>
          <w:rFonts w:ascii="Times New Roman" w:hAnsi="Times New Roman" w:cs="Times New Roman"/>
          <w:sz w:val="20"/>
          <w:szCs w:val="20"/>
        </w:rPr>
        <w:t>fournit les orientations générales</w:t>
      </w:r>
      <w:r w:rsidR="00851695" w:rsidRPr="00E6127E">
        <w:rPr>
          <w:rFonts w:ascii="Times New Roman" w:hAnsi="Times New Roman" w:cs="Times New Roman"/>
          <w:sz w:val="20"/>
          <w:szCs w:val="20"/>
        </w:rPr>
        <w:t xml:space="preserve">, qui </w:t>
      </w:r>
      <w:r w:rsidRPr="00E6127E">
        <w:rPr>
          <w:rFonts w:ascii="Times New Roman" w:hAnsi="Times New Roman" w:cs="Times New Roman"/>
          <w:sz w:val="20"/>
          <w:szCs w:val="20"/>
        </w:rPr>
        <w:t>veille à la mise à la disponibilité des évaluateurs des facilités pouvant créer les conditions propices à l’exécution de leurs tâches</w:t>
      </w:r>
      <w:r w:rsidR="00851695" w:rsidRPr="00E6127E">
        <w:rPr>
          <w:rFonts w:ascii="Times New Roman" w:hAnsi="Times New Roman" w:cs="Times New Roman"/>
          <w:sz w:val="20"/>
          <w:szCs w:val="20"/>
        </w:rPr>
        <w:t>. Celle-ci</w:t>
      </w:r>
      <w:r w:rsidRPr="00E6127E">
        <w:rPr>
          <w:rFonts w:ascii="Times New Roman" w:hAnsi="Times New Roman" w:cs="Times New Roman"/>
          <w:sz w:val="20"/>
          <w:szCs w:val="20"/>
        </w:rPr>
        <w:t xml:space="preserve"> rappelle au début du lancement de l’exercice les </w:t>
      </w:r>
      <w:r w:rsidR="00851695" w:rsidRPr="00E6127E">
        <w:rPr>
          <w:rFonts w:ascii="Times New Roman" w:hAnsi="Times New Roman" w:cs="Times New Roman"/>
          <w:sz w:val="20"/>
          <w:szCs w:val="20"/>
        </w:rPr>
        <w:t>exigences</w:t>
      </w:r>
      <w:r w:rsidRPr="00E6127E">
        <w:rPr>
          <w:rFonts w:ascii="Times New Roman" w:hAnsi="Times New Roman" w:cs="Times New Roman"/>
          <w:sz w:val="20"/>
          <w:szCs w:val="20"/>
        </w:rPr>
        <w:t xml:space="preserve"> de l’éthique et des procédures contenues dans le manuel du suivi et évaluation ainsi que </w:t>
      </w:r>
      <w:r w:rsidR="00851695" w:rsidRPr="00E6127E">
        <w:rPr>
          <w:rFonts w:ascii="Times New Roman" w:hAnsi="Times New Roman" w:cs="Times New Roman"/>
          <w:sz w:val="20"/>
          <w:szCs w:val="20"/>
        </w:rPr>
        <w:t xml:space="preserve">dans </w:t>
      </w:r>
      <w:r w:rsidRPr="00E6127E">
        <w:rPr>
          <w:rFonts w:ascii="Times New Roman" w:hAnsi="Times New Roman" w:cs="Times New Roman"/>
          <w:sz w:val="20"/>
          <w:szCs w:val="20"/>
        </w:rPr>
        <w:t>les directives de l’évaluation.</w:t>
      </w:r>
      <w:r w:rsidR="00851695" w:rsidRPr="00E6127E">
        <w:rPr>
          <w:rFonts w:ascii="Times New Roman" w:hAnsi="Times New Roman" w:cs="Times New Roman"/>
          <w:sz w:val="20"/>
          <w:szCs w:val="20"/>
        </w:rPr>
        <w:t xml:space="preserve"> Elle reçoit les rapports et émette l’avis sur la conformité avec les normes de qualité.</w:t>
      </w:r>
    </w:p>
    <w:p w:rsidR="006C678A" w:rsidRDefault="00E05F31" w:rsidP="00FE1309">
      <w:pPr>
        <w:spacing w:after="0" w:line="312" w:lineRule="auto"/>
        <w:jc w:val="both"/>
        <w:rPr>
          <w:rFonts w:eastAsia="Times New Roman" w:cs="Times New Roman"/>
          <w:b/>
          <w:bCs/>
          <w:color w:val="333333"/>
        </w:rPr>
      </w:pPr>
      <w:r w:rsidRPr="00AA2B56">
        <w:rPr>
          <w:rFonts w:eastAsia="Times New Roman" w:cs="Times New Roman"/>
          <w:b/>
          <w:bCs/>
          <w:color w:val="333333"/>
        </w:rPr>
        <w:t>Groupes chargés</w:t>
      </w:r>
      <w:r w:rsidR="004136B3" w:rsidRPr="00AA2B56">
        <w:rPr>
          <w:rFonts w:eastAsia="Times New Roman" w:cs="Times New Roman"/>
          <w:b/>
          <w:bCs/>
          <w:color w:val="333333"/>
        </w:rPr>
        <w:t xml:space="preserve"> des programmes à évaluer</w:t>
      </w:r>
    </w:p>
    <w:p w:rsidR="00ED26AB" w:rsidRPr="00E6127E" w:rsidRDefault="006C678A" w:rsidP="00FE1309">
      <w:pPr>
        <w:spacing w:before="100" w:beforeAutospacing="1" w:after="100" w:afterAutospacing="1" w:line="312" w:lineRule="auto"/>
        <w:jc w:val="both"/>
        <w:rPr>
          <w:rFonts w:ascii="Times New Roman" w:hAnsi="Times New Roman" w:cs="Times New Roman"/>
          <w:sz w:val="20"/>
          <w:szCs w:val="20"/>
        </w:rPr>
      </w:pPr>
      <w:r w:rsidRPr="00E6127E">
        <w:rPr>
          <w:rFonts w:ascii="Times New Roman" w:hAnsi="Times New Roman" w:cs="Times New Roman"/>
          <w:sz w:val="20"/>
          <w:szCs w:val="20"/>
        </w:rPr>
        <w:t xml:space="preserve">Les chargés de programme fourniront l’appui aux évaluateurs </w:t>
      </w:r>
      <w:r w:rsidR="00FE1309" w:rsidRPr="00E6127E">
        <w:rPr>
          <w:rFonts w:ascii="Times New Roman" w:hAnsi="Times New Roman" w:cs="Times New Roman"/>
          <w:sz w:val="20"/>
          <w:szCs w:val="20"/>
        </w:rPr>
        <w:t xml:space="preserve">en </w:t>
      </w:r>
      <w:r w:rsidR="00851695" w:rsidRPr="00E6127E">
        <w:rPr>
          <w:rFonts w:ascii="Times New Roman" w:hAnsi="Times New Roman" w:cs="Times New Roman"/>
          <w:sz w:val="20"/>
          <w:szCs w:val="20"/>
        </w:rPr>
        <w:t>termes</w:t>
      </w:r>
      <w:r w:rsidR="00FE1309" w:rsidRPr="00E6127E">
        <w:rPr>
          <w:rFonts w:ascii="Times New Roman" w:hAnsi="Times New Roman" w:cs="Times New Roman"/>
          <w:sz w:val="20"/>
          <w:szCs w:val="20"/>
        </w:rPr>
        <w:t xml:space="preserve"> d'espace bureau, de fournitures, </w:t>
      </w:r>
      <w:r w:rsidR="00ED26AB" w:rsidRPr="00E6127E">
        <w:rPr>
          <w:rFonts w:ascii="Times New Roman" w:hAnsi="Times New Roman" w:cs="Times New Roman"/>
          <w:sz w:val="20"/>
          <w:szCs w:val="20"/>
        </w:rPr>
        <w:t>d</w:t>
      </w:r>
      <w:r w:rsidR="00FE1309" w:rsidRPr="00E6127E">
        <w:rPr>
          <w:rFonts w:ascii="Times New Roman" w:hAnsi="Times New Roman" w:cs="Times New Roman"/>
          <w:sz w:val="20"/>
          <w:szCs w:val="20"/>
        </w:rPr>
        <w:t xml:space="preserve">'équipement </w:t>
      </w:r>
      <w:r w:rsidR="00ED26AB" w:rsidRPr="00E6127E">
        <w:rPr>
          <w:rFonts w:ascii="Times New Roman" w:hAnsi="Times New Roman" w:cs="Times New Roman"/>
          <w:sz w:val="20"/>
          <w:szCs w:val="20"/>
        </w:rPr>
        <w:t xml:space="preserve">(mobiliers) </w:t>
      </w:r>
      <w:r w:rsidR="00FE1309" w:rsidRPr="00E6127E">
        <w:rPr>
          <w:rFonts w:ascii="Times New Roman" w:hAnsi="Times New Roman" w:cs="Times New Roman"/>
          <w:sz w:val="20"/>
          <w:szCs w:val="20"/>
        </w:rPr>
        <w:t xml:space="preserve">et </w:t>
      </w:r>
      <w:r w:rsidR="00ED26AB" w:rsidRPr="00E6127E">
        <w:rPr>
          <w:rFonts w:ascii="Times New Roman" w:hAnsi="Times New Roman" w:cs="Times New Roman"/>
          <w:sz w:val="20"/>
          <w:szCs w:val="20"/>
        </w:rPr>
        <w:t xml:space="preserve">de </w:t>
      </w:r>
      <w:r w:rsidR="00FE1309" w:rsidRPr="00E6127E">
        <w:rPr>
          <w:rFonts w:ascii="Times New Roman" w:hAnsi="Times New Roman" w:cs="Times New Roman"/>
          <w:sz w:val="20"/>
          <w:szCs w:val="20"/>
        </w:rPr>
        <w:t>matériaux</w:t>
      </w:r>
      <w:r w:rsidR="00E02362" w:rsidRPr="00E6127E">
        <w:rPr>
          <w:rFonts w:ascii="Times New Roman" w:hAnsi="Times New Roman" w:cs="Times New Roman"/>
          <w:sz w:val="20"/>
          <w:szCs w:val="20"/>
        </w:rPr>
        <w:t xml:space="preserve">, y compris les appuis logistiques. </w:t>
      </w:r>
      <w:r w:rsidR="00FE1309" w:rsidRPr="00E6127E">
        <w:rPr>
          <w:rFonts w:ascii="Times New Roman" w:hAnsi="Times New Roman" w:cs="Times New Roman"/>
          <w:sz w:val="20"/>
          <w:szCs w:val="20"/>
        </w:rPr>
        <w:t xml:space="preserve">Ils mettront aussi à leur disposition toute la documentation, y compris la liste et le contact des parties prenantes clés. Ils faciliteront </w:t>
      </w:r>
      <w:r w:rsidR="000F51A5" w:rsidRPr="00E6127E">
        <w:rPr>
          <w:rFonts w:ascii="Times New Roman" w:hAnsi="Times New Roman" w:cs="Times New Roman"/>
          <w:sz w:val="20"/>
          <w:szCs w:val="20"/>
        </w:rPr>
        <w:t>le</w:t>
      </w:r>
      <w:r w:rsidR="00851695" w:rsidRPr="00E6127E">
        <w:rPr>
          <w:rFonts w:ascii="Times New Roman" w:hAnsi="Times New Roman" w:cs="Times New Roman"/>
          <w:sz w:val="20"/>
          <w:szCs w:val="20"/>
        </w:rPr>
        <w:t>s</w:t>
      </w:r>
      <w:r w:rsidR="000F51A5" w:rsidRPr="00E6127E">
        <w:rPr>
          <w:rFonts w:ascii="Times New Roman" w:hAnsi="Times New Roman" w:cs="Times New Roman"/>
          <w:sz w:val="20"/>
          <w:szCs w:val="20"/>
        </w:rPr>
        <w:t xml:space="preserve"> premier</w:t>
      </w:r>
      <w:r w:rsidR="00851695" w:rsidRPr="00E6127E">
        <w:rPr>
          <w:rFonts w:ascii="Times New Roman" w:hAnsi="Times New Roman" w:cs="Times New Roman"/>
          <w:sz w:val="20"/>
          <w:szCs w:val="20"/>
        </w:rPr>
        <w:t>s</w:t>
      </w:r>
      <w:r w:rsidR="000F51A5" w:rsidRPr="00E6127E">
        <w:rPr>
          <w:rFonts w:ascii="Times New Roman" w:hAnsi="Times New Roman" w:cs="Times New Roman"/>
          <w:sz w:val="20"/>
          <w:szCs w:val="20"/>
        </w:rPr>
        <w:t xml:space="preserve"> contact</w:t>
      </w:r>
      <w:r w:rsidR="00851695" w:rsidRPr="00E6127E">
        <w:rPr>
          <w:rFonts w:ascii="Times New Roman" w:hAnsi="Times New Roman" w:cs="Times New Roman"/>
          <w:sz w:val="20"/>
          <w:szCs w:val="20"/>
        </w:rPr>
        <w:t>s</w:t>
      </w:r>
      <w:r w:rsidR="00FE1309" w:rsidRPr="00E6127E">
        <w:rPr>
          <w:rFonts w:ascii="Times New Roman" w:hAnsi="Times New Roman" w:cs="Times New Roman"/>
          <w:sz w:val="20"/>
          <w:szCs w:val="20"/>
        </w:rPr>
        <w:t xml:space="preserve"> </w:t>
      </w:r>
      <w:r w:rsidR="00851695" w:rsidRPr="00E6127E">
        <w:rPr>
          <w:rFonts w:ascii="Times New Roman" w:hAnsi="Times New Roman" w:cs="Times New Roman"/>
          <w:sz w:val="20"/>
          <w:szCs w:val="20"/>
        </w:rPr>
        <w:t xml:space="preserve">à travers des réunions techniques pour le briefing </w:t>
      </w:r>
      <w:r w:rsidR="00E05F31" w:rsidRPr="00E6127E">
        <w:rPr>
          <w:rFonts w:ascii="Times New Roman" w:hAnsi="Times New Roman" w:cs="Times New Roman"/>
          <w:sz w:val="20"/>
          <w:szCs w:val="20"/>
        </w:rPr>
        <w:t>et débriefing</w:t>
      </w:r>
      <w:r w:rsidR="00851695" w:rsidRPr="00E6127E">
        <w:rPr>
          <w:rFonts w:ascii="Times New Roman" w:hAnsi="Times New Roman" w:cs="Times New Roman"/>
          <w:sz w:val="20"/>
          <w:szCs w:val="20"/>
        </w:rPr>
        <w:t xml:space="preserve">. </w:t>
      </w:r>
      <w:r w:rsidR="00ED26AB" w:rsidRPr="00E6127E">
        <w:rPr>
          <w:rFonts w:ascii="Times New Roman" w:hAnsi="Times New Roman" w:cs="Times New Roman"/>
          <w:sz w:val="20"/>
          <w:szCs w:val="20"/>
        </w:rPr>
        <w:t>Ils fourniront des conseillers et appuis techniques dans la formulation du planning des tâches et l’organisation des ateliers de validation et tout autre appui indispensable au déroulement du processus de l’évaluation.</w:t>
      </w:r>
      <w:r w:rsidR="00FE1309" w:rsidRPr="00E6127E">
        <w:rPr>
          <w:rFonts w:ascii="Times New Roman" w:hAnsi="Times New Roman" w:cs="Times New Roman"/>
          <w:sz w:val="20"/>
          <w:szCs w:val="20"/>
        </w:rPr>
        <w:t xml:space="preserve"> </w:t>
      </w:r>
      <w:r w:rsidR="00ED26AB" w:rsidRPr="00E6127E">
        <w:rPr>
          <w:rFonts w:ascii="Times New Roman" w:hAnsi="Times New Roman" w:cs="Times New Roman"/>
          <w:sz w:val="20"/>
          <w:szCs w:val="20"/>
        </w:rPr>
        <w:t>Ils informeront à temps les partenaires clés de mise en œuvre et solliciteront leurs disponibilités pour faciliter le déroulement de la mission.</w:t>
      </w:r>
    </w:p>
    <w:p w:rsidR="004136B3" w:rsidRPr="00ED26AB" w:rsidRDefault="00ED26AB" w:rsidP="007C6C06">
      <w:pPr>
        <w:spacing w:before="100" w:beforeAutospacing="1" w:after="100" w:afterAutospacing="1" w:line="312" w:lineRule="auto"/>
        <w:jc w:val="both"/>
        <w:rPr>
          <w:rFonts w:eastAsia="Times New Roman" w:cs="Times New Roman"/>
          <w:b/>
          <w:bCs/>
          <w:color w:val="333333"/>
        </w:rPr>
      </w:pPr>
      <w:r>
        <w:rPr>
          <w:rFonts w:eastAsia="Times New Roman" w:cs="Times New Roman"/>
          <w:bCs/>
          <w:color w:val="333333"/>
        </w:rPr>
        <w:t xml:space="preserve"> </w:t>
      </w:r>
      <w:r w:rsidR="004136B3" w:rsidRPr="00ED26AB">
        <w:rPr>
          <w:rFonts w:eastAsia="Times New Roman" w:cs="Times New Roman"/>
          <w:b/>
          <w:bCs/>
          <w:color w:val="333333"/>
        </w:rPr>
        <w:t xml:space="preserve">Principales parties prenantes /partenaires de mise en œuvre </w:t>
      </w:r>
    </w:p>
    <w:p w:rsidR="00417DF6" w:rsidRPr="00E6127E" w:rsidRDefault="00ED26AB" w:rsidP="00417DF6">
      <w:pPr>
        <w:spacing w:before="100" w:beforeAutospacing="1" w:after="100" w:afterAutospacing="1" w:line="312" w:lineRule="auto"/>
        <w:jc w:val="both"/>
        <w:rPr>
          <w:rFonts w:ascii="Times New Roman" w:hAnsi="Times New Roman" w:cs="Times New Roman"/>
          <w:sz w:val="20"/>
          <w:szCs w:val="20"/>
        </w:rPr>
        <w:sectPr w:rsidR="00417DF6" w:rsidRPr="00E6127E" w:rsidSect="0025484A">
          <w:pgSz w:w="12240" w:h="15840"/>
          <w:pgMar w:top="1135" w:right="1440" w:bottom="1276" w:left="1440" w:header="708" w:footer="708" w:gutter="0"/>
          <w:cols w:space="708"/>
          <w:docGrid w:linePitch="360"/>
        </w:sectPr>
      </w:pPr>
      <w:r w:rsidRPr="00E6127E">
        <w:rPr>
          <w:rFonts w:ascii="Times New Roman" w:hAnsi="Times New Roman" w:cs="Times New Roman"/>
          <w:sz w:val="20"/>
          <w:szCs w:val="20"/>
        </w:rPr>
        <w:t>Les comités de pilotage des différentes interventions du programme, briefés sur la nature indépendante de la mission</w:t>
      </w:r>
      <w:r w:rsidR="00E02362" w:rsidRPr="00E6127E">
        <w:rPr>
          <w:rFonts w:ascii="Times New Roman" w:hAnsi="Times New Roman" w:cs="Times New Roman"/>
          <w:sz w:val="20"/>
          <w:szCs w:val="20"/>
        </w:rPr>
        <w:t>,</w:t>
      </w:r>
      <w:r w:rsidRPr="00E6127E">
        <w:rPr>
          <w:rFonts w:ascii="Times New Roman" w:hAnsi="Times New Roman" w:cs="Times New Roman"/>
          <w:sz w:val="20"/>
          <w:szCs w:val="20"/>
        </w:rPr>
        <w:t xml:space="preserve"> s’impliqueront </w:t>
      </w:r>
      <w:r w:rsidR="00E02362" w:rsidRPr="00E6127E">
        <w:rPr>
          <w:rFonts w:ascii="Times New Roman" w:hAnsi="Times New Roman" w:cs="Times New Roman"/>
          <w:sz w:val="20"/>
          <w:szCs w:val="20"/>
        </w:rPr>
        <w:t xml:space="preserve">toutefois </w:t>
      </w:r>
      <w:r w:rsidRPr="00E6127E">
        <w:rPr>
          <w:rFonts w:ascii="Times New Roman" w:hAnsi="Times New Roman" w:cs="Times New Roman"/>
          <w:sz w:val="20"/>
          <w:szCs w:val="20"/>
        </w:rPr>
        <w:t xml:space="preserve">dans </w:t>
      </w:r>
      <w:r w:rsidR="00E02362" w:rsidRPr="00E6127E">
        <w:rPr>
          <w:rFonts w:ascii="Times New Roman" w:hAnsi="Times New Roman" w:cs="Times New Roman"/>
          <w:sz w:val="20"/>
          <w:szCs w:val="20"/>
        </w:rPr>
        <w:t xml:space="preserve">son </w:t>
      </w:r>
      <w:r w:rsidRPr="00E6127E">
        <w:rPr>
          <w:rFonts w:ascii="Times New Roman" w:hAnsi="Times New Roman" w:cs="Times New Roman"/>
          <w:sz w:val="20"/>
          <w:szCs w:val="20"/>
        </w:rPr>
        <w:t xml:space="preserve">suivi </w:t>
      </w:r>
      <w:r w:rsidR="00E02362" w:rsidRPr="00E6127E">
        <w:rPr>
          <w:rFonts w:ascii="Times New Roman" w:hAnsi="Times New Roman" w:cs="Times New Roman"/>
          <w:sz w:val="20"/>
          <w:szCs w:val="20"/>
        </w:rPr>
        <w:t xml:space="preserve">afin de faciliter le travail avec les structures opérationnelles. Ils auront la responsabilité </w:t>
      </w:r>
      <w:r w:rsidR="009F7C97" w:rsidRPr="00E6127E">
        <w:rPr>
          <w:rFonts w:ascii="Times New Roman" w:hAnsi="Times New Roman" w:cs="Times New Roman"/>
          <w:sz w:val="20"/>
          <w:szCs w:val="20"/>
        </w:rPr>
        <w:t xml:space="preserve">de </w:t>
      </w:r>
      <w:r w:rsidR="00CD7D45" w:rsidRPr="00E6127E">
        <w:rPr>
          <w:rFonts w:ascii="Times New Roman" w:hAnsi="Times New Roman" w:cs="Times New Roman"/>
          <w:sz w:val="20"/>
          <w:szCs w:val="20"/>
        </w:rPr>
        <w:t xml:space="preserve">les mobiliser </w:t>
      </w:r>
      <w:r w:rsidR="009F7C97" w:rsidRPr="00E6127E">
        <w:rPr>
          <w:rFonts w:ascii="Times New Roman" w:hAnsi="Times New Roman" w:cs="Times New Roman"/>
          <w:sz w:val="20"/>
          <w:szCs w:val="20"/>
        </w:rPr>
        <w:t xml:space="preserve">et </w:t>
      </w:r>
      <w:r w:rsidR="00CD7D45" w:rsidRPr="00E6127E">
        <w:rPr>
          <w:rFonts w:ascii="Times New Roman" w:hAnsi="Times New Roman" w:cs="Times New Roman"/>
          <w:sz w:val="20"/>
          <w:szCs w:val="20"/>
        </w:rPr>
        <w:t xml:space="preserve">de </w:t>
      </w:r>
      <w:r w:rsidR="009F7C97" w:rsidRPr="00E6127E">
        <w:rPr>
          <w:rFonts w:ascii="Times New Roman" w:hAnsi="Times New Roman" w:cs="Times New Roman"/>
          <w:sz w:val="20"/>
          <w:szCs w:val="20"/>
        </w:rPr>
        <w:t>faciliter l</w:t>
      </w:r>
      <w:r w:rsidR="00CD7D45" w:rsidRPr="00E6127E">
        <w:rPr>
          <w:rFonts w:ascii="Times New Roman" w:hAnsi="Times New Roman" w:cs="Times New Roman"/>
          <w:sz w:val="20"/>
          <w:szCs w:val="20"/>
        </w:rPr>
        <w:t xml:space="preserve">a collaboration avec la mission. Ils </w:t>
      </w:r>
      <w:r w:rsidR="00E05F31" w:rsidRPr="00E6127E">
        <w:rPr>
          <w:rFonts w:ascii="Times New Roman" w:hAnsi="Times New Roman" w:cs="Times New Roman"/>
          <w:sz w:val="20"/>
          <w:szCs w:val="20"/>
        </w:rPr>
        <w:t>organiseront d’organiser</w:t>
      </w:r>
      <w:r w:rsidR="009F7C97" w:rsidRPr="00E6127E">
        <w:rPr>
          <w:rFonts w:ascii="Times New Roman" w:hAnsi="Times New Roman" w:cs="Times New Roman"/>
          <w:sz w:val="20"/>
          <w:szCs w:val="20"/>
        </w:rPr>
        <w:t xml:space="preserve"> </w:t>
      </w:r>
      <w:r w:rsidR="00CD7D45" w:rsidRPr="00E6127E">
        <w:rPr>
          <w:rFonts w:ascii="Times New Roman" w:hAnsi="Times New Roman" w:cs="Times New Roman"/>
          <w:sz w:val="20"/>
          <w:szCs w:val="20"/>
        </w:rPr>
        <w:t xml:space="preserve">des sessions d’échange sur </w:t>
      </w:r>
      <w:r w:rsidR="00E05F31" w:rsidRPr="00E6127E">
        <w:rPr>
          <w:rFonts w:ascii="Times New Roman" w:hAnsi="Times New Roman" w:cs="Times New Roman"/>
          <w:sz w:val="20"/>
          <w:szCs w:val="20"/>
        </w:rPr>
        <w:t>les rapports</w:t>
      </w:r>
      <w:r w:rsidR="00CD7D45" w:rsidRPr="00E6127E">
        <w:rPr>
          <w:rFonts w:ascii="Times New Roman" w:hAnsi="Times New Roman" w:cs="Times New Roman"/>
          <w:sz w:val="20"/>
          <w:szCs w:val="20"/>
        </w:rPr>
        <w:t xml:space="preserve"> afin de vérifier la pertinence de l’analyse, le réalisme des options stratégiques et la faisabilité des </w:t>
      </w:r>
      <w:r w:rsidR="00E05F31" w:rsidRPr="00E6127E">
        <w:rPr>
          <w:rFonts w:ascii="Times New Roman" w:hAnsi="Times New Roman" w:cs="Times New Roman"/>
          <w:sz w:val="20"/>
          <w:szCs w:val="20"/>
        </w:rPr>
        <w:t>recommandations conformément aux</w:t>
      </w:r>
      <w:r w:rsidR="00CD7D45" w:rsidRPr="00E6127E">
        <w:rPr>
          <w:rFonts w:ascii="Times New Roman" w:hAnsi="Times New Roman" w:cs="Times New Roman"/>
          <w:sz w:val="20"/>
          <w:szCs w:val="20"/>
        </w:rPr>
        <w:t xml:space="preserve"> règles de </w:t>
      </w:r>
      <w:r w:rsidR="00E02362" w:rsidRPr="00E6127E">
        <w:rPr>
          <w:rFonts w:ascii="Times New Roman" w:hAnsi="Times New Roman" w:cs="Times New Roman"/>
          <w:sz w:val="20"/>
          <w:szCs w:val="20"/>
        </w:rPr>
        <w:t>l’assurance qualité, au respect des normes</w:t>
      </w:r>
      <w:r w:rsidR="00CD7D45" w:rsidRPr="00E6127E">
        <w:rPr>
          <w:rFonts w:ascii="Times New Roman" w:hAnsi="Times New Roman" w:cs="Times New Roman"/>
          <w:sz w:val="20"/>
          <w:szCs w:val="20"/>
        </w:rPr>
        <w:t xml:space="preserve"> de l’évaluation indépendante</w:t>
      </w:r>
      <w:r w:rsidR="009F7C97" w:rsidRPr="00E6127E">
        <w:rPr>
          <w:rFonts w:ascii="Times New Roman" w:hAnsi="Times New Roman" w:cs="Times New Roman"/>
          <w:sz w:val="20"/>
          <w:szCs w:val="20"/>
        </w:rPr>
        <w:t xml:space="preserve">. </w:t>
      </w:r>
      <w:r w:rsidR="00CD7D45" w:rsidRPr="00E6127E">
        <w:rPr>
          <w:rFonts w:ascii="Times New Roman" w:hAnsi="Times New Roman" w:cs="Times New Roman"/>
          <w:sz w:val="20"/>
          <w:szCs w:val="20"/>
        </w:rPr>
        <w:t xml:space="preserve">Ils fourniront enfin les </w:t>
      </w:r>
      <w:r w:rsidR="00E02362" w:rsidRPr="00E6127E">
        <w:rPr>
          <w:rFonts w:ascii="Times New Roman" w:hAnsi="Times New Roman" w:cs="Times New Roman"/>
          <w:sz w:val="20"/>
          <w:szCs w:val="20"/>
        </w:rPr>
        <w:t xml:space="preserve">réponses de gestion vis-à-vis des recommandations </w:t>
      </w:r>
      <w:r w:rsidR="009F7C97" w:rsidRPr="00E6127E">
        <w:rPr>
          <w:rFonts w:ascii="Times New Roman" w:hAnsi="Times New Roman" w:cs="Times New Roman"/>
          <w:sz w:val="20"/>
          <w:szCs w:val="20"/>
        </w:rPr>
        <w:t xml:space="preserve">formulées </w:t>
      </w:r>
      <w:bookmarkStart w:id="0" w:name="_GoBack"/>
      <w:bookmarkEnd w:id="0"/>
      <w:r w:rsidR="009F7C97" w:rsidRPr="00E6127E">
        <w:rPr>
          <w:rFonts w:ascii="Times New Roman" w:hAnsi="Times New Roman" w:cs="Times New Roman"/>
          <w:sz w:val="20"/>
          <w:szCs w:val="20"/>
        </w:rPr>
        <w:t xml:space="preserve">par les évaluateurs. </w:t>
      </w:r>
    </w:p>
    <w:p w:rsidR="009363BE" w:rsidRPr="00D2241C" w:rsidRDefault="00417DF6" w:rsidP="00F4186E">
      <w:pPr>
        <w:spacing w:after="0" w:line="312" w:lineRule="auto"/>
        <w:ind w:left="426" w:hanging="426"/>
        <w:jc w:val="both"/>
        <w:rPr>
          <w:rFonts w:eastAsia="Times New Roman" w:cs="Times New Roman"/>
          <w:b/>
          <w:color w:val="003399"/>
          <w:sz w:val="28"/>
          <w:szCs w:val="28"/>
        </w:rPr>
      </w:pPr>
      <w:r w:rsidRPr="00D2241C">
        <w:rPr>
          <w:rFonts w:eastAsia="Times New Roman" w:cs="Times New Roman"/>
          <w:b/>
          <w:color w:val="003399"/>
          <w:sz w:val="28"/>
          <w:szCs w:val="28"/>
        </w:rPr>
        <w:lastRenderedPageBreak/>
        <w:t xml:space="preserve">11. </w:t>
      </w:r>
      <w:r w:rsidR="00EA19A4" w:rsidRPr="00D2241C">
        <w:rPr>
          <w:rFonts w:eastAsia="Times New Roman" w:cs="Times New Roman"/>
          <w:b/>
          <w:color w:val="003399"/>
          <w:sz w:val="28"/>
          <w:szCs w:val="28"/>
        </w:rPr>
        <w:t>Echéancier</w:t>
      </w:r>
      <w:r w:rsidRPr="00D2241C">
        <w:rPr>
          <w:rFonts w:eastAsia="Times New Roman" w:cs="Times New Roman"/>
          <w:b/>
          <w:color w:val="003399"/>
          <w:sz w:val="28"/>
          <w:szCs w:val="28"/>
        </w:rPr>
        <w:t xml:space="preserve"> </w:t>
      </w:r>
      <w:r w:rsidR="009363BE" w:rsidRPr="00D2241C">
        <w:rPr>
          <w:rFonts w:eastAsia="Times New Roman" w:cs="Times New Roman"/>
          <w:b/>
          <w:color w:val="003399"/>
          <w:sz w:val="28"/>
          <w:szCs w:val="28"/>
        </w:rPr>
        <w:t>du processus d</w:t>
      </w:r>
      <w:r w:rsidR="008D4A56" w:rsidRPr="00D2241C">
        <w:rPr>
          <w:rFonts w:eastAsia="Times New Roman" w:cs="Times New Roman"/>
          <w:b/>
          <w:color w:val="003399"/>
          <w:sz w:val="28"/>
          <w:szCs w:val="28"/>
        </w:rPr>
        <w:t>e l</w:t>
      </w:r>
      <w:r w:rsidR="009363BE" w:rsidRPr="00D2241C">
        <w:rPr>
          <w:rFonts w:eastAsia="Times New Roman" w:cs="Times New Roman"/>
          <w:b/>
          <w:color w:val="003399"/>
          <w:sz w:val="28"/>
          <w:szCs w:val="28"/>
        </w:rPr>
        <w:t xml:space="preserve">’évaluation </w:t>
      </w:r>
    </w:p>
    <w:tbl>
      <w:tblPr>
        <w:tblStyle w:val="Grilledutableau"/>
        <w:tblW w:w="15233" w:type="dxa"/>
        <w:jc w:val="center"/>
        <w:tblLayout w:type="fixed"/>
        <w:tblLook w:val="04A0" w:firstRow="1" w:lastRow="0" w:firstColumn="1" w:lastColumn="0" w:noHBand="0" w:noVBand="1"/>
      </w:tblPr>
      <w:tblGrid>
        <w:gridCol w:w="2444"/>
        <w:gridCol w:w="283"/>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gridCol w:w="1307"/>
      </w:tblGrid>
      <w:tr w:rsidR="000405E7" w:rsidTr="00EA19A4">
        <w:trPr>
          <w:jc w:val="center"/>
        </w:trPr>
        <w:tc>
          <w:tcPr>
            <w:tcW w:w="2444" w:type="dxa"/>
            <w:vMerge w:val="restart"/>
          </w:tcPr>
          <w:p w:rsidR="000405E7" w:rsidRDefault="000405E7" w:rsidP="00B563D4">
            <w:pPr>
              <w:spacing w:before="100" w:beforeAutospacing="1" w:after="100" w:afterAutospacing="1" w:line="312" w:lineRule="auto"/>
              <w:jc w:val="both"/>
              <w:rPr>
                <w:rFonts w:eastAsia="Times New Roman" w:cs="Times New Roman"/>
                <w:bCs/>
                <w:color w:val="333333"/>
              </w:rPr>
            </w:pPr>
            <w:r>
              <w:rPr>
                <w:rFonts w:eastAsia="Times New Roman" w:cs="Times New Roman"/>
                <w:bCs/>
                <w:color w:val="333333"/>
              </w:rPr>
              <w:t>TÄCHES</w:t>
            </w:r>
          </w:p>
        </w:tc>
        <w:tc>
          <w:tcPr>
            <w:tcW w:w="11482" w:type="dxa"/>
            <w:gridSpan w:val="30"/>
            <w:vAlign w:val="center"/>
          </w:tcPr>
          <w:p w:rsidR="000405E7" w:rsidRPr="000405E7" w:rsidRDefault="000405E7" w:rsidP="000405E7">
            <w:pPr>
              <w:spacing w:before="100" w:beforeAutospacing="1" w:after="100" w:afterAutospacing="1" w:line="312" w:lineRule="auto"/>
              <w:jc w:val="center"/>
              <w:rPr>
                <w:rFonts w:eastAsia="Times New Roman" w:cs="Times New Roman"/>
                <w:b/>
                <w:bCs/>
                <w:color w:val="333333"/>
              </w:rPr>
            </w:pPr>
            <w:r w:rsidRPr="000405E7">
              <w:rPr>
                <w:rFonts w:eastAsia="Times New Roman" w:cs="Times New Roman"/>
                <w:b/>
                <w:bCs/>
                <w:color w:val="333333"/>
              </w:rPr>
              <w:t xml:space="preserve">CALENDRIER DES TÂCHES </w:t>
            </w:r>
          </w:p>
        </w:tc>
        <w:tc>
          <w:tcPr>
            <w:tcW w:w="1307" w:type="dxa"/>
          </w:tcPr>
          <w:p w:rsidR="000405E7" w:rsidRDefault="000405E7" w:rsidP="00417DF6">
            <w:pPr>
              <w:spacing w:before="100" w:beforeAutospacing="1" w:after="100" w:afterAutospacing="1" w:line="312" w:lineRule="auto"/>
              <w:jc w:val="both"/>
              <w:rPr>
                <w:rFonts w:eastAsia="Times New Roman" w:cs="Times New Roman"/>
                <w:bCs/>
                <w:color w:val="333333"/>
                <w:sz w:val="16"/>
              </w:rPr>
            </w:pPr>
            <w:r>
              <w:rPr>
                <w:rFonts w:eastAsia="Times New Roman" w:cs="Times New Roman"/>
                <w:bCs/>
                <w:color w:val="333333"/>
                <w:sz w:val="16"/>
              </w:rPr>
              <w:t>RESPONSABLES</w:t>
            </w:r>
          </w:p>
        </w:tc>
      </w:tr>
      <w:tr w:rsidR="000405E7" w:rsidTr="00EA19A4">
        <w:trPr>
          <w:jc w:val="center"/>
        </w:trPr>
        <w:tc>
          <w:tcPr>
            <w:tcW w:w="2444" w:type="dxa"/>
            <w:vMerge/>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w:t>
            </w:r>
          </w:p>
        </w:tc>
        <w:tc>
          <w:tcPr>
            <w:tcW w:w="284"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w:t>
            </w:r>
          </w:p>
        </w:tc>
        <w:tc>
          <w:tcPr>
            <w:tcW w:w="283"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3</w:t>
            </w:r>
          </w:p>
        </w:tc>
        <w:tc>
          <w:tcPr>
            <w:tcW w:w="284"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4</w:t>
            </w:r>
          </w:p>
        </w:tc>
        <w:tc>
          <w:tcPr>
            <w:tcW w:w="283"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5</w:t>
            </w:r>
          </w:p>
        </w:tc>
        <w:tc>
          <w:tcPr>
            <w:tcW w:w="284"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6</w:t>
            </w:r>
          </w:p>
        </w:tc>
        <w:tc>
          <w:tcPr>
            <w:tcW w:w="283"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7</w:t>
            </w:r>
          </w:p>
        </w:tc>
        <w:tc>
          <w:tcPr>
            <w:tcW w:w="284"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8</w:t>
            </w:r>
          </w:p>
        </w:tc>
        <w:tc>
          <w:tcPr>
            <w:tcW w:w="283"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9</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10</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11</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12</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13</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14</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15</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16</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17</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18</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19</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20</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21</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22</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23</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24</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25</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26</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27</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28</w:t>
            </w:r>
          </w:p>
        </w:tc>
        <w:tc>
          <w:tcPr>
            <w:tcW w:w="425"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29</w:t>
            </w:r>
          </w:p>
        </w:tc>
        <w:tc>
          <w:tcPr>
            <w:tcW w:w="426" w:type="dxa"/>
          </w:tcPr>
          <w:p w:rsidR="000405E7" w:rsidRPr="000405E7" w:rsidRDefault="000405E7" w:rsidP="00DC006D">
            <w:pPr>
              <w:spacing w:before="100" w:beforeAutospacing="1" w:after="100" w:afterAutospacing="1" w:line="312" w:lineRule="auto"/>
              <w:jc w:val="both"/>
              <w:rPr>
                <w:rFonts w:eastAsia="Times New Roman" w:cs="Times New Roman"/>
                <w:bCs/>
                <w:color w:val="333333"/>
                <w:sz w:val="14"/>
              </w:rPr>
            </w:pPr>
            <w:r w:rsidRPr="000405E7">
              <w:rPr>
                <w:rFonts w:eastAsia="Times New Roman" w:cs="Times New Roman"/>
                <w:bCs/>
                <w:color w:val="333333"/>
                <w:sz w:val="14"/>
              </w:rPr>
              <w:t>30</w:t>
            </w:r>
          </w:p>
        </w:tc>
        <w:tc>
          <w:tcPr>
            <w:tcW w:w="1307" w:type="dxa"/>
          </w:tcPr>
          <w:p w:rsidR="000405E7" w:rsidRDefault="000405E7" w:rsidP="00417DF6">
            <w:pPr>
              <w:spacing w:before="100" w:beforeAutospacing="1" w:after="100" w:afterAutospacing="1" w:line="312" w:lineRule="auto"/>
              <w:jc w:val="both"/>
              <w:rPr>
                <w:rFonts w:eastAsia="Times New Roman" w:cs="Times New Roman"/>
                <w:bCs/>
                <w:color w:val="333333"/>
                <w:sz w:val="16"/>
              </w:rPr>
            </w:pPr>
          </w:p>
        </w:tc>
      </w:tr>
      <w:tr w:rsidR="00607289" w:rsidTr="00EA19A4">
        <w:trPr>
          <w:jc w:val="center"/>
        </w:trPr>
        <w:tc>
          <w:tcPr>
            <w:tcW w:w="2444" w:type="dxa"/>
          </w:tcPr>
          <w:p w:rsidR="000405E7" w:rsidRPr="000B7E1B" w:rsidRDefault="000B7E1B" w:rsidP="00EA19A4">
            <w:pPr>
              <w:spacing w:before="100" w:beforeAutospacing="1" w:after="100" w:afterAutospacing="1" w:line="312" w:lineRule="auto"/>
              <w:rPr>
                <w:rFonts w:eastAsia="Times New Roman" w:cs="Times New Roman"/>
                <w:bCs/>
                <w:color w:val="333333"/>
                <w:sz w:val="16"/>
              </w:rPr>
            </w:pPr>
            <w:r w:rsidRPr="000B7E1B">
              <w:rPr>
                <w:rFonts w:eastAsia="Times New Roman" w:cs="Times New Roman"/>
                <w:bCs/>
                <w:color w:val="333333"/>
                <w:sz w:val="16"/>
              </w:rPr>
              <w:t>Lettre d’information de</w:t>
            </w:r>
            <w:r w:rsidR="00EA19A4">
              <w:rPr>
                <w:rFonts w:eastAsia="Times New Roman" w:cs="Times New Roman"/>
                <w:bCs/>
                <w:color w:val="333333"/>
                <w:sz w:val="16"/>
              </w:rPr>
              <w:t>s partenaires de</w:t>
            </w:r>
            <w:r w:rsidRPr="000B7E1B">
              <w:rPr>
                <w:rFonts w:eastAsia="Times New Roman" w:cs="Times New Roman"/>
                <w:bCs/>
                <w:color w:val="333333"/>
                <w:sz w:val="16"/>
              </w:rPr>
              <w:t xml:space="preserve"> mise en œuvre des interventions du programme </w:t>
            </w: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405E7" w:rsidRPr="00314106" w:rsidRDefault="00607289" w:rsidP="00607289">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PNUD</w:t>
            </w:r>
          </w:p>
        </w:tc>
      </w:tr>
      <w:tr w:rsidR="00607289" w:rsidTr="00EA19A4">
        <w:trPr>
          <w:jc w:val="center"/>
        </w:trPr>
        <w:tc>
          <w:tcPr>
            <w:tcW w:w="2444" w:type="dxa"/>
          </w:tcPr>
          <w:p w:rsidR="000405E7" w:rsidRPr="000B7E1B" w:rsidRDefault="000B7E1B" w:rsidP="000405E7">
            <w:pPr>
              <w:spacing w:before="100" w:beforeAutospacing="1" w:after="100" w:afterAutospacing="1" w:line="312" w:lineRule="auto"/>
              <w:rPr>
                <w:rFonts w:eastAsia="Times New Roman" w:cs="Times New Roman"/>
                <w:bCs/>
                <w:color w:val="333333"/>
                <w:sz w:val="16"/>
              </w:rPr>
            </w:pPr>
            <w:r>
              <w:rPr>
                <w:rFonts w:eastAsia="Times New Roman" w:cs="Times New Roman"/>
                <w:bCs/>
                <w:color w:val="333333"/>
                <w:sz w:val="16"/>
              </w:rPr>
              <w:t xml:space="preserve">Diffusion des TDR de la mission d’évaluation et </w:t>
            </w:r>
            <w:r w:rsidRPr="000405E7">
              <w:rPr>
                <w:rFonts w:eastAsia="Times New Roman" w:cs="Times New Roman"/>
                <w:bCs/>
                <w:color w:val="333333"/>
                <w:sz w:val="16"/>
              </w:rPr>
              <w:t>Processus de recrutement des consultants internationaux et nationaux</w:t>
            </w: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405E7" w:rsidRPr="00314106" w:rsidRDefault="00607289" w:rsidP="00607289">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SRH du PNUD</w:t>
            </w:r>
          </w:p>
        </w:tc>
      </w:tr>
      <w:tr w:rsidR="00607289" w:rsidTr="00EA19A4">
        <w:trPr>
          <w:jc w:val="center"/>
        </w:trPr>
        <w:tc>
          <w:tcPr>
            <w:tcW w:w="2444" w:type="dxa"/>
          </w:tcPr>
          <w:p w:rsidR="000405E7" w:rsidRPr="000B7E1B" w:rsidRDefault="000B7E1B" w:rsidP="000405E7">
            <w:pPr>
              <w:spacing w:before="100" w:beforeAutospacing="1" w:after="100" w:afterAutospacing="1" w:line="312" w:lineRule="auto"/>
              <w:rPr>
                <w:rFonts w:eastAsia="Times New Roman" w:cs="Times New Roman"/>
                <w:bCs/>
                <w:color w:val="333333"/>
                <w:sz w:val="16"/>
              </w:rPr>
            </w:pPr>
            <w:r w:rsidRPr="000B7E1B">
              <w:rPr>
                <w:rFonts w:eastAsia="Times New Roman" w:cs="Times New Roman"/>
                <w:bCs/>
                <w:color w:val="333333"/>
                <w:sz w:val="16"/>
              </w:rPr>
              <w:t>Etude des dossiers</w:t>
            </w:r>
            <w:r w:rsidR="00607289">
              <w:rPr>
                <w:rFonts w:eastAsia="Times New Roman" w:cs="Times New Roman"/>
                <w:bCs/>
                <w:color w:val="333333"/>
                <w:sz w:val="16"/>
              </w:rPr>
              <w:t xml:space="preserve"> et recrutement</w:t>
            </w:r>
            <w:r w:rsidRPr="000B7E1B">
              <w:rPr>
                <w:rFonts w:eastAsia="Times New Roman" w:cs="Times New Roman"/>
                <w:bCs/>
                <w:color w:val="333333"/>
                <w:sz w:val="16"/>
              </w:rPr>
              <w:t xml:space="preserve"> </w:t>
            </w: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405E7" w:rsidRPr="00314106" w:rsidRDefault="00607289" w:rsidP="00607289">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SRH du PNUD</w:t>
            </w:r>
          </w:p>
        </w:tc>
      </w:tr>
      <w:tr w:rsidR="00607289" w:rsidTr="00EA19A4">
        <w:trPr>
          <w:jc w:val="center"/>
        </w:trPr>
        <w:tc>
          <w:tcPr>
            <w:tcW w:w="2444" w:type="dxa"/>
          </w:tcPr>
          <w:p w:rsidR="000405E7" w:rsidRPr="000B7E1B" w:rsidRDefault="000B7E1B" w:rsidP="000405E7">
            <w:pPr>
              <w:spacing w:before="100" w:beforeAutospacing="1" w:after="100" w:afterAutospacing="1" w:line="312" w:lineRule="auto"/>
              <w:rPr>
                <w:rFonts w:eastAsia="Times New Roman" w:cs="Times New Roman"/>
                <w:bCs/>
                <w:color w:val="333333"/>
                <w:sz w:val="16"/>
              </w:rPr>
            </w:pPr>
            <w:r w:rsidRPr="000B7E1B">
              <w:rPr>
                <w:rFonts w:eastAsia="Times New Roman" w:cs="Times New Roman"/>
                <w:bCs/>
                <w:color w:val="333333"/>
                <w:sz w:val="16"/>
              </w:rPr>
              <w:t xml:space="preserve">Séance sur les instructions aux évaluateurs </w:t>
            </w:r>
            <w:r w:rsidR="00906822">
              <w:rPr>
                <w:rFonts w:eastAsia="Times New Roman" w:cs="Times New Roman"/>
                <w:bCs/>
                <w:color w:val="333333"/>
                <w:sz w:val="16"/>
              </w:rPr>
              <w:t xml:space="preserve"> et vérification des outils  à travers la matrice d’évaluation établis par les évaluateurs et la connaissance de code de conduite</w:t>
            </w:r>
          </w:p>
        </w:tc>
        <w:tc>
          <w:tcPr>
            <w:tcW w:w="283" w:type="dxa"/>
            <w:shd w:val="clear" w:color="auto" w:fill="000000" w:themeFill="text1"/>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405E7" w:rsidRDefault="000405E7"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405E7" w:rsidRDefault="000405E7"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405E7" w:rsidRPr="00314106" w:rsidRDefault="00607289" w:rsidP="00607289">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RRA</w:t>
            </w:r>
          </w:p>
        </w:tc>
      </w:tr>
      <w:tr w:rsidR="000B7E1B" w:rsidTr="00EA19A4">
        <w:trPr>
          <w:jc w:val="center"/>
        </w:trPr>
        <w:tc>
          <w:tcPr>
            <w:tcW w:w="2444" w:type="dxa"/>
          </w:tcPr>
          <w:p w:rsidR="000B7E1B" w:rsidRPr="000B7E1B" w:rsidRDefault="000B7E1B" w:rsidP="000405E7">
            <w:pPr>
              <w:spacing w:before="100" w:beforeAutospacing="1" w:after="100" w:afterAutospacing="1" w:line="312" w:lineRule="auto"/>
              <w:rPr>
                <w:rFonts w:eastAsia="Times New Roman" w:cs="Times New Roman"/>
                <w:bCs/>
                <w:color w:val="333333"/>
                <w:sz w:val="16"/>
              </w:rPr>
            </w:pPr>
            <w:r w:rsidRPr="000B7E1B">
              <w:rPr>
                <w:rFonts w:eastAsia="Times New Roman" w:cs="Times New Roman"/>
                <w:bCs/>
                <w:color w:val="333333"/>
                <w:sz w:val="16"/>
              </w:rPr>
              <w:t>Finalisation de l’élaboration et des méthodes d’évaluation et préparation du rapport initial détaillé</w:t>
            </w:r>
          </w:p>
        </w:tc>
        <w:tc>
          <w:tcPr>
            <w:tcW w:w="283"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607289" w:rsidP="00314106">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Chargés programm/comité  pilotage</w:t>
            </w:r>
          </w:p>
        </w:tc>
      </w:tr>
      <w:tr w:rsidR="000B7E1B" w:rsidTr="00EA19A4">
        <w:trPr>
          <w:jc w:val="center"/>
        </w:trPr>
        <w:tc>
          <w:tcPr>
            <w:tcW w:w="2444" w:type="dxa"/>
          </w:tcPr>
          <w:p w:rsidR="000B7E1B" w:rsidRDefault="000B7E1B" w:rsidP="000405E7">
            <w:pPr>
              <w:spacing w:before="100" w:beforeAutospacing="1" w:after="100" w:afterAutospacing="1" w:line="312" w:lineRule="auto"/>
              <w:rPr>
                <w:rFonts w:eastAsia="Times New Roman" w:cs="Times New Roman"/>
                <w:bCs/>
                <w:color w:val="333333"/>
                <w:sz w:val="20"/>
              </w:rPr>
            </w:pPr>
            <w:r w:rsidRPr="000B7E1B">
              <w:rPr>
                <w:rFonts w:eastAsia="Times New Roman" w:cs="Times New Roman"/>
                <w:bCs/>
                <w:color w:val="333333"/>
                <w:sz w:val="16"/>
              </w:rPr>
              <w:t>Mission d’évaluation interne (visites sur le terrain, entretiens, questionnaires)</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000000" w:themeFill="text1"/>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314106" w:rsidP="00314106">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Comité pilotage  évaluateur</w:t>
            </w:r>
          </w:p>
        </w:tc>
      </w:tr>
      <w:tr w:rsidR="000B7E1B" w:rsidTr="00EA19A4">
        <w:trPr>
          <w:jc w:val="center"/>
        </w:trPr>
        <w:tc>
          <w:tcPr>
            <w:tcW w:w="2444" w:type="dxa"/>
          </w:tcPr>
          <w:p w:rsidR="000B7E1B" w:rsidRPr="000B7E1B" w:rsidRDefault="000B7E1B" w:rsidP="000B7E1B">
            <w:pPr>
              <w:spacing w:before="100" w:beforeAutospacing="1" w:after="100" w:afterAutospacing="1" w:line="312" w:lineRule="auto"/>
              <w:jc w:val="both"/>
              <w:rPr>
                <w:rFonts w:eastAsia="Times New Roman" w:cs="Times New Roman"/>
                <w:bCs/>
                <w:color w:val="333333"/>
                <w:sz w:val="16"/>
              </w:rPr>
            </w:pPr>
            <w:r w:rsidRPr="000B7E1B">
              <w:rPr>
                <w:rFonts w:eastAsia="Times New Roman" w:cs="Times New Roman"/>
                <w:bCs/>
                <w:color w:val="333333"/>
                <w:sz w:val="16"/>
              </w:rPr>
              <w:t xml:space="preserve">Préparation du projet de rapport </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314106" w:rsidP="00607289">
            <w:pPr>
              <w:spacing w:before="100" w:beforeAutospacing="1" w:after="100" w:afterAutospacing="1" w:line="312" w:lineRule="auto"/>
              <w:jc w:val="center"/>
              <w:rPr>
                <w:rFonts w:eastAsia="Times New Roman" w:cs="Times New Roman"/>
                <w:b/>
                <w:bCs/>
                <w:i/>
                <w:color w:val="333333"/>
                <w:sz w:val="16"/>
              </w:rPr>
            </w:pPr>
            <w:r w:rsidRPr="00314106">
              <w:rPr>
                <w:rFonts w:eastAsia="Times New Roman" w:cs="Times New Roman"/>
                <w:b/>
                <w:bCs/>
                <w:i/>
                <w:color w:val="333333"/>
                <w:sz w:val="16"/>
              </w:rPr>
              <w:t>évaluateur</w:t>
            </w:r>
          </w:p>
        </w:tc>
      </w:tr>
      <w:tr w:rsidR="000B7E1B" w:rsidTr="00EA19A4">
        <w:trPr>
          <w:jc w:val="center"/>
        </w:trPr>
        <w:tc>
          <w:tcPr>
            <w:tcW w:w="2444" w:type="dxa"/>
          </w:tcPr>
          <w:p w:rsidR="000B7E1B" w:rsidRPr="000B7E1B" w:rsidRDefault="000B7E1B" w:rsidP="000B7E1B">
            <w:pPr>
              <w:spacing w:before="100" w:beforeAutospacing="1" w:after="100" w:afterAutospacing="1" w:line="312" w:lineRule="auto"/>
              <w:jc w:val="both"/>
              <w:rPr>
                <w:rFonts w:eastAsia="Times New Roman" w:cs="Times New Roman"/>
                <w:bCs/>
                <w:color w:val="333333"/>
                <w:sz w:val="16"/>
              </w:rPr>
            </w:pPr>
            <w:r w:rsidRPr="000B7E1B">
              <w:rPr>
                <w:rFonts w:eastAsia="Times New Roman" w:cs="Times New Roman"/>
                <w:bCs/>
                <w:color w:val="333333"/>
                <w:sz w:val="16"/>
              </w:rPr>
              <w:t xml:space="preserve">Réunion des parties prenantes et révision du projet de rapport (pour l’assurance qualité) </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314106" w:rsidP="00607289">
            <w:pPr>
              <w:spacing w:before="100" w:beforeAutospacing="1" w:after="100" w:afterAutospacing="1" w:line="312" w:lineRule="auto"/>
              <w:jc w:val="center"/>
              <w:rPr>
                <w:rFonts w:eastAsia="Times New Roman" w:cs="Times New Roman"/>
                <w:b/>
                <w:bCs/>
                <w:i/>
                <w:color w:val="333333"/>
                <w:sz w:val="16"/>
              </w:rPr>
            </w:pPr>
            <w:r>
              <w:rPr>
                <w:rFonts w:eastAsia="Times New Roman" w:cs="Times New Roman"/>
                <w:b/>
                <w:bCs/>
                <w:i/>
                <w:color w:val="333333"/>
                <w:sz w:val="16"/>
              </w:rPr>
              <w:t>Comités de pilotage</w:t>
            </w:r>
          </w:p>
        </w:tc>
      </w:tr>
      <w:tr w:rsidR="00607289" w:rsidTr="00EA19A4">
        <w:trPr>
          <w:jc w:val="center"/>
        </w:trPr>
        <w:tc>
          <w:tcPr>
            <w:tcW w:w="2444" w:type="dxa"/>
          </w:tcPr>
          <w:p w:rsidR="000B7E1B" w:rsidRPr="000B7E1B" w:rsidRDefault="000B7E1B" w:rsidP="000B7E1B">
            <w:pPr>
              <w:spacing w:before="100" w:beforeAutospacing="1" w:after="100" w:afterAutospacing="1" w:line="312" w:lineRule="auto"/>
              <w:jc w:val="both"/>
              <w:rPr>
                <w:rFonts w:eastAsia="Times New Roman" w:cs="Times New Roman"/>
                <w:bCs/>
                <w:color w:val="333333"/>
                <w:sz w:val="16"/>
              </w:rPr>
            </w:pPr>
            <w:r w:rsidRPr="000B7E1B">
              <w:rPr>
                <w:rFonts w:eastAsia="Times New Roman" w:cs="Times New Roman"/>
                <w:bCs/>
                <w:color w:val="333333"/>
                <w:sz w:val="16"/>
              </w:rPr>
              <w:t xml:space="preserve">Incorporation des commentaires et finalisation du rapport d’évaluation </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314106" w:rsidP="00607289">
            <w:pPr>
              <w:spacing w:before="100" w:beforeAutospacing="1" w:after="100" w:afterAutospacing="1" w:line="312" w:lineRule="auto"/>
              <w:jc w:val="center"/>
              <w:rPr>
                <w:rFonts w:eastAsia="Times New Roman" w:cs="Times New Roman"/>
                <w:b/>
                <w:bCs/>
                <w:i/>
                <w:color w:val="333333"/>
                <w:sz w:val="16"/>
              </w:rPr>
            </w:pPr>
            <w:r>
              <w:rPr>
                <w:rFonts w:eastAsia="Times New Roman" w:cs="Times New Roman"/>
                <w:b/>
                <w:bCs/>
                <w:i/>
                <w:color w:val="333333"/>
                <w:sz w:val="16"/>
              </w:rPr>
              <w:t>Evaluateur</w:t>
            </w:r>
          </w:p>
        </w:tc>
      </w:tr>
      <w:tr w:rsidR="00607289" w:rsidTr="00EA19A4">
        <w:trPr>
          <w:jc w:val="center"/>
        </w:trPr>
        <w:tc>
          <w:tcPr>
            <w:tcW w:w="2444" w:type="dxa"/>
          </w:tcPr>
          <w:p w:rsidR="000B7E1B" w:rsidRDefault="000B7E1B" w:rsidP="000405E7">
            <w:pPr>
              <w:spacing w:before="100" w:beforeAutospacing="1" w:after="100" w:afterAutospacing="1" w:line="312" w:lineRule="auto"/>
              <w:rPr>
                <w:rFonts w:eastAsia="Times New Roman" w:cs="Times New Roman"/>
                <w:bCs/>
                <w:color w:val="333333"/>
                <w:sz w:val="20"/>
              </w:rPr>
            </w:pPr>
            <w:r w:rsidRPr="000B7E1B">
              <w:rPr>
                <w:rFonts w:eastAsia="Times New Roman" w:cs="Times New Roman"/>
                <w:bCs/>
                <w:color w:val="333333"/>
                <w:sz w:val="16"/>
              </w:rPr>
              <w:t>Gestion de réponse</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314106" w:rsidRDefault="00314106" w:rsidP="00607289">
            <w:pPr>
              <w:spacing w:before="100" w:beforeAutospacing="1" w:after="100" w:afterAutospacing="1" w:line="312" w:lineRule="auto"/>
              <w:jc w:val="center"/>
              <w:rPr>
                <w:rFonts w:eastAsia="Times New Roman" w:cs="Times New Roman"/>
                <w:b/>
                <w:bCs/>
                <w:i/>
                <w:color w:val="333333"/>
                <w:sz w:val="16"/>
              </w:rPr>
            </w:pPr>
            <w:r>
              <w:rPr>
                <w:rFonts w:eastAsia="Times New Roman" w:cs="Times New Roman"/>
                <w:b/>
                <w:bCs/>
                <w:i/>
                <w:color w:val="333333"/>
                <w:sz w:val="16"/>
              </w:rPr>
              <w:t>Comités de pilotage</w:t>
            </w:r>
          </w:p>
        </w:tc>
      </w:tr>
      <w:tr w:rsidR="00607289" w:rsidTr="00EA19A4">
        <w:trPr>
          <w:jc w:val="center"/>
        </w:trPr>
        <w:tc>
          <w:tcPr>
            <w:tcW w:w="2444" w:type="dxa"/>
          </w:tcPr>
          <w:p w:rsidR="000B7E1B" w:rsidRPr="000B7E1B" w:rsidRDefault="00607289" w:rsidP="000405E7">
            <w:pPr>
              <w:spacing w:before="100" w:beforeAutospacing="1" w:after="100" w:afterAutospacing="1" w:line="312" w:lineRule="auto"/>
              <w:rPr>
                <w:rFonts w:eastAsia="Times New Roman" w:cs="Times New Roman"/>
                <w:bCs/>
                <w:color w:val="333333"/>
                <w:sz w:val="16"/>
              </w:rPr>
            </w:pPr>
            <w:r>
              <w:rPr>
                <w:rFonts w:eastAsia="Times New Roman" w:cs="Times New Roman"/>
                <w:bCs/>
                <w:color w:val="333333"/>
                <w:sz w:val="16"/>
              </w:rPr>
              <w:t>Soumission au ERC</w:t>
            </w: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4"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283" w:type="dxa"/>
            <w:shd w:val="clear" w:color="auto" w:fill="D9D9D9" w:themeFill="background1" w:themeFillShade="D9"/>
          </w:tcPr>
          <w:p w:rsidR="000B7E1B" w:rsidRDefault="000B7E1B" w:rsidP="00B563D4">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5" w:type="dxa"/>
            <w:shd w:val="clear" w:color="auto" w:fill="D9D9D9" w:themeFill="background1" w:themeFillShade="D9"/>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426" w:type="dxa"/>
            <w:shd w:val="clear" w:color="auto" w:fill="000000" w:themeFill="text1"/>
          </w:tcPr>
          <w:p w:rsidR="000B7E1B" w:rsidRDefault="000B7E1B" w:rsidP="00AF48D2">
            <w:pPr>
              <w:spacing w:before="100" w:beforeAutospacing="1" w:after="100" w:afterAutospacing="1" w:line="312" w:lineRule="auto"/>
              <w:jc w:val="both"/>
              <w:rPr>
                <w:rFonts w:eastAsia="Times New Roman" w:cs="Times New Roman"/>
                <w:bCs/>
                <w:color w:val="333333"/>
              </w:rPr>
            </w:pPr>
          </w:p>
        </w:tc>
        <w:tc>
          <w:tcPr>
            <w:tcW w:w="1307" w:type="dxa"/>
            <w:vAlign w:val="center"/>
          </w:tcPr>
          <w:p w:rsidR="000B7E1B" w:rsidRPr="00607289" w:rsidRDefault="00314106" w:rsidP="00607289">
            <w:pPr>
              <w:spacing w:before="100" w:beforeAutospacing="1" w:after="100" w:afterAutospacing="1" w:line="312" w:lineRule="auto"/>
              <w:jc w:val="center"/>
              <w:rPr>
                <w:rFonts w:eastAsia="Times New Roman" w:cs="Times New Roman"/>
                <w:bCs/>
                <w:color w:val="333333"/>
                <w:sz w:val="18"/>
              </w:rPr>
            </w:pPr>
            <w:r>
              <w:rPr>
                <w:rFonts w:eastAsia="Times New Roman" w:cs="Times New Roman"/>
                <w:bCs/>
                <w:color w:val="333333"/>
                <w:sz w:val="18"/>
              </w:rPr>
              <w:t>Point focal ERC</w:t>
            </w:r>
          </w:p>
        </w:tc>
      </w:tr>
    </w:tbl>
    <w:p w:rsidR="00607289" w:rsidRDefault="00607289" w:rsidP="00607289">
      <w:pPr>
        <w:spacing w:before="100" w:beforeAutospacing="1" w:after="100" w:afterAutospacing="1" w:line="312" w:lineRule="auto"/>
        <w:jc w:val="both"/>
        <w:rPr>
          <w:rFonts w:eastAsia="Times New Roman" w:cs="Times New Roman"/>
          <w:bCs/>
          <w:color w:val="333333"/>
        </w:rPr>
        <w:sectPr w:rsidR="00607289" w:rsidSect="00906822">
          <w:pgSz w:w="15840" w:h="12240" w:orient="landscape"/>
          <w:pgMar w:top="709" w:right="1134" w:bottom="851" w:left="1276" w:header="709" w:footer="709" w:gutter="0"/>
          <w:cols w:space="708"/>
          <w:docGrid w:linePitch="360"/>
        </w:sectPr>
      </w:pPr>
    </w:p>
    <w:p w:rsidR="009363BE" w:rsidRPr="00F4186E" w:rsidRDefault="009363BE" w:rsidP="00F4186E">
      <w:pPr>
        <w:spacing w:after="0" w:line="312" w:lineRule="auto"/>
        <w:ind w:left="426" w:hanging="426"/>
        <w:jc w:val="both"/>
        <w:rPr>
          <w:rFonts w:eastAsia="Times New Roman" w:cs="Times New Roman"/>
          <w:b/>
          <w:color w:val="003399"/>
          <w:sz w:val="36"/>
          <w:szCs w:val="29"/>
        </w:rPr>
      </w:pPr>
      <w:r w:rsidRPr="00F4186E">
        <w:rPr>
          <w:rFonts w:eastAsia="Times New Roman" w:cs="Times New Roman"/>
          <w:b/>
          <w:color w:val="003399"/>
          <w:sz w:val="36"/>
          <w:szCs w:val="29"/>
        </w:rPr>
        <w:lastRenderedPageBreak/>
        <w:t>12. Annexes des termes de référence</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Cadre des résultats de l’intervention</w:t>
      </w:r>
    </w:p>
    <w:p w:rsidR="008D4A56" w:rsidRPr="007C6C06" w:rsidRDefault="008D4A56"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Listes des </w:t>
      </w:r>
      <w:r w:rsidR="009363BE" w:rsidRPr="007C6C06">
        <w:rPr>
          <w:rFonts w:eastAsia="Times New Roman" w:cs="Times New Roman"/>
          <w:bCs/>
          <w:color w:val="333333"/>
          <w:sz w:val="20"/>
        </w:rPr>
        <w:t xml:space="preserve">Principales parties prenantes et principaux partenaires </w:t>
      </w:r>
    </w:p>
    <w:p w:rsidR="008D4A56" w:rsidRPr="007C6C06" w:rsidRDefault="008D4A56"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Site à visiter</w:t>
      </w:r>
    </w:p>
    <w:p w:rsidR="008D4A56" w:rsidRPr="007C6C06" w:rsidRDefault="008D4A56"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Pages </w:t>
      </w:r>
      <w:r w:rsidR="009363BE" w:rsidRPr="007C6C06">
        <w:rPr>
          <w:rFonts w:eastAsia="Times New Roman" w:cs="Times New Roman"/>
          <w:bCs/>
          <w:color w:val="333333"/>
          <w:sz w:val="20"/>
        </w:rPr>
        <w:t xml:space="preserve">Internet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Des documents de stratégie nationale adaptés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Des documents stratégiques et d’autres documents de planification (par ex. documents relatifs au programme et au projet)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Plans de suivi et indicateurs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Arrangements de partenariat (par ex. accords de coopération avec les gouvernements ou les partenaires)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Evaluations et appréciations précédentes </w:t>
      </w:r>
    </w:p>
    <w:p w:rsidR="008D4A56" w:rsidRPr="007C6C06" w:rsidRDefault="009363BE" w:rsidP="008D4A56">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Politique d’évaluation du PNUD, normes UNEG et autres documents relatifs aux politiques </w:t>
      </w:r>
    </w:p>
    <w:p w:rsidR="00906822" w:rsidRPr="007C6C06" w:rsidRDefault="009363BE" w:rsidP="00906822">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Format requis pour le rapport initial </w:t>
      </w:r>
    </w:p>
    <w:p w:rsidR="00FF05DD" w:rsidRDefault="009363BE" w:rsidP="00FF05DD">
      <w:pPr>
        <w:pStyle w:val="Paragraphedeliste"/>
        <w:numPr>
          <w:ilvl w:val="1"/>
          <w:numId w:val="16"/>
        </w:numPr>
        <w:tabs>
          <w:tab w:val="left" w:pos="993"/>
          <w:tab w:val="left" w:pos="1134"/>
        </w:tabs>
        <w:spacing w:after="0" w:line="312" w:lineRule="auto"/>
        <w:jc w:val="both"/>
        <w:rPr>
          <w:rFonts w:eastAsia="Times New Roman" w:cs="Times New Roman"/>
          <w:bCs/>
          <w:color w:val="333333"/>
          <w:sz w:val="20"/>
        </w:rPr>
      </w:pPr>
      <w:r w:rsidRPr="007C6C06">
        <w:rPr>
          <w:rFonts w:eastAsia="Times New Roman" w:cs="Times New Roman"/>
          <w:bCs/>
          <w:color w:val="333333"/>
          <w:sz w:val="20"/>
        </w:rPr>
        <w:t xml:space="preserve">La matrice d’évaluation </w:t>
      </w:r>
      <w:r w:rsidR="00FF05DD" w:rsidRPr="007C6C06">
        <w:rPr>
          <w:rFonts w:eastAsia="Times New Roman" w:cs="Times New Roman"/>
          <w:bCs/>
          <w:color w:val="333333"/>
          <w:sz w:val="20"/>
        </w:rPr>
        <w:t xml:space="preserve">détaillant le </w:t>
      </w:r>
      <w:r w:rsidR="00906822" w:rsidRPr="007C6C06">
        <w:rPr>
          <w:rFonts w:eastAsia="Times New Roman" w:cs="Times New Roman"/>
          <w:bCs/>
          <w:color w:val="333333"/>
          <w:sz w:val="20"/>
        </w:rPr>
        <w:t>programme des activités, jalons et prestations – Basé sur calendrier présent dans les Termes de référence</w:t>
      </w:r>
      <w:r w:rsidR="00FF05DD" w:rsidRPr="007C6C06">
        <w:rPr>
          <w:rFonts w:eastAsia="Times New Roman" w:cs="Times New Roman"/>
          <w:bCs/>
          <w:color w:val="333333"/>
          <w:sz w:val="20"/>
        </w:rPr>
        <w:t xml:space="preserve"> (modèle ci-</w:t>
      </w:r>
      <w:r w:rsidR="00E05F31" w:rsidRPr="007C6C06">
        <w:rPr>
          <w:rFonts w:eastAsia="Times New Roman" w:cs="Times New Roman"/>
          <w:bCs/>
          <w:color w:val="333333"/>
          <w:sz w:val="20"/>
        </w:rPr>
        <w:t>dessous)</w:t>
      </w:r>
      <w:r w:rsidR="00FF05DD" w:rsidRPr="007C6C06">
        <w:rPr>
          <w:rFonts w:eastAsia="Times New Roman" w:cs="Times New Roman"/>
          <w:bCs/>
          <w:color w:val="333333"/>
          <w:sz w:val="20"/>
        </w:rPr>
        <w:t xml:space="preserve"> </w:t>
      </w:r>
    </w:p>
    <w:p w:rsidR="00E05F31" w:rsidRPr="007C6C06" w:rsidRDefault="00E05F31" w:rsidP="00E05F31">
      <w:pPr>
        <w:pStyle w:val="Paragraphedeliste"/>
        <w:tabs>
          <w:tab w:val="left" w:pos="993"/>
          <w:tab w:val="left" w:pos="1134"/>
        </w:tabs>
        <w:spacing w:after="0" w:line="312" w:lineRule="auto"/>
        <w:ind w:left="1440"/>
        <w:jc w:val="both"/>
        <w:rPr>
          <w:rFonts w:eastAsia="Times New Roman" w:cs="Times New Roman"/>
          <w:bCs/>
          <w:color w:val="333333"/>
          <w:sz w:val="20"/>
        </w:rPr>
      </w:pPr>
    </w:p>
    <w:p w:rsidR="009363BE" w:rsidRPr="00A83AF9" w:rsidRDefault="009363BE" w:rsidP="00FF05DD">
      <w:pPr>
        <w:pStyle w:val="Paragraphedeliste"/>
        <w:tabs>
          <w:tab w:val="left" w:pos="993"/>
          <w:tab w:val="left" w:pos="1134"/>
        </w:tabs>
        <w:spacing w:after="0" w:line="312" w:lineRule="auto"/>
        <w:ind w:left="1440"/>
        <w:jc w:val="both"/>
        <w:rPr>
          <w:rFonts w:eastAsia="Times New Roman" w:cs="Times New Roman"/>
          <w:bCs/>
          <w:color w:val="333333"/>
        </w:rPr>
      </w:pPr>
      <w:r w:rsidRPr="00A83AF9">
        <w:rPr>
          <w:rFonts w:eastAsia="Times New Roman" w:cs="Times New Roman"/>
          <w:bCs/>
          <w:color w:val="333333"/>
        </w:rPr>
        <w:t xml:space="preserve">A – Exemple de matrice d’évaluation </w:t>
      </w:r>
    </w:p>
    <w:tbl>
      <w:tblPr>
        <w:tblpPr w:leftFromText="45" w:rightFromText="45" w:vertAnchor="text"/>
        <w:tblW w:w="5033" w:type="pct"/>
        <w:tblCellSpacing w:w="0" w:type="dxa"/>
        <w:tblCellMar>
          <w:top w:w="60" w:type="dxa"/>
          <w:left w:w="60" w:type="dxa"/>
          <w:bottom w:w="60" w:type="dxa"/>
          <w:right w:w="60" w:type="dxa"/>
        </w:tblCellMar>
        <w:tblLook w:val="04A0" w:firstRow="1" w:lastRow="0" w:firstColumn="1" w:lastColumn="0" w:noHBand="0" w:noVBand="1"/>
      </w:tblPr>
      <w:tblGrid>
        <w:gridCol w:w="1372"/>
        <w:gridCol w:w="1266"/>
        <w:gridCol w:w="1266"/>
        <w:gridCol w:w="1266"/>
        <w:gridCol w:w="1341"/>
        <w:gridCol w:w="1447"/>
        <w:gridCol w:w="1615"/>
      </w:tblGrid>
      <w:tr w:rsidR="009363BE" w:rsidRPr="00A83AF9" w:rsidTr="00906822">
        <w:trPr>
          <w:tblCellSpacing w:w="0" w:type="dxa"/>
        </w:trPr>
        <w:tc>
          <w:tcPr>
            <w:tcW w:w="1372"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lang w:val="en-US"/>
              </w:rPr>
            </w:pPr>
            <w:r w:rsidRPr="00906822">
              <w:rPr>
                <w:rFonts w:eastAsia="Times New Roman" w:cs="Times New Roman"/>
                <w:b/>
                <w:bCs/>
                <w:color w:val="333333"/>
                <w:sz w:val="18"/>
                <w:lang w:val="en-US"/>
              </w:rPr>
              <w:t>Critères d’évaluation appropriés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lang w:val="en-US"/>
              </w:rPr>
            </w:pPr>
            <w:r w:rsidRPr="00906822">
              <w:rPr>
                <w:rFonts w:eastAsia="Times New Roman" w:cs="Times New Roman"/>
                <w:b/>
                <w:bCs/>
                <w:color w:val="333333"/>
                <w:sz w:val="18"/>
                <w:lang w:val="en-US"/>
              </w:rPr>
              <w:t>Questions clés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lang w:val="en-US"/>
              </w:rPr>
            </w:pPr>
            <w:r w:rsidRPr="00906822">
              <w:rPr>
                <w:rFonts w:eastAsia="Times New Roman" w:cs="Times New Roman"/>
                <w:b/>
                <w:bCs/>
                <w:color w:val="333333"/>
                <w:sz w:val="18"/>
                <w:lang w:val="en-US"/>
              </w:rPr>
              <w:t>Sous-questions spécifiques</w:t>
            </w:r>
          </w:p>
        </w:tc>
        <w:tc>
          <w:tcPr>
            <w:tcW w:w="1266"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lang w:val="en-US"/>
              </w:rPr>
            </w:pPr>
            <w:r w:rsidRPr="00906822">
              <w:rPr>
                <w:rFonts w:eastAsia="Times New Roman" w:cs="Times New Roman"/>
                <w:b/>
                <w:bCs/>
                <w:color w:val="333333"/>
                <w:sz w:val="18"/>
                <w:lang w:val="en-US"/>
              </w:rPr>
              <w:t>Sources de données</w:t>
            </w:r>
          </w:p>
        </w:tc>
        <w:tc>
          <w:tcPr>
            <w:tcW w:w="1341"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rPr>
            </w:pPr>
            <w:r w:rsidRPr="00906822">
              <w:rPr>
                <w:rFonts w:eastAsia="Times New Roman" w:cs="Times New Roman"/>
                <w:b/>
                <w:bCs/>
                <w:color w:val="333333"/>
                <w:sz w:val="18"/>
              </w:rPr>
              <w:t>Méthodes / Outils de collecte des données</w:t>
            </w:r>
          </w:p>
        </w:tc>
        <w:tc>
          <w:tcPr>
            <w:tcW w:w="1447"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lang w:val="en-US"/>
              </w:rPr>
            </w:pPr>
            <w:r w:rsidRPr="00906822">
              <w:rPr>
                <w:rFonts w:eastAsia="Times New Roman" w:cs="Times New Roman"/>
                <w:b/>
                <w:bCs/>
                <w:color w:val="333333"/>
                <w:sz w:val="18"/>
                <w:lang w:val="en-US"/>
              </w:rPr>
              <w:t>Indicateurs/ Norme de réussite</w:t>
            </w:r>
          </w:p>
        </w:tc>
        <w:tc>
          <w:tcPr>
            <w:tcW w:w="1615" w:type="dxa"/>
            <w:tcBorders>
              <w:top w:val="single" w:sz="6" w:space="0" w:color="CCCCCC"/>
              <w:left w:val="single" w:sz="6" w:space="0" w:color="CCCCCC"/>
              <w:bottom w:val="single" w:sz="6" w:space="0" w:color="CCCCCC"/>
              <w:right w:val="single" w:sz="6" w:space="0" w:color="CCCCCC"/>
            </w:tcBorders>
            <w:shd w:val="clear" w:color="auto" w:fill="CCCCCC"/>
            <w:hideMark/>
          </w:tcPr>
          <w:p w:rsidR="009363BE" w:rsidRPr="00906822" w:rsidRDefault="009363BE" w:rsidP="00906822">
            <w:pPr>
              <w:spacing w:before="100" w:beforeAutospacing="1" w:after="100" w:afterAutospacing="1" w:line="312" w:lineRule="auto"/>
              <w:jc w:val="center"/>
              <w:rPr>
                <w:rFonts w:eastAsia="Times New Roman" w:cs="Times New Roman"/>
                <w:b/>
                <w:color w:val="333333"/>
                <w:sz w:val="18"/>
                <w:szCs w:val="18"/>
              </w:rPr>
            </w:pPr>
            <w:r w:rsidRPr="00906822">
              <w:rPr>
                <w:rFonts w:eastAsia="Times New Roman" w:cs="Times New Roman"/>
                <w:b/>
                <w:bCs/>
                <w:color w:val="333333"/>
                <w:sz w:val="18"/>
              </w:rPr>
              <w:t>Méthodes pour analyser les données</w:t>
            </w:r>
          </w:p>
        </w:tc>
      </w:tr>
      <w:tr w:rsidR="009363BE" w:rsidRPr="00A83AF9" w:rsidTr="00906822">
        <w:trPr>
          <w:tblCellSpacing w:w="0" w:type="dxa"/>
        </w:trPr>
        <w:tc>
          <w:tcPr>
            <w:tcW w:w="1372"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341"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447"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615"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r>
      <w:tr w:rsidR="009363BE" w:rsidRPr="00A83AF9" w:rsidTr="00906822">
        <w:trPr>
          <w:tblCellSpacing w:w="0" w:type="dxa"/>
        </w:trPr>
        <w:tc>
          <w:tcPr>
            <w:tcW w:w="1372"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266"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341"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447"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c>
          <w:tcPr>
            <w:tcW w:w="1615" w:type="dxa"/>
            <w:tcBorders>
              <w:top w:val="single" w:sz="6" w:space="0" w:color="CCCCCC"/>
              <w:left w:val="single" w:sz="6" w:space="0" w:color="CCCCCC"/>
              <w:bottom w:val="single" w:sz="6" w:space="0" w:color="CCCCCC"/>
              <w:right w:val="single" w:sz="6" w:space="0" w:color="CCCCCC"/>
            </w:tcBorders>
            <w:hideMark/>
          </w:tcPr>
          <w:p w:rsidR="009363BE" w:rsidRPr="00A83AF9" w:rsidRDefault="009363BE" w:rsidP="00B563D4">
            <w:pPr>
              <w:spacing w:before="100" w:beforeAutospacing="1" w:after="100" w:afterAutospacing="1" w:line="312" w:lineRule="auto"/>
              <w:jc w:val="both"/>
              <w:rPr>
                <w:rFonts w:eastAsia="Times New Roman" w:cs="Times New Roman"/>
                <w:color w:val="333333"/>
                <w:sz w:val="18"/>
                <w:szCs w:val="18"/>
              </w:rPr>
            </w:pPr>
            <w:r w:rsidRPr="00A83AF9">
              <w:rPr>
                <w:rFonts w:eastAsia="Times New Roman" w:cs="Times New Roman"/>
                <w:bCs/>
                <w:color w:val="333333"/>
                <w:sz w:val="18"/>
              </w:rPr>
              <w:t> </w:t>
            </w:r>
          </w:p>
        </w:tc>
      </w:tr>
    </w:tbl>
    <w:p w:rsidR="009363BE" w:rsidRPr="00A83AF9" w:rsidRDefault="009363BE" w:rsidP="00B563D4">
      <w:pPr>
        <w:spacing w:after="0" w:line="312" w:lineRule="auto"/>
        <w:jc w:val="both"/>
        <w:rPr>
          <w:rFonts w:eastAsia="Times New Roman" w:cs="Times New Roman"/>
          <w:bCs/>
          <w:color w:val="333333"/>
        </w:rPr>
      </w:pPr>
    </w:p>
    <w:p w:rsidR="009363BE" w:rsidRPr="00A83AF9" w:rsidRDefault="009363BE" w:rsidP="000C5374">
      <w:pPr>
        <w:spacing w:before="100" w:beforeAutospacing="1" w:after="100" w:afterAutospacing="1" w:line="312" w:lineRule="auto"/>
        <w:jc w:val="both"/>
        <w:rPr>
          <w:rFonts w:eastAsia="Times New Roman" w:cs="Times New Roman"/>
          <w:bCs/>
          <w:color w:val="333333"/>
        </w:rPr>
      </w:pPr>
      <w:r w:rsidRPr="00A83AF9">
        <w:rPr>
          <w:rFonts w:eastAsia="Times New Roman" w:cs="Times New Roman"/>
          <w:bCs/>
          <w:color w:val="333333"/>
        </w:rPr>
        <w:t> </w:t>
      </w:r>
      <w:r w:rsidR="000C5374">
        <w:rPr>
          <w:rFonts w:eastAsia="Times New Roman" w:cs="Times New Roman"/>
          <w:bCs/>
          <w:color w:val="333333"/>
        </w:rPr>
        <w:t xml:space="preserve">                                                                                                                                                                                                                                                                                                                                                                                                                                                                                                                    </w:t>
      </w:r>
    </w:p>
    <w:p w:rsidR="00B33B97" w:rsidRPr="00A83AF9" w:rsidRDefault="00DE79A0" w:rsidP="00B563D4">
      <w:pPr>
        <w:jc w:val="both"/>
      </w:pPr>
    </w:p>
    <w:sectPr w:rsidR="00B33B97" w:rsidRPr="00A83AF9" w:rsidSect="00607289">
      <w:pgSz w:w="12240" w:h="15840"/>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A0" w:rsidRDefault="00DE79A0" w:rsidP="00B37138">
      <w:pPr>
        <w:spacing w:after="0" w:line="240" w:lineRule="auto"/>
      </w:pPr>
      <w:r>
        <w:separator/>
      </w:r>
    </w:p>
  </w:endnote>
  <w:endnote w:type="continuationSeparator" w:id="0">
    <w:p w:rsidR="00DE79A0" w:rsidRDefault="00DE79A0" w:rsidP="00B3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1633"/>
      <w:docPartObj>
        <w:docPartGallery w:val="Page Numbers (Bottom of Page)"/>
        <w:docPartUnique/>
      </w:docPartObj>
    </w:sdtPr>
    <w:sdtEndPr/>
    <w:sdtContent>
      <w:sdt>
        <w:sdtPr>
          <w:id w:val="-1769616900"/>
          <w:docPartObj>
            <w:docPartGallery w:val="Page Numbers (Top of Page)"/>
            <w:docPartUnique/>
          </w:docPartObj>
        </w:sdtPr>
        <w:sdtEndPr/>
        <w:sdtContent>
          <w:p w:rsidR="006265DF" w:rsidRDefault="006265D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C1297F">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C1297F">
              <w:rPr>
                <w:b/>
                <w:bCs/>
                <w:noProof/>
              </w:rPr>
              <w:t>13</w:t>
            </w:r>
            <w:r>
              <w:rPr>
                <w:b/>
                <w:bCs/>
                <w:sz w:val="24"/>
                <w:szCs w:val="24"/>
              </w:rPr>
              <w:fldChar w:fldCharType="end"/>
            </w:r>
          </w:p>
        </w:sdtContent>
      </w:sdt>
    </w:sdtContent>
  </w:sdt>
  <w:p w:rsidR="006265DF" w:rsidRDefault="006265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A0" w:rsidRDefault="00DE79A0" w:rsidP="00B37138">
      <w:pPr>
        <w:spacing w:after="0" w:line="240" w:lineRule="auto"/>
      </w:pPr>
      <w:r>
        <w:separator/>
      </w:r>
    </w:p>
  </w:footnote>
  <w:footnote w:type="continuationSeparator" w:id="0">
    <w:p w:rsidR="00DE79A0" w:rsidRDefault="00DE79A0" w:rsidP="00B37138">
      <w:pPr>
        <w:spacing w:after="0" w:line="240" w:lineRule="auto"/>
      </w:pPr>
      <w:r>
        <w:continuationSeparator/>
      </w:r>
    </w:p>
  </w:footnote>
  <w:footnote w:id="1">
    <w:p w:rsidR="004A14B5" w:rsidRDefault="004A14B5" w:rsidP="004A14B5">
      <w:pPr>
        <w:pStyle w:val="Notedebasdepage"/>
        <w:rPr>
          <w:rFonts w:ascii="Times New Roman" w:hAnsi="Times New Roman"/>
          <w:sz w:val="15"/>
          <w:szCs w:val="15"/>
          <w:lang w:val="fr-FR"/>
        </w:rPr>
      </w:pPr>
      <w:r>
        <w:rPr>
          <w:rStyle w:val="Appelnotedebasdep"/>
          <w:sz w:val="15"/>
          <w:szCs w:val="15"/>
        </w:rPr>
        <w:footnoteRef/>
      </w:r>
      <w:r>
        <w:rPr>
          <w:sz w:val="15"/>
          <w:szCs w:val="15"/>
          <w:lang w:val="fr-FR"/>
        </w:rPr>
        <w:t xml:space="preserve"> La sécurité individuelle mesurée à travers la sécurité individuelle, les services de police, les troubles sociaux, la criminalité violente, violence politique et trafic d’être humain classe la RCA comme avant dernier pays africains. Cet indicateur traduit le sentiment d’insécurité des populations. </w:t>
      </w:r>
    </w:p>
  </w:footnote>
  <w:footnote w:id="2">
    <w:p w:rsidR="004A14B5" w:rsidRDefault="004A14B5" w:rsidP="004A14B5">
      <w:pPr>
        <w:pStyle w:val="Notedebasdepage"/>
        <w:rPr>
          <w:sz w:val="15"/>
          <w:szCs w:val="15"/>
          <w:lang w:val="fr-FR"/>
        </w:rPr>
      </w:pPr>
      <w:r>
        <w:rPr>
          <w:rStyle w:val="Appelnotedebasdep"/>
          <w:sz w:val="15"/>
          <w:szCs w:val="15"/>
        </w:rPr>
        <w:footnoteRef/>
      </w:r>
      <w:r>
        <w:rPr>
          <w:sz w:val="15"/>
          <w:szCs w:val="15"/>
          <w:lang w:val="fr-FR"/>
        </w:rPr>
        <w:t xml:space="preserve"> Mesurée par l’indice de gouvernance en Afrique de Mo Ibrahim classe la RCA en 2015 parmi les pays les moins performants (52</w:t>
      </w:r>
      <w:r>
        <w:rPr>
          <w:sz w:val="15"/>
          <w:szCs w:val="15"/>
          <w:vertAlign w:val="superscript"/>
          <w:lang w:val="fr-FR"/>
        </w:rPr>
        <w:t>ème</w:t>
      </w:r>
      <w:r>
        <w:rPr>
          <w:sz w:val="15"/>
          <w:szCs w:val="15"/>
          <w:lang w:val="fr-FR"/>
        </w:rPr>
        <w:t xml:space="preserve"> sur 54 avec un score de 24.9/100)</w:t>
      </w:r>
    </w:p>
  </w:footnote>
  <w:footnote w:id="3">
    <w:p w:rsidR="004A14B5" w:rsidRDefault="004A14B5" w:rsidP="004A14B5">
      <w:pPr>
        <w:pStyle w:val="Notedebasdepage"/>
        <w:rPr>
          <w:sz w:val="15"/>
          <w:szCs w:val="15"/>
          <w:lang w:val="fr-FR"/>
        </w:rPr>
      </w:pPr>
      <w:r>
        <w:rPr>
          <w:rStyle w:val="Appelnotedebasdep"/>
          <w:sz w:val="15"/>
          <w:szCs w:val="15"/>
        </w:rPr>
        <w:footnoteRef/>
      </w:r>
      <w:r>
        <w:rPr>
          <w:sz w:val="15"/>
          <w:szCs w:val="15"/>
          <w:lang w:val="fr-FR"/>
        </w:rPr>
        <w:t xml:space="preserve"> 145</w:t>
      </w:r>
      <w:r>
        <w:rPr>
          <w:sz w:val="15"/>
          <w:szCs w:val="15"/>
          <w:vertAlign w:val="superscript"/>
          <w:lang w:val="fr-FR"/>
        </w:rPr>
        <w:t>ème</w:t>
      </w:r>
      <w:r>
        <w:rPr>
          <w:sz w:val="15"/>
          <w:szCs w:val="15"/>
          <w:lang w:val="fr-FR"/>
        </w:rPr>
        <w:t xml:space="preserve"> sur 168 avec un score de 24/100 alors que la moyenne africaine se situe à 33/100 selon le rapport annuel 2015 de Transparency International</w:t>
      </w:r>
    </w:p>
  </w:footnote>
  <w:footnote w:id="4">
    <w:p w:rsidR="004A14B5" w:rsidRDefault="004A14B5" w:rsidP="004A14B5">
      <w:pPr>
        <w:pStyle w:val="Notedebasdepage"/>
        <w:rPr>
          <w:sz w:val="15"/>
          <w:szCs w:val="15"/>
          <w:lang w:val="fr-FR"/>
        </w:rPr>
      </w:pPr>
      <w:r>
        <w:rPr>
          <w:rStyle w:val="Appelnotedebasdep"/>
          <w:sz w:val="15"/>
          <w:szCs w:val="15"/>
        </w:rPr>
        <w:footnoteRef/>
      </w:r>
      <w:r>
        <w:rPr>
          <w:sz w:val="15"/>
          <w:szCs w:val="15"/>
          <w:lang w:val="fr-FR"/>
        </w:rPr>
        <w:t xml:space="preserve"> La capacité de production électrique installée est seulement de 40MW, dont environ 10MW venant des centrales hydroélectriques de Boali. La biomasse représente 85% du bilan énergétique.</w:t>
      </w:r>
    </w:p>
  </w:footnote>
  <w:footnote w:id="5">
    <w:p w:rsidR="004A14B5" w:rsidRDefault="004A14B5" w:rsidP="004A14B5">
      <w:pPr>
        <w:pStyle w:val="Notedebasdepage"/>
        <w:rPr>
          <w:sz w:val="15"/>
          <w:szCs w:val="15"/>
          <w:lang w:val="fr-FR"/>
        </w:rPr>
      </w:pPr>
      <w:r>
        <w:rPr>
          <w:rStyle w:val="Appelnotedebasdep"/>
          <w:sz w:val="15"/>
          <w:szCs w:val="15"/>
        </w:rPr>
        <w:footnoteRef/>
      </w:r>
      <w:r>
        <w:rPr>
          <w:sz w:val="15"/>
          <w:szCs w:val="15"/>
          <w:lang w:val="fr-FR"/>
        </w:rPr>
        <w:t xml:space="preserve"> Selon le rapport de suivi des OMD 2015, plus de 70% des centrafricains vivent en dessous du seuil de pauvreté avec moins de $1,25 par jour</w:t>
      </w:r>
    </w:p>
  </w:footnote>
  <w:footnote w:id="6">
    <w:p w:rsidR="004A14B5" w:rsidRDefault="004A14B5" w:rsidP="004A14B5">
      <w:pPr>
        <w:pStyle w:val="Notedebasdepage"/>
        <w:rPr>
          <w:sz w:val="15"/>
          <w:szCs w:val="15"/>
          <w:lang w:val="fr-FR"/>
        </w:rPr>
      </w:pPr>
      <w:r>
        <w:rPr>
          <w:rStyle w:val="Appelnotedebasdep"/>
          <w:sz w:val="15"/>
          <w:szCs w:val="15"/>
        </w:rPr>
        <w:footnoteRef/>
      </w:r>
      <w:r>
        <w:rPr>
          <w:sz w:val="15"/>
          <w:szCs w:val="15"/>
          <w:lang w:val="fr-FR"/>
        </w:rPr>
        <w:t xml:space="preserve"> Selon l’enquête du PAM relative à l’analyse globale de la vulnérabilité, de la sécurité alimentaire et de la malnutrition, publiée en 2010, 30,2 % des ménages étaient en situation d’insécurité alimentaire soit 1 221 008 personnes.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80" type="#_x0000_t75" style="width:3in;height:3in" o:bullet="t"/>
    </w:pict>
  </w:numPicBullet>
  <w:numPicBullet w:numPicBulletId="1">
    <w:pict>
      <v:shape id="_x0000_i2181" type="#_x0000_t75" style="width:3in;height:3in" o:bullet="t"/>
    </w:pict>
  </w:numPicBullet>
  <w:numPicBullet w:numPicBulletId="2">
    <w:pict>
      <v:shape id="_x0000_i2182" type="#_x0000_t75" style="width:3in;height:3in" o:bullet="t"/>
    </w:pict>
  </w:numPicBullet>
  <w:numPicBullet w:numPicBulletId="3">
    <w:pict>
      <v:shape id="_x0000_i2183" type="#_x0000_t75" style="width:3in;height:3in" o:bullet="t"/>
    </w:pict>
  </w:numPicBullet>
  <w:numPicBullet w:numPicBulletId="4">
    <w:pict>
      <v:shape id="_x0000_i2184" type="#_x0000_t75" style="width:3in;height:3in" o:bullet="t"/>
    </w:pict>
  </w:numPicBullet>
  <w:numPicBullet w:numPicBulletId="5">
    <w:pict>
      <v:shape id="_x0000_i2185" type="#_x0000_t75" style="width:3in;height:3in" o:bullet="t"/>
    </w:pict>
  </w:numPicBullet>
  <w:numPicBullet w:numPicBulletId="6">
    <w:pict>
      <v:shape id="_x0000_i2186" type="#_x0000_t75" style="width:3in;height:3in" o:bullet="t"/>
    </w:pict>
  </w:numPicBullet>
  <w:numPicBullet w:numPicBulletId="7">
    <w:pict>
      <v:shape id="_x0000_i2187" type="#_x0000_t75" style="width:3in;height:3in" o:bullet="t"/>
    </w:pict>
  </w:numPicBullet>
  <w:numPicBullet w:numPicBulletId="8">
    <w:pict>
      <v:shape id="_x0000_i2188" type="#_x0000_t75" style="width:3in;height:3in" o:bullet="t"/>
    </w:pict>
  </w:numPicBullet>
  <w:numPicBullet w:numPicBulletId="9">
    <w:pict>
      <v:shape id="_x0000_i2189" type="#_x0000_t75" style="width:3in;height:3in" o:bullet="t"/>
    </w:pict>
  </w:numPicBullet>
  <w:numPicBullet w:numPicBulletId="10">
    <w:pict>
      <v:shape id="_x0000_i2190" type="#_x0000_t75" style="width:3in;height:3in" o:bullet="t"/>
    </w:pict>
  </w:numPicBullet>
  <w:numPicBullet w:numPicBulletId="11">
    <w:pict>
      <v:shape id="_x0000_i2191" type="#_x0000_t75" style="width:3in;height:3in" o:bullet="t"/>
    </w:pict>
  </w:numPicBullet>
  <w:numPicBullet w:numPicBulletId="12">
    <w:pict>
      <v:shape id="_x0000_i2192" type="#_x0000_t75" style="width:3in;height:3in" o:bullet="t"/>
    </w:pict>
  </w:numPicBullet>
  <w:numPicBullet w:numPicBulletId="13">
    <w:pict>
      <v:shape id="_x0000_i2193" type="#_x0000_t75" style="width:3in;height:3in" o:bullet="t"/>
    </w:pict>
  </w:numPicBullet>
  <w:numPicBullet w:numPicBulletId="14">
    <w:pict>
      <v:shape id="_x0000_i2194" type="#_x0000_t75" style="width:3in;height:3in" o:bullet="t"/>
    </w:pict>
  </w:numPicBullet>
  <w:numPicBullet w:numPicBulletId="15">
    <w:pict>
      <v:shape id="_x0000_i2195" type="#_x0000_t75" style="width:3in;height:3in" o:bullet="t"/>
    </w:pict>
  </w:numPicBullet>
  <w:numPicBullet w:numPicBulletId="16">
    <w:pict>
      <v:shape id="_x0000_i2196" type="#_x0000_t75" style="width:3in;height:3in" o:bullet="t"/>
    </w:pict>
  </w:numPicBullet>
  <w:numPicBullet w:numPicBulletId="17">
    <w:pict>
      <v:shape id="_x0000_i2197" type="#_x0000_t75" style="width:3in;height:3in" o:bullet="t"/>
    </w:pict>
  </w:numPicBullet>
  <w:abstractNum w:abstractNumId="0" w15:restartNumberingAfterBreak="0">
    <w:nsid w:val="076F6E33"/>
    <w:multiLevelType w:val="multilevel"/>
    <w:tmpl w:val="D286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CB3"/>
    <w:multiLevelType w:val="hybridMultilevel"/>
    <w:tmpl w:val="CB647050"/>
    <w:lvl w:ilvl="0" w:tplc="D65AF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1B5"/>
    <w:multiLevelType w:val="multilevel"/>
    <w:tmpl w:val="D2861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F2637"/>
    <w:multiLevelType w:val="hybridMultilevel"/>
    <w:tmpl w:val="2DD23E32"/>
    <w:lvl w:ilvl="0" w:tplc="5DE6B256">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7853CA"/>
    <w:multiLevelType w:val="multilevel"/>
    <w:tmpl w:val="64A2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F2266"/>
    <w:multiLevelType w:val="hybridMultilevel"/>
    <w:tmpl w:val="C39CE82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1FB92DC2"/>
    <w:multiLevelType w:val="multilevel"/>
    <w:tmpl w:val="539AA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6"/>
      <w:lvlJc w:val="left"/>
      <w:pPr>
        <w:tabs>
          <w:tab w:val="num" w:pos="1440"/>
        </w:tabs>
        <w:ind w:left="1440" w:hanging="360"/>
      </w:pPr>
      <w:rPr>
        <w:rFonts w:ascii="Calibri" w:eastAsia="Times New Roman" w:hAnsi="Calibri" w:cs="Times New Roman"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A5491"/>
    <w:multiLevelType w:val="multilevel"/>
    <w:tmpl w:val="2976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52FE6"/>
    <w:multiLevelType w:val="multilevel"/>
    <w:tmpl w:val="6A80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D0D77"/>
    <w:multiLevelType w:val="multilevel"/>
    <w:tmpl w:val="6044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27FEE"/>
    <w:multiLevelType w:val="multilevel"/>
    <w:tmpl w:val="50B6B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2572B"/>
    <w:multiLevelType w:val="hybridMultilevel"/>
    <w:tmpl w:val="CC30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B7859"/>
    <w:multiLevelType w:val="multilevel"/>
    <w:tmpl w:val="86D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897BA1"/>
    <w:multiLevelType w:val="multilevel"/>
    <w:tmpl w:val="5D5E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92425A"/>
    <w:multiLevelType w:val="hybridMultilevel"/>
    <w:tmpl w:val="8368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671D8"/>
    <w:multiLevelType w:val="hybridMultilevel"/>
    <w:tmpl w:val="5672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F0275"/>
    <w:multiLevelType w:val="multilevel"/>
    <w:tmpl w:val="F4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D7D88"/>
    <w:multiLevelType w:val="hybridMultilevel"/>
    <w:tmpl w:val="5EAC6F7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F50421D"/>
    <w:multiLevelType w:val="hybridMultilevel"/>
    <w:tmpl w:val="39B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F69BD"/>
    <w:multiLevelType w:val="hybridMultilevel"/>
    <w:tmpl w:val="66BC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E00764"/>
    <w:multiLevelType w:val="hybridMultilevel"/>
    <w:tmpl w:val="F556679E"/>
    <w:lvl w:ilvl="0" w:tplc="D65AF2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B7EFE"/>
    <w:multiLevelType w:val="multilevel"/>
    <w:tmpl w:val="75DC1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6"/>
      <w:lvlJc w:val="left"/>
      <w:pPr>
        <w:tabs>
          <w:tab w:val="num" w:pos="1440"/>
        </w:tabs>
        <w:ind w:left="1440" w:hanging="360"/>
      </w:pPr>
      <w:rPr>
        <w:rFonts w:ascii="Calibri" w:eastAsia="Times New Roman" w:hAnsi="Calibri" w:cs="Times New Roman"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D36D5"/>
    <w:multiLevelType w:val="hybridMultilevel"/>
    <w:tmpl w:val="75D274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74356CB2"/>
    <w:multiLevelType w:val="hybridMultilevel"/>
    <w:tmpl w:val="E0908FA0"/>
    <w:lvl w:ilvl="0" w:tplc="040C000F">
      <w:start w:val="1"/>
      <w:numFmt w:val="decimal"/>
      <w:lvlText w:val="%1."/>
      <w:lvlJc w:val="left"/>
      <w:pPr>
        <w:ind w:left="900" w:hanging="360"/>
      </w:pPr>
    </w:lvl>
    <w:lvl w:ilvl="1" w:tplc="040C0013">
      <w:start w:val="1"/>
      <w:numFmt w:val="upperRoman"/>
      <w:lvlText w:val="%2."/>
      <w:lvlJc w:val="right"/>
      <w:pPr>
        <w:ind w:left="1620" w:hanging="360"/>
      </w:pPr>
    </w:lvl>
    <w:lvl w:ilvl="2" w:tplc="69509304">
      <w:start w:val="1"/>
      <w:numFmt w:val="lowerLetter"/>
      <w:lvlText w:val="%3."/>
      <w:lvlJc w:val="left"/>
      <w:pPr>
        <w:ind w:left="2520" w:hanging="360"/>
      </w:pPr>
    </w:lvl>
    <w:lvl w:ilvl="3" w:tplc="040C000F">
      <w:start w:val="1"/>
      <w:numFmt w:val="decimal"/>
      <w:lvlText w:val="%4."/>
      <w:lvlJc w:val="left"/>
      <w:pPr>
        <w:ind w:left="3060" w:hanging="360"/>
      </w:pPr>
    </w:lvl>
    <w:lvl w:ilvl="4" w:tplc="040C0019">
      <w:start w:val="1"/>
      <w:numFmt w:val="lowerLetter"/>
      <w:lvlText w:val="%5."/>
      <w:lvlJc w:val="left"/>
      <w:pPr>
        <w:ind w:left="3780" w:hanging="360"/>
      </w:pPr>
    </w:lvl>
    <w:lvl w:ilvl="5" w:tplc="040C001B">
      <w:start w:val="1"/>
      <w:numFmt w:val="lowerRoman"/>
      <w:lvlText w:val="%6."/>
      <w:lvlJc w:val="right"/>
      <w:pPr>
        <w:ind w:left="4500" w:hanging="180"/>
      </w:pPr>
    </w:lvl>
    <w:lvl w:ilvl="6" w:tplc="040C000F">
      <w:start w:val="1"/>
      <w:numFmt w:val="decimal"/>
      <w:lvlText w:val="%7."/>
      <w:lvlJc w:val="left"/>
      <w:pPr>
        <w:ind w:left="5220" w:hanging="360"/>
      </w:pPr>
    </w:lvl>
    <w:lvl w:ilvl="7" w:tplc="040C0019">
      <w:start w:val="1"/>
      <w:numFmt w:val="lowerLetter"/>
      <w:lvlText w:val="%8."/>
      <w:lvlJc w:val="left"/>
      <w:pPr>
        <w:ind w:left="5940" w:hanging="360"/>
      </w:pPr>
    </w:lvl>
    <w:lvl w:ilvl="8" w:tplc="040C001B">
      <w:start w:val="1"/>
      <w:numFmt w:val="lowerRoman"/>
      <w:lvlText w:val="%9."/>
      <w:lvlJc w:val="right"/>
      <w:pPr>
        <w:ind w:left="6660" w:hanging="180"/>
      </w:pPr>
    </w:lvl>
  </w:abstractNum>
  <w:abstractNum w:abstractNumId="24" w15:restartNumberingAfterBreak="0">
    <w:nsid w:val="75B87790"/>
    <w:multiLevelType w:val="multilevel"/>
    <w:tmpl w:val="CD78FC14"/>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AA152FE"/>
    <w:multiLevelType w:val="hybridMultilevel"/>
    <w:tmpl w:val="2CF2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15F90"/>
    <w:multiLevelType w:val="multilevel"/>
    <w:tmpl w:val="C0B22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16"/>
      <w:lvlJc w:val="left"/>
      <w:pPr>
        <w:tabs>
          <w:tab w:val="num" w:pos="1440"/>
        </w:tabs>
        <w:ind w:left="1440" w:hanging="360"/>
      </w:pPr>
      <w:rPr>
        <w:rFonts w:ascii="Calibri" w:eastAsia="Times New Roman" w:hAnsi="Calibri" w:cs="Times New Roman"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9"/>
  </w:num>
  <w:num w:numId="4">
    <w:abstractNumId w:val="7"/>
  </w:num>
  <w:num w:numId="5">
    <w:abstractNumId w:val="8"/>
  </w:num>
  <w:num w:numId="6">
    <w:abstractNumId w:val="4"/>
  </w:num>
  <w:num w:numId="7">
    <w:abstractNumId w:val="0"/>
  </w:num>
  <w:num w:numId="8">
    <w:abstractNumId w:val="13"/>
  </w:num>
  <w:num w:numId="9">
    <w:abstractNumId w:val="18"/>
  </w:num>
  <w:num w:numId="10">
    <w:abstractNumId w:val="20"/>
  </w:num>
  <w:num w:numId="11">
    <w:abstractNumId w:val="15"/>
  </w:num>
  <w:num w:numId="12">
    <w:abstractNumId w:val="2"/>
  </w:num>
  <w:num w:numId="13">
    <w:abstractNumId w:val="21"/>
  </w:num>
  <w:num w:numId="14">
    <w:abstractNumId w:val="26"/>
  </w:num>
  <w:num w:numId="15">
    <w:abstractNumId w:val="6"/>
  </w:num>
  <w:num w:numId="16">
    <w:abstractNumId w:val="1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19"/>
  </w:num>
  <w:num w:numId="24">
    <w:abstractNumId w:val="11"/>
  </w:num>
  <w:num w:numId="25">
    <w:abstractNumId w:val="14"/>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29"/>
    <w:rsid w:val="00014F65"/>
    <w:rsid w:val="00020322"/>
    <w:rsid w:val="000405E7"/>
    <w:rsid w:val="00044237"/>
    <w:rsid w:val="00070B4A"/>
    <w:rsid w:val="000871C5"/>
    <w:rsid w:val="000B7E1B"/>
    <w:rsid w:val="000C3DFB"/>
    <w:rsid w:val="000C5374"/>
    <w:rsid w:val="000D5AA3"/>
    <w:rsid w:val="000F51A5"/>
    <w:rsid w:val="00104D08"/>
    <w:rsid w:val="00111074"/>
    <w:rsid w:val="00171045"/>
    <w:rsid w:val="00207764"/>
    <w:rsid w:val="00234610"/>
    <w:rsid w:val="00245212"/>
    <w:rsid w:val="0025484A"/>
    <w:rsid w:val="002667D8"/>
    <w:rsid w:val="00290380"/>
    <w:rsid w:val="002E2387"/>
    <w:rsid w:val="002E344F"/>
    <w:rsid w:val="00314106"/>
    <w:rsid w:val="003244DF"/>
    <w:rsid w:val="003574A5"/>
    <w:rsid w:val="003A2123"/>
    <w:rsid w:val="003A26D0"/>
    <w:rsid w:val="003C07CA"/>
    <w:rsid w:val="003E5B69"/>
    <w:rsid w:val="004136B3"/>
    <w:rsid w:val="00417DF6"/>
    <w:rsid w:val="00462382"/>
    <w:rsid w:val="00483634"/>
    <w:rsid w:val="004863D7"/>
    <w:rsid w:val="004A14B5"/>
    <w:rsid w:val="00576692"/>
    <w:rsid w:val="00592039"/>
    <w:rsid w:val="00607289"/>
    <w:rsid w:val="006265DF"/>
    <w:rsid w:val="00627129"/>
    <w:rsid w:val="00635CD5"/>
    <w:rsid w:val="00672728"/>
    <w:rsid w:val="00673396"/>
    <w:rsid w:val="00692FB7"/>
    <w:rsid w:val="00695EC7"/>
    <w:rsid w:val="006C678A"/>
    <w:rsid w:val="006D2ED4"/>
    <w:rsid w:val="0073513C"/>
    <w:rsid w:val="00765B92"/>
    <w:rsid w:val="007B27A0"/>
    <w:rsid w:val="007C6C06"/>
    <w:rsid w:val="007F6278"/>
    <w:rsid w:val="008210DB"/>
    <w:rsid w:val="00822AD1"/>
    <w:rsid w:val="00830C55"/>
    <w:rsid w:val="00845033"/>
    <w:rsid w:val="008512BB"/>
    <w:rsid w:val="00851695"/>
    <w:rsid w:val="008726EE"/>
    <w:rsid w:val="00883928"/>
    <w:rsid w:val="008A40CF"/>
    <w:rsid w:val="008C650A"/>
    <w:rsid w:val="008D4A56"/>
    <w:rsid w:val="008F1E02"/>
    <w:rsid w:val="00906822"/>
    <w:rsid w:val="00931A5C"/>
    <w:rsid w:val="009363BE"/>
    <w:rsid w:val="00963034"/>
    <w:rsid w:val="009772DE"/>
    <w:rsid w:val="009F7C97"/>
    <w:rsid w:val="00A51F77"/>
    <w:rsid w:val="00A53B99"/>
    <w:rsid w:val="00A549CC"/>
    <w:rsid w:val="00A83AF9"/>
    <w:rsid w:val="00A95FD3"/>
    <w:rsid w:val="00AA2B56"/>
    <w:rsid w:val="00AB65D0"/>
    <w:rsid w:val="00AD3EBF"/>
    <w:rsid w:val="00B33668"/>
    <w:rsid w:val="00B37138"/>
    <w:rsid w:val="00B43696"/>
    <w:rsid w:val="00B474DA"/>
    <w:rsid w:val="00B563D4"/>
    <w:rsid w:val="00B63AF1"/>
    <w:rsid w:val="00B84D35"/>
    <w:rsid w:val="00BC5EAC"/>
    <w:rsid w:val="00BE0380"/>
    <w:rsid w:val="00BE4FFD"/>
    <w:rsid w:val="00C01A24"/>
    <w:rsid w:val="00C1297F"/>
    <w:rsid w:val="00C62547"/>
    <w:rsid w:val="00C662A4"/>
    <w:rsid w:val="00CA0077"/>
    <w:rsid w:val="00CB2BFB"/>
    <w:rsid w:val="00CD4E7F"/>
    <w:rsid w:val="00CD7D45"/>
    <w:rsid w:val="00CE172F"/>
    <w:rsid w:val="00D176A3"/>
    <w:rsid w:val="00D2241C"/>
    <w:rsid w:val="00D56DBB"/>
    <w:rsid w:val="00D92212"/>
    <w:rsid w:val="00DA77BE"/>
    <w:rsid w:val="00DB111E"/>
    <w:rsid w:val="00DC7497"/>
    <w:rsid w:val="00DE79A0"/>
    <w:rsid w:val="00DF6E0F"/>
    <w:rsid w:val="00E00F66"/>
    <w:rsid w:val="00E02362"/>
    <w:rsid w:val="00E05F31"/>
    <w:rsid w:val="00E07C72"/>
    <w:rsid w:val="00E1445A"/>
    <w:rsid w:val="00E348D3"/>
    <w:rsid w:val="00E60652"/>
    <w:rsid w:val="00E6091B"/>
    <w:rsid w:val="00E6127E"/>
    <w:rsid w:val="00E777BD"/>
    <w:rsid w:val="00EA19A4"/>
    <w:rsid w:val="00ED26AB"/>
    <w:rsid w:val="00EF5734"/>
    <w:rsid w:val="00F16DD6"/>
    <w:rsid w:val="00F4186E"/>
    <w:rsid w:val="00F626BD"/>
    <w:rsid w:val="00FE1309"/>
    <w:rsid w:val="00FF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1B53"/>
  <w15:docId w15:val="{5262150C-F9AE-4FAD-9658-3A112CE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734"/>
    <w:rPr>
      <w:lang w:val="fr-FR"/>
    </w:rPr>
  </w:style>
  <w:style w:type="paragraph" w:styleId="Titre1">
    <w:name w:val="heading 1"/>
    <w:basedOn w:val="Normal"/>
    <w:link w:val="Titre1Car"/>
    <w:uiPriority w:val="9"/>
    <w:qFormat/>
    <w:rsid w:val="009363BE"/>
    <w:pPr>
      <w:spacing w:before="84" w:after="0" w:line="240" w:lineRule="auto"/>
      <w:outlineLvl w:val="0"/>
    </w:pPr>
    <w:rPr>
      <w:rFonts w:ascii="Trebuchet MS" w:eastAsia="Times New Roman" w:hAnsi="Trebuchet MS" w:cs="Times New Roman"/>
      <w:color w:val="003399"/>
      <w:kern w:val="36"/>
      <w:sz w:val="42"/>
      <w:szCs w:val="42"/>
      <w:lang w:val="en-US"/>
    </w:rPr>
  </w:style>
  <w:style w:type="paragraph" w:styleId="Titre6">
    <w:name w:val="heading 6"/>
    <w:basedOn w:val="Normal"/>
    <w:link w:val="Titre6Car"/>
    <w:uiPriority w:val="9"/>
    <w:qFormat/>
    <w:rsid w:val="009363BE"/>
    <w:pPr>
      <w:spacing w:after="0" w:line="312" w:lineRule="auto"/>
      <w:outlineLvl w:val="5"/>
    </w:pPr>
    <w:rPr>
      <w:rFonts w:ascii="Trebuchet MS" w:eastAsia="Times New Roman" w:hAnsi="Trebuchet MS" w:cs="Times New Roman"/>
      <w:color w:val="003399"/>
      <w:sz w:val="29"/>
      <w:szCs w:val="29"/>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unhideWhenUsed/>
    <w:rsid w:val="006271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129"/>
    <w:rPr>
      <w:rFonts w:ascii="Tahoma" w:hAnsi="Tahoma" w:cs="Tahoma"/>
      <w:sz w:val="16"/>
      <w:szCs w:val="16"/>
      <w:lang w:val="fr-FR"/>
    </w:rPr>
  </w:style>
  <w:style w:type="character" w:customStyle="1" w:styleId="Titre1Car">
    <w:name w:val="Titre 1 Car"/>
    <w:basedOn w:val="Policepardfaut"/>
    <w:link w:val="Titre1"/>
    <w:uiPriority w:val="9"/>
    <w:rsid w:val="009363BE"/>
    <w:rPr>
      <w:rFonts w:ascii="Trebuchet MS" w:eastAsia="Times New Roman" w:hAnsi="Trebuchet MS" w:cs="Times New Roman"/>
      <w:color w:val="003399"/>
      <w:kern w:val="36"/>
      <w:sz w:val="42"/>
      <w:szCs w:val="42"/>
    </w:rPr>
  </w:style>
  <w:style w:type="character" w:customStyle="1" w:styleId="Titre6Car">
    <w:name w:val="Titre 6 Car"/>
    <w:basedOn w:val="Policepardfaut"/>
    <w:link w:val="Titre6"/>
    <w:uiPriority w:val="9"/>
    <w:rsid w:val="009363BE"/>
    <w:rPr>
      <w:rFonts w:ascii="Trebuchet MS" w:eastAsia="Times New Roman" w:hAnsi="Trebuchet MS" w:cs="Times New Roman"/>
      <w:color w:val="003399"/>
      <w:sz w:val="29"/>
      <w:szCs w:val="29"/>
    </w:rPr>
  </w:style>
  <w:style w:type="character" w:styleId="Lienhypertexte">
    <w:name w:val="Hyperlink"/>
    <w:basedOn w:val="Policepardfaut"/>
    <w:uiPriority w:val="99"/>
    <w:semiHidden/>
    <w:unhideWhenUsed/>
    <w:rsid w:val="009363BE"/>
    <w:rPr>
      <w:strike w:val="0"/>
      <w:dstrike w:val="0"/>
      <w:color w:val="336699"/>
      <w:u w:val="none"/>
      <w:effect w:val="none"/>
    </w:rPr>
  </w:style>
  <w:style w:type="paragraph" w:styleId="NormalWeb">
    <w:name w:val="Normal (Web)"/>
    <w:basedOn w:val="Normal"/>
    <w:uiPriority w:val="99"/>
    <w:unhideWhenUsed/>
    <w:rsid w:val="009363BE"/>
    <w:pPr>
      <w:spacing w:before="100" w:beforeAutospacing="1" w:after="100" w:afterAutospacing="1" w:line="312"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9363BE"/>
    <w:rPr>
      <w:b/>
      <w:bCs/>
    </w:rPr>
  </w:style>
  <w:style w:type="paragraph" w:styleId="Notedebasdepage">
    <w:name w:val="footnote text"/>
    <w:basedOn w:val="Normal"/>
    <w:link w:val="NotedebasdepageCar"/>
    <w:uiPriority w:val="99"/>
    <w:semiHidden/>
    <w:unhideWhenUsed/>
    <w:rsid w:val="00B37138"/>
    <w:pPr>
      <w:spacing w:after="0" w:line="240" w:lineRule="auto"/>
    </w:pPr>
    <w:rPr>
      <w:rFonts w:ascii="Calibri" w:eastAsia="Calibri" w:hAnsi="Calibri" w:cs="Times New Roman"/>
      <w:sz w:val="20"/>
      <w:szCs w:val="20"/>
      <w:lang w:val="fr-CA"/>
    </w:rPr>
  </w:style>
  <w:style w:type="character" w:customStyle="1" w:styleId="NotedebasdepageCar">
    <w:name w:val="Note de bas de page Car"/>
    <w:basedOn w:val="Policepardfaut"/>
    <w:link w:val="Notedebasdepage"/>
    <w:uiPriority w:val="99"/>
    <w:semiHidden/>
    <w:rsid w:val="00B37138"/>
    <w:rPr>
      <w:rFonts w:ascii="Calibri" w:eastAsia="Calibri" w:hAnsi="Calibri" w:cs="Times New Roman"/>
      <w:sz w:val="20"/>
      <w:szCs w:val="20"/>
      <w:lang w:val="fr-CA"/>
    </w:rPr>
  </w:style>
  <w:style w:type="character" w:styleId="Appelnotedebasdep">
    <w:name w:val="footnote reference"/>
    <w:basedOn w:val="Policepardfaut"/>
    <w:uiPriority w:val="99"/>
    <w:semiHidden/>
    <w:unhideWhenUsed/>
    <w:rsid w:val="00B37138"/>
    <w:rPr>
      <w:vertAlign w:val="superscript"/>
    </w:rPr>
  </w:style>
  <w:style w:type="paragraph" w:customStyle="1" w:styleId="SingleTxt">
    <w:name w:val="__Single Txt"/>
    <w:basedOn w:val="Normal"/>
    <w:rsid w:val="000D5A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styleId="Corpsdetexte">
    <w:name w:val="Body Text"/>
    <w:basedOn w:val="Normal"/>
    <w:link w:val="CorpsdetexteCar"/>
    <w:rsid w:val="00695EC7"/>
    <w:pPr>
      <w:spacing w:after="0" w:line="360" w:lineRule="auto"/>
      <w:jc w:val="both"/>
    </w:pPr>
    <w:rPr>
      <w:rFonts w:ascii="Times New Roman" w:eastAsia="Times New Roman" w:hAnsi="Times New Roman" w:cs="Times New Roman"/>
      <w:sz w:val="24"/>
      <w:szCs w:val="24"/>
      <w:lang w:val="en-GB" w:eastAsia="en-GB"/>
    </w:rPr>
  </w:style>
  <w:style w:type="character" w:customStyle="1" w:styleId="CorpsdetexteCar">
    <w:name w:val="Corps de texte Car"/>
    <w:basedOn w:val="Policepardfaut"/>
    <w:link w:val="Corpsdetexte"/>
    <w:rsid w:val="00695EC7"/>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F4186E"/>
    <w:pPr>
      <w:ind w:left="720"/>
      <w:contextualSpacing/>
    </w:pPr>
  </w:style>
  <w:style w:type="paragraph" w:styleId="En-tte">
    <w:name w:val="header"/>
    <w:basedOn w:val="Normal"/>
    <w:link w:val="En-tteCar"/>
    <w:rsid w:val="00BE0380"/>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BE0380"/>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7351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A53B9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53B9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31195">
      <w:bodyDiv w:val="1"/>
      <w:marLeft w:val="0"/>
      <w:marRight w:val="0"/>
      <w:marTop w:val="0"/>
      <w:marBottom w:val="0"/>
      <w:divBdr>
        <w:top w:val="none" w:sz="0" w:space="0" w:color="auto"/>
        <w:left w:val="none" w:sz="0" w:space="0" w:color="auto"/>
        <w:bottom w:val="none" w:sz="0" w:space="0" w:color="auto"/>
        <w:right w:val="none" w:sz="0" w:space="0" w:color="auto"/>
      </w:divBdr>
    </w:div>
    <w:div w:id="12628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undp.org/images/cms/home/pnud_logo.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5013</Words>
  <Characters>28575</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m.mbringa-takama</dc:creator>
  <cp:keywords/>
  <dc:description/>
  <cp:lastModifiedBy>Edith  Assani</cp:lastModifiedBy>
  <cp:revision>2</cp:revision>
  <dcterms:created xsi:type="dcterms:W3CDTF">2016-12-31T15:39:00Z</dcterms:created>
  <dcterms:modified xsi:type="dcterms:W3CDTF">2016-12-31T15:39:00Z</dcterms:modified>
</cp:coreProperties>
</file>