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943" w:rsidRPr="00AF1C15" w:rsidRDefault="00AC0943" w:rsidP="00AC0943">
      <w:pPr>
        <w:spacing w:after="0" w:line="240" w:lineRule="auto"/>
        <w:jc w:val="center"/>
        <w:outlineLvl w:val="0"/>
        <w:rPr>
          <w:rFonts w:asciiTheme="minorHAnsi" w:hAnsiTheme="minorHAnsi"/>
          <w:b/>
          <w:color w:val="000000" w:themeColor="text1"/>
          <w:sz w:val="22"/>
        </w:rPr>
      </w:pPr>
      <w:r w:rsidRPr="00BE0B56">
        <w:rPr>
          <w:rFonts w:asciiTheme="minorHAnsi" w:hAnsiTheme="minorHAnsi"/>
          <w:b/>
          <w:color w:val="000000" w:themeColor="text1"/>
          <w:sz w:val="22"/>
        </w:rPr>
        <w:t>Annex: 1</w:t>
      </w:r>
      <w:r>
        <w:rPr>
          <w:rFonts w:asciiTheme="minorHAnsi" w:hAnsiTheme="minorHAnsi"/>
          <w:b/>
          <w:color w:val="000000" w:themeColor="text1"/>
          <w:sz w:val="22"/>
        </w:rPr>
        <w:t xml:space="preserve"> </w:t>
      </w:r>
      <w:r w:rsidRPr="00BE0B56">
        <w:rPr>
          <w:rFonts w:asciiTheme="minorHAnsi" w:hAnsiTheme="minorHAnsi"/>
          <w:b/>
          <w:sz w:val="22"/>
        </w:rPr>
        <w:t>Documents Reviewed</w:t>
      </w:r>
    </w:p>
    <w:p w:rsidR="00AC0943" w:rsidRPr="00BE0B56" w:rsidRDefault="00AC0943" w:rsidP="00AC0943">
      <w:pPr>
        <w:spacing w:after="0" w:line="240" w:lineRule="auto"/>
        <w:jc w:val="center"/>
        <w:rPr>
          <w:rFonts w:asciiTheme="minorHAnsi" w:hAnsiTheme="minorHAnsi"/>
          <w:i/>
          <w:sz w:val="22"/>
        </w:rPr>
      </w:pPr>
    </w:p>
    <w:p w:rsidR="00AC0943" w:rsidRPr="002904FA" w:rsidRDefault="00AC0943" w:rsidP="00AC0943">
      <w:pPr>
        <w:spacing w:after="0" w:line="240" w:lineRule="auto"/>
        <w:jc w:val="both"/>
        <w:rPr>
          <w:rFonts w:asciiTheme="minorHAnsi" w:hAnsiTheme="minorHAnsi"/>
          <w:sz w:val="22"/>
        </w:rPr>
      </w:pPr>
      <w:r w:rsidRPr="002904FA">
        <w:rPr>
          <w:rFonts w:asciiTheme="minorHAnsi" w:hAnsiTheme="minorHAnsi"/>
          <w:i/>
          <w:sz w:val="22"/>
        </w:rPr>
        <w:t>Post-Clearance Land Use in Cambodia</w:t>
      </w:r>
      <w:r w:rsidRPr="002904FA">
        <w:rPr>
          <w:rFonts w:asciiTheme="minorHAnsi" w:hAnsiTheme="minorHAnsi"/>
          <w:sz w:val="22"/>
        </w:rPr>
        <w:t xml:space="preserve"> Prepared for United Nations Development </w:t>
      </w:r>
      <w:proofErr w:type="spellStart"/>
      <w:r w:rsidRPr="002904FA">
        <w:rPr>
          <w:rFonts w:asciiTheme="minorHAnsi" w:hAnsiTheme="minorHAnsi"/>
          <w:sz w:val="22"/>
        </w:rPr>
        <w:t>Programme</w:t>
      </w:r>
      <w:proofErr w:type="spellEnd"/>
      <w:r w:rsidRPr="002904FA">
        <w:rPr>
          <w:rFonts w:asciiTheme="minorHAnsi" w:hAnsiTheme="minorHAnsi"/>
          <w:sz w:val="22"/>
        </w:rPr>
        <w:t xml:space="preserve"> by Jim Freedman and </w:t>
      </w:r>
      <w:proofErr w:type="spellStart"/>
      <w:r w:rsidRPr="002904FA">
        <w:rPr>
          <w:rFonts w:asciiTheme="minorHAnsi" w:hAnsiTheme="minorHAnsi"/>
          <w:sz w:val="22"/>
        </w:rPr>
        <w:t>Nhean</w:t>
      </w:r>
      <w:proofErr w:type="spellEnd"/>
      <w:r w:rsidRPr="002904FA">
        <w:rPr>
          <w:rFonts w:asciiTheme="minorHAnsi" w:hAnsiTheme="minorHAnsi"/>
          <w:sz w:val="22"/>
        </w:rPr>
        <w:t xml:space="preserve"> So </w:t>
      </w:r>
      <w:proofErr w:type="spellStart"/>
      <w:r w:rsidRPr="002904FA">
        <w:rPr>
          <w:rFonts w:asciiTheme="minorHAnsi" w:hAnsiTheme="minorHAnsi"/>
          <w:sz w:val="22"/>
        </w:rPr>
        <w:t>Munin</w:t>
      </w:r>
      <w:proofErr w:type="spellEnd"/>
      <w:r w:rsidRPr="002904FA">
        <w:rPr>
          <w:rFonts w:asciiTheme="minorHAnsi" w:hAnsiTheme="minorHAnsi"/>
          <w:sz w:val="22"/>
        </w:rPr>
        <w:t xml:space="preserve"> 15 March 2013</w:t>
      </w:r>
    </w:p>
    <w:p w:rsidR="00AC0943" w:rsidRPr="002904FA" w:rsidRDefault="00AC0943" w:rsidP="00AC0943">
      <w:pPr>
        <w:spacing w:after="0" w:line="240" w:lineRule="auto"/>
        <w:jc w:val="both"/>
        <w:rPr>
          <w:rFonts w:asciiTheme="minorHAnsi" w:hAnsiTheme="minorHAnsi"/>
          <w:sz w:val="22"/>
        </w:rPr>
      </w:pPr>
    </w:p>
    <w:p w:rsidR="00AC0943" w:rsidRPr="002904FA" w:rsidRDefault="00AC0943" w:rsidP="00AC0943">
      <w:pPr>
        <w:spacing w:after="0" w:line="240" w:lineRule="auto"/>
        <w:jc w:val="both"/>
        <w:rPr>
          <w:rFonts w:asciiTheme="minorHAnsi" w:hAnsiTheme="minorHAnsi"/>
          <w:sz w:val="22"/>
        </w:rPr>
      </w:pPr>
      <w:r w:rsidRPr="002904FA">
        <w:rPr>
          <w:rFonts w:asciiTheme="minorHAnsi" w:hAnsiTheme="minorHAnsi"/>
          <w:sz w:val="22"/>
        </w:rPr>
        <w:t>Clearing for Results Phase II, Annual Report 2013</w:t>
      </w:r>
    </w:p>
    <w:p w:rsidR="00AC0943" w:rsidRPr="002904FA" w:rsidRDefault="00AC0943" w:rsidP="00AC0943">
      <w:pPr>
        <w:spacing w:after="0" w:line="240" w:lineRule="auto"/>
        <w:jc w:val="both"/>
        <w:rPr>
          <w:rFonts w:asciiTheme="minorHAnsi" w:hAnsiTheme="minorHAnsi"/>
          <w:sz w:val="22"/>
        </w:rPr>
      </w:pPr>
    </w:p>
    <w:p w:rsidR="00AC0943" w:rsidRPr="002904FA" w:rsidRDefault="00AC0943" w:rsidP="00AC0943">
      <w:pPr>
        <w:spacing w:after="0" w:line="240" w:lineRule="auto"/>
        <w:jc w:val="both"/>
        <w:rPr>
          <w:rFonts w:asciiTheme="minorHAnsi" w:hAnsiTheme="minorHAnsi"/>
          <w:sz w:val="22"/>
        </w:rPr>
      </w:pPr>
      <w:r w:rsidRPr="002904FA">
        <w:rPr>
          <w:rFonts w:asciiTheme="minorHAnsi" w:hAnsiTheme="minorHAnsi"/>
          <w:sz w:val="22"/>
        </w:rPr>
        <w:t>Clearing for Results Phase II, Annual Report 2014</w:t>
      </w:r>
    </w:p>
    <w:p w:rsidR="00AC0943" w:rsidRPr="002904FA" w:rsidRDefault="00AC0943" w:rsidP="00AC0943">
      <w:pPr>
        <w:spacing w:after="0" w:line="240" w:lineRule="auto"/>
        <w:jc w:val="both"/>
        <w:rPr>
          <w:rFonts w:asciiTheme="minorHAnsi" w:hAnsiTheme="minorHAnsi"/>
          <w:sz w:val="22"/>
        </w:rPr>
      </w:pPr>
    </w:p>
    <w:p w:rsidR="00AC0943" w:rsidRPr="002904FA" w:rsidRDefault="00AC0943" w:rsidP="00AC0943">
      <w:pPr>
        <w:spacing w:after="0" w:line="240" w:lineRule="auto"/>
        <w:jc w:val="both"/>
        <w:rPr>
          <w:rFonts w:asciiTheme="minorHAnsi" w:hAnsiTheme="minorHAnsi"/>
          <w:sz w:val="22"/>
        </w:rPr>
      </w:pPr>
      <w:r w:rsidRPr="002904FA">
        <w:rPr>
          <w:rFonts w:asciiTheme="minorHAnsi" w:hAnsiTheme="minorHAnsi"/>
          <w:sz w:val="22"/>
        </w:rPr>
        <w:t>Clearing for Results Phase II</w:t>
      </w:r>
      <w:proofErr w:type="gramStart"/>
      <w:r w:rsidRPr="002904FA">
        <w:rPr>
          <w:rFonts w:asciiTheme="minorHAnsi" w:hAnsiTheme="minorHAnsi"/>
          <w:sz w:val="22"/>
        </w:rPr>
        <w:t>,  Quarterly</w:t>
      </w:r>
      <w:proofErr w:type="gramEnd"/>
      <w:r w:rsidRPr="002904FA">
        <w:rPr>
          <w:rFonts w:asciiTheme="minorHAnsi" w:hAnsiTheme="minorHAnsi"/>
          <w:sz w:val="22"/>
        </w:rPr>
        <w:t xml:space="preserve"> Reports 2013 – 2015 </w:t>
      </w:r>
    </w:p>
    <w:p w:rsidR="00AC0943" w:rsidRPr="002904FA" w:rsidRDefault="00AC0943" w:rsidP="00AC0943">
      <w:pPr>
        <w:spacing w:after="0" w:line="240" w:lineRule="auto"/>
        <w:jc w:val="both"/>
        <w:rPr>
          <w:rFonts w:asciiTheme="minorHAnsi" w:hAnsiTheme="minorHAnsi"/>
          <w:sz w:val="22"/>
        </w:rPr>
      </w:pPr>
    </w:p>
    <w:p w:rsidR="00AC0943" w:rsidRPr="002904FA" w:rsidRDefault="00AC0943" w:rsidP="00AC0943">
      <w:pPr>
        <w:spacing w:after="0" w:line="240" w:lineRule="auto"/>
        <w:jc w:val="both"/>
        <w:rPr>
          <w:rFonts w:asciiTheme="minorHAnsi" w:hAnsiTheme="minorHAnsi"/>
          <w:sz w:val="22"/>
        </w:rPr>
      </w:pPr>
      <w:r w:rsidRPr="002904FA">
        <w:rPr>
          <w:rFonts w:asciiTheme="minorHAnsi" w:hAnsiTheme="minorHAnsi"/>
          <w:sz w:val="22"/>
        </w:rPr>
        <w:t>Mid-Term Review (MTR) CFRII, June 2013</w:t>
      </w:r>
    </w:p>
    <w:p w:rsidR="00AC0943" w:rsidRPr="002904FA" w:rsidRDefault="00AC0943" w:rsidP="00AC0943">
      <w:pPr>
        <w:spacing w:after="0" w:line="240" w:lineRule="auto"/>
        <w:jc w:val="both"/>
        <w:rPr>
          <w:rFonts w:asciiTheme="minorHAnsi" w:hAnsiTheme="minorHAnsi"/>
          <w:sz w:val="22"/>
        </w:rPr>
      </w:pPr>
    </w:p>
    <w:p w:rsidR="00AC0943" w:rsidRPr="002904FA" w:rsidRDefault="00AC0943" w:rsidP="00AC0943">
      <w:pPr>
        <w:spacing w:line="240" w:lineRule="auto"/>
        <w:rPr>
          <w:rFonts w:asciiTheme="minorHAnsi" w:hAnsiTheme="minorHAnsi"/>
          <w:sz w:val="22"/>
        </w:rPr>
      </w:pPr>
      <w:r w:rsidRPr="002904FA">
        <w:rPr>
          <w:rFonts w:asciiTheme="minorHAnsi" w:hAnsiTheme="minorHAnsi"/>
          <w:sz w:val="22"/>
        </w:rPr>
        <w:t>Draft National Strategy Plan for Mine Action in Cambodia (v.3, early 2014?)</w:t>
      </w:r>
    </w:p>
    <w:p w:rsidR="00AC0943" w:rsidRPr="002904FA" w:rsidRDefault="00AC0943" w:rsidP="00AC0943">
      <w:pPr>
        <w:widowControl w:val="0"/>
        <w:autoSpaceDE w:val="0"/>
        <w:autoSpaceDN w:val="0"/>
        <w:adjustRightInd w:val="0"/>
        <w:spacing w:after="240" w:line="240" w:lineRule="auto"/>
        <w:rPr>
          <w:rFonts w:asciiTheme="minorHAnsi" w:hAnsiTheme="minorHAnsi" w:cs="Times"/>
          <w:sz w:val="22"/>
        </w:rPr>
      </w:pPr>
      <w:r w:rsidRPr="002904FA">
        <w:rPr>
          <w:rFonts w:asciiTheme="minorHAnsi" w:hAnsiTheme="minorHAnsi" w:cs="Times"/>
          <w:i/>
          <w:sz w:val="22"/>
        </w:rPr>
        <w:t>‘Informal Village Demining in Cambodia: An Operational Study’</w:t>
      </w:r>
      <w:r w:rsidRPr="002904FA">
        <w:rPr>
          <w:rFonts w:asciiTheme="minorHAnsi" w:hAnsiTheme="minorHAnsi" w:cs="Times"/>
          <w:sz w:val="22"/>
        </w:rPr>
        <w:t xml:space="preserve"> (Handicap International, 2005)</w:t>
      </w:r>
    </w:p>
    <w:p w:rsidR="00AC0943" w:rsidRPr="002904FA" w:rsidRDefault="00AC0943" w:rsidP="00AC0943">
      <w:pPr>
        <w:spacing w:line="240" w:lineRule="auto"/>
        <w:rPr>
          <w:sz w:val="22"/>
        </w:rPr>
      </w:pPr>
      <w:r w:rsidRPr="002904FA">
        <w:rPr>
          <w:sz w:val="22"/>
        </w:rPr>
        <w:t>Evaluation of the Results, including Impact, of UNDP Support to Countries on Mine Action (DRAFT), Independent Evaluation Office of the UNDP</w:t>
      </w:r>
      <w:proofErr w:type="gramStart"/>
      <w:r w:rsidRPr="002904FA">
        <w:rPr>
          <w:sz w:val="22"/>
        </w:rPr>
        <w:t>,  5</w:t>
      </w:r>
      <w:r w:rsidRPr="002904FA">
        <w:rPr>
          <w:sz w:val="22"/>
          <w:vertAlign w:val="superscript"/>
        </w:rPr>
        <w:t>th</w:t>
      </w:r>
      <w:proofErr w:type="gramEnd"/>
      <w:r w:rsidRPr="002904FA">
        <w:rPr>
          <w:sz w:val="22"/>
        </w:rPr>
        <w:t xml:space="preserve"> October 2015</w:t>
      </w:r>
    </w:p>
    <w:p w:rsidR="00AC0943" w:rsidRDefault="00AC0943" w:rsidP="00AC0943">
      <w:pPr>
        <w:pStyle w:val="FootnoteText"/>
        <w:jc w:val="both"/>
        <w:rPr>
          <w:rFonts w:asciiTheme="minorHAnsi" w:eastAsiaTheme="minorEastAsia" w:hAnsiTheme="minorHAnsi" w:cs="Arial"/>
          <w:color w:val="000000"/>
          <w:sz w:val="22"/>
          <w:szCs w:val="22"/>
        </w:rPr>
      </w:pPr>
      <w:r w:rsidRPr="002904FA">
        <w:rPr>
          <w:rFonts w:asciiTheme="minorHAnsi" w:eastAsiaTheme="minorEastAsia" w:hAnsiTheme="minorHAnsi" w:cs="Arial"/>
          <w:i/>
          <w:color w:val="000000"/>
          <w:sz w:val="22"/>
          <w:szCs w:val="22"/>
        </w:rPr>
        <w:t xml:space="preserve">Doing No Harm? Mine Action and Land Issues in </w:t>
      </w:r>
      <w:proofErr w:type="gramStart"/>
      <w:r w:rsidRPr="002904FA">
        <w:rPr>
          <w:rFonts w:asciiTheme="minorHAnsi" w:eastAsiaTheme="minorEastAsia" w:hAnsiTheme="minorHAnsi" w:cs="Arial"/>
          <w:i/>
          <w:color w:val="000000"/>
          <w:sz w:val="22"/>
          <w:szCs w:val="22"/>
        </w:rPr>
        <w:t>Cambodia</w:t>
      </w:r>
      <w:r w:rsidRPr="002904FA">
        <w:rPr>
          <w:rFonts w:asciiTheme="minorHAnsi" w:eastAsiaTheme="minorEastAsia" w:hAnsiTheme="minorHAnsi" w:cs="Arial"/>
          <w:color w:val="000000"/>
          <w:sz w:val="22"/>
          <w:szCs w:val="22"/>
        </w:rPr>
        <w:t xml:space="preserve">  GICHD</w:t>
      </w:r>
      <w:proofErr w:type="gramEnd"/>
      <w:r w:rsidRPr="002904FA">
        <w:rPr>
          <w:rFonts w:asciiTheme="minorHAnsi" w:eastAsiaTheme="minorEastAsia" w:hAnsiTheme="minorHAnsi" w:cs="Arial"/>
          <w:color w:val="000000"/>
          <w:sz w:val="22"/>
          <w:szCs w:val="22"/>
        </w:rPr>
        <w:t xml:space="preserve"> Report, September 2014</w:t>
      </w:r>
    </w:p>
    <w:p w:rsidR="00AC0943" w:rsidRPr="00411EED" w:rsidRDefault="00AC0943" w:rsidP="00AC0943">
      <w:pPr>
        <w:pStyle w:val="FootnoteText"/>
        <w:jc w:val="both"/>
        <w:rPr>
          <w:rFonts w:asciiTheme="minorHAnsi" w:hAnsiTheme="minorHAnsi"/>
          <w:sz w:val="22"/>
          <w:szCs w:val="22"/>
        </w:rPr>
      </w:pPr>
    </w:p>
    <w:p w:rsidR="00AC0943" w:rsidRDefault="00AC0943" w:rsidP="00AC0943">
      <w:pPr>
        <w:spacing w:after="0" w:line="240" w:lineRule="auto"/>
        <w:rPr>
          <w:rFonts w:asciiTheme="minorHAnsi" w:hAnsiTheme="minorHAnsi"/>
          <w:bCs/>
          <w:sz w:val="22"/>
        </w:rPr>
      </w:pPr>
      <w:r w:rsidRPr="002904FA">
        <w:rPr>
          <w:rFonts w:asciiTheme="minorHAnsi" w:hAnsiTheme="minorHAnsi"/>
          <w:bCs/>
          <w:sz w:val="22"/>
        </w:rPr>
        <w:t>Capacity Assessment Report and Capacity Building Plan of the Department of General Administration, Cambodia Mine Action Authority (CMAA), January 2011</w:t>
      </w:r>
    </w:p>
    <w:p w:rsidR="00AC0943" w:rsidRPr="00411EED" w:rsidRDefault="00AC0943" w:rsidP="00AC0943">
      <w:pPr>
        <w:spacing w:after="0" w:line="240" w:lineRule="auto"/>
        <w:rPr>
          <w:rFonts w:asciiTheme="minorHAnsi" w:hAnsiTheme="minorHAnsi"/>
          <w:bCs/>
          <w:sz w:val="22"/>
        </w:rPr>
      </w:pPr>
    </w:p>
    <w:p w:rsidR="00AC0943" w:rsidRPr="002904FA" w:rsidRDefault="00AC0943" w:rsidP="00AC09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EastAsia" w:hAnsiTheme="minorHAnsi" w:cs="Tahoma"/>
          <w:color w:val="000000"/>
          <w:sz w:val="22"/>
        </w:rPr>
      </w:pPr>
      <w:r w:rsidRPr="002904FA">
        <w:rPr>
          <w:rFonts w:asciiTheme="minorHAnsi" w:eastAsiaTheme="minorEastAsia" w:hAnsiTheme="minorHAnsi" w:cs="Tahoma"/>
          <w:bCs/>
          <w:color w:val="000000"/>
          <w:sz w:val="22"/>
        </w:rPr>
        <w:t xml:space="preserve">“Rectangular Strategy” for Growth, Employment, Equity and Efficiency Phase II </w:t>
      </w:r>
      <w:r w:rsidRPr="002904FA">
        <w:rPr>
          <w:rFonts w:asciiTheme="minorHAnsi" w:eastAsiaTheme="minorEastAsia" w:hAnsiTheme="minorHAnsi" w:cs="Tahoma"/>
          <w:color w:val="000000"/>
          <w:sz w:val="22"/>
        </w:rPr>
        <w:t>First Cabinet Meeting of the Fourth Legislature of the National Assembly at the Office of the Council of Ministers Phnom Penh, 26 September 2008</w:t>
      </w:r>
    </w:p>
    <w:p w:rsidR="00AC0943" w:rsidRPr="002904FA" w:rsidRDefault="00AC0943" w:rsidP="00AC09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EastAsia" w:hAnsiTheme="minorHAnsi" w:cs="Tahoma"/>
          <w:color w:val="000000"/>
          <w:sz w:val="22"/>
        </w:rPr>
      </w:pPr>
    </w:p>
    <w:p w:rsidR="00AC0943" w:rsidRDefault="00AC0943" w:rsidP="00AC09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EastAsia" w:hAnsiTheme="minorHAnsi" w:cs="Tahoma"/>
          <w:color w:val="000000"/>
          <w:sz w:val="22"/>
        </w:rPr>
      </w:pPr>
      <w:r w:rsidRPr="002904FA">
        <w:rPr>
          <w:rFonts w:asciiTheme="minorHAnsi" w:eastAsiaTheme="minorEastAsia" w:hAnsiTheme="minorHAnsi" w:cs="Tahoma"/>
          <w:color w:val="000000"/>
          <w:sz w:val="22"/>
        </w:rPr>
        <w:t>NSPD, 2014-18</w:t>
      </w:r>
    </w:p>
    <w:p w:rsidR="00AC0943" w:rsidRPr="002904FA" w:rsidRDefault="00AC0943" w:rsidP="00AC09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EastAsia" w:hAnsiTheme="minorHAnsi" w:cs="Tahoma"/>
          <w:color w:val="000000"/>
          <w:sz w:val="22"/>
        </w:rPr>
      </w:pPr>
    </w:p>
    <w:p w:rsidR="00AC0943" w:rsidRPr="002904FA" w:rsidRDefault="00AC0943" w:rsidP="00AC09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EastAsia" w:hAnsiTheme="minorHAnsi" w:cs="Tahoma"/>
          <w:color w:val="000000"/>
          <w:sz w:val="22"/>
        </w:rPr>
      </w:pPr>
      <w:r w:rsidRPr="002904FA">
        <w:rPr>
          <w:rFonts w:asciiTheme="minorHAnsi" w:eastAsiaTheme="minorEastAsia" w:hAnsiTheme="minorHAnsi" w:cs="Tahoma"/>
          <w:color w:val="000000"/>
          <w:sz w:val="22"/>
        </w:rPr>
        <w:t>NSPD, 2009-2013</w:t>
      </w:r>
    </w:p>
    <w:p w:rsidR="00AC0943" w:rsidRPr="002904FA" w:rsidRDefault="00AC0943" w:rsidP="00AC09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EastAsia" w:hAnsiTheme="minorHAnsi" w:cs="Tahoma"/>
          <w:color w:val="000000"/>
          <w:sz w:val="22"/>
        </w:rPr>
      </w:pPr>
    </w:p>
    <w:p w:rsidR="00AC0943" w:rsidRDefault="00AC0943" w:rsidP="00AC09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2"/>
        </w:rPr>
      </w:pPr>
      <w:r w:rsidRPr="002904FA">
        <w:rPr>
          <w:rFonts w:asciiTheme="minorHAnsi" w:hAnsiTheme="minorHAnsi"/>
          <w:sz w:val="22"/>
        </w:rPr>
        <w:t>Post-Clearance Monitoring Consolidated Report, Nov 2013 – February 2014, CMAA</w:t>
      </w:r>
    </w:p>
    <w:p w:rsidR="00AC0943" w:rsidRDefault="00AC0943" w:rsidP="00AC09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2"/>
        </w:rPr>
      </w:pPr>
    </w:p>
    <w:p w:rsidR="00AC0943" w:rsidRDefault="00AC0943" w:rsidP="00AC09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2"/>
        </w:rPr>
      </w:pPr>
      <w:r w:rsidRPr="00A81BB2">
        <w:rPr>
          <w:rFonts w:asciiTheme="minorHAnsi" w:hAnsiTheme="minorHAnsi"/>
          <w:i/>
          <w:sz w:val="22"/>
        </w:rPr>
        <w:t>Review of the Cambodian Mine Action and Victim Assistance Authority (CMAA) 2011 – 2013 Bidding Process</w:t>
      </w:r>
      <w:r>
        <w:rPr>
          <w:rFonts w:asciiTheme="minorHAnsi" w:hAnsiTheme="minorHAnsi"/>
          <w:sz w:val="22"/>
        </w:rPr>
        <w:t>, GICHD, 2013</w:t>
      </w:r>
    </w:p>
    <w:p w:rsidR="00AC0943" w:rsidRDefault="00AC0943" w:rsidP="00AC09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hAnsiTheme="minorHAnsi"/>
          <w:sz w:val="22"/>
        </w:rPr>
      </w:pPr>
    </w:p>
    <w:p w:rsidR="00AC0943" w:rsidRDefault="00AC0943" w:rsidP="00AC09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EastAsia" w:hAnsiTheme="minorHAnsi" w:cs="Helvetica"/>
          <w:bCs/>
          <w:i/>
          <w:color w:val="000000"/>
          <w:sz w:val="22"/>
        </w:rPr>
      </w:pPr>
      <w:r w:rsidRPr="00CF1008">
        <w:rPr>
          <w:rFonts w:asciiTheme="minorHAnsi" w:eastAsiaTheme="minorEastAsia" w:hAnsiTheme="minorHAnsi" w:cs="Helvetica"/>
          <w:bCs/>
          <w:color w:val="000000"/>
          <w:sz w:val="22"/>
        </w:rPr>
        <w:t>IMAS 04.10</w:t>
      </w:r>
      <w:r>
        <w:rPr>
          <w:rFonts w:asciiTheme="minorHAnsi" w:eastAsiaTheme="minorEastAsia" w:hAnsiTheme="minorHAnsi" w:cs="Helvetica"/>
          <w:bCs/>
          <w:color w:val="000000"/>
          <w:sz w:val="22"/>
        </w:rPr>
        <w:t xml:space="preserve">, </w:t>
      </w:r>
      <w:r w:rsidRPr="00CF1008">
        <w:rPr>
          <w:rFonts w:asciiTheme="minorHAnsi" w:eastAsiaTheme="minorEastAsia" w:hAnsiTheme="minorHAnsi" w:cs="Arial"/>
          <w:color w:val="000000"/>
          <w:sz w:val="22"/>
        </w:rPr>
        <w:t xml:space="preserve">Second Edition 01 January 2003 Amendment 7, August 2014, </w:t>
      </w:r>
      <w:r w:rsidRPr="00CF1008">
        <w:rPr>
          <w:rFonts w:asciiTheme="minorHAnsi" w:eastAsiaTheme="minorEastAsia" w:hAnsiTheme="minorHAnsi" w:cs="Helvetica"/>
          <w:bCs/>
          <w:i/>
          <w:color w:val="000000"/>
          <w:sz w:val="22"/>
        </w:rPr>
        <w:t>Glossary of mine action terms, definitions and abbreviations</w:t>
      </w:r>
    </w:p>
    <w:p w:rsidR="00AC0943" w:rsidRDefault="00AC0943" w:rsidP="00AC09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heme="minorHAnsi" w:eastAsiaTheme="minorEastAsia" w:hAnsiTheme="minorHAnsi" w:cs="Helvetica"/>
          <w:bCs/>
          <w:i/>
          <w:color w:val="000000"/>
          <w:sz w:val="22"/>
        </w:rPr>
      </w:pPr>
    </w:p>
    <w:p w:rsidR="00AC0943" w:rsidRPr="004E161E" w:rsidRDefault="00AC0943" w:rsidP="00AC0943">
      <w:pPr>
        <w:widowControl w:val="0"/>
        <w:autoSpaceDE w:val="0"/>
        <w:autoSpaceDN w:val="0"/>
        <w:adjustRightInd w:val="0"/>
        <w:spacing w:after="240" w:line="240" w:lineRule="auto"/>
        <w:rPr>
          <w:rFonts w:asciiTheme="minorHAnsi" w:eastAsiaTheme="minorEastAsia" w:hAnsiTheme="minorHAnsi" w:cs="Times"/>
          <w:sz w:val="22"/>
        </w:rPr>
      </w:pPr>
      <w:r w:rsidRPr="004E161E">
        <w:rPr>
          <w:rFonts w:asciiTheme="minorHAnsi" w:eastAsiaTheme="minorEastAsia" w:hAnsiTheme="minorHAnsi" w:cs="Times"/>
          <w:i/>
          <w:sz w:val="22"/>
        </w:rPr>
        <w:t xml:space="preserve">Transitioning Mine Action </w:t>
      </w:r>
      <w:proofErr w:type="spellStart"/>
      <w:r w:rsidRPr="004E161E">
        <w:rPr>
          <w:rFonts w:asciiTheme="minorHAnsi" w:eastAsiaTheme="minorEastAsia" w:hAnsiTheme="minorHAnsi" w:cs="Times"/>
          <w:i/>
          <w:sz w:val="22"/>
        </w:rPr>
        <w:t>Programmes</w:t>
      </w:r>
      <w:proofErr w:type="spellEnd"/>
      <w:r w:rsidRPr="004E161E">
        <w:rPr>
          <w:rFonts w:asciiTheme="minorHAnsi" w:eastAsiaTheme="minorEastAsia" w:hAnsiTheme="minorHAnsi" w:cs="Times"/>
          <w:i/>
          <w:sz w:val="22"/>
        </w:rPr>
        <w:t xml:space="preserve"> to National Ownership</w:t>
      </w:r>
      <w:r>
        <w:rPr>
          <w:rFonts w:asciiTheme="minorHAnsi" w:eastAsiaTheme="minorEastAsia" w:hAnsiTheme="minorHAnsi" w:cs="Times"/>
          <w:sz w:val="22"/>
        </w:rPr>
        <w:t>, Cambodia, GICHD, March 2012</w:t>
      </w:r>
    </w:p>
    <w:p w:rsidR="00AC0943" w:rsidRPr="00BE0B56" w:rsidRDefault="00AC0943" w:rsidP="00AC0943">
      <w:pPr>
        <w:spacing w:after="0" w:line="240" w:lineRule="auto"/>
        <w:jc w:val="center"/>
        <w:rPr>
          <w:rFonts w:asciiTheme="minorHAnsi" w:hAnsiTheme="minorHAnsi"/>
          <w:b/>
          <w:color w:val="000000" w:themeColor="text1"/>
          <w:sz w:val="22"/>
        </w:rPr>
      </w:pPr>
    </w:p>
    <w:p w:rsidR="00AC0943" w:rsidRPr="00BE0B56" w:rsidRDefault="00AC0943" w:rsidP="00AC0943">
      <w:pPr>
        <w:spacing w:after="0" w:line="240" w:lineRule="auto"/>
        <w:jc w:val="center"/>
        <w:rPr>
          <w:rFonts w:asciiTheme="minorHAnsi" w:hAnsiTheme="minorHAnsi"/>
          <w:b/>
          <w:color w:val="000000" w:themeColor="text1"/>
          <w:sz w:val="22"/>
        </w:rPr>
      </w:pPr>
    </w:p>
    <w:p w:rsidR="00560013" w:rsidRDefault="00560013">
      <w:bookmarkStart w:id="0" w:name="_GoBack"/>
      <w:bookmarkEnd w:id="0"/>
    </w:p>
    <w:sectPr w:rsidR="00560013" w:rsidSect="005676C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yriad Pro">
    <w:panose1 w:val="020B0503030403020204"/>
    <w:charset w:val="00"/>
    <w:family w:val="auto"/>
    <w:pitch w:val="variable"/>
    <w:sig w:usb0="20000287" w:usb1="00000001"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943"/>
    <w:rsid w:val="00560013"/>
    <w:rsid w:val="005676CF"/>
    <w:rsid w:val="00AC09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9819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943"/>
    <w:pPr>
      <w:spacing w:after="160" w:line="360" w:lineRule="auto"/>
    </w:pPr>
    <w:rPr>
      <w:rFonts w:ascii="Times New Roman" w:eastAsiaTheme="minorHAnsi" w:hAnsi="Times New Roman"/>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LM Footnote,LM Note de bas de page,Note de bas de page LM,LM footnote,Footnote Text LM,single space,LM fo...,LM fo... Char,Footnote Text Char Char Char Char Char Char Char,Char Char,Footnote Text1,LM Footnote1,LM Note de bas de page1, Car"/>
    <w:basedOn w:val="Normal"/>
    <w:link w:val="FootnoteTextChar"/>
    <w:uiPriority w:val="99"/>
    <w:unhideWhenUsed/>
    <w:rsid w:val="00AC0943"/>
    <w:pPr>
      <w:spacing w:after="0" w:line="240" w:lineRule="auto"/>
    </w:pPr>
    <w:rPr>
      <w:rFonts w:ascii="Myriad Pro" w:eastAsia="Times New Roman" w:hAnsi="Myriad Pro" w:cs="Times New Roman"/>
      <w:szCs w:val="24"/>
    </w:rPr>
  </w:style>
  <w:style w:type="character" w:customStyle="1" w:styleId="FootnoteTextChar">
    <w:name w:val="Footnote Text Char"/>
    <w:aliases w:val="LM Footnote Char,LM Note de bas de page Char,Note de bas de page LM Char,LM footnote Char,Footnote Text LM Char,single space Char,LM fo... Char1,LM fo... Char Char,Footnote Text Char Char Char Char Char Char Char Char,Char Char Char"/>
    <w:basedOn w:val="DefaultParagraphFont"/>
    <w:link w:val="FootnoteText"/>
    <w:uiPriority w:val="99"/>
    <w:rsid w:val="00AC0943"/>
    <w:rPr>
      <w:rFonts w:ascii="Myriad Pro" w:eastAsia="Times New Roman" w:hAnsi="Myriad Pro" w:cs="Times New Roman"/>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943"/>
    <w:pPr>
      <w:spacing w:after="160" w:line="360" w:lineRule="auto"/>
    </w:pPr>
    <w:rPr>
      <w:rFonts w:ascii="Times New Roman" w:eastAsiaTheme="minorHAnsi" w:hAnsi="Times New Roman"/>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LM Footnote,LM Note de bas de page,Note de bas de page LM,LM footnote,Footnote Text LM,single space,LM fo...,LM fo... Char,Footnote Text Char Char Char Char Char Char Char,Char Char,Footnote Text1,LM Footnote1,LM Note de bas de page1, Car"/>
    <w:basedOn w:val="Normal"/>
    <w:link w:val="FootnoteTextChar"/>
    <w:uiPriority w:val="99"/>
    <w:unhideWhenUsed/>
    <w:rsid w:val="00AC0943"/>
    <w:pPr>
      <w:spacing w:after="0" w:line="240" w:lineRule="auto"/>
    </w:pPr>
    <w:rPr>
      <w:rFonts w:ascii="Myriad Pro" w:eastAsia="Times New Roman" w:hAnsi="Myriad Pro" w:cs="Times New Roman"/>
      <w:szCs w:val="24"/>
    </w:rPr>
  </w:style>
  <w:style w:type="character" w:customStyle="1" w:styleId="FootnoteTextChar">
    <w:name w:val="Footnote Text Char"/>
    <w:aliases w:val="LM Footnote Char,LM Note de bas de page Char,Note de bas de page LM Char,LM footnote Char,Footnote Text LM Char,single space Char,LM fo... Char1,LM fo... Char Char,Footnote Text Char Char Char Char Char Char Char Char,Char Char Char"/>
    <w:basedOn w:val="DefaultParagraphFont"/>
    <w:link w:val="FootnoteText"/>
    <w:uiPriority w:val="99"/>
    <w:rsid w:val="00AC0943"/>
    <w:rPr>
      <w:rFonts w:ascii="Myriad Pro" w:eastAsia="Times New Roman" w:hAnsi="Myriad Pro"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1371</Characters>
  <Application>Microsoft Macintosh Word</Application>
  <DocSecurity>0</DocSecurity>
  <Lines>11</Lines>
  <Paragraphs>3</Paragraphs>
  <ScaleCrop>false</ScaleCrop>
  <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Davies</dc:creator>
  <cp:keywords/>
  <dc:description/>
  <cp:lastModifiedBy>Paul Davies</cp:lastModifiedBy>
  <cp:revision>1</cp:revision>
  <dcterms:created xsi:type="dcterms:W3CDTF">2015-12-14T14:14:00Z</dcterms:created>
  <dcterms:modified xsi:type="dcterms:W3CDTF">2015-12-14T14:15:00Z</dcterms:modified>
</cp:coreProperties>
</file>