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56" w:type="dxa"/>
        <w:tblLook w:val="04A0" w:firstRow="1" w:lastRow="0" w:firstColumn="1" w:lastColumn="0" w:noHBand="0" w:noVBand="1"/>
      </w:tblPr>
      <w:tblGrid>
        <w:gridCol w:w="2679"/>
        <w:gridCol w:w="3082"/>
        <w:gridCol w:w="4138"/>
        <w:gridCol w:w="2178"/>
        <w:gridCol w:w="2079"/>
      </w:tblGrid>
      <w:tr w:rsidR="00DE7C94" w:rsidRPr="00FE4C4B" w14:paraId="295C2642" w14:textId="36F1BBD3" w:rsidTr="00DE7C94">
        <w:tc>
          <w:tcPr>
            <w:tcW w:w="2679" w:type="dxa"/>
            <w:shd w:val="clear" w:color="auto" w:fill="FFFF99"/>
          </w:tcPr>
          <w:p w14:paraId="768449F8" w14:textId="77777777" w:rsidR="00DE7C94" w:rsidRPr="00FE4C4B" w:rsidRDefault="00DE7C94" w:rsidP="00FE4C4B">
            <w:pPr>
              <w:jc w:val="center"/>
              <w:rPr>
                <w:b/>
                <w:sz w:val="18"/>
                <w:szCs w:val="18"/>
              </w:rPr>
            </w:pPr>
            <w:r w:rsidRPr="00FE4C4B">
              <w:rPr>
                <w:b/>
                <w:sz w:val="18"/>
                <w:szCs w:val="18"/>
              </w:rPr>
              <w:t>Deliverable</w:t>
            </w:r>
          </w:p>
        </w:tc>
        <w:tc>
          <w:tcPr>
            <w:tcW w:w="3082" w:type="dxa"/>
            <w:shd w:val="clear" w:color="auto" w:fill="FFFF99"/>
          </w:tcPr>
          <w:p w14:paraId="4C16AF85" w14:textId="77777777" w:rsidR="00DE7C94" w:rsidRPr="00FE4C4B" w:rsidRDefault="00DE7C94" w:rsidP="00FE4C4B">
            <w:pPr>
              <w:jc w:val="center"/>
              <w:rPr>
                <w:b/>
                <w:sz w:val="18"/>
                <w:szCs w:val="18"/>
              </w:rPr>
            </w:pPr>
            <w:r w:rsidRPr="00FE4C4B">
              <w:rPr>
                <w:b/>
                <w:sz w:val="18"/>
                <w:szCs w:val="18"/>
              </w:rPr>
              <w:t>Activity</w:t>
            </w:r>
            <w:r>
              <w:rPr>
                <w:b/>
                <w:sz w:val="18"/>
                <w:szCs w:val="18"/>
              </w:rPr>
              <w:t xml:space="preserve"> 2012</w:t>
            </w:r>
          </w:p>
        </w:tc>
        <w:tc>
          <w:tcPr>
            <w:tcW w:w="4138" w:type="dxa"/>
            <w:shd w:val="clear" w:color="auto" w:fill="FFFF99"/>
          </w:tcPr>
          <w:p w14:paraId="1D58680C" w14:textId="77777777" w:rsidR="00DE7C94" w:rsidRPr="00FE4C4B" w:rsidRDefault="00DE7C94" w:rsidP="00FE4C4B">
            <w:pPr>
              <w:jc w:val="center"/>
              <w:rPr>
                <w:b/>
                <w:sz w:val="18"/>
                <w:szCs w:val="18"/>
              </w:rPr>
            </w:pPr>
            <w:r w:rsidRPr="00FE4C4B">
              <w:rPr>
                <w:b/>
                <w:sz w:val="18"/>
                <w:szCs w:val="18"/>
              </w:rPr>
              <w:t>2013-14</w:t>
            </w:r>
            <w:r>
              <w:rPr>
                <w:b/>
                <w:sz w:val="18"/>
                <w:szCs w:val="18"/>
              </w:rPr>
              <w:t xml:space="preserve"> – new areas in bold</w:t>
            </w:r>
          </w:p>
        </w:tc>
        <w:tc>
          <w:tcPr>
            <w:tcW w:w="2178" w:type="dxa"/>
            <w:shd w:val="clear" w:color="auto" w:fill="FFFF99"/>
          </w:tcPr>
          <w:p w14:paraId="639C48F5" w14:textId="6E34BEFB" w:rsidR="00DE7C94" w:rsidRPr="00FE4C4B" w:rsidRDefault="00DE7C94" w:rsidP="00FE4C4B">
            <w:pPr>
              <w:jc w:val="center"/>
              <w:rPr>
                <w:b/>
                <w:sz w:val="18"/>
                <w:szCs w:val="18"/>
              </w:rPr>
            </w:pPr>
            <w:r>
              <w:rPr>
                <w:b/>
                <w:sz w:val="18"/>
                <w:szCs w:val="18"/>
              </w:rPr>
              <w:t>2014</w:t>
            </w:r>
            <w:r w:rsidRPr="00FE4C4B">
              <w:rPr>
                <w:b/>
                <w:sz w:val="18"/>
                <w:szCs w:val="18"/>
              </w:rPr>
              <w:t>-15</w:t>
            </w:r>
          </w:p>
        </w:tc>
        <w:tc>
          <w:tcPr>
            <w:tcW w:w="2079" w:type="dxa"/>
            <w:shd w:val="clear" w:color="auto" w:fill="FFFF99"/>
          </w:tcPr>
          <w:p w14:paraId="72BF6A1C" w14:textId="679D194F" w:rsidR="00DE7C94" w:rsidRDefault="00DE7C94" w:rsidP="00FE4C4B">
            <w:pPr>
              <w:jc w:val="center"/>
              <w:rPr>
                <w:b/>
                <w:sz w:val="18"/>
                <w:szCs w:val="18"/>
              </w:rPr>
            </w:pPr>
            <w:r>
              <w:rPr>
                <w:b/>
                <w:sz w:val="18"/>
                <w:szCs w:val="18"/>
              </w:rPr>
              <w:t>2015 0- AWP G11</w:t>
            </w:r>
          </w:p>
        </w:tc>
      </w:tr>
      <w:tr w:rsidR="000A4171" w:rsidRPr="00FE4C4B" w14:paraId="52AA532B" w14:textId="3456B9EB" w:rsidTr="005D3FA3">
        <w:tc>
          <w:tcPr>
            <w:tcW w:w="14156" w:type="dxa"/>
            <w:gridSpan w:val="5"/>
            <w:shd w:val="clear" w:color="auto" w:fill="CCFFCC"/>
          </w:tcPr>
          <w:p w14:paraId="0C4A15B0" w14:textId="77777777" w:rsidR="000A4171" w:rsidRPr="00FE4C4B" w:rsidRDefault="000A4171">
            <w:pPr>
              <w:rPr>
                <w:b/>
                <w:sz w:val="18"/>
                <w:szCs w:val="18"/>
              </w:rPr>
            </w:pPr>
            <w:r w:rsidRPr="00FE4C4B">
              <w:rPr>
                <w:b/>
                <w:sz w:val="18"/>
                <w:szCs w:val="18"/>
              </w:rPr>
              <w:t>Deliverable 1</w:t>
            </w:r>
          </w:p>
          <w:p w14:paraId="7E274F0C" w14:textId="112EA701" w:rsidR="000A4171" w:rsidRPr="00FE4C4B" w:rsidRDefault="000A4171">
            <w:pPr>
              <w:rPr>
                <w:b/>
                <w:sz w:val="18"/>
                <w:szCs w:val="18"/>
              </w:rPr>
            </w:pPr>
            <w:r w:rsidRPr="00FE4C4B">
              <w:rPr>
                <w:rFonts w:cs="Calibri"/>
                <w:sz w:val="18"/>
                <w:szCs w:val="18"/>
              </w:rPr>
              <w:t>Mine action policy and strategic framework ensures most resources are effectively allocated to national priorities as defined by local planning processes and maximises the land available for local development</w:t>
            </w:r>
          </w:p>
        </w:tc>
      </w:tr>
      <w:tr w:rsidR="00DE7C94" w:rsidRPr="00FE4C4B" w14:paraId="5F94D39B" w14:textId="45108807" w:rsidTr="00DE7C94">
        <w:tc>
          <w:tcPr>
            <w:tcW w:w="2679" w:type="dxa"/>
          </w:tcPr>
          <w:p w14:paraId="6B458497" w14:textId="77777777" w:rsidR="00DE7C94" w:rsidRPr="00FE4C4B" w:rsidRDefault="00DE7C94">
            <w:pPr>
              <w:rPr>
                <w:sz w:val="18"/>
                <w:szCs w:val="18"/>
              </w:rPr>
            </w:pPr>
          </w:p>
        </w:tc>
        <w:tc>
          <w:tcPr>
            <w:tcW w:w="3082" w:type="dxa"/>
          </w:tcPr>
          <w:p w14:paraId="64FC8B3E" w14:textId="29924EA8" w:rsidR="00DE7C94" w:rsidRPr="00FE4C4B" w:rsidRDefault="00DE7C94">
            <w:pPr>
              <w:rPr>
                <w:sz w:val="18"/>
                <w:szCs w:val="18"/>
              </w:rPr>
            </w:pPr>
            <w:r w:rsidRPr="00FE4C4B">
              <w:rPr>
                <w:rFonts w:cs="Lucida Grande"/>
                <w:b/>
                <w:color w:val="000000"/>
                <w:sz w:val="18"/>
                <w:szCs w:val="18"/>
              </w:rPr>
              <w:t>Activity 1:</w:t>
            </w:r>
            <w:r w:rsidRPr="00FE4C4B">
              <w:rPr>
                <w:rFonts w:cs="Lucida Grande"/>
                <w:color w:val="000000"/>
                <w:sz w:val="18"/>
                <w:szCs w:val="18"/>
              </w:rPr>
              <w:t xml:space="preserve"> Building further the stage for a Programme Based Appro</w:t>
            </w:r>
            <w:r>
              <w:rPr>
                <w:rFonts w:cs="Lucida Grande"/>
                <w:color w:val="000000"/>
                <w:sz w:val="18"/>
                <w:szCs w:val="18"/>
              </w:rPr>
              <w:t>ach in the Mine Action sector b</w:t>
            </w:r>
            <w:r w:rsidRPr="00FE4C4B">
              <w:rPr>
                <w:rFonts w:cs="Lucida Grande"/>
                <w:color w:val="000000"/>
                <w:sz w:val="18"/>
                <w:szCs w:val="18"/>
              </w:rPr>
              <w:t>y hold 2 TWGs; promoting the signing of the Partnership Principles and joint pr</w:t>
            </w:r>
            <w:r>
              <w:rPr>
                <w:rFonts w:cs="Lucida Grande"/>
                <w:color w:val="000000"/>
                <w:sz w:val="18"/>
                <w:szCs w:val="18"/>
              </w:rPr>
              <w:t>ogramme formulation, implement</w:t>
            </w:r>
            <w:r w:rsidRPr="00FE4C4B">
              <w:rPr>
                <w:rFonts w:cs="Lucida Grande"/>
                <w:color w:val="000000"/>
                <w:sz w:val="18"/>
                <w:szCs w:val="18"/>
              </w:rPr>
              <w:t>ing and monitoring a TWG work</w:t>
            </w:r>
            <w:r>
              <w:rPr>
                <w:rFonts w:cs="Lucida Grande"/>
                <w:color w:val="000000"/>
                <w:sz w:val="18"/>
                <w:szCs w:val="18"/>
              </w:rPr>
              <w:t xml:space="preserve"> </w:t>
            </w:r>
            <w:r w:rsidRPr="00FE4C4B">
              <w:rPr>
                <w:rFonts w:cs="Lucida Grande"/>
                <w:color w:val="000000"/>
                <w:sz w:val="18"/>
                <w:szCs w:val="18"/>
              </w:rPr>
              <w:t>plan and Joint Monitoring Indicators; finalizing</w:t>
            </w:r>
            <w:r>
              <w:rPr>
                <w:rFonts w:cs="Lucida Grande"/>
                <w:color w:val="000000"/>
                <w:sz w:val="18"/>
                <w:szCs w:val="18"/>
              </w:rPr>
              <w:t xml:space="preserve"> and applying a rev</w:t>
            </w:r>
            <w:r w:rsidRPr="00FE4C4B">
              <w:rPr>
                <w:rFonts w:cs="Lucida Grande"/>
                <w:color w:val="000000"/>
                <w:sz w:val="18"/>
                <w:szCs w:val="18"/>
              </w:rPr>
              <w:t>iew process for programmes and projects</w:t>
            </w:r>
          </w:p>
        </w:tc>
        <w:tc>
          <w:tcPr>
            <w:tcW w:w="4138" w:type="dxa"/>
          </w:tcPr>
          <w:p w14:paraId="4776A310" w14:textId="5842375D" w:rsidR="00DE7C94" w:rsidRPr="00FE4C4B" w:rsidRDefault="00DE7C94">
            <w:pPr>
              <w:rPr>
                <w:sz w:val="18"/>
                <w:szCs w:val="18"/>
              </w:rPr>
            </w:pPr>
            <w:r w:rsidRPr="00FE4C4B">
              <w:rPr>
                <w:rFonts w:cs="Lucida Grande"/>
                <w:b/>
                <w:color w:val="000000"/>
                <w:sz w:val="18"/>
                <w:szCs w:val="18"/>
              </w:rPr>
              <w:t>Activity 1:</w:t>
            </w:r>
            <w:r w:rsidRPr="00FE4C4B">
              <w:rPr>
                <w:rFonts w:cs="Lucida Grande"/>
                <w:color w:val="000000"/>
                <w:sz w:val="18"/>
                <w:szCs w:val="18"/>
              </w:rPr>
              <w:t xml:space="preserve"> Building further the stage for a Programme Based Appro</w:t>
            </w:r>
            <w:r>
              <w:rPr>
                <w:rFonts w:cs="Lucida Grande"/>
                <w:color w:val="000000"/>
                <w:sz w:val="18"/>
                <w:szCs w:val="18"/>
              </w:rPr>
              <w:t>ach in the Mine Action sector b</w:t>
            </w:r>
            <w:r w:rsidRPr="00FE4C4B">
              <w:rPr>
                <w:rFonts w:cs="Lucida Grande"/>
                <w:color w:val="000000"/>
                <w:sz w:val="18"/>
                <w:szCs w:val="18"/>
              </w:rPr>
              <w:t>y hold 2 TWGs; promoting the signing of the Partnership Principles and joint pr</w:t>
            </w:r>
            <w:r>
              <w:rPr>
                <w:rFonts w:cs="Lucida Grande"/>
                <w:color w:val="000000"/>
                <w:sz w:val="18"/>
                <w:szCs w:val="18"/>
              </w:rPr>
              <w:t>ogramme formulation, implement</w:t>
            </w:r>
            <w:r w:rsidRPr="00FE4C4B">
              <w:rPr>
                <w:rFonts w:cs="Lucida Grande"/>
                <w:color w:val="000000"/>
                <w:sz w:val="18"/>
                <w:szCs w:val="18"/>
              </w:rPr>
              <w:t>ing and monitoring a TWG work</w:t>
            </w:r>
            <w:r>
              <w:rPr>
                <w:rFonts w:cs="Lucida Grande"/>
                <w:color w:val="000000"/>
                <w:sz w:val="18"/>
                <w:szCs w:val="18"/>
              </w:rPr>
              <w:t xml:space="preserve"> </w:t>
            </w:r>
            <w:r w:rsidRPr="00FE4C4B">
              <w:rPr>
                <w:rFonts w:cs="Lucida Grande"/>
                <w:color w:val="000000"/>
                <w:sz w:val="18"/>
                <w:szCs w:val="18"/>
              </w:rPr>
              <w:t xml:space="preserve">plan and Joint Monitoring Indicators; </w:t>
            </w:r>
            <w:r>
              <w:rPr>
                <w:rFonts w:cs="Lucida Grande"/>
                <w:b/>
                <w:color w:val="000000"/>
                <w:sz w:val="18"/>
                <w:szCs w:val="18"/>
              </w:rPr>
              <w:t>conducting a mid-term review of CfRII and a review of the NMAS</w:t>
            </w:r>
          </w:p>
        </w:tc>
        <w:tc>
          <w:tcPr>
            <w:tcW w:w="2178" w:type="dxa"/>
          </w:tcPr>
          <w:p w14:paraId="2D5A78FA" w14:textId="774FB978" w:rsidR="00DE7C94" w:rsidRPr="00FE4C4B" w:rsidRDefault="00DE7C94">
            <w:pPr>
              <w:rPr>
                <w:sz w:val="18"/>
                <w:szCs w:val="18"/>
              </w:rPr>
            </w:pPr>
            <w:r w:rsidRPr="00FE4C4B">
              <w:rPr>
                <w:rFonts w:cs="Lucida Grande"/>
                <w:b/>
                <w:color w:val="000000"/>
                <w:sz w:val="18"/>
                <w:szCs w:val="18"/>
              </w:rPr>
              <w:t>Activity 1:</w:t>
            </w:r>
            <w:r w:rsidRPr="00FE4C4B">
              <w:rPr>
                <w:rFonts w:cs="Lucida Grande"/>
                <w:color w:val="000000"/>
                <w:sz w:val="18"/>
                <w:szCs w:val="18"/>
              </w:rPr>
              <w:t xml:space="preserve"> Building further the stage for a Programme Based Appro</w:t>
            </w:r>
            <w:r>
              <w:rPr>
                <w:rFonts w:cs="Lucida Grande"/>
                <w:color w:val="000000"/>
                <w:sz w:val="18"/>
                <w:szCs w:val="18"/>
              </w:rPr>
              <w:t>ach in the Mine Action sector b</w:t>
            </w:r>
            <w:r w:rsidRPr="00FE4C4B">
              <w:rPr>
                <w:rFonts w:cs="Lucida Grande"/>
                <w:color w:val="000000"/>
                <w:sz w:val="18"/>
                <w:szCs w:val="18"/>
              </w:rPr>
              <w:t>y hold 2 TWGs; promoting the signing of the Partnership Principles and joint programme formulation</w:t>
            </w:r>
            <w:r>
              <w:rPr>
                <w:rFonts w:cs="Lucida Grande"/>
                <w:color w:val="000000"/>
                <w:sz w:val="18"/>
                <w:szCs w:val="18"/>
              </w:rPr>
              <w:t xml:space="preserve"> </w:t>
            </w:r>
            <w:r w:rsidRPr="005100F9">
              <w:rPr>
                <w:rFonts w:cs="Lucida Grande"/>
                <w:b/>
                <w:color w:val="000000"/>
                <w:sz w:val="18"/>
                <w:szCs w:val="18"/>
              </w:rPr>
              <w:t>with DPs</w:t>
            </w:r>
            <w:r>
              <w:rPr>
                <w:rFonts w:cs="Lucida Grande"/>
                <w:b/>
                <w:color w:val="000000"/>
                <w:sz w:val="18"/>
                <w:szCs w:val="18"/>
              </w:rPr>
              <w:t xml:space="preserve"> by applying the new project review process</w:t>
            </w:r>
            <w:r w:rsidRPr="005100F9">
              <w:rPr>
                <w:rFonts w:cs="Lucida Grande"/>
                <w:b/>
                <w:color w:val="000000"/>
                <w:sz w:val="18"/>
                <w:szCs w:val="18"/>
              </w:rPr>
              <w:t>,</w:t>
            </w:r>
            <w:r>
              <w:rPr>
                <w:rFonts w:cs="Lucida Grande"/>
                <w:b/>
                <w:color w:val="000000"/>
                <w:sz w:val="18"/>
                <w:szCs w:val="18"/>
              </w:rPr>
              <w:t xml:space="preserve"> formulating and</w:t>
            </w:r>
            <w:r>
              <w:rPr>
                <w:rFonts w:cs="Lucida Grande"/>
                <w:color w:val="000000"/>
                <w:sz w:val="18"/>
                <w:szCs w:val="18"/>
              </w:rPr>
              <w:t xml:space="preserve"> implement</w:t>
            </w:r>
            <w:r w:rsidRPr="00FE4C4B">
              <w:rPr>
                <w:rFonts w:cs="Lucida Grande"/>
                <w:color w:val="000000"/>
                <w:sz w:val="18"/>
                <w:szCs w:val="18"/>
              </w:rPr>
              <w:t>ing and monitoring a TWG work</w:t>
            </w:r>
            <w:r>
              <w:rPr>
                <w:rFonts w:cs="Lucida Grande"/>
                <w:color w:val="000000"/>
                <w:sz w:val="18"/>
                <w:szCs w:val="18"/>
              </w:rPr>
              <w:t xml:space="preserve"> </w:t>
            </w:r>
            <w:r w:rsidRPr="00FE4C4B">
              <w:rPr>
                <w:rFonts w:cs="Lucida Grande"/>
                <w:color w:val="000000"/>
                <w:sz w:val="18"/>
                <w:szCs w:val="18"/>
              </w:rPr>
              <w:t>plan and</w:t>
            </w:r>
            <w:r>
              <w:rPr>
                <w:rFonts w:cs="Lucida Grande"/>
                <w:color w:val="000000"/>
                <w:sz w:val="18"/>
                <w:szCs w:val="18"/>
              </w:rPr>
              <w:t xml:space="preserve"> </w:t>
            </w:r>
            <w:r>
              <w:rPr>
                <w:rFonts w:cs="Lucida Grande"/>
                <w:b/>
                <w:color w:val="000000"/>
                <w:sz w:val="18"/>
                <w:szCs w:val="18"/>
              </w:rPr>
              <w:t>monitoring</w:t>
            </w:r>
            <w:r w:rsidRPr="00FE4C4B">
              <w:rPr>
                <w:rFonts w:cs="Lucida Grande"/>
                <w:color w:val="000000"/>
                <w:sz w:val="18"/>
                <w:szCs w:val="18"/>
              </w:rPr>
              <w:t xml:space="preserve"> Joint Monitoring Indicators</w:t>
            </w:r>
            <w:r>
              <w:rPr>
                <w:rFonts w:cs="Lucida Grande"/>
                <w:color w:val="000000"/>
                <w:sz w:val="18"/>
                <w:szCs w:val="18"/>
              </w:rPr>
              <w:t xml:space="preserve"> (2012-13)</w:t>
            </w:r>
            <w:r w:rsidRPr="00FE4C4B">
              <w:rPr>
                <w:rFonts w:cs="Lucida Grande"/>
                <w:color w:val="000000"/>
                <w:sz w:val="18"/>
                <w:szCs w:val="18"/>
              </w:rPr>
              <w:t xml:space="preserve">; </w:t>
            </w:r>
            <w:r>
              <w:rPr>
                <w:rFonts w:cs="Lucida Grande"/>
                <w:b/>
                <w:color w:val="000000"/>
                <w:sz w:val="18"/>
                <w:szCs w:val="18"/>
              </w:rPr>
              <w:t>conducting a mid-term review of CfRII and a review of the NMAS</w:t>
            </w:r>
          </w:p>
        </w:tc>
        <w:tc>
          <w:tcPr>
            <w:tcW w:w="2079" w:type="dxa"/>
          </w:tcPr>
          <w:p w14:paraId="4C388A2E" w14:textId="77777777" w:rsidR="00DB6AF5" w:rsidRDefault="00DE7C94" w:rsidP="00DB6AF5">
            <w:pPr>
              <w:rPr>
                <w:rFonts w:eastAsiaTheme="minorHAnsi"/>
                <w:color w:val="000000"/>
                <w:sz w:val="18"/>
                <w:szCs w:val="18"/>
              </w:rPr>
            </w:pPr>
            <w:r w:rsidRPr="00DB6AF5">
              <w:rPr>
                <w:rFonts w:eastAsiaTheme="minorHAnsi"/>
                <w:b/>
                <w:color w:val="000000"/>
                <w:sz w:val="18"/>
                <w:szCs w:val="18"/>
              </w:rPr>
              <w:t>Activity 1:</w:t>
            </w:r>
          </w:p>
          <w:p w14:paraId="263F5A5F" w14:textId="3019F6CE" w:rsidR="00DE7C94" w:rsidRPr="00DB6AF5" w:rsidRDefault="00DE7C94" w:rsidP="00DB6AF5">
            <w:pPr>
              <w:rPr>
                <w:rFonts w:eastAsiaTheme="minorHAnsi"/>
                <w:color w:val="000000"/>
                <w:sz w:val="18"/>
                <w:szCs w:val="18"/>
              </w:rPr>
            </w:pPr>
            <w:r w:rsidRPr="00DB6AF5">
              <w:rPr>
                <w:rFonts w:eastAsiaTheme="minorHAnsi"/>
                <w:color w:val="000000"/>
                <w:sz w:val="18"/>
                <w:szCs w:val="18"/>
              </w:rPr>
              <w:t>Promote Alignment of Program by TWG-MA</w:t>
            </w:r>
          </w:p>
        </w:tc>
      </w:tr>
      <w:tr w:rsidR="00DE7C94" w:rsidRPr="00FE4C4B" w14:paraId="2A89B5BF" w14:textId="677AC294" w:rsidTr="00DE7C94">
        <w:tc>
          <w:tcPr>
            <w:tcW w:w="2679" w:type="dxa"/>
          </w:tcPr>
          <w:p w14:paraId="6B86BB26" w14:textId="77777777" w:rsidR="00DE7C94" w:rsidRPr="00FE4C4B" w:rsidRDefault="00DE7C94">
            <w:pPr>
              <w:rPr>
                <w:sz w:val="18"/>
                <w:szCs w:val="18"/>
              </w:rPr>
            </w:pPr>
          </w:p>
        </w:tc>
        <w:tc>
          <w:tcPr>
            <w:tcW w:w="3082" w:type="dxa"/>
          </w:tcPr>
          <w:p w14:paraId="2AC6897B" w14:textId="74174F47" w:rsidR="00DE7C94" w:rsidRPr="00FE4C4B" w:rsidRDefault="00DE7C94">
            <w:pPr>
              <w:rPr>
                <w:sz w:val="18"/>
                <w:szCs w:val="18"/>
              </w:rPr>
            </w:pPr>
            <w:r w:rsidRPr="00FE4C4B">
              <w:rPr>
                <w:b/>
                <w:sz w:val="18"/>
                <w:szCs w:val="18"/>
              </w:rPr>
              <w:t>Activity 2:</w:t>
            </w:r>
            <w:r w:rsidRPr="00FE4C4B">
              <w:rPr>
                <w:sz w:val="18"/>
                <w:szCs w:val="18"/>
              </w:rPr>
              <w:t xml:space="preserve"> Enhance national cross-sector coordination for the implementation of the NMAS by promoting the use of policies, tools, standards and best practices through quarterly workshops with operators and line ministries and annual Mine Action Conference strengthening collaboration between MAPU/CIMVIS at </w:t>
            </w:r>
            <w:r>
              <w:rPr>
                <w:sz w:val="18"/>
                <w:szCs w:val="18"/>
              </w:rPr>
              <w:t>the sub-national levels; advoca</w:t>
            </w:r>
            <w:r w:rsidRPr="00FE4C4B">
              <w:rPr>
                <w:sz w:val="18"/>
                <w:szCs w:val="18"/>
              </w:rPr>
              <w:t xml:space="preserve">ting for the integration of survivors assistance in disability frameworks, conducting cross-departments joint missions to assess </w:t>
            </w:r>
            <w:r w:rsidRPr="00FE4C4B">
              <w:rPr>
                <w:sz w:val="18"/>
                <w:szCs w:val="18"/>
              </w:rPr>
              <w:lastRenderedPageBreak/>
              <w:t>priorities and gaps</w:t>
            </w:r>
          </w:p>
        </w:tc>
        <w:tc>
          <w:tcPr>
            <w:tcW w:w="4138" w:type="dxa"/>
          </w:tcPr>
          <w:p w14:paraId="1D950416" w14:textId="3D494563" w:rsidR="00DE7C94" w:rsidRPr="003A03E3" w:rsidRDefault="00DE7C94" w:rsidP="003A03E3">
            <w:pPr>
              <w:rPr>
                <w:b/>
                <w:sz w:val="18"/>
                <w:szCs w:val="18"/>
              </w:rPr>
            </w:pPr>
            <w:r>
              <w:rPr>
                <w:sz w:val="18"/>
                <w:szCs w:val="18"/>
              </w:rPr>
              <w:lastRenderedPageBreak/>
              <w:t>Same as 2012</w:t>
            </w:r>
          </w:p>
        </w:tc>
        <w:tc>
          <w:tcPr>
            <w:tcW w:w="2178" w:type="dxa"/>
          </w:tcPr>
          <w:p w14:paraId="78CA6FA5" w14:textId="375ACD4A" w:rsidR="00DE7C94" w:rsidRPr="00FE4C4B" w:rsidRDefault="00DE7C94">
            <w:pPr>
              <w:rPr>
                <w:sz w:val="18"/>
                <w:szCs w:val="18"/>
              </w:rPr>
            </w:pPr>
            <w:r>
              <w:rPr>
                <w:sz w:val="18"/>
                <w:szCs w:val="18"/>
              </w:rPr>
              <w:t>Same as 2012</w:t>
            </w:r>
          </w:p>
        </w:tc>
        <w:tc>
          <w:tcPr>
            <w:tcW w:w="2079" w:type="dxa"/>
          </w:tcPr>
          <w:p w14:paraId="24060544" w14:textId="77777777" w:rsidR="00DE7C94" w:rsidRPr="00DB6AF5" w:rsidRDefault="00DE7C94" w:rsidP="00DB6AF5">
            <w:pPr>
              <w:rPr>
                <w:rFonts w:eastAsiaTheme="minorHAnsi"/>
                <w:color w:val="000000"/>
                <w:sz w:val="18"/>
                <w:szCs w:val="18"/>
              </w:rPr>
            </w:pPr>
            <w:r w:rsidRPr="00DB6AF5">
              <w:rPr>
                <w:rFonts w:eastAsiaTheme="minorHAnsi"/>
                <w:b/>
                <w:color w:val="000000"/>
                <w:sz w:val="18"/>
                <w:szCs w:val="18"/>
              </w:rPr>
              <w:t>Activity 2:</w:t>
            </w:r>
            <w:r w:rsidRPr="00DB6AF5">
              <w:rPr>
                <w:rFonts w:eastAsiaTheme="minorHAnsi"/>
                <w:color w:val="000000"/>
                <w:sz w:val="18"/>
                <w:szCs w:val="18"/>
              </w:rPr>
              <w:t xml:space="preserve"> </w:t>
            </w:r>
          </w:p>
          <w:p w14:paraId="6B87A053" w14:textId="1604D9E6" w:rsidR="00DE7C94" w:rsidRPr="00DB6AF5" w:rsidRDefault="00DE7C94" w:rsidP="00DB6AF5">
            <w:pPr>
              <w:rPr>
                <w:sz w:val="18"/>
                <w:szCs w:val="18"/>
              </w:rPr>
            </w:pPr>
            <w:r w:rsidRPr="00DB6AF5">
              <w:rPr>
                <w:rFonts w:eastAsiaTheme="minorHAnsi"/>
                <w:color w:val="000000"/>
                <w:sz w:val="18"/>
                <w:szCs w:val="18"/>
              </w:rPr>
              <w:t>Coordinate Implementation of NMAS</w:t>
            </w:r>
          </w:p>
        </w:tc>
      </w:tr>
      <w:tr w:rsidR="00DE7C94" w:rsidRPr="00FE4C4B" w14:paraId="6A24E375" w14:textId="4D1E73F5" w:rsidTr="00DE7C94">
        <w:tc>
          <w:tcPr>
            <w:tcW w:w="2679" w:type="dxa"/>
            <w:tcBorders>
              <w:bottom w:val="single" w:sz="4" w:space="0" w:color="auto"/>
            </w:tcBorders>
          </w:tcPr>
          <w:p w14:paraId="000E227A" w14:textId="77777777" w:rsidR="00DE7C94" w:rsidRPr="00FE4C4B" w:rsidRDefault="00DE7C94">
            <w:pPr>
              <w:rPr>
                <w:sz w:val="18"/>
                <w:szCs w:val="18"/>
              </w:rPr>
            </w:pPr>
          </w:p>
        </w:tc>
        <w:tc>
          <w:tcPr>
            <w:tcW w:w="3082" w:type="dxa"/>
            <w:tcBorders>
              <w:bottom w:val="single" w:sz="4" w:space="0" w:color="auto"/>
            </w:tcBorders>
          </w:tcPr>
          <w:p w14:paraId="394D5DBD" w14:textId="3EF7C4B3" w:rsidR="00DE7C94" w:rsidRPr="00FE4C4B" w:rsidRDefault="00DE7C94">
            <w:pPr>
              <w:rPr>
                <w:sz w:val="18"/>
                <w:szCs w:val="18"/>
              </w:rPr>
            </w:pPr>
            <w:r w:rsidRPr="00FE4C4B">
              <w:rPr>
                <w:b/>
                <w:sz w:val="18"/>
                <w:szCs w:val="18"/>
              </w:rPr>
              <w:t>Activity 3:</w:t>
            </w:r>
            <w:r w:rsidRPr="00FE4C4B">
              <w:rPr>
                <w:sz w:val="18"/>
                <w:szCs w:val="18"/>
              </w:rPr>
              <w:t xml:space="preserve"> Strengthen mine action planning, monitoring and outcomes assessment (inclusive of Gender and PWD considerations) by compiling a 2012 mine clearance workplan, formulating in a consultative manner a 3 year rolling plan for MOP and enhancing CMAA’s capacities to monitor and disseminate progress on JMI, CMDG 9, and NMAS</w:t>
            </w:r>
          </w:p>
        </w:tc>
        <w:tc>
          <w:tcPr>
            <w:tcW w:w="4138" w:type="dxa"/>
            <w:tcBorders>
              <w:bottom w:val="single" w:sz="4" w:space="0" w:color="auto"/>
            </w:tcBorders>
          </w:tcPr>
          <w:p w14:paraId="6811F712" w14:textId="4241E9C8" w:rsidR="00DE7C94" w:rsidRPr="00FE4C4B" w:rsidRDefault="00DE7C94" w:rsidP="003A03E3">
            <w:pPr>
              <w:rPr>
                <w:sz w:val="18"/>
                <w:szCs w:val="18"/>
              </w:rPr>
            </w:pPr>
            <w:r w:rsidRPr="00FE4C4B">
              <w:rPr>
                <w:b/>
                <w:sz w:val="18"/>
                <w:szCs w:val="18"/>
              </w:rPr>
              <w:t>Activity 3:</w:t>
            </w:r>
            <w:r w:rsidRPr="00FE4C4B">
              <w:rPr>
                <w:sz w:val="18"/>
                <w:szCs w:val="18"/>
              </w:rPr>
              <w:t xml:space="preserve"> Strengthen mine action planning, monitoring and outcomes assessment (inclusive of Gender and PWD considerations) by </w:t>
            </w:r>
            <w:r>
              <w:rPr>
                <w:b/>
                <w:sz w:val="18"/>
                <w:szCs w:val="18"/>
              </w:rPr>
              <w:t>conducting the baseline data collection on Outcomes Assessment in Q1 2013,</w:t>
            </w:r>
            <w:r>
              <w:rPr>
                <w:sz w:val="18"/>
                <w:szCs w:val="18"/>
              </w:rPr>
              <w:t>compiling a 2014</w:t>
            </w:r>
            <w:r w:rsidRPr="00FE4C4B">
              <w:rPr>
                <w:sz w:val="18"/>
                <w:szCs w:val="18"/>
              </w:rPr>
              <w:t xml:space="preserve"> mine clearance workplan,</w:t>
            </w:r>
            <w:r>
              <w:rPr>
                <w:sz w:val="18"/>
                <w:szCs w:val="18"/>
              </w:rPr>
              <w:t xml:space="preserve"> </w:t>
            </w:r>
            <w:r>
              <w:rPr>
                <w:b/>
                <w:sz w:val="18"/>
                <w:szCs w:val="18"/>
              </w:rPr>
              <w:t>updating PIP for a 2013-15 period,</w:t>
            </w:r>
            <w:r w:rsidRPr="00FE4C4B">
              <w:rPr>
                <w:sz w:val="18"/>
                <w:szCs w:val="18"/>
              </w:rPr>
              <w:t xml:space="preserve"> enhancing CMAA’s capacities to monitor and disseminate progress on JMI, CMDG 9, and NMAS</w:t>
            </w:r>
          </w:p>
        </w:tc>
        <w:tc>
          <w:tcPr>
            <w:tcW w:w="2178" w:type="dxa"/>
            <w:tcBorders>
              <w:bottom w:val="single" w:sz="4" w:space="0" w:color="auto"/>
            </w:tcBorders>
          </w:tcPr>
          <w:p w14:paraId="14406C19" w14:textId="3182715E" w:rsidR="00DE7C94" w:rsidRPr="00FE4C4B" w:rsidRDefault="00DE7C94">
            <w:pPr>
              <w:rPr>
                <w:sz w:val="18"/>
                <w:szCs w:val="18"/>
              </w:rPr>
            </w:pPr>
            <w:r>
              <w:rPr>
                <w:sz w:val="18"/>
                <w:szCs w:val="18"/>
              </w:rPr>
              <w:t>Same as 2013-14</w:t>
            </w:r>
          </w:p>
        </w:tc>
        <w:tc>
          <w:tcPr>
            <w:tcW w:w="2079" w:type="dxa"/>
            <w:tcBorders>
              <w:bottom w:val="single" w:sz="4" w:space="0" w:color="auto"/>
            </w:tcBorders>
          </w:tcPr>
          <w:p w14:paraId="041BE56D" w14:textId="77777777" w:rsidR="00DE7C94" w:rsidRPr="00DB6AF5" w:rsidRDefault="00DE7C94" w:rsidP="00DB6AF5">
            <w:pPr>
              <w:rPr>
                <w:rFonts w:eastAsiaTheme="minorHAnsi"/>
                <w:b/>
                <w:color w:val="000000"/>
                <w:sz w:val="18"/>
                <w:szCs w:val="18"/>
              </w:rPr>
            </w:pPr>
            <w:r w:rsidRPr="00DB6AF5">
              <w:rPr>
                <w:rFonts w:eastAsiaTheme="minorHAnsi"/>
                <w:b/>
                <w:color w:val="000000"/>
                <w:sz w:val="18"/>
                <w:szCs w:val="18"/>
              </w:rPr>
              <w:t xml:space="preserve">Activity 3: </w:t>
            </w:r>
          </w:p>
          <w:p w14:paraId="245355BF" w14:textId="3D3D3880" w:rsidR="00DE7C94" w:rsidRPr="00DB6AF5" w:rsidRDefault="00DE7C94" w:rsidP="00DB6AF5">
            <w:pPr>
              <w:rPr>
                <w:sz w:val="18"/>
                <w:szCs w:val="18"/>
              </w:rPr>
            </w:pPr>
            <w:r w:rsidRPr="00DB6AF5">
              <w:rPr>
                <w:rFonts w:eastAsiaTheme="minorHAnsi"/>
                <w:color w:val="000000"/>
                <w:sz w:val="18"/>
                <w:szCs w:val="18"/>
              </w:rPr>
              <w:t>Strengthen Planning, Monitoring and Outcome Assessment</w:t>
            </w:r>
          </w:p>
        </w:tc>
      </w:tr>
      <w:tr w:rsidR="000A4171" w:rsidRPr="00FE4C4B" w14:paraId="6FA201A1" w14:textId="2C0D4EC3" w:rsidTr="000B01D5">
        <w:tc>
          <w:tcPr>
            <w:tcW w:w="14156" w:type="dxa"/>
            <w:gridSpan w:val="5"/>
            <w:shd w:val="clear" w:color="auto" w:fill="CCFFCC"/>
          </w:tcPr>
          <w:p w14:paraId="7CA20AE2" w14:textId="77777777" w:rsidR="000A4171" w:rsidRPr="00FE4C4B" w:rsidRDefault="000A4171">
            <w:pPr>
              <w:rPr>
                <w:b/>
                <w:sz w:val="18"/>
                <w:szCs w:val="18"/>
              </w:rPr>
            </w:pPr>
            <w:r w:rsidRPr="00FE4C4B">
              <w:rPr>
                <w:b/>
                <w:sz w:val="18"/>
                <w:szCs w:val="18"/>
              </w:rPr>
              <w:t xml:space="preserve">Key Deliverable 2: </w:t>
            </w:r>
          </w:p>
          <w:p w14:paraId="6F886AF3" w14:textId="77777777" w:rsidR="000A4171" w:rsidRPr="00FE4C4B" w:rsidRDefault="000A4171" w:rsidP="00FE4C4B">
            <w:pPr>
              <w:spacing w:after="120"/>
              <w:jc w:val="both"/>
              <w:rPr>
                <w:rFonts w:cs="Calibri"/>
                <w:sz w:val="18"/>
                <w:szCs w:val="18"/>
              </w:rPr>
            </w:pPr>
            <w:r w:rsidRPr="00FE4C4B">
              <w:rPr>
                <w:rFonts w:cs="Calibri"/>
                <w:sz w:val="18"/>
                <w:szCs w:val="18"/>
              </w:rPr>
              <w:t>The CMAA is equipped with the technical and functional capacities required to manage, regulate, coordinate and monitor Cambodia’s national mine action programme within an evolving environment.</w:t>
            </w:r>
          </w:p>
          <w:p w14:paraId="15936888" w14:textId="77777777" w:rsidR="000A4171" w:rsidRPr="00DB6AF5" w:rsidRDefault="000A4171" w:rsidP="00DB6AF5">
            <w:pPr>
              <w:rPr>
                <w:b/>
                <w:sz w:val="18"/>
                <w:szCs w:val="18"/>
              </w:rPr>
            </w:pPr>
          </w:p>
        </w:tc>
      </w:tr>
      <w:tr w:rsidR="00DE7C94" w:rsidRPr="00FE4C4B" w14:paraId="409B0270" w14:textId="531DED24" w:rsidTr="00DE7C94">
        <w:tc>
          <w:tcPr>
            <w:tcW w:w="2679" w:type="dxa"/>
          </w:tcPr>
          <w:p w14:paraId="35256CD5" w14:textId="77777777" w:rsidR="00DE7C94" w:rsidRPr="00FE4C4B" w:rsidRDefault="00DE7C94">
            <w:pPr>
              <w:rPr>
                <w:sz w:val="18"/>
                <w:szCs w:val="18"/>
              </w:rPr>
            </w:pPr>
          </w:p>
        </w:tc>
        <w:tc>
          <w:tcPr>
            <w:tcW w:w="3082" w:type="dxa"/>
          </w:tcPr>
          <w:p w14:paraId="77CCFE38" w14:textId="47E49321" w:rsidR="00DE7C94" w:rsidRPr="00FE4C4B" w:rsidRDefault="00DE7C94" w:rsidP="00FE4C4B">
            <w:pPr>
              <w:rPr>
                <w:sz w:val="18"/>
                <w:szCs w:val="18"/>
              </w:rPr>
            </w:pPr>
            <w:r w:rsidRPr="00FE4C4B">
              <w:rPr>
                <w:b/>
                <w:sz w:val="18"/>
                <w:szCs w:val="18"/>
              </w:rPr>
              <w:t>Activity 4:</w:t>
            </w:r>
            <w:r>
              <w:rPr>
                <w:sz w:val="18"/>
                <w:szCs w:val="18"/>
              </w:rPr>
              <w:t xml:space="preserve"> Build on the 11 MSP momentum to increase the visibility of the CMAA and improve its capacity to communicate effectively and regularly on the CMAA’s role and the sector achievement and needs by preparing Quarterly newsletters and Annual Reports, Support the preparation of knowledge exchange visits from external stakeholders</w:t>
            </w:r>
          </w:p>
        </w:tc>
        <w:tc>
          <w:tcPr>
            <w:tcW w:w="4138" w:type="dxa"/>
          </w:tcPr>
          <w:p w14:paraId="0E419831" w14:textId="26ED37C6" w:rsidR="00DE7C94" w:rsidRPr="00573187" w:rsidRDefault="00DE7C94" w:rsidP="0001212A">
            <w:pPr>
              <w:rPr>
                <w:b/>
                <w:sz w:val="18"/>
                <w:szCs w:val="18"/>
              </w:rPr>
            </w:pPr>
            <w:r w:rsidRPr="00FE4C4B">
              <w:rPr>
                <w:b/>
                <w:sz w:val="18"/>
                <w:szCs w:val="18"/>
              </w:rPr>
              <w:t>Activity 4:</w:t>
            </w:r>
            <w:r>
              <w:rPr>
                <w:sz w:val="18"/>
                <w:szCs w:val="18"/>
              </w:rPr>
              <w:t xml:space="preserve"> Increase the visibility of the CMAA and improve its capacity to communicate effectively and regularly on the CMAA’s role and the sector achievement and needs by preparing Quarterly newsletters and Annual Reports, Support the preparation of knowledge exchange visits from external stakeholders</w:t>
            </w:r>
          </w:p>
        </w:tc>
        <w:tc>
          <w:tcPr>
            <w:tcW w:w="2178" w:type="dxa"/>
          </w:tcPr>
          <w:p w14:paraId="05784E5F" w14:textId="7443E2AF" w:rsidR="00DE7C94" w:rsidRPr="00FE4C4B" w:rsidRDefault="00DE7C94">
            <w:pPr>
              <w:rPr>
                <w:sz w:val="18"/>
                <w:szCs w:val="18"/>
              </w:rPr>
            </w:pPr>
            <w:r>
              <w:rPr>
                <w:sz w:val="18"/>
                <w:szCs w:val="18"/>
              </w:rPr>
              <w:t>Same as 2013-14</w:t>
            </w:r>
          </w:p>
        </w:tc>
        <w:tc>
          <w:tcPr>
            <w:tcW w:w="2079" w:type="dxa"/>
          </w:tcPr>
          <w:p w14:paraId="1D2860DC" w14:textId="77777777" w:rsidR="00DE7C94" w:rsidRPr="00DB6AF5" w:rsidRDefault="00DE7C94" w:rsidP="00DB6AF5">
            <w:pPr>
              <w:rPr>
                <w:rFonts w:eastAsiaTheme="minorHAnsi"/>
                <w:color w:val="000000"/>
                <w:sz w:val="18"/>
                <w:szCs w:val="18"/>
              </w:rPr>
            </w:pPr>
            <w:r w:rsidRPr="00DB6AF5">
              <w:rPr>
                <w:rFonts w:eastAsiaTheme="minorHAnsi"/>
                <w:b/>
                <w:color w:val="000000"/>
                <w:sz w:val="18"/>
                <w:szCs w:val="18"/>
              </w:rPr>
              <w:t xml:space="preserve">Activity 4: </w:t>
            </w:r>
          </w:p>
          <w:p w14:paraId="3E1F5FB6" w14:textId="31189E95" w:rsidR="00DE7C94" w:rsidRPr="00DB6AF5" w:rsidRDefault="00DE7C94" w:rsidP="00DB6AF5">
            <w:pPr>
              <w:rPr>
                <w:sz w:val="18"/>
                <w:szCs w:val="18"/>
              </w:rPr>
            </w:pPr>
            <w:r w:rsidRPr="00DB6AF5">
              <w:rPr>
                <w:rFonts w:eastAsiaTheme="minorHAnsi"/>
                <w:color w:val="000000"/>
                <w:sz w:val="18"/>
                <w:szCs w:val="18"/>
              </w:rPr>
              <w:t>Increase visibility of the CMAA and improve its capacity</w:t>
            </w:r>
          </w:p>
        </w:tc>
      </w:tr>
      <w:tr w:rsidR="00DE7C94" w:rsidRPr="00FE4C4B" w14:paraId="323B1910" w14:textId="54A79698" w:rsidTr="00DE7C94">
        <w:tc>
          <w:tcPr>
            <w:tcW w:w="2679" w:type="dxa"/>
          </w:tcPr>
          <w:p w14:paraId="15B96213" w14:textId="77777777" w:rsidR="00DE7C94" w:rsidRPr="00FE4C4B" w:rsidRDefault="00DE7C94">
            <w:pPr>
              <w:rPr>
                <w:sz w:val="18"/>
                <w:szCs w:val="18"/>
              </w:rPr>
            </w:pPr>
          </w:p>
        </w:tc>
        <w:tc>
          <w:tcPr>
            <w:tcW w:w="3082" w:type="dxa"/>
          </w:tcPr>
          <w:p w14:paraId="03F42F26" w14:textId="75817826" w:rsidR="00DE7C94" w:rsidRPr="00FE4C4B" w:rsidRDefault="00DE7C94" w:rsidP="00FE4C4B">
            <w:pPr>
              <w:rPr>
                <w:sz w:val="18"/>
                <w:szCs w:val="18"/>
              </w:rPr>
            </w:pPr>
            <w:r>
              <w:rPr>
                <w:b/>
                <w:sz w:val="18"/>
                <w:szCs w:val="18"/>
              </w:rPr>
              <w:t>Activity 5</w:t>
            </w:r>
            <w:r w:rsidRPr="00FE4C4B">
              <w:rPr>
                <w:b/>
                <w:sz w:val="18"/>
                <w:szCs w:val="18"/>
              </w:rPr>
              <w:t>:</w:t>
            </w:r>
            <w:r>
              <w:rPr>
                <w:sz w:val="18"/>
                <w:szCs w:val="18"/>
              </w:rPr>
              <w:t xml:space="preserve"> Implement and monitor the capacity development plan including provision of training and measure as designed by CD plan and support to all departments</w:t>
            </w:r>
          </w:p>
        </w:tc>
        <w:tc>
          <w:tcPr>
            <w:tcW w:w="4138" w:type="dxa"/>
          </w:tcPr>
          <w:p w14:paraId="49C179C7" w14:textId="02EB461D" w:rsidR="00DE7C94" w:rsidRPr="00FE4C4B" w:rsidRDefault="00DE7C94" w:rsidP="0001212A">
            <w:pPr>
              <w:rPr>
                <w:sz w:val="18"/>
                <w:szCs w:val="18"/>
              </w:rPr>
            </w:pPr>
            <w:r>
              <w:rPr>
                <w:b/>
                <w:sz w:val="18"/>
                <w:szCs w:val="18"/>
              </w:rPr>
              <w:t>Activity 5</w:t>
            </w:r>
            <w:r w:rsidRPr="00FE4C4B">
              <w:rPr>
                <w:b/>
                <w:sz w:val="18"/>
                <w:szCs w:val="18"/>
              </w:rPr>
              <w:t>:</w:t>
            </w:r>
            <w:r>
              <w:rPr>
                <w:sz w:val="18"/>
                <w:szCs w:val="18"/>
              </w:rPr>
              <w:t xml:space="preserve"> Implement and monitor the capacity development plan including provision of training and </w:t>
            </w:r>
            <w:r>
              <w:rPr>
                <w:b/>
                <w:sz w:val="18"/>
                <w:szCs w:val="18"/>
              </w:rPr>
              <w:t>specific management measures</w:t>
            </w:r>
          </w:p>
        </w:tc>
        <w:tc>
          <w:tcPr>
            <w:tcW w:w="2178" w:type="dxa"/>
          </w:tcPr>
          <w:p w14:paraId="1E69B13E" w14:textId="6B5C54F9" w:rsidR="00DE7C94" w:rsidRPr="00FE4C4B" w:rsidRDefault="00DE7C94">
            <w:pPr>
              <w:rPr>
                <w:sz w:val="18"/>
                <w:szCs w:val="18"/>
              </w:rPr>
            </w:pPr>
            <w:r>
              <w:rPr>
                <w:sz w:val="18"/>
                <w:szCs w:val="18"/>
              </w:rPr>
              <w:t>Same as 2013-14</w:t>
            </w:r>
          </w:p>
        </w:tc>
        <w:tc>
          <w:tcPr>
            <w:tcW w:w="2079" w:type="dxa"/>
          </w:tcPr>
          <w:p w14:paraId="313C8C9F" w14:textId="77777777" w:rsidR="00DE7C94" w:rsidRPr="00DB6AF5" w:rsidRDefault="00DE7C94" w:rsidP="00DB6AF5">
            <w:pPr>
              <w:rPr>
                <w:rFonts w:eastAsiaTheme="minorHAnsi"/>
                <w:color w:val="000000"/>
                <w:sz w:val="18"/>
                <w:szCs w:val="18"/>
              </w:rPr>
            </w:pPr>
            <w:r w:rsidRPr="00DB6AF5">
              <w:rPr>
                <w:rFonts w:eastAsiaTheme="minorHAnsi"/>
                <w:b/>
                <w:color w:val="000000"/>
                <w:sz w:val="18"/>
                <w:szCs w:val="18"/>
              </w:rPr>
              <w:t xml:space="preserve">Activity 5: </w:t>
            </w:r>
          </w:p>
          <w:p w14:paraId="3C491804" w14:textId="7AEB6CFA" w:rsidR="00DE7C94" w:rsidRPr="00DB6AF5" w:rsidRDefault="00DE7C94" w:rsidP="00DB6AF5">
            <w:pPr>
              <w:rPr>
                <w:sz w:val="18"/>
                <w:szCs w:val="18"/>
              </w:rPr>
            </w:pPr>
            <w:r w:rsidRPr="00DB6AF5">
              <w:rPr>
                <w:rFonts w:eastAsiaTheme="minorHAnsi"/>
                <w:color w:val="000000"/>
                <w:sz w:val="18"/>
                <w:szCs w:val="18"/>
              </w:rPr>
              <w:t>Implementation of the Capacity Development Plan</w:t>
            </w:r>
          </w:p>
        </w:tc>
      </w:tr>
      <w:tr w:rsidR="00DE7C94" w:rsidRPr="00FE4C4B" w14:paraId="4744C957" w14:textId="5B2B2047" w:rsidTr="00DE7C94">
        <w:tc>
          <w:tcPr>
            <w:tcW w:w="2679" w:type="dxa"/>
          </w:tcPr>
          <w:p w14:paraId="203D4CDC" w14:textId="77777777" w:rsidR="00DE7C94" w:rsidRPr="00FE4C4B" w:rsidRDefault="00DE7C94">
            <w:pPr>
              <w:rPr>
                <w:sz w:val="18"/>
                <w:szCs w:val="18"/>
              </w:rPr>
            </w:pPr>
          </w:p>
        </w:tc>
        <w:tc>
          <w:tcPr>
            <w:tcW w:w="3082" w:type="dxa"/>
          </w:tcPr>
          <w:p w14:paraId="6ABA69CA" w14:textId="16ED8733" w:rsidR="00DE7C94" w:rsidRPr="00FE4C4B" w:rsidRDefault="00DE7C94" w:rsidP="00FE4C4B">
            <w:pPr>
              <w:rPr>
                <w:sz w:val="18"/>
                <w:szCs w:val="18"/>
              </w:rPr>
            </w:pPr>
            <w:r>
              <w:rPr>
                <w:b/>
                <w:sz w:val="18"/>
                <w:szCs w:val="18"/>
              </w:rPr>
              <w:t>Activity 6</w:t>
            </w:r>
            <w:r w:rsidRPr="00FE4C4B">
              <w:rPr>
                <w:b/>
                <w:sz w:val="18"/>
                <w:szCs w:val="18"/>
              </w:rPr>
              <w:t>:</w:t>
            </w:r>
            <w:r>
              <w:rPr>
                <w:sz w:val="18"/>
                <w:szCs w:val="18"/>
              </w:rPr>
              <w:t xml:space="preserve"> Enhance finance, procurement and human resources capacities of the CMAA, to manage CFR and in particular, enhance performance management system, finalise HR and Administrative guidelines, review audit findings and amend manuals and processes as necessary, exchange visits on competitive procurement of demining services, review the 2011-12 competitive bidding processes in light of the project’s objectives and formulate recommendations for future procurement</w:t>
            </w:r>
          </w:p>
        </w:tc>
        <w:tc>
          <w:tcPr>
            <w:tcW w:w="4138" w:type="dxa"/>
          </w:tcPr>
          <w:p w14:paraId="0C794A5F" w14:textId="31688001" w:rsidR="00DE7C94" w:rsidRPr="00FE4C4B" w:rsidRDefault="00DE7C94">
            <w:pPr>
              <w:rPr>
                <w:sz w:val="18"/>
                <w:szCs w:val="18"/>
              </w:rPr>
            </w:pPr>
            <w:r>
              <w:rPr>
                <w:b/>
                <w:sz w:val="18"/>
                <w:szCs w:val="18"/>
              </w:rPr>
              <w:t>Activity 6</w:t>
            </w:r>
            <w:r w:rsidRPr="00FE4C4B">
              <w:rPr>
                <w:b/>
                <w:sz w:val="18"/>
                <w:szCs w:val="18"/>
              </w:rPr>
              <w:t>:</w:t>
            </w:r>
            <w:r>
              <w:rPr>
                <w:sz w:val="18"/>
                <w:szCs w:val="18"/>
              </w:rPr>
              <w:t xml:space="preserve"> Enhance finance, procurement and human resources capacities </w:t>
            </w:r>
            <w:r>
              <w:rPr>
                <w:b/>
                <w:sz w:val="18"/>
                <w:szCs w:val="18"/>
              </w:rPr>
              <w:t xml:space="preserve">by implementing CMAA staff performance assessment guideline, </w:t>
            </w:r>
            <w:r>
              <w:rPr>
                <w:sz w:val="18"/>
                <w:szCs w:val="18"/>
              </w:rPr>
              <w:t>finalising HR and Administrative guidelines, review audit findings and amend manuals and processes as necessary, reviewing the 2011-13 competitive bidding processes in light of the project’s objectives and formulate recommendations for future procurement</w:t>
            </w:r>
          </w:p>
        </w:tc>
        <w:tc>
          <w:tcPr>
            <w:tcW w:w="2178" w:type="dxa"/>
          </w:tcPr>
          <w:p w14:paraId="2426C5C7" w14:textId="5034C8F8" w:rsidR="00DE7C94" w:rsidRPr="00FE4C4B" w:rsidRDefault="00DE7C94">
            <w:pPr>
              <w:rPr>
                <w:sz w:val="18"/>
                <w:szCs w:val="18"/>
              </w:rPr>
            </w:pPr>
            <w:r>
              <w:rPr>
                <w:sz w:val="18"/>
                <w:szCs w:val="18"/>
              </w:rPr>
              <w:t>Same as 2013-14</w:t>
            </w:r>
          </w:p>
        </w:tc>
        <w:tc>
          <w:tcPr>
            <w:tcW w:w="2079" w:type="dxa"/>
          </w:tcPr>
          <w:p w14:paraId="18AEBD28" w14:textId="77777777" w:rsidR="00DE7C94" w:rsidRPr="00DB6AF5" w:rsidRDefault="00DE7C94" w:rsidP="00DB6AF5">
            <w:pPr>
              <w:rPr>
                <w:rFonts w:eastAsiaTheme="minorHAnsi"/>
                <w:color w:val="000000"/>
                <w:sz w:val="18"/>
                <w:szCs w:val="18"/>
              </w:rPr>
            </w:pPr>
            <w:r w:rsidRPr="00DB6AF5">
              <w:rPr>
                <w:rFonts w:eastAsiaTheme="minorHAnsi"/>
                <w:b/>
                <w:color w:val="000000"/>
                <w:sz w:val="18"/>
                <w:szCs w:val="18"/>
              </w:rPr>
              <w:t>Activity 6:</w:t>
            </w:r>
            <w:r w:rsidRPr="00DB6AF5">
              <w:rPr>
                <w:rFonts w:eastAsiaTheme="minorHAnsi"/>
                <w:color w:val="000000"/>
                <w:sz w:val="18"/>
                <w:szCs w:val="18"/>
              </w:rPr>
              <w:t xml:space="preserve"> </w:t>
            </w:r>
          </w:p>
          <w:p w14:paraId="208220EE" w14:textId="029B5E4F" w:rsidR="00DE7C94" w:rsidRPr="00DB6AF5" w:rsidRDefault="00DE7C94" w:rsidP="00DB6AF5">
            <w:pPr>
              <w:rPr>
                <w:sz w:val="18"/>
                <w:szCs w:val="18"/>
              </w:rPr>
            </w:pPr>
            <w:r w:rsidRPr="00DB6AF5">
              <w:rPr>
                <w:rFonts w:eastAsiaTheme="minorHAnsi"/>
                <w:color w:val="000000"/>
                <w:sz w:val="18"/>
                <w:szCs w:val="18"/>
              </w:rPr>
              <w:t>Enhance Finance, Procurement and HR Capacities</w:t>
            </w:r>
          </w:p>
        </w:tc>
      </w:tr>
      <w:tr w:rsidR="00DE7C94" w:rsidRPr="00FE4C4B" w14:paraId="1F64B087" w14:textId="3B361BD5" w:rsidTr="00DE7C94">
        <w:tc>
          <w:tcPr>
            <w:tcW w:w="2679" w:type="dxa"/>
            <w:tcBorders>
              <w:bottom w:val="single" w:sz="4" w:space="0" w:color="auto"/>
            </w:tcBorders>
          </w:tcPr>
          <w:p w14:paraId="34ECECA4" w14:textId="77777777" w:rsidR="00DE7C94" w:rsidRPr="00FE4C4B" w:rsidRDefault="00DE7C94">
            <w:pPr>
              <w:rPr>
                <w:sz w:val="18"/>
                <w:szCs w:val="18"/>
              </w:rPr>
            </w:pPr>
          </w:p>
        </w:tc>
        <w:tc>
          <w:tcPr>
            <w:tcW w:w="3082" w:type="dxa"/>
            <w:tcBorders>
              <w:bottom w:val="single" w:sz="4" w:space="0" w:color="auto"/>
            </w:tcBorders>
          </w:tcPr>
          <w:p w14:paraId="12D39B5B" w14:textId="77777777" w:rsidR="00DE7C94" w:rsidRDefault="00DE7C94" w:rsidP="00155D69">
            <w:pPr>
              <w:rPr>
                <w:sz w:val="18"/>
                <w:szCs w:val="18"/>
              </w:rPr>
            </w:pPr>
            <w:r>
              <w:rPr>
                <w:b/>
                <w:sz w:val="18"/>
                <w:szCs w:val="18"/>
              </w:rPr>
              <w:t>Activity 7</w:t>
            </w:r>
            <w:r w:rsidRPr="00FE4C4B">
              <w:rPr>
                <w:b/>
                <w:sz w:val="18"/>
                <w:szCs w:val="18"/>
              </w:rPr>
              <w:t>:</w:t>
            </w:r>
            <w:r>
              <w:rPr>
                <w:sz w:val="18"/>
                <w:szCs w:val="18"/>
              </w:rPr>
              <w:t xml:space="preserve"> Support the implementation of the new Guidelines on Planning and Prioritisation by providing follow-up assistance to all MAPU staff to ensure smooth and effective implementation, promotion with PMAC, the restructuring of MAPU in-line with the guideline’s requirement, ensure all relevant stakeholders (provincial and local authorities, demining operators, DP, relevant ministries, development organisations) are familiar with the guidelines and will commit to the process through dissemination workshops and supporting the MAPU in its efforts to orientate authorities. Ensure the guidelines roll-out is monitored so lessons can be learned and the guidelines and processes fine-tuned.</w:t>
            </w:r>
          </w:p>
          <w:p w14:paraId="5AFBA742" w14:textId="77777777" w:rsidR="000A4171" w:rsidRDefault="000A4171" w:rsidP="00155D69">
            <w:pPr>
              <w:rPr>
                <w:sz w:val="18"/>
                <w:szCs w:val="18"/>
              </w:rPr>
            </w:pPr>
          </w:p>
          <w:p w14:paraId="034C6779" w14:textId="77777777" w:rsidR="000A4171" w:rsidRDefault="000A4171" w:rsidP="00155D69">
            <w:pPr>
              <w:rPr>
                <w:sz w:val="18"/>
                <w:szCs w:val="18"/>
              </w:rPr>
            </w:pPr>
          </w:p>
          <w:p w14:paraId="252A2DED" w14:textId="77777777" w:rsidR="000A4171" w:rsidRDefault="000A4171" w:rsidP="00155D69">
            <w:pPr>
              <w:rPr>
                <w:sz w:val="18"/>
                <w:szCs w:val="18"/>
              </w:rPr>
            </w:pPr>
          </w:p>
          <w:p w14:paraId="5E30B3F1" w14:textId="77777777" w:rsidR="000A4171" w:rsidRDefault="000A4171" w:rsidP="00155D69">
            <w:pPr>
              <w:rPr>
                <w:sz w:val="18"/>
                <w:szCs w:val="18"/>
              </w:rPr>
            </w:pPr>
          </w:p>
          <w:p w14:paraId="003F27D9" w14:textId="110373FE" w:rsidR="000A4171" w:rsidRPr="00FE4C4B" w:rsidRDefault="000A4171" w:rsidP="00155D69">
            <w:pPr>
              <w:rPr>
                <w:sz w:val="18"/>
                <w:szCs w:val="18"/>
              </w:rPr>
            </w:pPr>
            <w:bookmarkStart w:id="0" w:name="_GoBack"/>
            <w:bookmarkEnd w:id="0"/>
          </w:p>
        </w:tc>
        <w:tc>
          <w:tcPr>
            <w:tcW w:w="4138" w:type="dxa"/>
            <w:tcBorders>
              <w:bottom w:val="single" w:sz="4" w:space="0" w:color="auto"/>
            </w:tcBorders>
          </w:tcPr>
          <w:p w14:paraId="4C8591A4" w14:textId="77777777" w:rsidR="00DE7C94" w:rsidRPr="0001212A" w:rsidRDefault="00DE7C94" w:rsidP="002C6986">
            <w:pPr>
              <w:rPr>
                <w:b/>
                <w:sz w:val="18"/>
                <w:szCs w:val="18"/>
              </w:rPr>
            </w:pPr>
            <w:r>
              <w:rPr>
                <w:b/>
                <w:sz w:val="18"/>
                <w:szCs w:val="18"/>
              </w:rPr>
              <w:t>Activity 7</w:t>
            </w:r>
            <w:r w:rsidRPr="00FE4C4B">
              <w:rPr>
                <w:b/>
                <w:sz w:val="18"/>
                <w:szCs w:val="18"/>
              </w:rPr>
              <w:t>:</w:t>
            </w:r>
            <w:r>
              <w:rPr>
                <w:sz w:val="18"/>
                <w:szCs w:val="18"/>
              </w:rPr>
              <w:t xml:space="preserve"> Support the implementation </w:t>
            </w:r>
            <w:r>
              <w:rPr>
                <w:b/>
                <w:sz w:val="18"/>
                <w:szCs w:val="18"/>
              </w:rPr>
              <w:t>by the MAPU</w:t>
            </w:r>
            <w:r>
              <w:rPr>
                <w:sz w:val="18"/>
                <w:szCs w:val="18"/>
              </w:rPr>
              <w:t xml:space="preserve"> of the new Guidelines on Planning and Prioritisation by providing </w:t>
            </w:r>
            <w:r>
              <w:rPr>
                <w:b/>
                <w:sz w:val="18"/>
                <w:szCs w:val="18"/>
              </w:rPr>
              <w:t>training and</w:t>
            </w:r>
            <w:r>
              <w:rPr>
                <w:sz w:val="18"/>
                <w:szCs w:val="18"/>
              </w:rPr>
              <w:t xml:space="preserve"> follow-up assistance to all MAPU staff  </w:t>
            </w:r>
            <w:r>
              <w:rPr>
                <w:b/>
                <w:sz w:val="18"/>
                <w:szCs w:val="18"/>
              </w:rPr>
              <w:t xml:space="preserve">in the west </w:t>
            </w:r>
            <w:r>
              <w:rPr>
                <w:sz w:val="18"/>
                <w:szCs w:val="18"/>
              </w:rPr>
              <w:t xml:space="preserve">ensuring all relevant stakeholders are familiar with the guidelines and will commit to the process </w:t>
            </w:r>
            <w:r>
              <w:rPr>
                <w:b/>
                <w:sz w:val="18"/>
                <w:szCs w:val="18"/>
              </w:rPr>
              <w:t>supporting MAPU in its</w:t>
            </w:r>
          </w:p>
          <w:p w14:paraId="11E86243" w14:textId="3B312D86" w:rsidR="00DE7C94" w:rsidRPr="00FE4C4B" w:rsidRDefault="00DE7C94" w:rsidP="0001212A">
            <w:pPr>
              <w:rPr>
                <w:sz w:val="18"/>
                <w:szCs w:val="18"/>
              </w:rPr>
            </w:pPr>
            <w:r>
              <w:rPr>
                <w:sz w:val="18"/>
                <w:szCs w:val="18"/>
              </w:rPr>
              <w:t xml:space="preserve">its efforts to orientate authorities, ensuring the guidelines roll-out, </w:t>
            </w:r>
            <w:r>
              <w:rPr>
                <w:b/>
                <w:sz w:val="18"/>
                <w:szCs w:val="18"/>
              </w:rPr>
              <w:t>to gather</w:t>
            </w:r>
            <w:r>
              <w:rPr>
                <w:sz w:val="18"/>
                <w:szCs w:val="18"/>
              </w:rPr>
              <w:t xml:space="preserve"> lessons can be learned and </w:t>
            </w:r>
            <w:r w:rsidRPr="0001212A">
              <w:rPr>
                <w:b/>
                <w:sz w:val="18"/>
                <w:szCs w:val="18"/>
              </w:rPr>
              <w:t>fine tune</w:t>
            </w:r>
            <w:r>
              <w:rPr>
                <w:sz w:val="18"/>
                <w:szCs w:val="18"/>
              </w:rPr>
              <w:t xml:space="preserve"> the guidelines and processes.</w:t>
            </w:r>
          </w:p>
        </w:tc>
        <w:tc>
          <w:tcPr>
            <w:tcW w:w="2178" w:type="dxa"/>
            <w:tcBorders>
              <w:bottom w:val="single" w:sz="4" w:space="0" w:color="auto"/>
            </w:tcBorders>
          </w:tcPr>
          <w:p w14:paraId="1B0E6130" w14:textId="140EBD52" w:rsidR="00DE7C94" w:rsidRPr="00FE4C4B" w:rsidRDefault="00DE7C94">
            <w:pPr>
              <w:rPr>
                <w:sz w:val="18"/>
                <w:szCs w:val="18"/>
              </w:rPr>
            </w:pPr>
            <w:r>
              <w:rPr>
                <w:sz w:val="18"/>
                <w:szCs w:val="18"/>
              </w:rPr>
              <w:t>Same as 2013-14</w:t>
            </w:r>
          </w:p>
        </w:tc>
        <w:tc>
          <w:tcPr>
            <w:tcW w:w="2079" w:type="dxa"/>
            <w:tcBorders>
              <w:bottom w:val="single" w:sz="4" w:space="0" w:color="auto"/>
            </w:tcBorders>
          </w:tcPr>
          <w:p w14:paraId="11590A53" w14:textId="77777777" w:rsidR="00DE7C94" w:rsidRPr="00DB6AF5" w:rsidRDefault="00DE7C94" w:rsidP="00DB6AF5">
            <w:pPr>
              <w:rPr>
                <w:rFonts w:eastAsiaTheme="minorHAnsi"/>
                <w:color w:val="000000"/>
                <w:sz w:val="18"/>
                <w:szCs w:val="18"/>
              </w:rPr>
            </w:pPr>
            <w:r w:rsidRPr="00DB6AF5">
              <w:rPr>
                <w:rFonts w:eastAsiaTheme="minorHAnsi"/>
                <w:b/>
                <w:color w:val="000000"/>
                <w:sz w:val="18"/>
                <w:szCs w:val="18"/>
              </w:rPr>
              <w:t xml:space="preserve">Activity 7: </w:t>
            </w:r>
          </w:p>
          <w:p w14:paraId="25D69E43" w14:textId="1FEDDB82" w:rsidR="00DE7C94" w:rsidRPr="00DB6AF5" w:rsidRDefault="00DE7C94" w:rsidP="00DB6AF5">
            <w:pPr>
              <w:rPr>
                <w:sz w:val="18"/>
                <w:szCs w:val="18"/>
              </w:rPr>
            </w:pPr>
            <w:r w:rsidRPr="00DB6AF5">
              <w:rPr>
                <w:rFonts w:eastAsiaTheme="minorHAnsi"/>
                <w:color w:val="000000"/>
                <w:sz w:val="18"/>
                <w:szCs w:val="18"/>
              </w:rPr>
              <w:t>Support the Implementation of Planning Guidelines by MAPU</w:t>
            </w:r>
          </w:p>
        </w:tc>
      </w:tr>
      <w:tr w:rsidR="000A4171" w:rsidRPr="00FE4C4B" w14:paraId="0F4DE76F" w14:textId="358228B0" w:rsidTr="007B11A4">
        <w:tc>
          <w:tcPr>
            <w:tcW w:w="14156" w:type="dxa"/>
            <w:gridSpan w:val="5"/>
            <w:shd w:val="clear" w:color="auto" w:fill="CCFFCC"/>
          </w:tcPr>
          <w:p w14:paraId="65088498" w14:textId="77777777" w:rsidR="000A4171" w:rsidRPr="00155D69" w:rsidRDefault="000A4171" w:rsidP="00155D69">
            <w:pPr>
              <w:spacing w:after="120"/>
              <w:jc w:val="both"/>
              <w:rPr>
                <w:rFonts w:cs="Calibri"/>
                <w:sz w:val="18"/>
                <w:szCs w:val="18"/>
              </w:rPr>
            </w:pPr>
            <w:r w:rsidRPr="00155D69">
              <w:rPr>
                <w:rFonts w:cs="Calibri"/>
                <w:b/>
                <w:sz w:val="18"/>
                <w:szCs w:val="18"/>
              </w:rPr>
              <w:t xml:space="preserve">Deliverable 3: </w:t>
            </w:r>
            <w:r w:rsidRPr="00155D69">
              <w:rPr>
                <w:rFonts w:cs="Calibri"/>
                <w:sz w:val="18"/>
                <w:szCs w:val="18"/>
              </w:rPr>
              <w:t>At least 35 km2 of contaminated land mapped through Baseline Survey, cleared and released for productive use</w:t>
            </w:r>
            <w:r w:rsidRPr="00155D69">
              <w:rPr>
                <w:rStyle w:val="FootnoteReference"/>
                <w:rFonts w:cs="Calibri"/>
                <w:sz w:val="18"/>
                <w:szCs w:val="18"/>
              </w:rPr>
              <w:footnoteReference w:id="1"/>
            </w:r>
            <w:r w:rsidRPr="00155D69">
              <w:rPr>
                <w:rFonts w:cs="Calibri"/>
                <w:sz w:val="18"/>
                <w:szCs w:val="18"/>
              </w:rPr>
              <w:t xml:space="preserve"> through local planning that promotes efficiency and transparency.</w:t>
            </w:r>
          </w:p>
          <w:p w14:paraId="5D5FB231" w14:textId="77777777" w:rsidR="000A4171" w:rsidRPr="00DB6AF5" w:rsidRDefault="000A4171" w:rsidP="00DB6AF5">
            <w:pPr>
              <w:jc w:val="both"/>
              <w:rPr>
                <w:rFonts w:cs="Calibri"/>
                <w:b/>
                <w:sz w:val="18"/>
                <w:szCs w:val="18"/>
              </w:rPr>
            </w:pPr>
          </w:p>
        </w:tc>
      </w:tr>
      <w:tr w:rsidR="00DE7C94" w:rsidRPr="00FE4C4B" w14:paraId="7A668C90" w14:textId="3B43DBDD" w:rsidTr="00DE7C94">
        <w:tc>
          <w:tcPr>
            <w:tcW w:w="2679" w:type="dxa"/>
          </w:tcPr>
          <w:p w14:paraId="3AB4569B" w14:textId="77777777" w:rsidR="00DE7C94" w:rsidRPr="00FE4C4B" w:rsidRDefault="00DE7C94">
            <w:pPr>
              <w:rPr>
                <w:sz w:val="18"/>
                <w:szCs w:val="18"/>
              </w:rPr>
            </w:pPr>
          </w:p>
        </w:tc>
        <w:tc>
          <w:tcPr>
            <w:tcW w:w="3082" w:type="dxa"/>
          </w:tcPr>
          <w:p w14:paraId="336B4483" w14:textId="09500472" w:rsidR="00DE7C94" w:rsidRPr="00FE4C4B" w:rsidRDefault="00DE7C94" w:rsidP="00B74A09">
            <w:pPr>
              <w:rPr>
                <w:sz w:val="18"/>
                <w:szCs w:val="18"/>
              </w:rPr>
            </w:pPr>
            <w:r>
              <w:rPr>
                <w:b/>
                <w:sz w:val="18"/>
                <w:szCs w:val="18"/>
              </w:rPr>
              <w:t>Activity 8</w:t>
            </w:r>
            <w:r w:rsidRPr="00FE4C4B">
              <w:rPr>
                <w:b/>
                <w:sz w:val="18"/>
                <w:szCs w:val="18"/>
              </w:rPr>
              <w:t>:</w:t>
            </w:r>
            <w:r>
              <w:rPr>
                <w:sz w:val="18"/>
                <w:szCs w:val="18"/>
              </w:rPr>
              <w:t xml:space="preserve"> Prepare gender mine action plan; organize TRG meeting to finalise and disseminate Action Plan; Awareness raising workshop on gender mainstreaming in MA</w:t>
            </w:r>
          </w:p>
        </w:tc>
        <w:tc>
          <w:tcPr>
            <w:tcW w:w="4138" w:type="dxa"/>
          </w:tcPr>
          <w:p w14:paraId="35302504" w14:textId="3C147EAC" w:rsidR="00DE7C94" w:rsidRPr="00FE4C4B" w:rsidRDefault="00DE7C94">
            <w:pPr>
              <w:rPr>
                <w:sz w:val="18"/>
                <w:szCs w:val="18"/>
              </w:rPr>
            </w:pPr>
            <w:r w:rsidRPr="008A1E68">
              <w:rPr>
                <w:b/>
                <w:sz w:val="18"/>
                <w:szCs w:val="18"/>
              </w:rPr>
              <w:t>Activity 8:</w:t>
            </w:r>
            <w:r>
              <w:rPr>
                <w:sz w:val="18"/>
                <w:szCs w:val="18"/>
              </w:rPr>
              <w:t xml:space="preserve"> Act as national gender focal point to mainstream gender in MA by organizing TRG meetings to disseminate Gender Action Plan (2013-15) conducting partner assessment missions.</w:t>
            </w:r>
          </w:p>
        </w:tc>
        <w:tc>
          <w:tcPr>
            <w:tcW w:w="2178" w:type="dxa"/>
          </w:tcPr>
          <w:p w14:paraId="1308D29D" w14:textId="426CA671" w:rsidR="00DE7C94" w:rsidRPr="00FE4C4B" w:rsidRDefault="00DE7C94">
            <w:pPr>
              <w:rPr>
                <w:sz w:val="18"/>
                <w:szCs w:val="18"/>
              </w:rPr>
            </w:pPr>
            <w:r w:rsidRPr="008A1E68">
              <w:rPr>
                <w:b/>
                <w:sz w:val="18"/>
                <w:szCs w:val="18"/>
              </w:rPr>
              <w:t>Activity 8:</w:t>
            </w:r>
            <w:r>
              <w:rPr>
                <w:sz w:val="18"/>
                <w:szCs w:val="18"/>
              </w:rPr>
              <w:t xml:space="preserve"> Act as national gender focal point to mainstream gender in MA by organizing TRG meetings to disseminate Gender Action Plan (2013-15) conducting partner assessment missions.</w:t>
            </w:r>
          </w:p>
        </w:tc>
        <w:tc>
          <w:tcPr>
            <w:tcW w:w="2079" w:type="dxa"/>
          </w:tcPr>
          <w:p w14:paraId="18BDEA56" w14:textId="77777777" w:rsidR="00DB6AF5" w:rsidRPr="00DB6AF5" w:rsidRDefault="00DB6AF5" w:rsidP="00DB6AF5">
            <w:pPr>
              <w:rPr>
                <w:rFonts w:eastAsiaTheme="minorHAnsi"/>
                <w:color w:val="000000"/>
                <w:sz w:val="18"/>
                <w:szCs w:val="18"/>
              </w:rPr>
            </w:pPr>
            <w:r w:rsidRPr="00DB6AF5">
              <w:rPr>
                <w:rFonts w:eastAsiaTheme="minorHAnsi"/>
                <w:b/>
                <w:color w:val="000000"/>
                <w:sz w:val="18"/>
                <w:szCs w:val="18"/>
              </w:rPr>
              <w:t>Activity 8:</w:t>
            </w:r>
            <w:r w:rsidRPr="00DB6AF5">
              <w:rPr>
                <w:rFonts w:eastAsiaTheme="minorHAnsi"/>
                <w:color w:val="000000"/>
                <w:sz w:val="18"/>
                <w:szCs w:val="18"/>
              </w:rPr>
              <w:t xml:space="preserve"> </w:t>
            </w:r>
          </w:p>
          <w:p w14:paraId="355693DD" w14:textId="48D39220" w:rsidR="00DE7C94" w:rsidRPr="00DB6AF5" w:rsidRDefault="00DB6AF5" w:rsidP="00DB6AF5">
            <w:pPr>
              <w:rPr>
                <w:b/>
                <w:sz w:val="18"/>
                <w:szCs w:val="18"/>
              </w:rPr>
            </w:pPr>
            <w:r w:rsidRPr="00DB6AF5">
              <w:rPr>
                <w:rFonts w:eastAsiaTheme="minorHAnsi"/>
                <w:color w:val="000000"/>
                <w:sz w:val="18"/>
                <w:szCs w:val="18"/>
              </w:rPr>
              <w:t>Act as National Gender Focal Point to Mainstream Gender in MA</w:t>
            </w:r>
          </w:p>
        </w:tc>
      </w:tr>
      <w:tr w:rsidR="00DE7C94" w:rsidRPr="00FE4C4B" w14:paraId="64B3A72C" w14:textId="5573524F" w:rsidTr="00DE7C94">
        <w:tc>
          <w:tcPr>
            <w:tcW w:w="2679" w:type="dxa"/>
          </w:tcPr>
          <w:p w14:paraId="4B2B5936" w14:textId="77777777" w:rsidR="00DE7C94" w:rsidRPr="00FE4C4B" w:rsidRDefault="00DE7C94">
            <w:pPr>
              <w:rPr>
                <w:sz w:val="18"/>
                <w:szCs w:val="18"/>
              </w:rPr>
            </w:pPr>
          </w:p>
        </w:tc>
        <w:tc>
          <w:tcPr>
            <w:tcW w:w="3082" w:type="dxa"/>
          </w:tcPr>
          <w:p w14:paraId="590A51D8" w14:textId="4085FC58" w:rsidR="00DE7C94" w:rsidRPr="00FE4C4B" w:rsidRDefault="00DE7C94" w:rsidP="00B74A09">
            <w:pPr>
              <w:rPr>
                <w:sz w:val="18"/>
                <w:szCs w:val="18"/>
              </w:rPr>
            </w:pPr>
            <w:r>
              <w:rPr>
                <w:b/>
                <w:sz w:val="18"/>
                <w:szCs w:val="18"/>
              </w:rPr>
              <w:t>Activity 9</w:t>
            </w:r>
            <w:r w:rsidRPr="00FE4C4B">
              <w:rPr>
                <w:b/>
                <w:sz w:val="18"/>
                <w:szCs w:val="18"/>
              </w:rPr>
              <w:t>:</w:t>
            </w:r>
            <w:r>
              <w:rPr>
                <w:sz w:val="18"/>
                <w:szCs w:val="18"/>
              </w:rPr>
              <w:t xml:space="preserve"> Enhance the capacities of the Regulation and Monitoring department to effectively manage the quality of demining operations on the ground so as to ensure a high standard of confidence in the land being released by demining operators. This would include further enhancing quality assurance and quality control capacity to respond to sector’s needs by upgrading technical skills of existing QA capacity and standards, deploying trained QC capacity, monitoring QA &amp; QC activities to ensure sampling is carried out to provide extra confidence in the land release process. Establish, complete and make operational the dog accreditation facility, through technical advisory support.</w:t>
            </w:r>
          </w:p>
        </w:tc>
        <w:tc>
          <w:tcPr>
            <w:tcW w:w="4138" w:type="dxa"/>
          </w:tcPr>
          <w:p w14:paraId="7BF2B484" w14:textId="6F2E919C" w:rsidR="00DE7C94" w:rsidRPr="00FE4C4B" w:rsidRDefault="00DE7C94">
            <w:pPr>
              <w:rPr>
                <w:sz w:val="18"/>
                <w:szCs w:val="18"/>
              </w:rPr>
            </w:pPr>
            <w:r>
              <w:rPr>
                <w:b/>
                <w:sz w:val="18"/>
                <w:szCs w:val="18"/>
              </w:rPr>
              <w:t>Activity 9</w:t>
            </w:r>
            <w:r w:rsidRPr="00FE4C4B">
              <w:rPr>
                <w:b/>
                <w:sz w:val="18"/>
                <w:szCs w:val="18"/>
              </w:rPr>
              <w:t>:</w:t>
            </w:r>
            <w:r>
              <w:rPr>
                <w:sz w:val="18"/>
                <w:szCs w:val="18"/>
              </w:rPr>
              <w:t xml:space="preserve"> Enhance the quality of demining operations and ensure highest levels of confidence in the land being released by demining operators by monitoring QA &amp; QC activities to ensure sampling is carried out to provide extra confidence in the land release process. Establishing, completing and making operational the dog accreditation facility in 2013.</w:t>
            </w:r>
          </w:p>
        </w:tc>
        <w:tc>
          <w:tcPr>
            <w:tcW w:w="2178" w:type="dxa"/>
          </w:tcPr>
          <w:p w14:paraId="29041F1F" w14:textId="0EC990B2" w:rsidR="00DE7C94" w:rsidRPr="00FE4C4B" w:rsidRDefault="00DE7C94">
            <w:pPr>
              <w:rPr>
                <w:sz w:val="18"/>
                <w:szCs w:val="18"/>
              </w:rPr>
            </w:pPr>
            <w:r>
              <w:rPr>
                <w:b/>
                <w:sz w:val="18"/>
                <w:szCs w:val="18"/>
              </w:rPr>
              <w:t>Activity 9</w:t>
            </w:r>
            <w:r w:rsidRPr="00FE4C4B">
              <w:rPr>
                <w:b/>
                <w:sz w:val="18"/>
                <w:szCs w:val="18"/>
              </w:rPr>
              <w:t>:</w:t>
            </w:r>
            <w:r>
              <w:rPr>
                <w:sz w:val="18"/>
                <w:szCs w:val="18"/>
              </w:rPr>
              <w:t xml:space="preserve"> Enhance the quality of demining operations and ensure highest levels of confidence in the land being released by demining operators by monitoring QA &amp; QC activities to ensure sampling is carried out to provide extra confidence in the land release process. Establishing, completing and making operational the dog accreditation facility </w:t>
            </w:r>
            <w:r w:rsidRPr="008A1E68">
              <w:rPr>
                <w:i/>
                <w:sz w:val="18"/>
                <w:szCs w:val="18"/>
                <w:highlight w:val="yellow"/>
              </w:rPr>
              <w:t>in 2013?</w:t>
            </w:r>
          </w:p>
        </w:tc>
        <w:tc>
          <w:tcPr>
            <w:tcW w:w="2079" w:type="dxa"/>
          </w:tcPr>
          <w:p w14:paraId="6054B4D3" w14:textId="77777777" w:rsidR="00DB6AF5" w:rsidRPr="00DB6AF5" w:rsidRDefault="00DB6AF5" w:rsidP="00DB6AF5">
            <w:pPr>
              <w:rPr>
                <w:rFonts w:eastAsiaTheme="minorHAnsi"/>
                <w:color w:val="000000"/>
                <w:sz w:val="18"/>
                <w:szCs w:val="18"/>
              </w:rPr>
            </w:pPr>
            <w:r w:rsidRPr="00DB6AF5">
              <w:rPr>
                <w:rFonts w:eastAsiaTheme="minorHAnsi"/>
                <w:b/>
                <w:color w:val="000000"/>
                <w:sz w:val="18"/>
                <w:szCs w:val="18"/>
              </w:rPr>
              <w:t>Activity 9:</w:t>
            </w:r>
            <w:r w:rsidRPr="00DB6AF5">
              <w:rPr>
                <w:rFonts w:eastAsiaTheme="minorHAnsi"/>
                <w:color w:val="000000"/>
                <w:sz w:val="18"/>
                <w:szCs w:val="18"/>
              </w:rPr>
              <w:t xml:space="preserve"> </w:t>
            </w:r>
          </w:p>
          <w:p w14:paraId="44299669" w14:textId="2CA9E2A3" w:rsidR="00DE7C94" w:rsidRPr="00DB6AF5" w:rsidRDefault="00DB6AF5" w:rsidP="00DB6AF5">
            <w:pPr>
              <w:rPr>
                <w:b/>
                <w:sz w:val="18"/>
                <w:szCs w:val="18"/>
              </w:rPr>
            </w:pPr>
            <w:r w:rsidRPr="00DB6AF5">
              <w:rPr>
                <w:rFonts w:eastAsiaTheme="minorHAnsi"/>
                <w:color w:val="000000"/>
                <w:sz w:val="18"/>
                <w:szCs w:val="18"/>
              </w:rPr>
              <w:t>Enhance the quality of demining operations and ensure highest confidence</w:t>
            </w:r>
          </w:p>
        </w:tc>
      </w:tr>
      <w:tr w:rsidR="00DE7C94" w:rsidRPr="00FE4C4B" w14:paraId="2CBFC5AF" w14:textId="0A7C21B3" w:rsidTr="00DE7C94">
        <w:tc>
          <w:tcPr>
            <w:tcW w:w="2679" w:type="dxa"/>
          </w:tcPr>
          <w:p w14:paraId="5B213EFD" w14:textId="77777777" w:rsidR="00DE7C94" w:rsidRPr="00FE4C4B" w:rsidRDefault="00DE7C94">
            <w:pPr>
              <w:rPr>
                <w:sz w:val="18"/>
                <w:szCs w:val="18"/>
              </w:rPr>
            </w:pPr>
          </w:p>
        </w:tc>
        <w:tc>
          <w:tcPr>
            <w:tcW w:w="3082" w:type="dxa"/>
          </w:tcPr>
          <w:p w14:paraId="257A615B" w14:textId="6894FF1C" w:rsidR="00DE7C94" w:rsidRPr="00FE4C4B" w:rsidRDefault="00DE7C94">
            <w:pPr>
              <w:rPr>
                <w:sz w:val="18"/>
                <w:szCs w:val="18"/>
              </w:rPr>
            </w:pPr>
            <w:r>
              <w:rPr>
                <w:b/>
                <w:sz w:val="18"/>
                <w:szCs w:val="18"/>
              </w:rPr>
              <w:t>Activity 10</w:t>
            </w:r>
            <w:r w:rsidRPr="00FE4C4B">
              <w:rPr>
                <w:b/>
                <w:sz w:val="18"/>
                <w:szCs w:val="18"/>
              </w:rPr>
              <w:t>:</w:t>
            </w:r>
            <w:r>
              <w:rPr>
                <w:sz w:val="18"/>
                <w:szCs w:val="18"/>
              </w:rPr>
              <w:t xml:space="preserve"> Support completion of baseline survey</w:t>
            </w:r>
          </w:p>
        </w:tc>
        <w:tc>
          <w:tcPr>
            <w:tcW w:w="4138" w:type="dxa"/>
          </w:tcPr>
          <w:p w14:paraId="62F593AF" w14:textId="0F845FB2" w:rsidR="00DE7C94" w:rsidRPr="00FE4C4B" w:rsidRDefault="00DE7C94">
            <w:pPr>
              <w:rPr>
                <w:sz w:val="18"/>
                <w:szCs w:val="18"/>
              </w:rPr>
            </w:pPr>
            <w:r>
              <w:rPr>
                <w:sz w:val="18"/>
                <w:szCs w:val="18"/>
              </w:rPr>
              <w:t>Same as 2012</w:t>
            </w:r>
          </w:p>
        </w:tc>
        <w:tc>
          <w:tcPr>
            <w:tcW w:w="2178" w:type="dxa"/>
          </w:tcPr>
          <w:p w14:paraId="022F8030" w14:textId="03D0AD85" w:rsidR="00DE7C94" w:rsidRPr="008A1E68" w:rsidRDefault="00DE7C94">
            <w:pPr>
              <w:rPr>
                <w:b/>
                <w:sz w:val="18"/>
                <w:szCs w:val="18"/>
              </w:rPr>
            </w:pPr>
            <w:r>
              <w:rPr>
                <w:b/>
                <w:sz w:val="18"/>
                <w:szCs w:val="18"/>
              </w:rPr>
              <w:t>Activity 10</w:t>
            </w:r>
            <w:r w:rsidRPr="00FE4C4B">
              <w:rPr>
                <w:b/>
                <w:sz w:val="18"/>
                <w:szCs w:val="18"/>
              </w:rPr>
              <w:t>:</w:t>
            </w:r>
            <w:r>
              <w:rPr>
                <w:sz w:val="18"/>
                <w:szCs w:val="18"/>
              </w:rPr>
              <w:t xml:space="preserve"> Support completion of baseline survey </w:t>
            </w:r>
            <w:r>
              <w:rPr>
                <w:b/>
                <w:sz w:val="18"/>
                <w:szCs w:val="18"/>
              </w:rPr>
              <w:t>(final payment)</w:t>
            </w:r>
          </w:p>
        </w:tc>
        <w:tc>
          <w:tcPr>
            <w:tcW w:w="2079" w:type="dxa"/>
          </w:tcPr>
          <w:p w14:paraId="5725848D" w14:textId="0E7866A1" w:rsidR="00DE7C94" w:rsidRPr="00DB6AF5" w:rsidRDefault="00DB6AF5" w:rsidP="00DB6AF5">
            <w:pPr>
              <w:rPr>
                <w:b/>
                <w:sz w:val="18"/>
                <w:szCs w:val="18"/>
              </w:rPr>
            </w:pPr>
            <w:r w:rsidRPr="00DB6AF5">
              <w:rPr>
                <w:b/>
                <w:sz w:val="18"/>
                <w:szCs w:val="18"/>
              </w:rPr>
              <w:t>N/A</w:t>
            </w:r>
          </w:p>
        </w:tc>
      </w:tr>
      <w:tr w:rsidR="00DE7C94" w:rsidRPr="00FE4C4B" w14:paraId="1F4A3899" w14:textId="555AFBB9" w:rsidTr="00DE7C94">
        <w:tc>
          <w:tcPr>
            <w:tcW w:w="2679" w:type="dxa"/>
          </w:tcPr>
          <w:p w14:paraId="540FA65C" w14:textId="77777777" w:rsidR="00DE7C94" w:rsidRPr="00FE4C4B" w:rsidRDefault="00DE7C94">
            <w:pPr>
              <w:rPr>
                <w:sz w:val="18"/>
                <w:szCs w:val="18"/>
              </w:rPr>
            </w:pPr>
          </w:p>
        </w:tc>
        <w:tc>
          <w:tcPr>
            <w:tcW w:w="3082" w:type="dxa"/>
          </w:tcPr>
          <w:p w14:paraId="776E04D0" w14:textId="370BD5AD" w:rsidR="00DE7C94" w:rsidRPr="00FE4C4B" w:rsidRDefault="00DE7C94">
            <w:pPr>
              <w:rPr>
                <w:sz w:val="18"/>
                <w:szCs w:val="18"/>
              </w:rPr>
            </w:pPr>
            <w:r>
              <w:rPr>
                <w:b/>
                <w:sz w:val="18"/>
                <w:szCs w:val="18"/>
              </w:rPr>
              <w:t>Activity 11</w:t>
            </w:r>
            <w:r w:rsidRPr="00FE4C4B">
              <w:rPr>
                <w:b/>
                <w:sz w:val="18"/>
                <w:szCs w:val="18"/>
              </w:rPr>
              <w:t>:</w:t>
            </w:r>
            <w:r>
              <w:rPr>
                <w:sz w:val="18"/>
                <w:szCs w:val="18"/>
              </w:rPr>
              <w:t xml:space="preserve">  Clearance of some 12,000,000 square metres of land that promote poverty reduction and economic growth based on annual clearance plans and promote use improved methodologies for demining</w:t>
            </w:r>
          </w:p>
        </w:tc>
        <w:tc>
          <w:tcPr>
            <w:tcW w:w="4138" w:type="dxa"/>
          </w:tcPr>
          <w:p w14:paraId="52BBA742" w14:textId="7438E3C9" w:rsidR="00DE7C94" w:rsidRPr="00FE4C4B" w:rsidRDefault="00DE7C94" w:rsidP="002C6986">
            <w:pPr>
              <w:rPr>
                <w:sz w:val="18"/>
                <w:szCs w:val="18"/>
              </w:rPr>
            </w:pPr>
            <w:r>
              <w:rPr>
                <w:b/>
                <w:sz w:val="18"/>
                <w:szCs w:val="18"/>
              </w:rPr>
              <w:t>Activity 11</w:t>
            </w:r>
            <w:r w:rsidRPr="00FE4C4B">
              <w:rPr>
                <w:b/>
                <w:sz w:val="18"/>
                <w:szCs w:val="18"/>
              </w:rPr>
              <w:t>:</w:t>
            </w:r>
            <w:r>
              <w:rPr>
                <w:sz w:val="18"/>
                <w:szCs w:val="18"/>
              </w:rPr>
              <w:t xml:space="preserve">  </w:t>
            </w:r>
            <w:r w:rsidRPr="002C6986">
              <w:rPr>
                <w:b/>
                <w:sz w:val="18"/>
                <w:szCs w:val="18"/>
              </w:rPr>
              <w:t>Analysing all BLS data and updating mine clearance WP for SPs, supporting clearance that</w:t>
            </w:r>
            <w:r>
              <w:rPr>
                <w:sz w:val="18"/>
                <w:szCs w:val="18"/>
              </w:rPr>
              <w:t xml:space="preserve"> promote poverty reduction and economic growth based on annual clearance plans and promote use improved methodologies for demining</w:t>
            </w:r>
          </w:p>
        </w:tc>
        <w:tc>
          <w:tcPr>
            <w:tcW w:w="2178" w:type="dxa"/>
          </w:tcPr>
          <w:p w14:paraId="040C6705" w14:textId="7B7C50D6" w:rsidR="00DE7C94" w:rsidRPr="00FE4C4B" w:rsidRDefault="00DE7C94">
            <w:pPr>
              <w:rPr>
                <w:sz w:val="18"/>
                <w:szCs w:val="18"/>
              </w:rPr>
            </w:pPr>
            <w:r>
              <w:rPr>
                <w:sz w:val="18"/>
                <w:szCs w:val="18"/>
              </w:rPr>
              <w:t>Same as 2013-14</w:t>
            </w:r>
          </w:p>
        </w:tc>
        <w:tc>
          <w:tcPr>
            <w:tcW w:w="2079" w:type="dxa"/>
          </w:tcPr>
          <w:p w14:paraId="6DAB7D37" w14:textId="77777777" w:rsidR="00DB6AF5" w:rsidRPr="00DB6AF5" w:rsidRDefault="00DB6AF5" w:rsidP="00DB6AF5">
            <w:pPr>
              <w:rPr>
                <w:rFonts w:eastAsiaTheme="minorHAnsi"/>
                <w:color w:val="000000"/>
                <w:sz w:val="18"/>
                <w:szCs w:val="18"/>
              </w:rPr>
            </w:pPr>
            <w:r w:rsidRPr="00DB6AF5">
              <w:rPr>
                <w:rFonts w:eastAsiaTheme="minorHAnsi"/>
                <w:b/>
                <w:color w:val="000000"/>
                <w:sz w:val="18"/>
                <w:szCs w:val="18"/>
              </w:rPr>
              <w:t>Activity11:</w:t>
            </w:r>
            <w:r w:rsidRPr="00DB6AF5">
              <w:rPr>
                <w:rFonts w:eastAsiaTheme="minorHAnsi"/>
                <w:color w:val="000000"/>
                <w:sz w:val="18"/>
                <w:szCs w:val="18"/>
              </w:rPr>
              <w:t xml:space="preserve"> </w:t>
            </w:r>
          </w:p>
          <w:p w14:paraId="1E77D4A1" w14:textId="66EF896F" w:rsidR="00DE7C94" w:rsidRPr="00DB6AF5" w:rsidRDefault="00DB6AF5" w:rsidP="00DB6AF5">
            <w:pPr>
              <w:rPr>
                <w:sz w:val="18"/>
                <w:szCs w:val="18"/>
              </w:rPr>
            </w:pPr>
            <w:r w:rsidRPr="00DB6AF5">
              <w:rPr>
                <w:rFonts w:eastAsiaTheme="minorHAnsi"/>
                <w:color w:val="000000"/>
                <w:sz w:val="18"/>
                <w:szCs w:val="18"/>
              </w:rPr>
              <w:t>Support Clearance that Promotes Poverty Reduction &amp; Economic Growth</w:t>
            </w:r>
          </w:p>
        </w:tc>
      </w:tr>
      <w:tr w:rsidR="00DE7C94" w:rsidRPr="00FE4C4B" w14:paraId="31A2BFA0" w14:textId="7624F7F5" w:rsidTr="00DE7C94">
        <w:tc>
          <w:tcPr>
            <w:tcW w:w="2679" w:type="dxa"/>
          </w:tcPr>
          <w:p w14:paraId="7D6A0AE3" w14:textId="77777777" w:rsidR="00DE7C94" w:rsidRPr="00FE4C4B" w:rsidRDefault="00DE7C94">
            <w:pPr>
              <w:rPr>
                <w:sz w:val="18"/>
                <w:szCs w:val="18"/>
              </w:rPr>
            </w:pPr>
          </w:p>
        </w:tc>
        <w:tc>
          <w:tcPr>
            <w:tcW w:w="3082" w:type="dxa"/>
          </w:tcPr>
          <w:p w14:paraId="6830A757" w14:textId="1A7B6973" w:rsidR="00DE7C94" w:rsidRPr="00FE4C4B" w:rsidRDefault="00DE7C94">
            <w:pPr>
              <w:rPr>
                <w:sz w:val="18"/>
                <w:szCs w:val="18"/>
              </w:rPr>
            </w:pPr>
            <w:r>
              <w:rPr>
                <w:b/>
                <w:sz w:val="18"/>
                <w:szCs w:val="18"/>
              </w:rPr>
              <w:t>Activity 12</w:t>
            </w:r>
            <w:r w:rsidRPr="00FE4C4B">
              <w:rPr>
                <w:b/>
                <w:sz w:val="18"/>
                <w:szCs w:val="18"/>
              </w:rPr>
              <w:t>:</w:t>
            </w:r>
            <w:r>
              <w:rPr>
                <w:sz w:val="18"/>
                <w:szCs w:val="18"/>
              </w:rPr>
              <w:t xml:space="preserve">  Support Cambodia in presiding over the AP Mine Ban Convention in 2012 and the president’s efforts to further universalize and promote the goals of the Convention at Regional and International levels</w:t>
            </w:r>
            <w:r>
              <w:rPr>
                <w:rStyle w:val="FootnoteReference"/>
                <w:sz w:val="18"/>
                <w:szCs w:val="18"/>
              </w:rPr>
              <w:footnoteReference w:id="2"/>
            </w:r>
          </w:p>
        </w:tc>
        <w:tc>
          <w:tcPr>
            <w:tcW w:w="4138" w:type="dxa"/>
          </w:tcPr>
          <w:p w14:paraId="2D909EA1" w14:textId="77777777" w:rsidR="00DE7C94" w:rsidRPr="00FE4C4B" w:rsidRDefault="00DE7C94">
            <w:pPr>
              <w:rPr>
                <w:sz w:val="18"/>
                <w:szCs w:val="18"/>
              </w:rPr>
            </w:pPr>
          </w:p>
        </w:tc>
        <w:tc>
          <w:tcPr>
            <w:tcW w:w="2178" w:type="dxa"/>
          </w:tcPr>
          <w:p w14:paraId="20226127" w14:textId="77777777" w:rsidR="00DE7C94" w:rsidRPr="00FE4C4B" w:rsidRDefault="00DE7C94">
            <w:pPr>
              <w:rPr>
                <w:sz w:val="18"/>
                <w:szCs w:val="18"/>
              </w:rPr>
            </w:pPr>
          </w:p>
        </w:tc>
        <w:tc>
          <w:tcPr>
            <w:tcW w:w="2079" w:type="dxa"/>
          </w:tcPr>
          <w:p w14:paraId="0349592F" w14:textId="77777777" w:rsidR="00DE7C94" w:rsidRPr="00DB6AF5" w:rsidRDefault="00DE7C94" w:rsidP="00DB6AF5">
            <w:pPr>
              <w:rPr>
                <w:sz w:val="18"/>
                <w:szCs w:val="18"/>
              </w:rPr>
            </w:pPr>
          </w:p>
        </w:tc>
      </w:tr>
      <w:tr w:rsidR="00DE7C94" w:rsidRPr="00FE4C4B" w14:paraId="5A221908" w14:textId="2FEF1832" w:rsidTr="00DE7C94">
        <w:tc>
          <w:tcPr>
            <w:tcW w:w="2679" w:type="dxa"/>
          </w:tcPr>
          <w:p w14:paraId="4B9E2F79" w14:textId="77777777" w:rsidR="00DE7C94" w:rsidRPr="00FE4C4B" w:rsidRDefault="00DE7C94">
            <w:pPr>
              <w:rPr>
                <w:sz w:val="18"/>
                <w:szCs w:val="18"/>
              </w:rPr>
            </w:pPr>
          </w:p>
        </w:tc>
        <w:tc>
          <w:tcPr>
            <w:tcW w:w="3082" w:type="dxa"/>
          </w:tcPr>
          <w:p w14:paraId="0E900057" w14:textId="27FFAF13" w:rsidR="00DE7C94" w:rsidRPr="00FE4C4B" w:rsidRDefault="00DE7C94">
            <w:pPr>
              <w:rPr>
                <w:sz w:val="18"/>
                <w:szCs w:val="18"/>
              </w:rPr>
            </w:pPr>
            <w:r>
              <w:rPr>
                <w:b/>
                <w:sz w:val="18"/>
                <w:szCs w:val="18"/>
              </w:rPr>
              <w:t>Activity 13</w:t>
            </w:r>
            <w:r w:rsidRPr="00FE4C4B">
              <w:rPr>
                <w:b/>
                <w:sz w:val="18"/>
                <w:szCs w:val="18"/>
              </w:rPr>
              <w:t>:</w:t>
            </w:r>
            <w:r>
              <w:rPr>
                <w:sz w:val="18"/>
                <w:szCs w:val="18"/>
              </w:rPr>
              <w:t xml:space="preserve">  Support Cambodia in presiding over the AP Mine Ban Convention in 2012 and the president’s efforts to</w:t>
            </w:r>
          </w:p>
        </w:tc>
        <w:tc>
          <w:tcPr>
            <w:tcW w:w="4138" w:type="dxa"/>
          </w:tcPr>
          <w:p w14:paraId="4569B2BE" w14:textId="77777777" w:rsidR="00DE7C94" w:rsidRPr="00FE4C4B" w:rsidRDefault="00DE7C94">
            <w:pPr>
              <w:rPr>
                <w:sz w:val="18"/>
                <w:szCs w:val="18"/>
              </w:rPr>
            </w:pPr>
          </w:p>
        </w:tc>
        <w:tc>
          <w:tcPr>
            <w:tcW w:w="2178" w:type="dxa"/>
          </w:tcPr>
          <w:p w14:paraId="02FAF227" w14:textId="77777777" w:rsidR="00DE7C94" w:rsidRPr="00FE4C4B" w:rsidRDefault="00DE7C94">
            <w:pPr>
              <w:rPr>
                <w:sz w:val="18"/>
                <w:szCs w:val="18"/>
              </w:rPr>
            </w:pPr>
          </w:p>
        </w:tc>
        <w:tc>
          <w:tcPr>
            <w:tcW w:w="2079" w:type="dxa"/>
          </w:tcPr>
          <w:p w14:paraId="028011E2" w14:textId="77777777" w:rsidR="00DE7C94" w:rsidRPr="00DB6AF5" w:rsidRDefault="00DE7C94">
            <w:pPr>
              <w:rPr>
                <w:sz w:val="18"/>
                <w:szCs w:val="18"/>
              </w:rPr>
            </w:pPr>
          </w:p>
        </w:tc>
      </w:tr>
      <w:tr w:rsidR="00DE7C94" w:rsidRPr="00FE4C4B" w14:paraId="3E376582" w14:textId="063ABBCF" w:rsidTr="00DE7C94">
        <w:tc>
          <w:tcPr>
            <w:tcW w:w="2679" w:type="dxa"/>
          </w:tcPr>
          <w:p w14:paraId="69271DFF" w14:textId="77777777" w:rsidR="00DE7C94" w:rsidRPr="00FE4C4B" w:rsidRDefault="00DE7C94">
            <w:pPr>
              <w:rPr>
                <w:sz w:val="18"/>
                <w:szCs w:val="18"/>
              </w:rPr>
            </w:pPr>
          </w:p>
        </w:tc>
        <w:tc>
          <w:tcPr>
            <w:tcW w:w="3082" w:type="dxa"/>
          </w:tcPr>
          <w:p w14:paraId="1CB6B487" w14:textId="77777777" w:rsidR="00DE7C94" w:rsidRPr="00FE4C4B" w:rsidRDefault="00DE7C94">
            <w:pPr>
              <w:rPr>
                <w:sz w:val="18"/>
                <w:szCs w:val="18"/>
              </w:rPr>
            </w:pPr>
          </w:p>
        </w:tc>
        <w:tc>
          <w:tcPr>
            <w:tcW w:w="4138" w:type="dxa"/>
          </w:tcPr>
          <w:p w14:paraId="2838604F" w14:textId="77777777" w:rsidR="00DE7C94" w:rsidRPr="00FE4C4B" w:rsidRDefault="00DE7C94">
            <w:pPr>
              <w:rPr>
                <w:sz w:val="18"/>
                <w:szCs w:val="18"/>
              </w:rPr>
            </w:pPr>
          </w:p>
        </w:tc>
        <w:tc>
          <w:tcPr>
            <w:tcW w:w="2178" w:type="dxa"/>
          </w:tcPr>
          <w:p w14:paraId="15D37232" w14:textId="77777777" w:rsidR="00DE7C94" w:rsidRPr="00FE4C4B" w:rsidRDefault="00DE7C94">
            <w:pPr>
              <w:rPr>
                <w:sz w:val="18"/>
                <w:szCs w:val="18"/>
              </w:rPr>
            </w:pPr>
          </w:p>
        </w:tc>
        <w:tc>
          <w:tcPr>
            <w:tcW w:w="2079" w:type="dxa"/>
          </w:tcPr>
          <w:p w14:paraId="1643AA3A" w14:textId="77777777" w:rsidR="00DE7C94" w:rsidRPr="00FE4C4B" w:rsidRDefault="00DE7C94">
            <w:pPr>
              <w:rPr>
                <w:sz w:val="18"/>
                <w:szCs w:val="18"/>
              </w:rPr>
            </w:pPr>
          </w:p>
        </w:tc>
      </w:tr>
    </w:tbl>
    <w:p w14:paraId="6E3DFC2C" w14:textId="77777777" w:rsidR="002A3DE8" w:rsidRPr="00FE4C4B" w:rsidRDefault="002A3DE8">
      <w:pPr>
        <w:rPr>
          <w:sz w:val="18"/>
          <w:szCs w:val="18"/>
        </w:rPr>
      </w:pPr>
    </w:p>
    <w:sectPr w:rsidR="002A3DE8" w:rsidRPr="00FE4C4B" w:rsidSect="00FE4C4B">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82F80" w14:textId="77777777" w:rsidR="00DE7C94" w:rsidRDefault="00DE7C94" w:rsidP="00155D69">
      <w:r>
        <w:separator/>
      </w:r>
    </w:p>
  </w:endnote>
  <w:endnote w:type="continuationSeparator" w:id="0">
    <w:p w14:paraId="271D47C4" w14:textId="77777777" w:rsidR="00DE7C94" w:rsidRDefault="00DE7C94" w:rsidP="0015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1CEB" w14:textId="77777777" w:rsidR="00DE7C94" w:rsidRDefault="00DE7C94" w:rsidP="00155D69">
      <w:r>
        <w:separator/>
      </w:r>
    </w:p>
  </w:footnote>
  <w:footnote w:type="continuationSeparator" w:id="0">
    <w:p w14:paraId="0AD006E9" w14:textId="77777777" w:rsidR="00DE7C94" w:rsidRDefault="00DE7C94" w:rsidP="00155D69">
      <w:r>
        <w:continuationSeparator/>
      </w:r>
    </w:p>
  </w:footnote>
  <w:footnote w:id="1">
    <w:p w14:paraId="2F2DD198" w14:textId="77777777" w:rsidR="000A4171" w:rsidRPr="005452F8" w:rsidRDefault="000A4171" w:rsidP="00155D69">
      <w:pPr>
        <w:pStyle w:val="FootnoteText"/>
        <w:jc w:val="both"/>
        <w:rPr>
          <w:rFonts w:asciiTheme="minorHAnsi" w:hAnsiTheme="minorHAnsi"/>
          <w:sz w:val="18"/>
          <w:szCs w:val="18"/>
        </w:rPr>
      </w:pPr>
      <w:r w:rsidRPr="005452F8">
        <w:rPr>
          <w:rStyle w:val="FootnoteReference"/>
          <w:rFonts w:asciiTheme="minorHAnsi" w:hAnsiTheme="minorHAnsi"/>
          <w:sz w:val="18"/>
          <w:szCs w:val="18"/>
        </w:rPr>
        <w:footnoteRef/>
      </w:r>
      <w:r w:rsidRPr="005452F8">
        <w:rPr>
          <w:rFonts w:asciiTheme="minorHAnsi" w:hAnsiTheme="minorHAnsi"/>
          <w:sz w:val="18"/>
          <w:szCs w:val="18"/>
        </w:rPr>
        <w:t xml:space="preserve"> It is believed that only 4% of land released is not being used, according to Post Clearance Monitoring reports, which is relatively low figure. Source: Interview with David Horrocks, Mine Action Advisor, CfR II/Poverty Reduction, CMAA, 21</w:t>
      </w:r>
      <w:r w:rsidRPr="005452F8">
        <w:rPr>
          <w:rFonts w:asciiTheme="minorHAnsi" w:hAnsiTheme="minorHAnsi"/>
          <w:sz w:val="18"/>
          <w:szCs w:val="18"/>
          <w:vertAlign w:val="superscript"/>
        </w:rPr>
        <w:t>st</w:t>
      </w:r>
      <w:r w:rsidRPr="005452F8">
        <w:rPr>
          <w:rFonts w:asciiTheme="minorHAnsi" w:hAnsiTheme="minorHAnsi"/>
          <w:sz w:val="18"/>
          <w:szCs w:val="18"/>
        </w:rPr>
        <w:t xml:space="preserve"> September 2015</w:t>
      </w:r>
    </w:p>
    <w:p w14:paraId="0BCE91E2" w14:textId="77777777" w:rsidR="000A4171" w:rsidRDefault="000A4171" w:rsidP="00155D69">
      <w:pPr>
        <w:pStyle w:val="FootnoteText"/>
      </w:pPr>
    </w:p>
  </w:footnote>
  <w:footnote w:id="2">
    <w:p w14:paraId="0B89293D" w14:textId="77777777" w:rsidR="00DE7C94" w:rsidRPr="003A03E3" w:rsidRDefault="00DE7C94">
      <w:pPr>
        <w:pStyle w:val="FootnoteText"/>
        <w:rPr>
          <w:rFonts w:asciiTheme="minorHAnsi" w:hAnsiTheme="minorHAnsi"/>
          <w:sz w:val="18"/>
          <w:szCs w:val="18"/>
        </w:rPr>
      </w:pPr>
      <w:r w:rsidRPr="003A03E3">
        <w:rPr>
          <w:rStyle w:val="FootnoteReference"/>
          <w:rFonts w:asciiTheme="minorHAnsi" w:hAnsiTheme="minorHAnsi"/>
          <w:sz w:val="18"/>
          <w:szCs w:val="18"/>
        </w:rPr>
        <w:footnoteRef/>
      </w:r>
      <w:r w:rsidRPr="003A03E3">
        <w:rPr>
          <w:rFonts w:asciiTheme="minorHAnsi" w:hAnsiTheme="minorHAnsi"/>
          <w:sz w:val="18"/>
          <w:szCs w:val="18"/>
        </w:rPr>
        <w:t xml:space="preserve"> Should be contained in KD1, if anywhere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4B"/>
    <w:rsid w:val="0001212A"/>
    <w:rsid w:val="000A4171"/>
    <w:rsid w:val="00155D69"/>
    <w:rsid w:val="002A3DE8"/>
    <w:rsid w:val="002C6986"/>
    <w:rsid w:val="003A03E3"/>
    <w:rsid w:val="005100F9"/>
    <w:rsid w:val="00573187"/>
    <w:rsid w:val="00867980"/>
    <w:rsid w:val="008A1E68"/>
    <w:rsid w:val="009C2B9B"/>
    <w:rsid w:val="00B74A09"/>
    <w:rsid w:val="00C42296"/>
    <w:rsid w:val="00DB6AF5"/>
    <w:rsid w:val="00DE7C94"/>
    <w:rsid w:val="00FE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93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w:basedOn w:val="Normal"/>
    <w:link w:val="FootnoteTextChar"/>
    <w:unhideWhenUsed/>
    <w:rsid w:val="00155D69"/>
    <w:rPr>
      <w:rFonts w:ascii="Myriad Pro" w:eastAsia="Times New Roman" w:hAnsi="Myriad Pro" w:cs="Times New Roman"/>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rsid w:val="00155D69"/>
    <w:rPr>
      <w:rFonts w:ascii="Myriad Pro" w:eastAsia="Times New Roman" w:hAnsi="Myriad Pro" w:cs="Times New Roman"/>
    </w:rPr>
  </w:style>
  <w:style w:type="character" w:styleId="FootnoteReference">
    <w:name w:val="footnote reference"/>
    <w:basedOn w:val="DefaultParagraphFont"/>
    <w:uiPriority w:val="99"/>
    <w:unhideWhenUsed/>
    <w:rsid w:val="00155D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w:basedOn w:val="Normal"/>
    <w:link w:val="FootnoteTextChar"/>
    <w:unhideWhenUsed/>
    <w:rsid w:val="00155D69"/>
    <w:rPr>
      <w:rFonts w:ascii="Myriad Pro" w:eastAsia="Times New Roman" w:hAnsi="Myriad Pro" w:cs="Times New Roman"/>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rsid w:val="00155D69"/>
    <w:rPr>
      <w:rFonts w:ascii="Myriad Pro" w:eastAsia="Times New Roman" w:hAnsi="Myriad Pro" w:cs="Times New Roman"/>
    </w:rPr>
  </w:style>
  <w:style w:type="character" w:styleId="FootnoteReference">
    <w:name w:val="footnote reference"/>
    <w:basedOn w:val="DefaultParagraphFont"/>
    <w:uiPriority w:val="99"/>
    <w:unhideWhenUsed/>
    <w:rsid w:val="00155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8179</Characters>
  <Application>Microsoft Macintosh Word</Application>
  <DocSecurity>0</DocSecurity>
  <Lines>68</Lines>
  <Paragraphs>19</Paragraphs>
  <ScaleCrop>false</ScaleCrop>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2015-11-20T10:30:00Z</cp:lastPrinted>
  <dcterms:created xsi:type="dcterms:W3CDTF">2015-11-20T10:29:00Z</dcterms:created>
  <dcterms:modified xsi:type="dcterms:W3CDTF">2015-11-20T10:31:00Z</dcterms:modified>
</cp:coreProperties>
</file>