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17E24" w14:textId="77777777" w:rsidR="004C21AE" w:rsidRDefault="004C21AE" w:rsidP="003F6593">
      <w:pPr>
        <w:rPr>
          <w:rFonts w:asciiTheme="majorHAnsi" w:hAnsiTheme="majorHAnsi"/>
          <w:b/>
          <w:sz w:val="22"/>
          <w:szCs w:val="22"/>
        </w:rPr>
      </w:pPr>
    </w:p>
    <w:p w14:paraId="7A2630CF" w14:textId="77777777" w:rsidR="006E518A" w:rsidRDefault="006E518A" w:rsidP="003F6593">
      <w:pPr>
        <w:rPr>
          <w:rFonts w:asciiTheme="majorHAnsi" w:hAnsiTheme="majorHAnsi"/>
          <w:b/>
          <w:sz w:val="22"/>
          <w:szCs w:val="22"/>
        </w:rPr>
      </w:pPr>
    </w:p>
    <w:p w14:paraId="262B6EA9" w14:textId="77777777" w:rsidR="006E518A" w:rsidRDefault="006E518A" w:rsidP="003F6593">
      <w:pPr>
        <w:rPr>
          <w:rFonts w:asciiTheme="majorHAnsi" w:hAnsiTheme="majorHAnsi"/>
          <w:b/>
          <w:sz w:val="22"/>
          <w:szCs w:val="22"/>
        </w:rPr>
      </w:pPr>
    </w:p>
    <w:p w14:paraId="6B410DCD" w14:textId="77777777" w:rsidR="006E518A" w:rsidRDefault="006E518A" w:rsidP="003F6593">
      <w:pPr>
        <w:rPr>
          <w:rFonts w:asciiTheme="majorHAnsi" w:hAnsiTheme="majorHAnsi"/>
          <w:b/>
          <w:sz w:val="22"/>
          <w:szCs w:val="22"/>
        </w:rPr>
      </w:pPr>
    </w:p>
    <w:p w14:paraId="39BB6B75" w14:textId="77777777" w:rsidR="006E518A" w:rsidRDefault="006E518A" w:rsidP="003F6593">
      <w:pPr>
        <w:rPr>
          <w:rFonts w:asciiTheme="majorHAnsi" w:hAnsiTheme="majorHAnsi"/>
          <w:b/>
          <w:sz w:val="22"/>
          <w:szCs w:val="22"/>
        </w:rPr>
      </w:pPr>
    </w:p>
    <w:p w14:paraId="083D6960" w14:textId="7D2C31C7" w:rsidR="004C21AE" w:rsidRPr="004C21AE" w:rsidRDefault="006E518A" w:rsidP="004C21AE">
      <w:pPr>
        <w:pStyle w:val="BodyText"/>
        <w:pBdr>
          <w:top w:val="single" w:sz="4" w:space="1" w:color="auto"/>
          <w:left w:val="single" w:sz="4" w:space="4" w:color="auto"/>
          <w:bottom w:val="single" w:sz="4" w:space="1" w:color="auto"/>
          <w:right w:val="single" w:sz="4" w:space="4" w:color="auto"/>
        </w:pBdr>
        <w:shd w:val="clear" w:color="auto" w:fill="F3F3F3"/>
        <w:rPr>
          <w:rFonts w:asciiTheme="majorHAnsi" w:hAnsiTheme="majorHAnsi"/>
          <w:b/>
          <w:sz w:val="72"/>
          <w:szCs w:val="72"/>
        </w:rPr>
      </w:pPr>
      <w:r>
        <w:rPr>
          <w:rFonts w:asciiTheme="majorHAnsi" w:hAnsiTheme="majorHAnsi"/>
          <w:b/>
          <w:sz w:val="72"/>
          <w:szCs w:val="72"/>
        </w:rPr>
        <w:t>Operationaliz</w:t>
      </w:r>
      <w:r w:rsidR="004C21AE" w:rsidRPr="004C21AE">
        <w:rPr>
          <w:rFonts w:asciiTheme="majorHAnsi" w:hAnsiTheme="majorHAnsi"/>
          <w:b/>
          <w:sz w:val="72"/>
          <w:szCs w:val="72"/>
        </w:rPr>
        <w:t xml:space="preserve">ing the TOR: </w:t>
      </w:r>
    </w:p>
    <w:p w14:paraId="05575EC3" w14:textId="02CF2B89" w:rsidR="004C21AE" w:rsidRPr="004C21AE" w:rsidRDefault="004C21AE" w:rsidP="004C21AE">
      <w:pPr>
        <w:pStyle w:val="BodyText"/>
        <w:pBdr>
          <w:top w:val="single" w:sz="4" w:space="1" w:color="auto"/>
          <w:left w:val="single" w:sz="4" w:space="4" w:color="auto"/>
          <w:bottom w:val="single" w:sz="4" w:space="1" w:color="auto"/>
          <w:right w:val="single" w:sz="4" w:space="4" w:color="auto"/>
        </w:pBdr>
        <w:shd w:val="clear" w:color="auto" w:fill="F3F3F3"/>
        <w:rPr>
          <w:rFonts w:ascii="Calibri" w:hAnsi="Calibri" w:cs="Calibri"/>
          <w:b/>
          <w:sz w:val="72"/>
          <w:szCs w:val="72"/>
        </w:rPr>
      </w:pPr>
      <w:r w:rsidRPr="004C21AE">
        <w:rPr>
          <w:rFonts w:ascii="Calibri" w:hAnsi="Calibri" w:cs="Calibri"/>
          <w:b/>
          <w:sz w:val="72"/>
          <w:szCs w:val="72"/>
        </w:rPr>
        <w:t xml:space="preserve">Evaluation of </w:t>
      </w:r>
      <w:r w:rsidR="00245309">
        <w:rPr>
          <w:rFonts w:ascii="Calibri" w:hAnsi="Calibri" w:cs="Calibri"/>
          <w:b/>
          <w:sz w:val="72"/>
          <w:szCs w:val="72"/>
        </w:rPr>
        <w:t>Clear</w:t>
      </w:r>
      <w:r w:rsidR="00C70CEB">
        <w:rPr>
          <w:rFonts w:ascii="Calibri" w:hAnsi="Calibri" w:cs="Calibri"/>
          <w:b/>
          <w:sz w:val="72"/>
          <w:szCs w:val="72"/>
        </w:rPr>
        <w:t>ing</w:t>
      </w:r>
      <w:r w:rsidR="00245309">
        <w:rPr>
          <w:rFonts w:ascii="Calibri" w:hAnsi="Calibri" w:cs="Calibri"/>
          <w:b/>
          <w:sz w:val="72"/>
          <w:szCs w:val="72"/>
        </w:rPr>
        <w:t xml:space="preserve"> for Results Phase II (CFRII), 2011</w:t>
      </w:r>
      <w:r w:rsidRPr="004C21AE">
        <w:rPr>
          <w:rFonts w:ascii="Calibri" w:hAnsi="Calibri" w:cs="Calibri"/>
          <w:b/>
          <w:sz w:val="72"/>
          <w:szCs w:val="72"/>
        </w:rPr>
        <w:t xml:space="preserve">-2015) in </w:t>
      </w:r>
      <w:r w:rsidR="00245309">
        <w:rPr>
          <w:rFonts w:ascii="Calibri" w:hAnsi="Calibri" w:cs="Calibri"/>
          <w:b/>
          <w:sz w:val="72"/>
          <w:szCs w:val="72"/>
        </w:rPr>
        <w:t>Cambodia</w:t>
      </w:r>
    </w:p>
    <w:p w14:paraId="411DB8AC" w14:textId="7AD2D58C" w:rsidR="004C21AE" w:rsidRDefault="004C21AE" w:rsidP="003F6593">
      <w:pPr>
        <w:rPr>
          <w:rFonts w:asciiTheme="majorHAnsi" w:hAnsiTheme="majorHAnsi"/>
          <w:b/>
          <w:sz w:val="22"/>
          <w:szCs w:val="22"/>
        </w:rPr>
      </w:pPr>
    </w:p>
    <w:p w14:paraId="53A788A5" w14:textId="0F78D7F4" w:rsidR="004C21AE" w:rsidRPr="006E518A" w:rsidRDefault="004C21AE" w:rsidP="003F6593">
      <w:pPr>
        <w:rPr>
          <w:rFonts w:asciiTheme="majorHAnsi" w:hAnsiTheme="majorHAnsi"/>
          <w:b/>
          <w:sz w:val="28"/>
          <w:szCs w:val="28"/>
        </w:rPr>
      </w:pPr>
      <w:r w:rsidRPr="006E518A">
        <w:rPr>
          <w:rFonts w:asciiTheme="majorHAnsi" w:hAnsiTheme="majorHAnsi"/>
          <w:b/>
          <w:sz w:val="28"/>
          <w:szCs w:val="28"/>
        </w:rPr>
        <w:t>25</w:t>
      </w:r>
      <w:r w:rsidR="001B2997">
        <w:rPr>
          <w:rFonts w:asciiTheme="majorHAnsi" w:hAnsiTheme="majorHAnsi"/>
          <w:b/>
          <w:sz w:val="28"/>
          <w:szCs w:val="28"/>
          <w:vertAlign w:val="superscript"/>
        </w:rPr>
        <w:t xml:space="preserve">th </w:t>
      </w:r>
      <w:r w:rsidR="001B2997">
        <w:rPr>
          <w:rFonts w:asciiTheme="majorHAnsi" w:hAnsiTheme="majorHAnsi"/>
          <w:b/>
          <w:sz w:val="28"/>
          <w:szCs w:val="28"/>
        </w:rPr>
        <w:t>September</w:t>
      </w:r>
      <w:r w:rsidRPr="006E518A">
        <w:rPr>
          <w:rFonts w:asciiTheme="majorHAnsi" w:hAnsiTheme="majorHAnsi"/>
          <w:b/>
          <w:sz w:val="28"/>
          <w:szCs w:val="28"/>
        </w:rPr>
        <w:t xml:space="preserve"> 2015</w:t>
      </w:r>
    </w:p>
    <w:p w14:paraId="0B06A83D" w14:textId="77777777" w:rsidR="004C21AE" w:rsidRDefault="004C21AE" w:rsidP="003F6593">
      <w:pPr>
        <w:rPr>
          <w:rFonts w:asciiTheme="majorHAnsi" w:hAnsiTheme="majorHAnsi"/>
          <w:b/>
          <w:sz w:val="22"/>
          <w:szCs w:val="22"/>
        </w:rPr>
      </w:pPr>
    </w:p>
    <w:p w14:paraId="1970E722" w14:textId="77777777" w:rsidR="004C21AE" w:rsidRDefault="004C21AE" w:rsidP="003F6593">
      <w:pPr>
        <w:rPr>
          <w:rFonts w:asciiTheme="majorHAnsi" w:hAnsiTheme="majorHAnsi"/>
          <w:b/>
          <w:sz w:val="22"/>
          <w:szCs w:val="22"/>
        </w:rPr>
      </w:pPr>
    </w:p>
    <w:p w14:paraId="1B5FB4F5" w14:textId="77777777" w:rsidR="004C21AE" w:rsidRDefault="004C21AE" w:rsidP="003F6593">
      <w:pPr>
        <w:rPr>
          <w:rFonts w:asciiTheme="majorHAnsi" w:hAnsiTheme="majorHAnsi"/>
          <w:b/>
          <w:sz w:val="22"/>
          <w:szCs w:val="22"/>
        </w:rPr>
      </w:pPr>
    </w:p>
    <w:p w14:paraId="41ADD7EC" w14:textId="77777777" w:rsidR="004C21AE" w:rsidRDefault="004C21AE" w:rsidP="003F6593">
      <w:pPr>
        <w:rPr>
          <w:rFonts w:asciiTheme="majorHAnsi" w:hAnsiTheme="majorHAnsi"/>
          <w:b/>
          <w:sz w:val="22"/>
          <w:szCs w:val="22"/>
        </w:rPr>
      </w:pPr>
    </w:p>
    <w:p w14:paraId="43ACAD4B" w14:textId="77777777" w:rsidR="004C21AE" w:rsidRDefault="004C21AE">
      <w:pPr>
        <w:rPr>
          <w:rFonts w:asciiTheme="majorHAnsi" w:hAnsiTheme="majorHAnsi"/>
          <w:b/>
          <w:sz w:val="22"/>
          <w:szCs w:val="22"/>
        </w:rPr>
      </w:pPr>
      <w:r>
        <w:rPr>
          <w:rFonts w:asciiTheme="majorHAnsi" w:hAnsiTheme="majorHAnsi"/>
          <w:b/>
          <w:sz w:val="22"/>
          <w:szCs w:val="22"/>
        </w:rPr>
        <w:br w:type="page"/>
      </w:r>
    </w:p>
    <w:p w14:paraId="3FA64A9B" w14:textId="2C1BDAFC" w:rsidR="002A3DE8" w:rsidRPr="003F6593" w:rsidRDefault="003F6593" w:rsidP="003F6593">
      <w:pPr>
        <w:pStyle w:val="ListParagraph"/>
        <w:numPr>
          <w:ilvl w:val="0"/>
          <w:numId w:val="1"/>
        </w:numPr>
        <w:rPr>
          <w:rFonts w:asciiTheme="majorHAnsi" w:hAnsiTheme="majorHAnsi"/>
          <w:b/>
          <w:sz w:val="22"/>
          <w:szCs w:val="22"/>
        </w:rPr>
      </w:pPr>
      <w:r w:rsidRPr="003F6593">
        <w:rPr>
          <w:rFonts w:asciiTheme="majorHAnsi" w:hAnsiTheme="majorHAnsi"/>
          <w:b/>
          <w:sz w:val="22"/>
          <w:szCs w:val="22"/>
        </w:rPr>
        <w:lastRenderedPageBreak/>
        <w:t>B</w:t>
      </w:r>
      <w:r w:rsidR="00294C88" w:rsidRPr="003F6593">
        <w:rPr>
          <w:rFonts w:asciiTheme="majorHAnsi" w:hAnsiTheme="majorHAnsi"/>
          <w:b/>
          <w:sz w:val="22"/>
          <w:szCs w:val="22"/>
        </w:rPr>
        <w:t>ackground</w:t>
      </w:r>
      <w:r w:rsidRPr="003F6593">
        <w:rPr>
          <w:rFonts w:asciiTheme="majorHAnsi" w:hAnsiTheme="majorHAnsi"/>
          <w:b/>
          <w:sz w:val="22"/>
          <w:szCs w:val="22"/>
        </w:rPr>
        <w:t xml:space="preserve"> and Purpose</w:t>
      </w:r>
      <w:r w:rsidR="00294C88" w:rsidRPr="003F6593">
        <w:rPr>
          <w:rFonts w:asciiTheme="majorHAnsi" w:hAnsiTheme="majorHAnsi"/>
          <w:b/>
          <w:sz w:val="22"/>
          <w:szCs w:val="22"/>
        </w:rPr>
        <w:t>:</w:t>
      </w:r>
    </w:p>
    <w:p w14:paraId="6988FEC3" w14:textId="77777777" w:rsidR="003F6593" w:rsidRPr="003F6593" w:rsidRDefault="003F6593" w:rsidP="003F6593">
      <w:pPr>
        <w:rPr>
          <w:rFonts w:asciiTheme="majorHAnsi" w:hAnsiTheme="majorHAnsi"/>
          <w:b/>
          <w:sz w:val="22"/>
          <w:szCs w:val="22"/>
        </w:rPr>
      </w:pPr>
    </w:p>
    <w:p w14:paraId="47A2729B" w14:textId="77777777" w:rsidR="003F6593" w:rsidRPr="003F6593" w:rsidRDefault="003F6593" w:rsidP="003F6593">
      <w:pPr>
        <w:rPr>
          <w:rFonts w:asciiTheme="majorHAnsi" w:hAnsiTheme="majorHAnsi"/>
          <w:b/>
          <w:sz w:val="22"/>
          <w:szCs w:val="22"/>
        </w:rPr>
      </w:pPr>
      <w:r w:rsidRPr="003F6593">
        <w:rPr>
          <w:rFonts w:asciiTheme="majorHAnsi" w:hAnsiTheme="majorHAnsi"/>
          <w:b/>
          <w:sz w:val="22"/>
          <w:szCs w:val="22"/>
        </w:rPr>
        <w:t>1.1 Background:</w:t>
      </w:r>
    </w:p>
    <w:p w14:paraId="3E137023" w14:textId="77777777" w:rsidR="003F6593" w:rsidRDefault="003F6593" w:rsidP="003F6593">
      <w:pPr>
        <w:rPr>
          <w:rFonts w:asciiTheme="majorHAnsi" w:hAnsiTheme="majorHAnsi"/>
          <w:b/>
          <w:sz w:val="22"/>
          <w:szCs w:val="22"/>
        </w:rPr>
      </w:pPr>
    </w:p>
    <w:p w14:paraId="6E93E322" w14:textId="1C467489" w:rsidR="00CA3F7C" w:rsidRDefault="00CA3F7C" w:rsidP="00187E9A">
      <w:pPr>
        <w:jc w:val="both"/>
        <w:rPr>
          <w:rFonts w:asciiTheme="majorHAnsi" w:hAnsiTheme="majorHAnsi"/>
          <w:sz w:val="22"/>
          <w:szCs w:val="22"/>
        </w:rPr>
      </w:pPr>
      <w:r>
        <w:rPr>
          <w:rFonts w:asciiTheme="majorHAnsi" w:hAnsiTheme="majorHAnsi"/>
          <w:sz w:val="22"/>
          <w:szCs w:val="22"/>
        </w:rPr>
        <w:t>The TOR provides a great deal of detail on the background to this evaluation</w:t>
      </w:r>
      <w:r w:rsidR="00187E9A">
        <w:rPr>
          <w:rFonts w:asciiTheme="majorHAnsi" w:hAnsiTheme="majorHAnsi"/>
          <w:sz w:val="22"/>
          <w:szCs w:val="22"/>
        </w:rPr>
        <w:t xml:space="preserve"> (attached as Annex 2 of this Inception Report). It makes little sense to repeat this here, especially with regards to the history of the development of mine action in Cambodia, and in particular the emergence and role of the Cambodian Mine Action and Victim Assistance Authority (CMAA), and the support CMAA has received from UNDP through the two phases of UNDP’s Clearing for Results (CfR) project (2006 – 201</w:t>
      </w:r>
      <w:r w:rsidR="008E3091">
        <w:rPr>
          <w:rFonts w:asciiTheme="majorHAnsi" w:hAnsiTheme="majorHAnsi"/>
          <w:sz w:val="22"/>
          <w:szCs w:val="22"/>
        </w:rPr>
        <w:t>0, 2011-2015). Nonetheless, some</w:t>
      </w:r>
      <w:r w:rsidR="00187E9A">
        <w:rPr>
          <w:rFonts w:asciiTheme="majorHAnsi" w:hAnsiTheme="majorHAnsi"/>
          <w:sz w:val="22"/>
          <w:szCs w:val="22"/>
        </w:rPr>
        <w:t xml:space="preserve"> salient points will be made here.</w:t>
      </w:r>
    </w:p>
    <w:p w14:paraId="2E1AF947" w14:textId="77777777" w:rsidR="00187E9A" w:rsidRDefault="00187E9A" w:rsidP="00187E9A">
      <w:pPr>
        <w:jc w:val="both"/>
        <w:rPr>
          <w:rFonts w:asciiTheme="majorHAnsi" w:hAnsiTheme="majorHAnsi"/>
          <w:sz w:val="22"/>
          <w:szCs w:val="22"/>
        </w:rPr>
      </w:pPr>
    </w:p>
    <w:p w14:paraId="1274789B" w14:textId="30DCBE1E" w:rsidR="00CF7157" w:rsidRDefault="009F69AF" w:rsidP="00187E9A">
      <w:pPr>
        <w:jc w:val="both"/>
        <w:rPr>
          <w:rFonts w:asciiTheme="majorHAnsi" w:hAnsiTheme="majorHAnsi"/>
          <w:sz w:val="22"/>
          <w:szCs w:val="22"/>
        </w:rPr>
      </w:pPr>
      <w:r>
        <w:rPr>
          <w:rFonts w:asciiTheme="majorHAnsi" w:hAnsiTheme="majorHAnsi"/>
          <w:sz w:val="22"/>
          <w:szCs w:val="22"/>
        </w:rPr>
        <w:t>Cambodia remains one of the world’s most heavily mine affected countries, despite nearly 25 years of mine action work.</w:t>
      </w:r>
      <w:r w:rsidR="008E3091">
        <w:rPr>
          <w:rFonts w:asciiTheme="majorHAnsi" w:hAnsiTheme="majorHAnsi"/>
          <w:sz w:val="22"/>
          <w:szCs w:val="22"/>
        </w:rPr>
        <w:t xml:space="preserve"> One of the key activities supported today by CfR II remains ongoing efforts to quantify the scope of the problem, building on th</w:t>
      </w:r>
      <w:r w:rsidR="00CF7157">
        <w:rPr>
          <w:rFonts w:asciiTheme="majorHAnsi" w:hAnsiTheme="majorHAnsi"/>
          <w:sz w:val="22"/>
          <w:szCs w:val="22"/>
        </w:rPr>
        <w:t>e technical baseline survey C</w:t>
      </w:r>
      <w:r w:rsidR="008E3091">
        <w:rPr>
          <w:rFonts w:asciiTheme="majorHAnsi" w:hAnsiTheme="majorHAnsi"/>
          <w:sz w:val="22"/>
          <w:szCs w:val="22"/>
        </w:rPr>
        <w:t>ommissioned and funded</w:t>
      </w:r>
      <w:r w:rsidR="00CF7157">
        <w:rPr>
          <w:rFonts w:asciiTheme="majorHAnsi" w:hAnsiTheme="majorHAnsi"/>
          <w:sz w:val="22"/>
          <w:szCs w:val="22"/>
        </w:rPr>
        <w:t xml:space="preserve"> by CMAA</w:t>
      </w:r>
      <w:r w:rsidR="008E3091">
        <w:rPr>
          <w:rFonts w:asciiTheme="majorHAnsi" w:hAnsiTheme="majorHAnsi"/>
          <w:sz w:val="22"/>
          <w:szCs w:val="22"/>
        </w:rPr>
        <w:t xml:space="preserve"> in 2009-12.</w:t>
      </w:r>
      <w:r w:rsidR="00535E99">
        <w:rPr>
          <w:rFonts w:asciiTheme="majorHAnsi" w:hAnsiTheme="majorHAnsi"/>
          <w:sz w:val="22"/>
          <w:szCs w:val="22"/>
        </w:rPr>
        <w:t xml:space="preserve"> The survey recorded around 1,915 km</w:t>
      </w:r>
      <w:r w:rsidR="00535E99" w:rsidRPr="00535E99">
        <w:rPr>
          <w:rFonts w:asciiTheme="majorHAnsi" w:hAnsiTheme="majorHAnsi"/>
          <w:sz w:val="22"/>
          <w:szCs w:val="22"/>
          <w:vertAlign w:val="superscript"/>
        </w:rPr>
        <w:t>2</w:t>
      </w:r>
      <w:r w:rsidR="00CF7157">
        <w:rPr>
          <w:rFonts w:asciiTheme="majorHAnsi" w:hAnsiTheme="majorHAnsi"/>
          <w:sz w:val="22"/>
          <w:szCs w:val="22"/>
        </w:rPr>
        <w:t xml:space="preserve"> </w:t>
      </w:r>
      <w:r w:rsidR="00535E99">
        <w:rPr>
          <w:rFonts w:asciiTheme="majorHAnsi" w:hAnsiTheme="majorHAnsi"/>
          <w:sz w:val="22"/>
          <w:szCs w:val="22"/>
        </w:rPr>
        <w:t>of land was contaminated with landmines and other ERW. However, s</w:t>
      </w:r>
      <w:r w:rsidR="00CF7157">
        <w:rPr>
          <w:rFonts w:asciiTheme="majorHAnsi" w:hAnsiTheme="majorHAnsi"/>
          <w:sz w:val="22"/>
          <w:szCs w:val="22"/>
        </w:rPr>
        <w:t>ince March 2015, 29 km</w:t>
      </w:r>
      <w:r w:rsidR="00CF7157" w:rsidRPr="00CF7157">
        <w:rPr>
          <w:rFonts w:asciiTheme="majorHAnsi" w:hAnsiTheme="majorHAnsi"/>
          <w:sz w:val="22"/>
          <w:szCs w:val="22"/>
          <w:vertAlign w:val="superscript"/>
        </w:rPr>
        <w:t>2</w:t>
      </w:r>
      <w:r w:rsidR="00CF7157">
        <w:rPr>
          <w:rFonts w:asciiTheme="majorHAnsi" w:hAnsiTheme="majorHAnsi"/>
          <w:sz w:val="22"/>
          <w:szCs w:val="22"/>
        </w:rPr>
        <w:t xml:space="preserve"> of land on the CMAA database has been released through survey, whilst some 49 km</w:t>
      </w:r>
      <w:r w:rsidR="00CF7157" w:rsidRPr="00CF7157">
        <w:rPr>
          <w:rFonts w:asciiTheme="majorHAnsi" w:hAnsiTheme="majorHAnsi"/>
          <w:sz w:val="22"/>
          <w:szCs w:val="22"/>
          <w:vertAlign w:val="superscript"/>
        </w:rPr>
        <w:t>2</w:t>
      </w:r>
      <w:r w:rsidR="00CF7157">
        <w:rPr>
          <w:rFonts w:asciiTheme="majorHAnsi" w:hAnsiTheme="majorHAnsi"/>
          <w:sz w:val="22"/>
          <w:szCs w:val="22"/>
        </w:rPr>
        <w:t xml:space="preserve"> more, defined in polygons, has been added in the three focal provinces of the CfR II project (Battambang, Pailin and Banteay-Meanchay)</w:t>
      </w:r>
      <w:r w:rsidR="00CF7157">
        <w:rPr>
          <w:rStyle w:val="FootnoteReference"/>
          <w:rFonts w:asciiTheme="majorHAnsi" w:hAnsiTheme="majorHAnsi"/>
          <w:sz w:val="22"/>
          <w:szCs w:val="22"/>
        </w:rPr>
        <w:footnoteReference w:id="1"/>
      </w:r>
      <w:r w:rsidR="00CF7157">
        <w:rPr>
          <w:rFonts w:asciiTheme="majorHAnsi" w:hAnsiTheme="majorHAnsi"/>
          <w:sz w:val="22"/>
          <w:szCs w:val="22"/>
        </w:rPr>
        <w:t>.</w:t>
      </w:r>
      <w:r>
        <w:rPr>
          <w:rFonts w:asciiTheme="majorHAnsi" w:hAnsiTheme="majorHAnsi"/>
          <w:sz w:val="22"/>
          <w:szCs w:val="22"/>
        </w:rPr>
        <w:t xml:space="preserve"> </w:t>
      </w:r>
      <w:r w:rsidR="00CF7157">
        <w:rPr>
          <w:rFonts w:asciiTheme="majorHAnsi" w:hAnsiTheme="majorHAnsi"/>
          <w:sz w:val="22"/>
          <w:szCs w:val="22"/>
        </w:rPr>
        <w:t>Ongoing efforts in technical survey are considered one benchmark of international mine action good practice, and although fairly obvious, is surprisingly rare in many national mine action programmes, and the CMAA is to be praised for its commitment in this regard.</w:t>
      </w:r>
    </w:p>
    <w:p w14:paraId="51A93C93" w14:textId="77777777" w:rsidR="00CF7157" w:rsidRDefault="00CF7157" w:rsidP="00187E9A">
      <w:pPr>
        <w:jc w:val="both"/>
        <w:rPr>
          <w:rFonts w:asciiTheme="majorHAnsi" w:hAnsiTheme="majorHAnsi"/>
          <w:sz w:val="22"/>
          <w:szCs w:val="22"/>
        </w:rPr>
      </w:pPr>
    </w:p>
    <w:p w14:paraId="51EDB1A7" w14:textId="19439B4B" w:rsidR="00187E9A" w:rsidRDefault="008E3091" w:rsidP="00187E9A">
      <w:pPr>
        <w:jc w:val="both"/>
        <w:rPr>
          <w:rFonts w:asciiTheme="majorHAnsi" w:hAnsiTheme="majorHAnsi"/>
          <w:sz w:val="22"/>
          <w:szCs w:val="22"/>
        </w:rPr>
      </w:pPr>
      <w:r>
        <w:rPr>
          <w:rFonts w:asciiTheme="majorHAnsi" w:hAnsiTheme="majorHAnsi"/>
          <w:sz w:val="22"/>
          <w:szCs w:val="22"/>
        </w:rPr>
        <w:t>I</w:t>
      </w:r>
      <w:r w:rsidR="009F69AF">
        <w:rPr>
          <w:rFonts w:asciiTheme="majorHAnsi" w:hAnsiTheme="majorHAnsi"/>
          <w:sz w:val="22"/>
          <w:szCs w:val="22"/>
        </w:rPr>
        <w:t>n the early 1990s Cambodia was one of the first countries in which the mine action sector started (following closely behind Afghanistan in the late 1980s). Landmine contamination, predominantly in the west and north centre of the country, and an extensive problem with other Explosive Remnants of War (ERW), predominantly in the east, are legacies of the Vietnam war era, when that conflict spilled over into Cambodia, and generated from the late 1960s a civil war that culminated in the capture of Phnom Penh by Khmer Rouge forces in April 1975. Following the overthrow of the Khmer Rouge by Cambodian elements supported by the Vietnamese in 1979, 12 years of bitter civil war followed during which time many of the minefields in north western Cambodia, including the notorious K5 belt on the Thai-Cambodian border were laid. The historic Paris Peace Agreements</w:t>
      </w:r>
      <w:r w:rsidR="007014D8">
        <w:rPr>
          <w:rFonts w:asciiTheme="majorHAnsi" w:hAnsiTheme="majorHAnsi"/>
          <w:sz w:val="22"/>
          <w:szCs w:val="22"/>
        </w:rPr>
        <w:t xml:space="preserve"> (1991) laid the way for a comprehensive peace settlement for Cambodia, the return of refugees from the Thai border camps and the UNTAC mission in Cambodia which resulted in the holding of elections that were deemed free and fair in May 1993. Mine Action was kick-started by this peace process, with UNHCR commissioning the British NGO HALO Trust to undertake an initial survey of refugee return locations in 1991, and later the UN mission in Cambodia trained deminers, who in 1993 became the core of the national operator, that became known as Cambodian Mine Action Centre (CMAC). In 1992, HALO Trust and the Mines Advisory Group established operations in Siem Reap / Banteay-Meanchay and Battambang respectively.</w:t>
      </w:r>
    </w:p>
    <w:p w14:paraId="1A0DC3E5" w14:textId="77777777" w:rsidR="007014D8" w:rsidRDefault="007014D8" w:rsidP="00187E9A">
      <w:pPr>
        <w:jc w:val="both"/>
        <w:rPr>
          <w:rFonts w:asciiTheme="majorHAnsi" w:hAnsiTheme="majorHAnsi"/>
          <w:sz w:val="22"/>
          <w:szCs w:val="22"/>
        </w:rPr>
      </w:pPr>
    </w:p>
    <w:p w14:paraId="0FB7CAE2" w14:textId="75F0DA9D" w:rsidR="007014D8" w:rsidRDefault="007014D8" w:rsidP="00187E9A">
      <w:pPr>
        <w:jc w:val="both"/>
        <w:rPr>
          <w:rFonts w:asciiTheme="majorHAnsi" w:hAnsiTheme="majorHAnsi" w:cs="Calibri"/>
          <w:sz w:val="22"/>
          <w:szCs w:val="22"/>
        </w:rPr>
      </w:pPr>
      <w:r w:rsidRPr="00654B3E">
        <w:rPr>
          <w:rFonts w:asciiTheme="majorHAnsi" w:hAnsiTheme="majorHAnsi"/>
          <w:sz w:val="22"/>
          <w:szCs w:val="22"/>
        </w:rPr>
        <w:t>Given the withdrawal of the Khmer Rouge from the UN sponsored peace process, the civil war did not end in practice until 1998,</w:t>
      </w:r>
      <w:r w:rsidR="00654B3E" w:rsidRPr="00654B3E">
        <w:rPr>
          <w:rFonts w:asciiTheme="majorHAnsi" w:hAnsiTheme="majorHAnsi"/>
          <w:sz w:val="22"/>
          <w:szCs w:val="22"/>
        </w:rPr>
        <w:t xml:space="preserve"> with the ultimate capitulation of the KR,</w:t>
      </w:r>
      <w:r w:rsidRPr="00654B3E">
        <w:rPr>
          <w:rFonts w:asciiTheme="majorHAnsi" w:hAnsiTheme="majorHAnsi"/>
          <w:sz w:val="22"/>
          <w:szCs w:val="22"/>
        </w:rPr>
        <w:t xml:space="preserve"> and at that point as the TOR notes, </w:t>
      </w:r>
      <w:r w:rsidRPr="00654B3E">
        <w:rPr>
          <w:rFonts w:asciiTheme="majorHAnsi" w:hAnsiTheme="majorHAnsi"/>
          <w:i/>
          <w:sz w:val="22"/>
          <w:szCs w:val="22"/>
        </w:rPr>
        <w:t xml:space="preserve">‘there was recognition of the need for Cambodia to more holistically plan and manage its national mine action programme’ </w:t>
      </w:r>
      <w:r w:rsidRPr="00654B3E">
        <w:rPr>
          <w:rStyle w:val="FootnoteReference"/>
          <w:rFonts w:asciiTheme="majorHAnsi" w:hAnsiTheme="majorHAnsi"/>
          <w:sz w:val="22"/>
          <w:szCs w:val="22"/>
        </w:rPr>
        <w:footnoteReference w:id="2"/>
      </w:r>
      <w:r w:rsidRPr="00654B3E">
        <w:rPr>
          <w:rFonts w:asciiTheme="majorHAnsi" w:hAnsiTheme="majorHAnsi"/>
          <w:sz w:val="22"/>
          <w:szCs w:val="22"/>
        </w:rPr>
        <w:t>.</w:t>
      </w:r>
      <w:r w:rsidR="00654B3E" w:rsidRPr="00654B3E">
        <w:rPr>
          <w:rFonts w:asciiTheme="majorHAnsi" w:hAnsiTheme="majorHAnsi" w:cs="Calibri"/>
          <w:sz w:val="22"/>
          <w:szCs w:val="22"/>
        </w:rPr>
        <w:t xml:space="preserve"> In 2000,</w:t>
      </w:r>
      <w:r w:rsidR="00654B3E">
        <w:rPr>
          <w:rFonts w:asciiTheme="majorHAnsi" w:hAnsiTheme="majorHAnsi" w:cs="Calibri"/>
          <w:sz w:val="22"/>
          <w:szCs w:val="22"/>
        </w:rPr>
        <w:t xml:space="preserve"> by Royal Decree No. 160,</w:t>
      </w:r>
      <w:r w:rsidR="00654B3E" w:rsidRPr="00654B3E">
        <w:rPr>
          <w:rFonts w:asciiTheme="majorHAnsi" w:hAnsiTheme="majorHAnsi" w:cs="Calibri"/>
          <w:sz w:val="22"/>
          <w:szCs w:val="22"/>
        </w:rPr>
        <w:t xml:space="preserve"> the Royal Government of Cambodia (RGC) established CMAA to oversee mine action</w:t>
      </w:r>
      <w:r w:rsidR="00654B3E">
        <w:rPr>
          <w:rFonts w:asciiTheme="majorHAnsi" w:hAnsiTheme="majorHAnsi" w:cs="Calibri"/>
          <w:sz w:val="22"/>
          <w:szCs w:val="22"/>
        </w:rPr>
        <w:t>, including victim assistance within the country.</w:t>
      </w:r>
    </w:p>
    <w:p w14:paraId="33FFB3D8" w14:textId="77777777" w:rsidR="00654B3E" w:rsidRDefault="00654B3E" w:rsidP="00187E9A">
      <w:pPr>
        <w:jc w:val="both"/>
        <w:rPr>
          <w:rFonts w:asciiTheme="majorHAnsi" w:hAnsiTheme="majorHAnsi" w:cs="Calibri"/>
          <w:sz w:val="22"/>
          <w:szCs w:val="22"/>
        </w:rPr>
      </w:pPr>
    </w:p>
    <w:p w14:paraId="73A33437" w14:textId="36179202" w:rsidR="00654B3E" w:rsidRDefault="00654B3E" w:rsidP="00116B67">
      <w:pPr>
        <w:spacing w:after="120"/>
        <w:jc w:val="both"/>
        <w:rPr>
          <w:rFonts w:asciiTheme="majorHAnsi" w:hAnsiTheme="majorHAnsi" w:cs="Calibri"/>
          <w:sz w:val="22"/>
          <w:szCs w:val="22"/>
        </w:rPr>
      </w:pPr>
      <w:r>
        <w:rPr>
          <w:rFonts w:asciiTheme="majorHAnsi" w:hAnsiTheme="majorHAnsi" w:cs="Calibri"/>
          <w:sz w:val="22"/>
          <w:szCs w:val="22"/>
        </w:rPr>
        <w:t>The CMAA currently has the following structure:</w:t>
      </w:r>
    </w:p>
    <w:p w14:paraId="78176F59" w14:textId="0D23CDC1" w:rsidR="00654B3E" w:rsidRDefault="00654B3E" w:rsidP="00116B67">
      <w:pPr>
        <w:pStyle w:val="ListParagraph"/>
        <w:numPr>
          <w:ilvl w:val="0"/>
          <w:numId w:val="6"/>
        </w:numPr>
        <w:spacing w:after="120"/>
        <w:contextualSpacing w:val="0"/>
        <w:jc w:val="both"/>
        <w:rPr>
          <w:rFonts w:asciiTheme="majorHAnsi" w:hAnsiTheme="majorHAnsi" w:cs="Calibri"/>
          <w:sz w:val="22"/>
          <w:szCs w:val="22"/>
        </w:rPr>
      </w:pPr>
      <w:r>
        <w:rPr>
          <w:rFonts w:asciiTheme="majorHAnsi" w:hAnsiTheme="majorHAnsi" w:cs="Calibri"/>
          <w:sz w:val="22"/>
          <w:szCs w:val="22"/>
        </w:rPr>
        <w:t>Regulation and Monitoring (R &amp; M)</w:t>
      </w:r>
    </w:p>
    <w:p w14:paraId="40EADCC2" w14:textId="31991F55" w:rsidR="00654B3E" w:rsidRDefault="00654B3E" w:rsidP="00116B67">
      <w:pPr>
        <w:pStyle w:val="ListParagraph"/>
        <w:numPr>
          <w:ilvl w:val="0"/>
          <w:numId w:val="6"/>
        </w:numPr>
        <w:spacing w:after="120"/>
        <w:contextualSpacing w:val="0"/>
        <w:jc w:val="both"/>
        <w:rPr>
          <w:rFonts w:asciiTheme="majorHAnsi" w:hAnsiTheme="majorHAnsi" w:cs="Calibri"/>
          <w:sz w:val="22"/>
          <w:szCs w:val="22"/>
        </w:rPr>
      </w:pPr>
      <w:r>
        <w:rPr>
          <w:rFonts w:asciiTheme="majorHAnsi" w:hAnsiTheme="majorHAnsi" w:cs="Calibri"/>
          <w:sz w:val="22"/>
          <w:szCs w:val="22"/>
        </w:rPr>
        <w:t>Socio-ecnomic Planning and Database Management (SEPD)</w:t>
      </w:r>
    </w:p>
    <w:p w14:paraId="6AA9E0CC" w14:textId="37BC2261" w:rsidR="00535E99" w:rsidRDefault="00535E99" w:rsidP="00116B67">
      <w:pPr>
        <w:pStyle w:val="ListParagraph"/>
        <w:numPr>
          <w:ilvl w:val="0"/>
          <w:numId w:val="6"/>
        </w:numPr>
        <w:spacing w:after="120"/>
        <w:contextualSpacing w:val="0"/>
        <w:jc w:val="both"/>
        <w:rPr>
          <w:rFonts w:asciiTheme="majorHAnsi" w:hAnsiTheme="majorHAnsi" w:cs="Calibri"/>
          <w:sz w:val="22"/>
          <w:szCs w:val="22"/>
        </w:rPr>
      </w:pPr>
      <w:r>
        <w:rPr>
          <w:rFonts w:asciiTheme="majorHAnsi" w:hAnsiTheme="majorHAnsi" w:cs="Calibri"/>
          <w:sz w:val="22"/>
          <w:szCs w:val="22"/>
        </w:rPr>
        <w:t>Victim Assistance (VA)</w:t>
      </w:r>
    </w:p>
    <w:p w14:paraId="1221DA30" w14:textId="081895E0" w:rsidR="00535E99" w:rsidRDefault="00535E99" w:rsidP="00116B67">
      <w:pPr>
        <w:pStyle w:val="ListParagraph"/>
        <w:numPr>
          <w:ilvl w:val="0"/>
          <w:numId w:val="6"/>
        </w:numPr>
        <w:spacing w:after="120"/>
        <w:contextualSpacing w:val="0"/>
        <w:jc w:val="both"/>
        <w:rPr>
          <w:rFonts w:asciiTheme="majorHAnsi" w:hAnsiTheme="majorHAnsi" w:cs="Calibri"/>
          <w:sz w:val="22"/>
          <w:szCs w:val="22"/>
        </w:rPr>
      </w:pPr>
      <w:r>
        <w:rPr>
          <w:rFonts w:asciiTheme="majorHAnsi" w:hAnsiTheme="majorHAnsi" w:cs="Calibri"/>
          <w:sz w:val="22"/>
          <w:szCs w:val="22"/>
        </w:rPr>
        <w:t>Public Relations (PR)</w:t>
      </w:r>
    </w:p>
    <w:p w14:paraId="477FACE5" w14:textId="067BE132" w:rsidR="00535E99" w:rsidRDefault="00535E99" w:rsidP="00116B67">
      <w:pPr>
        <w:pStyle w:val="ListParagraph"/>
        <w:numPr>
          <w:ilvl w:val="0"/>
          <w:numId w:val="6"/>
        </w:numPr>
        <w:spacing w:after="120"/>
        <w:contextualSpacing w:val="0"/>
        <w:jc w:val="both"/>
        <w:rPr>
          <w:rFonts w:asciiTheme="majorHAnsi" w:hAnsiTheme="majorHAnsi" w:cs="Calibri"/>
          <w:sz w:val="22"/>
          <w:szCs w:val="22"/>
        </w:rPr>
      </w:pPr>
      <w:r>
        <w:rPr>
          <w:rFonts w:asciiTheme="majorHAnsi" w:hAnsiTheme="majorHAnsi" w:cs="Calibri"/>
          <w:sz w:val="22"/>
          <w:szCs w:val="22"/>
        </w:rPr>
        <w:t>General Administration.</w:t>
      </w:r>
    </w:p>
    <w:p w14:paraId="323A6D32" w14:textId="77777777" w:rsidR="00535E99" w:rsidRDefault="00535E99" w:rsidP="00535E99">
      <w:pPr>
        <w:jc w:val="both"/>
        <w:rPr>
          <w:rFonts w:asciiTheme="majorHAnsi" w:hAnsiTheme="majorHAnsi" w:cs="Calibri"/>
          <w:sz w:val="22"/>
          <w:szCs w:val="22"/>
        </w:rPr>
      </w:pPr>
    </w:p>
    <w:p w14:paraId="112900C2" w14:textId="401E8E96" w:rsidR="00535E99" w:rsidRDefault="00535E99" w:rsidP="00116B67">
      <w:pPr>
        <w:spacing w:after="120"/>
        <w:jc w:val="both"/>
        <w:rPr>
          <w:rFonts w:asciiTheme="majorHAnsi" w:hAnsiTheme="majorHAnsi" w:cs="Calibri"/>
          <w:sz w:val="22"/>
          <w:szCs w:val="22"/>
        </w:rPr>
      </w:pPr>
      <w:r>
        <w:rPr>
          <w:rFonts w:asciiTheme="majorHAnsi" w:hAnsiTheme="majorHAnsi" w:cs="Calibri"/>
          <w:sz w:val="22"/>
          <w:szCs w:val="22"/>
        </w:rPr>
        <w:t>CMAA activities currently include:</w:t>
      </w:r>
    </w:p>
    <w:p w14:paraId="6D0EBAB6" w14:textId="38626002" w:rsidR="00535E99" w:rsidRDefault="00535E99" w:rsidP="00116B67">
      <w:pPr>
        <w:pStyle w:val="ListParagraph"/>
        <w:numPr>
          <w:ilvl w:val="0"/>
          <w:numId w:val="7"/>
        </w:numPr>
        <w:spacing w:after="120"/>
        <w:contextualSpacing w:val="0"/>
        <w:jc w:val="both"/>
        <w:rPr>
          <w:rFonts w:asciiTheme="majorHAnsi" w:hAnsiTheme="majorHAnsi" w:cs="Calibri"/>
          <w:sz w:val="22"/>
          <w:szCs w:val="22"/>
        </w:rPr>
      </w:pPr>
      <w:r>
        <w:rPr>
          <w:rFonts w:asciiTheme="majorHAnsi" w:hAnsiTheme="majorHAnsi" w:cs="Calibri"/>
          <w:sz w:val="22"/>
          <w:szCs w:val="22"/>
        </w:rPr>
        <w:t>Setting up and monitoring processes and procedures, national standards and guidelines;</w:t>
      </w:r>
    </w:p>
    <w:p w14:paraId="55A33079" w14:textId="65B3DC7D" w:rsidR="00535E99" w:rsidRDefault="00535E99" w:rsidP="00116B67">
      <w:pPr>
        <w:pStyle w:val="ListParagraph"/>
        <w:numPr>
          <w:ilvl w:val="0"/>
          <w:numId w:val="7"/>
        </w:numPr>
        <w:spacing w:after="120"/>
        <w:contextualSpacing w:val="0"/>
        <w:jc w:val="both"/>
        <w:rPr>
          <w:rFonts w:asciiTheme="majorHAnsi" w:hAnsiTheme="majorHAnsi" w:cs="Calibri"/>
          <w:sz w:val="22"/>
          <w:szCs w:val="22"/>
        </w:rPr>
      </w:pPr>
      <w:r>
        <w:rPr>
          <w:rFonts w:asciiTheme="majorHAnsi" w:hAnsiTheme="majorHAnsi" w:cs="Calibri"/>
          <w:sz w:val="22"/>
          <w:szCs w:val="22"/>
        </w:rPr>
        <w:t>Preparing national plans;</w:t>
      </w:r>
    </w:p>
    <w:p w14:paraId="3109F2C9" w14:textId="0EE9E8AA" w:rsidR="00535E99" w:rsidRDefault="00535E99" w:rsidP="00116B67">
      <w:pPr>
        <w:pStyle w:val="ListParagraph"/>
        <w:numPr>
          <w:ilvl w:val="0"/>
          <w:numId w:val="7"/>
        </w:numPr>
        <w:spacing w:after="120"/>
        <w:contextualSpacing w:val="0"/>
        <w:jc w:val="both"/>
        <w:rPr>
          <w:rFonts w:asciiTheme="majorHAnsi" w:hAnsiTheme="majorHAnsi" w:cs="Calibri"/>
          <w:sz w:val="22"/>
          <w:szCs w:val="22"/>
        </w:rPr>
      </w:pPr>
      <w:r>
        <w:rPr>
          <w:rFonts w:asciiTheme="majorHAnsi" w:hAnsiTheme="majorHAnsi" w:cs="Calibri"/>
          <w:sz w:val="22"/>
          <w:szCs w:val="22"/>
        </w:rPr>
        <w:t>Monitoring project proposals and mine action strategies;</w:t>
      </w:r>
    </w:p>
    <w:p w14:paraId="6F50EEE6" w14:textId="370BEA15" w:rsidR="00535E99" w:rsidRDefault="00535E99" w:rsidP="00116B67">
      <w:pPr>
        <w:pStyle w:val="ListParagraph"/>
        <w:numPr>
          <w:ilvl w:val="0"/>
          <w:numId w:val="7"/>
        </w:numPr>
        <w:spacing w:after="120"/>
        <w:contextualSpacing w:val="0"/>
        <w:jc w:val="both"/>
        <w:rPr>
          <w:rFonts w:asciiTheme="majorHAnsi" w:hAnsiTheme="majorHAnsi" w:cs="Calibri"/>
          <w:sz w:val="22"/>
          <w:szCs w:val="22"/>
        </w:rPr>
      </w:pPr>
      <w:r>
        <w:rPr>
          <w:rFonts w:asciiTheme="majorHAnsi" w:hAnsiTheme="majorHAnsi" w:cs="Calibri"/>
          <w:sz w:val="22"/>
          <w:szCs w:val="22"/>
        </w:rPr>
        <w:t>Collecting and nanaging centralized data, registering information and compiling reports;</w:t>
      </w:r>
    </w:p>
    <w:p w14:paraId="75CB9330" w14:textId="416D3D93" w:rsidR="00535E99" w:rsidRDefault="00535E99" w:rsidP="00116B67">
      <w:pPr>
        <w:pStyle w:val="ListParagraph"/>
        <w:numPr>
          <w:ilvl w:val="0"/>
          <w:numId w:val="7"/>
        </w:numPr>
        <w:spacing w:after="120"/>
        <w:contextualSpacing w:val="0"/>
        <w:jc w:val="both"/>
        <w:rPr>
          <w:rFonts w:asciiTheme="majorHAnsi" w:hAnsiTheme="majorHAnsi" w:cs="Calibri"/>
          <w:sz w:val="22"/>
          <w:szCs w:val="22"/>
        </w:rPr>
      </w:pPr>
      <w:r>
        <w:rPr>
          <w:rFonts w:asciiTheme="majorHAnsi" w:hAnsiTheme="majorHAnsi" w:cs="Calibri"/>
          <w:sz w:val="22"/>
          <w:szCs w:val="22"/>
        </w:rPr>
        <w:t>Coordinating with donors, implementing agencies and other relevant stakeholders;</w:t>
      </w:r>
    </w:p>
    <w:p w14:paraId="668618AB" w14:textId="69CB4B6D" w:rsidR="00535E99" w:rsidRDefault="00535E99" w:rsidP="00116B67">
      <w:pPr>
        <w:pStyle w:val="ListParagraph"/>
        <w:numPr>
          <w:ilvl w:val="0"/>
          <w:numId w:val="7"/>
        </w:numPr>
        <w:spacing w:after="120"/>
        <w:contextualSpacing w:val="0"/>
        <w:jc w:val="both"/>
        <w:rPr>
          <w:rFonts w:asciiTheme="majorHAnsi" w:hAnsiTheme="majorHAnsi" w:cs="Calibri"/>
          <w:sz w:val="22"/>
          <w:szCs w:val="22"/>
        </w:rPr>
      </w:pPr>
      <w:r>
        <w:rPr>
          <w:rFonts w:asciiTheme="majorHAnsi" w:hAnsiTheme="majorHAnsi" w:cs="Calibri"/>
          <w:sz w:val="22"/>
          <w:szCs w:val="22"/>
        </w:rPr>
        <w:t>Following-up victims assistance activities;</w:t>
      </w:r>
    </w:p>
    <w:p w14:paraId="5F2000CB" w14:textId="6B2C311E" w:rsidR="00535E99" w:rsidRDefault="00535E99" w:rsidP="00116B67">
      <w:pPr>
        <w:pStyle w:val="ListParagraph"/>
        <w:numPr>
          <w:ilvl w:val="0"/>
          <w:numId w:val="7"/>
        </w:numPr>
        <w:spacing w:after="120"/>
        <w:contextualSpacing w:val="0"/>
        <w:jc w:val="both"/>
        <w:rPr>
          <w:rFonts w:asciiTheme="majorHAnsi" w:hAnsiTheme="majorHAnsi" w:cs="Calibri"/>
          <w:sz w:val="22"/>
          <w:szCs w:val="22"/>
        </w:rPr>
      </w:pPr>
      <w:r>
        <w:rPr>
          <w:rFonts w:asciiTheme="majorHAnsi" w:hAnsiTheme="majorHAnsi" w:cs="Calibri"/>
          <w:sz w:val="22"/>
          <w:szCs w:val="22"/>
        </w:rPr>
        <w:t>Ensuring effective mine action as per development plans;</w:t>
      </w:r>
    </w:p>
    <w:p w14:paraId="37199314" w14:textId="6F704A0B" w:rsidR="00535E99" w:rsidRDefault="00535E99" w:rsidP="00116B67">
      <w:pPr>
        <w:pStyle w:val="ListParagraph"/>
        <w:numPr>
          <w:ilvl w:val="0"/>
          <w:numId w:val="7"/>
        </w:numPr>
        <w:spacing w:after="120"/>
        <w:contextualSpacing w:val="0"/>
        <w:jc w:val="both"/>
        <w:rPr>
          <w:rFonts w:asciiTheme="majorHAnsi" w:hAnsiTheme="majorHAnsi" w:cs="Calibri"/>
          <w:sz w:val="22"/>
          <w:szCs w:val="22"/>
        </w:rPr>
      </w:pPr>
      <w:r>
        <w:rPr>
          <w:rFonts w:asciiTheme="majorHAnsi" w:hAnsiTheme="majorHAnsi" w:cs="Calibri"/>
          <w:sz w:val="22"/>
          <w:szCs w:val="22"/>
        </w:rPr>
        <w:t xml:space="preserve">Developing and </w:t>
      </w:r>
      <w:r w:rsidR="00EE6A8B">
        <w:rPr>
          <w:rFonts w:asciiTheme="majorHAnsi" w:hAnsiTheme="majorHAnsi" w:cs="Calibri"/>
          <w:sz w:val="22"/>
          <w:szCs w:val="22"/>
        </w:rPr>
        <w:t>monitoring socio-economic guidel</w:t>
      </w:r>
      <w:r>
        <w:rPr>
          <w:rFonts w:asciiTheme="majorHAnsi" w:hAnsiTheme="majorHAnsi" w:cs="Calibri"/>
          <w:sz w:val="22"/>
          <w:szCs w:val="22"/>
        </w:rPr>
        <w:t>ines (Royal Decree 160, Sub-decree 76 and 100);</w:t>
      </w:r>
    </w:p>
    <w:p w14:paraId="0B1CA87D" w14:textId="3B28DC99" w:rsidR="007B41AF" w:rsidRDefault="00535E99" w:rsidP="007B41AF">
      <w:pPr>
        <w:pStyle w:val="ListParagraph"/>
        <w:numPr>
          <w:ilvl w:val="0"/>
          <w:numId w:val="7"/>
        </w:numPr>
        <w:spacing w:after="120"/>
        <w:contextualSpacing w:val="0"/>
        <w:jc w:val="both"/>
        <w:rPr>
          <w:rFonts w:asciiTheme="majorHAnsi" w:hAnsiTheme="majorHAnsi" w:cs="Calibri"/>
          <w:sz w:val="22"/>
          <w:szCs w:val="22"/>
        </w:rPr>
      </w:pPr>
      <w:r>
        <w:rPr>
          <w:rFonts w:asciiTheme="majorHAnsi" w:hAnsiTheme="majorHAnsi" w:cs="Calibri"/>
          <w:sz w:val="22"/>
          <w:szCs w:val="22"/>
        </w:rPr>
        <w:t>Act as the focal point of mine action coordination in Cambodia, through bodies like the Min</w:t>
      </w:r>
      <w:r w:rsidR="00EE6A8B">
        <w:rPr>
          <w:rFonts w:asciiTheme="majorHAnsi" w:hAnsiTheme="majorHAnsi" w:cs="Calibri"/>
          <w:sz w:val="22"/>
          <w:szCs w:val="22"/>
        </w:rPr>
        <w:t>e</w:t>
      </w:r>
      <w:r>
        <w:rPr>
          <w:rFonts w:asciiTheme="majorHAnsi" w:hAnsiTheme="majorHAnsi" w:cs="Calibri"/>
          <w:sz w:val="22"/>
          <w:szCs w:val="22"/>
        </w:rPr>
        <w:t xml:space="preserve"> Action Technical Working Group, Mine Action Coordination Committee, various Technical Reference Groups, and as Chair of the Project Board for CfR II project.</w:t>
      </w:r>
    </w:p>
    <w:p w14:paraId="6207B7FF" w14:textId="5FBA37C2" w:rsidR="007B41AF" w:rsidRPr="007B41AF" w:rsidRDefault="007B41AF" w:rsidP="007B41AF">
      <w:pPr>
        <w:spacing w:after="120"/>
        <w:jc w:val="both"/>
        <w:rPr>
          <w:rFonts w:asciiTheme="majorHAnsi" w:hAnsiTheme="majorHAnsi" w:cs="Calibri"/>
          <w:b/>
          <w:sz w:val="22"/>
          <w:szCs w:val="22"/>
        </w:rPr>
      </w:pPr>
      <w:r w:rsidRPr="007B41AF">
        <w:rPr>
          <w:rFonts w:asciiTheme="majorHAnsi" w:hAnsiTheme="majorHAnsi" w:cs="Calibri"/>
          <w:b/>
          <w:sz w:val="22"/>
          <w:szCs w:val="22"/>
        </w:rPr>
        <w:t>Legal Frameworks Governing Cambodian Mine Action</w:t>
      </w:r>
    </w:p>
    <w:tbl>
      <w:tblPr>
        <w:tblStyle w:val="TableGrid"/>
        <w:tblW w:w="0" w:type="auto"/>
        <w:tblLook w:val="04A0" w:firstRow="1" w:lastRow="0" w:firstColumn="1" w:lastColumn="0" w:noHBand="0" w:noVBand="1"/>
      </w:tblPr>
      <w:tblGrid>
        <w:gridCol w:w="6916"/>
        <w:gridCol w:w="1600"/>
      </w:tblGrid>
      <w:tr w:rsidR="007B41AF" w:rsidRPr="007B41AF" w14:paraId="4B4C08B3" w14:textId="77777777" w:rsidTr="007B41AF">
        <w:tc>
          <w:tcPr>
            <w:tcW w:w="6916" w:type="dxa"/>
            <w:shd w:val="clear" w:color="auto" w:fill="A6A6A6" w:themeFill="background1" w:themeFillShade="A6"/>
          </w:tcPr>
          <w:p w14:paraId="52FEC9FF" w14:textId="77777777" w:rsidR="007B41AF" w:rsidRPr="007B41AF" w:rsidRDefault="007B41AF" w:rsidP="00B97E59">
            <w:pPr>
              <w:rPr>
                <w:rFonts w:asciiTheme="majorHAnsi" w:hAnsiTheme="majorHAnsi"/>
                <w:b/>
                <w:sz w:val="20"/>
                <w:szCs w:val="20"/>
                <w:lang w:val="en-GB"/>
              </w:rPr>
            </w:pPr>
            <w:r w:rsidRPr="007B41AF">
              <w:rPr>
                <w:rFonts w:asciiTheme="majorHAnsi" w:hAnsiTheme="majorHAnsi"/>
                <w:b/>
                <w:sz w:val="20"/>
                <w:szCs w:val="20"/>
                <w:lang w:val="en-GB"/>
              </w:rPr>
              <w:t>Treaty</w:t>
            </w:r>
          </w:p>
        </w:tc>
        <w:tc>
          <w:tcPr>
            <w:tcW w:w="1600" w:type="dxa"/>
            <w:shd w:val="clear" w:color="auto" w:fill="A6A6A6" w:themeFill="background1" w:themeFillShade="A6"/>
          </w:tcPr>
          <w:p w14:paraId="13980D89" w14:textId="77777777" w:rsidR="007B41AF" w:rsidRPr="007B41AF" w:rsidRDefault="007B41AF" w:rsidP="00B97E59">
            <w:pPr>
              <w:rPr>
                <w:rFonts w:asciiTheme="majorHAnsi" w:hAnsiTheme="majorHAnsi"/>
                <w:b/>
                <w:sz w:val="20"/>
                <w:szCs w:val="20"/>
                <w:lang w:val="en-GB"/>
              </w:rPr>
            </w:pPr>
            <w:r w:rsidRPr="007B41AF">
              <w:rPr>
                <w:rFonts w:asciiTheme="majorHAnsi" w:hAnsiTheme="majorHAnsi"/>
                <w:b/>
                <w:sz w:val="20"/>
                <w:szCs w:val="20"/>
                <w:lang w:val="en-GB"/>
              </w:rPr>
              <w:t>Status</w:t>
            </w:r>
          </w:p>
        </w:tc>
      </w:tr>
      <w:tr w:rsidR="007B41AF" w:rsidRPr="007B41AF" w14:paraId="6DC8C02F" w14:textId="77777777" w:rsidTr="007B41AF">
        <w:tc>
          <w:tcPr>
            <w:tcW w:w="6916" w:type="dxa"/>
          </w:tcPr>
          <w:p w14:paraId="3EF6A341"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Mine Ban Treaty/Status</w:t>
            </w:r>
          </w:p>
        </w:tc>
        <w:tc>
          <w:tcPr>
            <w:tcW w:w="1600" w:type="dxa"/>
          </w:tcPr>
          <w:p w14:paraId="16E1C17E"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 xml:space="preserve">Ratified </w:t>
            </w:r>
          </w:p>
        </w:tc>
      </w:tr>
      <w:tr w:rsidR="007B41AF" w:rsidRPr="007B41AF" w14:paraId="168CFC91" w14:textId="77777777" w:rsidTr="007B41AF">
        <w:tc>
          <w:tcPr>
            <w:tcW w:w="6916" w:type="dxa"/>
          </w:tcPr>
          <w:p w14:paraId="4981BADE"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Convention on Cluster Munitions/Status</w:t>
            </w:r>
          </w:p>
        </w:tc>
        <w:tc>
          <w:tcPr>
            <w:tcW w:w="1600" w:type="dxa"/>
          </w:tcPr>
          <w:p w14:paraId="10EAB0CA"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Not joined</w:t>
            </w:r>
          </w:p>
        </w:tc>
      </w:tr>
      <w:tr w:rsidR="007B41AF" w:rsidRPr="007B41AF" w14:paraId="7D940D39" w14:textId="77777777" w:rsidTr="007B41AF">
        <w:tc>
          <w:tcPr>
            <w:tcW w:w="6916" w:type="dxa"/>
          </w:tcPr>
          <w:p w14:paraId="39C20F95"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Convention on Conventional Weapons/Status</w:t>
            </w:r>
          </w:p>
        </w:tc>
        <w:tc>
          <w:tcPr>
            <w:tcW w:w="1600" w:type="dxa"/>
          </w:tcPr>
          <w:p w14:paraId="64DC96DA"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Ratified</w:t>
            </w:r>
          </w:p>
        </w:tc>
      </w:tr>
      <w:tr w:rsidR="007B41AF" w:rsidRPr="007B41AF" w14:paraId="196BAE19" w14:textId="77777777" w:rsidTr="007B41AF">
        <w:tc>
          <w:tcPr>
            <w:tcW w:w="6916" w:type="dxa"/>
          </w:tcPr>
          <w:p w14:paraId="33CC305B"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Convention on Conventional Weapons/Amended Protocol II</w:t>
            </w:r>
          </w:p>
        </w:tc>
        <w:tc>
          <w:tcPr>
            <w:tcW w:w="1600" w:type="dxa"/>
          </w:tcPr>
          <w:p w14:paraId="3B67D539"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 xml:space="preserve">Signed </w:t>
            </w:r>
          </w:p>
        </w:tc>
      </w:tr>
      <w:tr w:rsidR="007B41AF" w:rsidRPr="007B41AF" w14:paraId="61B367DE" w14:textId="77777777" w:rsidTr="007B41AF">
        <w:tc>
          <w:tcPr>
            <w:tcW w:w="6916" w:type="dxa"/>
          </w:tcPr>
          <w:p w14:paraId="5302A602"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Convention on Conventional Weapons/Protocol V</w:t>
            </w:r>
          </w:p>
        </w:tc>
        <w:tc>
          <w:tcPr>
            <w:tcW w:w="1600" w:type="dxa"/>
          </w:tcPr>
          <w:p w14:paraId="27A78C05"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Not signed</w:t>
            </w:r>
          </w:p>
        </w:tc>
      </w:tr>
      <w:tr w:rsidR="007B41AF" w:rsidRPr="007B41AF" w14:paraId="6D382292" w14:textId="77777777" w:rsidTr="007B41AF">
        <w:tc>
          <w:tcPr>
            <w:tcW w:w="6916" w:type="dxa"/>
          </w:tcPr>
          <w:p w14:paraId="3AA49780"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UN Convention on the Rights of Persons with Disabilities/Status</w:t>
            </w:r>
          </w:p>
        </w:tc>
        <w:tc>
          <w:tcPr>
            <w:tcW w:w="1600" w:type="dxa"/>
          </w:tcPr>
          <w:p w14:paraId="5754D9E6"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Ratified</w:t>
            </w:r>
          </w:p>
        </w:tc>
      </w:tr>
      <w:tr w:rsidR="007B41AF" w:rsidRPr="007B41AF" w14:paraId="0F52C91B" w14:textId="77777777" w:rsidTr="007B41AF">
        <w:tc>
          <w:tcPr>
            <w:tcW w:w="6916" w:type="dxa"/>
          </w:tcPr>
          <w:p w14:paraId="1D9328F6"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2014 UNGA Resolution 69/24</w:t>
            </w:r>
          </w:p>
        </w:tc>
        <w:tc>
          <w:tcPr>
            <w:tcW w:w="1600" w:type="dxa"/>
          </w:tcPr>
          <w:p w14:paraId="31972AD4" w14:textId="77777777" w:rsidR="007B41AF" w:rsidRPr="007B41AF" w:rsidRDefault="007B41AF" w:rsidP="00B97E59">
            <w:pPr>
              <w:rPr>
                <w:rFonts w:asciiTheme="majorHAnsi" w:hAnsiTheme="majorHAnsi"/>
                <w:sz w:val="20"/>
                <w:szCs w:val="20"/>
                <w:lang w:val="en-GB"/>
              </w:rPr>
            </w:pPr>
            <w:r w:rsidRPr="007B41AF">
              <w:rPr>
                <w:rFonts w:asciiTheme="majorHAnsi" w:hAnsiTheme="majorHAnsi"/>
                <w:sz w:val="20"/>
                <w:szCs w:val="20"/>
                <w:lang w:val="en-GB"/>
              </w:rPr>
              <w:t>In favor</w:t>
            </w:r>
          </w:p>
        </w:tc>
      </w:tr>
    </w:tbl>
    <w:p w14:paraId="0507EBDD" w14:textId="77777777" w:rsidR="007B41AF" w:rsidRPr="007B41AF" w:rsidRDefault="007B41AF" w:rsidP="007B41AF">
      <w:pPr>
        <w:rPr>
          <w:rStyle w:val="Hyperlink"/>
          <w:rFonts w:asciiTheme="majorHAnsi" w:hAnsiTheme="majorHAnsi"/>
          <w:sz w:val="20"/>
          <w:szCs w:val="20"/>
          <w:lang w:val="en-GB"/>
        </w:rPr>
      </w:pPr>
      <w:r w:rsidRPr="007B41AF">
        <w:rPr>
          <w:rFonts w:asciiTheme="majorHAnsi" w:hAnsiTheme="majorHAnsi"/>
          <w:sz w:val="20"/>
          <w:szCs w:val="20"/>
          <w:lang w:val="en-GB"/>
        </w:rPr>
        <w:t xml:space="preserve">Source: Landmine Monitor, 2015: </w:t>
      </w:r>
      <w:hyperlink r:id="rId9" w:history="1">
        <w:r w:rsidRPr="007B41AF">
          <w:rPr>
            <w:rStyle w:val="Hyperlink"/>
            <w:rFonts w:asciiTheme="majorHAnsi" w:hAnsiTheme="majorHAnsi"/>
            <w:sz w:val="20"/>
            <w:szCs w:val="20"/>
            <w:lang w:val="en-GB"/>
          </w:rPr>
          <w:t>www.the-monitor.org</w:t>
        </w:r>
      </w:hyperlink>
    </w:p>
    <w:p w14:paraId="73A429C5" w14:textId="77777777" w:rsidR="007B41AF" w:rsidRPr="007B41AF" w:rsidRDefault="007B41AF" w:rsidP="007B41AF">
      <w:pPr>
        <w:spacing w:after="120"/>
        <w:ind w:left="360"/>
        <w:jc w:val="both"/>
        <w:rPr>
          <w:rFonts w:asciiTheme="majorHAnsi" w:hAnsiTheme="majorHAnsi" w:cs="Calibri"/>
          <w:sz w:val="22"/>
          <w:szCs w:val="22"/>
        </w:rPr>
      </w:pPr>
    </w:p>
    <w:p w14:paraId="6C7681BE" w14:textId="0D005D4B" w:rsidR="00535E99" w:rsidRDefault="007B41AF" w:rsidP="00905C9F">
      <w:pPr>
        <w:jc w:val="both"/>
        <w:rPr>
          <w:rFonts w:asciiTheme="majorHAnsi" w:hAnsiTheme="majorHAnsi" w:cs="Calibri"/>
          <w:sz w:val="22"/>
          <w:szCs w:val="22"/>
        </w:rPr>
      </w:pPr>
      <w:r>
        <w:rPr>
          <w:rFonts w:asciiTheme="majorHAnsi" w:hAnsiTheme="majorHAnsi" w:cs="Calibri"/>
          <w:sz w:val="22"/>
          <w:szCs w:val="22"/>
        </w:rPr>
        <w:t>I</w:t>
      </w:r>
      <w:r w:rsidR="00CD3D58">
        <w:rPr>
          <w:rFonts w:asciiTheme="majorHAnsi" w:hAnsiTheme="majorHAnsi" w:cs="Calibri"/>
          <w:sz w:val="22"/>
          <w:szCs w:val="22"/>
        </w:rPr>
        <w:t xml:space="preserve">n  1999, the RGC ratified the Anti-Personnel Mine Ban Convention (APMBC), which committed it to eliminating </w:t>
      </w:r>
      <w:r w:rsidR="00CD3D58">
        <w:rPr>
          <w:rFonts w:asciiTheme="majorHAnsi" w:hAnsiTheme="majorHAnsi" w:cs="Calibri"/>
          <w:i/>
          <w:sz w:val="22"/>
          <w:szCs w:val="22"/>
        </w:rPr>
        <w:t>all</w:t>
      </w:r>
      <w:r w:rsidR="00CD3D58">
        <w:rPr>
          <w:rFonts w:asciiTheme="majorHAnsi" w:hAnsiTheme="majorHAnsi" w:cs="Calibri"/>
          <w:sz w:val="22"/>
          <w:szCs w:val="22"/>
        </w:rPr>
        <w:t xml:space="preserve"> the landmines (total threat eradication) in the country. The initial 10 year deadline required an Article 5 extension until 2019. </w:t>
      </w:r>
      <w:r w:rsidR="00FA126B">
        <w:rPr>
          <w:rFonts w:asciiTheme="majorHAnsi" w:hAnsiTheme="majorHAnsi" w:cs="Calibri"/>
          <w:sz w:val="22"/>
          <w:szCs w:val="22"/>
        </w:rPr>
        <w:t>In 2003, t</w:t>
      </w:r>
      <w:r w:rsidR="00CD3D58">
        <w:rPr>
          <w:rFonts w:asciiTheme="majorHAnsi" w:hAnsiTheme="majorHAnsi" w:cs="Calibri"/>
          <w:sz w:val="22"/>
          <w:szCs w:val="22"/>
        </w:rPr>
        <w:t>he RGC</w:t>
      </w:r>
      <w:r w:rsidR="00FA126B">
        <w:rPr>
          <w:rFonts w:asciiTheme="majorHAnsi" w:hAnsiTheme="majorHAnsi" w:cs="Calibri"/>
          <w:sz w:val="22"/>
          <w:szCs w:val="22"/>
        </w:rPr>
        <w:t xml:space="preserve"> recognizing the unique burden landmines and ERW plays in the country,</w:t>
      </w:r>
      <w:r w:rsidR="00CD3D58">
        <w:rPr>
          <w:rFonts w:asciiTheme="majorHAnsi" w:hAnsiTheme="majorHAnsi" w:cs="Calibri"/>
          <w:sz w:val="22"/>
          <w:szCs w:val="22"/>
        </w:rPr>
        <w:t xml:space="preserve"> also adopted Millenium Development Goal (MDG) 9 on </w:t>
      </w:r>
      <w:r w:rsidR="00CD3D58" w:rsidRPr="00CD3D58">
        <w:rPr>
          <w:rFonts w:asciiTheme="majorHAnsi" w:hAnsiTheme="majorHAnsi" w:cs="Calibri"/>
          <w:i/>
          <w:sz w:val="22"/>
          <w:szCs w:val="22"/>
        </w:rPr>
        <w:t>‘Demining, removing Explosive Remnants of War (ERW), and Victim Assistance’</w:t>
      </w:r>
      <w:r w:rsidR="00CD3D58">
        <w:rPr>
          <w:rFonts w:asciiTheme="majorHAnsi" w:hAnsiTheme="majorHAnsi" w:cs="Calibri"/>
          <w:sz w:val="22"/>
          <w:szCs w:val="22"/>
        </w:rPr>
        <w:t>.</w:t>
      </w:r>
      <w:r w:rsidR="00FA126B">
        <w:rPr>
          <w:rFonts w:asciiTheme="majorHAnsi" w:hAnsiTheme="majorHAnsi" w:cs="Calibri"/>
          <w:sz w:val="22"/>
          <w:szCs w:val="22"/>
        </w:rPr>
        <w:t xml:space="preserve"> The current National Mine Action Strategy (NMAS), which was developed in late 2010, supports the government’s National Strategic Development Plan, and promotes the release of land for socio-economic development.</w:t>
      </w:r>
    </w:p>
    <w:p w14:paraId="7BCD2EBC" w14:textId="77777777" w:rsidR="00905C9F" w:rsidRDefault="00905C9F" w:rsidP="00905C9F">
      <w:pPr>
        <w:jc w:val="both"/>
        <w:rPr>
          <w:rFonts w:asciiTheme="majorHAnsi" w:hAnsiTheme="majorHAnsi" w:cs="Calibri"/>
          <w:sz w:val="22"/>
          <w:szCs w:val="22"/>
        </w:rPr>
      </w:pPr>
    </w:p>
    <w:p w14:paraId="541E7349" w14:textId="5B1A0603" w:rsidR="00654B3E" w:rsidRDefault="006822D9" w:rsidP="00654B3E">
      <w:pPr>
        <w:jc w:val="both"/>
        <w:rPr>
          <w:rFonts w:ascii="Calibri" w:hAnsi="Calibri" w:cs="Calibri"/>
          <w:sz w:val="22"/>
          <w:szCs w:val="22"/>
        </w:rPr>
      </w:pPr>
      <w:r w:rsidRPr="006822D9">
        <w:rPr>
          <w:rFonts w:ascii="Calibri" w:hAnsi="Calibri" w:cs="Calibri"/>
          <w:sz w:val="22"/>
          <w:szCs w:val="22"/>
        </w:rPr>
        <w:t>UNDP</w:t>
      </w:r>
      <w:r>
        <w:rPr>
          <w:rFonts w:ascii="Calibri" w:hAnsi="Calibri" w:cs="Calibri"/>
          <w:sz w:val="22"/>
          <w:szCs w:val="22"/>
        </w:rPr>
        <w:t xml:space="preserve"> has supported mine action in Cambodia since the</w:t>
      </w:r>
      <w:r w:rsidR="00DC5921">
        <w:rPr>
          <w:rFonts w:ascii="Calibri" w:hAnsi="Calibri" w:cs="Calibri"/>
          <w:sz w:val="22"/>
          <w:szCs w:val="22"/>
        </w:rPr>
        <w:t xml:space="preserve"> early</w:t>
      </w:r>
      <w:r>
        <w:rPr>
          <w:rFonts w:ascii="Calibri" w:hAnsi="Calibri" w:cs="Calibri"/>
          <w:sz w:val="22"/>
          <w:szCs w:val="22"/>
        </w:rPr>
        <w:t xml:space="preserve"> 1990s, first directly to CMAC through the provision of technical advisors and the administration of a Trust Fund, and later through support to the CMAA</w:t>
      </w:r>
      <w:r w:rsidR="00DC5921">
        <w:rPr>
          <w:rStyle w:val="FootnoteReference"/>
          <w:rFonts w:ascii="Calibri" w:hAnsi="Calibri" w:cs="Calibri"/>
          <w:sz w:val="22"/>
          <w:szCs w:val="22"/>
        </w:rPr>
        <w:footnoteReference w:id="3"/>
      </w:r>
      <w:r>
        <w:rPr>
          <w:rFonts w:ascii="Calibri" w:hAnsi="Calibri" w:cs="Calibri"/>
          <w:sz w:val="22"/>
          <w:szCs w:val="22"/>
        </w:rPr>
        <w:t>. UNDP partnered with CMAA through CfR I (2006-2010), which was structured as a DIM project</w:t>
      </w:r>
      <w:r w:rsidR="00830002">
        <w:rPr>
          <w:rStyle w:val="FootnoteReference"/>
          <w:rFonts w:ascii="Calibri" w:hAnsi="Calibri" w:cs="Calibri"/>
          <w:sz w:val="22"/>
          <w:szCs w:val="22"/>
        </w:rPr>
        <w:footnoteReference w:id="4"/>
      </w:r>
      <w:r>
        <w:rPr>
          <w:rFonts w:ascii="Calibri" w:hAnsi="Calibri" w:cs="Calibri"/>
          <w:sz w:val="22"/>
          <w:szCs w:val="22"/>
        </w:rPr>
        <w:t>, and sought</w:t>
      </w:r>
      <w:r w:rsidR="00830002">
        <w:rPr>
          <w:rFonts w:ascii="Calibri" w:hAnsi="Calibri" w:cs="Calibri"/>
          <w:sz w:val="22"/>
          <w:szCs w:val="22"/>
        </w:rPr>
        <w:t xml:space="preserve"> to build national institutional capacity</w:t>
      </w:r>
      <w:r w:rsidR="00830002">
        <w:rPr>
          <w:rStyle w:val="FootnoteReference"/>
          <w:rFonts w:ascii="Calibri" w:hAnsi="Calibri" w:cs="Calibri"/>
          <w:sz w:val="22"/>
          <w:szCs w:val="22"/>
        </w:rPr>
        <w:footnoteReference w:id="5"/>
      </w:r>
      <w:r w:rsidR="00830002">
        <w:rPr>
          <w:rFonts w:ascii="Calibri" w:hAnsi="Calibri" w:cs="Calibri"/>
          <w:sz w:val="22"/>
          <w:szCs w:val="22"/>
        </w:rPr>
        <w:t>. CfR II, which is being implemented as a NIM project, aims to enhance national structures and institutional capacity building of CMAA to act as a national coordinator, as well as directly promoting the release of land for productive use by the poor. It seeks to support the</w:t>
      </w:r>
      <w:r w:rsidR="000175E3">
        <w:rPr>
          <w:rFonts w:ascii="Calibri" w:hAnsi="Calibri" w:cs="Calibri"/>
          <w:sz w:val="22"/>
          <w:szCs w:val="22"/>
        </w:rPr>
        <w:t xml:space="preserve"> United Nations Development Ass</w:t>
      </w:r>
      <w:r w:rsidR="00830002">
        <w:rPr>
          <w:rFonts w:ascii="Calibri" w:hAnsi="Calibri" w:cs="Calibri"/>
          <w:sz w:val="22"/>
          <w:szCs w:val="22"/>
        </w:rPr>
        <w:t>istance Framework (UNDAF), and the UNDP Country Programme Action Plan (CPAP) Outcome 1.</w:t>
      </w:r>
    </w:p>
    <w:p w14:paraId="0C1614EE" w14:textId="77777777" w:rsidR="00830002" w:rsidRDefault="00830002" w:rsidP="00654B3E">
      <w:pPr>
        <w:jc w:val="both"/>
        <w:rPr>
          <w:rFonts w:ascii="Calibri" w:hAnsi="Calibri" w:cs="Calibri"/>
          <w:sz w:val="22"/>
          <w:szCs w:val="22"/>
        </w:rPr>
      </w:pPr>
    </w:p>
    <w:p w14:paraId="462DA951" w14:textId="0A98384D" w:rsidR="00830002" w:rsidRDefault="00830002" w:rsidP="00654B3E">
      <w:pPr>
        <w:jc w:val="both"/>
        <w:rPr>
          <w:rFonts w:ascii="Calibri" w:hAnsi="Calibri" w:cs="Calibri"/>
          <w:sz w:val="22"/>
          <w:szCs w:val="22"/>
        </w:rPr>
      </w:pPr>
      <w:r>
        <w:rPr>
          <w:rFonts w:ascii="Calibri" w:hAnsi="Calibri" w:cs="Calibri"/>
          <w:sz w:val="22"/>
          <w:szCs w:val="22"/>
        </w:rPr>
        <w:t>Under CfR II nearly 70km</w:t>
      </w:r>
      <w:r w:rsidRPr="00830002">
        <w:rPr>
          <w:rFonts w:ascii="Calibri" w:hAnsi="Calibri" w:cs="Calibri"/>
          <w:sz w:val="22"/>
          <w:szCs w:val="22"/>
          <w:vertAlign w:val="superscript"/>
        </w:rPr>
        <w:t>2</w:t>
      </w:r>
      <w:r>
        <w:rPr>
          <w:rFonts w:ascii="Calibri" w:hAnsi="Calibri" w:cs="Calibri"/>
          <w:sz w:val="22"/>
          <w:szCs w:val="22"/>
        </w:rPr>
        <w:t xml:space="preserve"> of land had been released (May 2011-December 2014), and 80% of this i</w:t>
      </w:r>
      <w:r w:rsidR="00A96CEB">
        <w:rPr>
          <w:rFonts w:ascii="Calibri" w:hAnsi="Calibri" w:cs="Calibri"/>
          <w:sz w:val="22"/>
          <w:szCs w:val="22"/>
        </w:rPr>
        <w:t>s being used for agriculture. As of 30th</w:t>
      </w:r>
      <w:r>
        <w:rPr>
          <w:rFonts w:ascii="Calibri" w:hAnsi="Calibri" w:cs="Calibri"/>
          <w:sz w:val="22"/>
          <w:szCs w:val="22"/>
        </w:rPr>
        <w:t xml:space="preserve"> June 2015, the figure for land released had risen dramatically to 115.2km</w:t>
      </w:r>
      <w:r w:rsidRPr="00830002">
        <w:rPr>
          <w:rFonts w:ascii="Calibri" w:hAnsi="Calibri" w:cs="Calibri"/>
          <w:sz w:val="22"/>
          <w:szCs w:val="22"/>
          <w:vertAlign w:val="superscript"/>
        </w:rPr>
        <w:t>2</w:t>
      </w:r>
      <w:r w:rsidR="00A96CEB">
        <w:rPr>
          <w:rFonts w:ascii="Calibri" w:hAnsi="Calibri" w:cs="Calibri"/>
          <w:sz w:val="22"/>
          <w:szCs w:val="22"/>
          <w:vertAlign w:val="superscript"/>
        </w:rPr>
        <w:t xml:space="preserve"> </w:t>
      </w:r>
      <w:r w:rsidR="00A96CEB">
        <w:rPr>
          <w:rFonts w:ascii="Calibri" w:hAnsi="Calibri" w:cs="Calibri"/>
          <w:sz w:val="22"/>
          <w:szCs w:val="22"/>
        </w:rPr>
        <w:t>(921 individual minefields),</w:t>
      </w:r>
      <w:r>
        <w:rPr>
          <w:rFonts w:ascii="Calibri" w:hAnsi="Calibri" w:cs="Calibri"/>
          <w:sz w:val="22"/>
          <w:szCs w:val="22"/>
        </w:rPr>
        <w:t xml:space="preserve"> in large part as a result of the land reclamation project referred to above</w:t>
      </w:r>
      <w:r w:rsidR="00A96CEB">
        <w:rPr>
          <w:rFonts w:ascii="Calibri" w:hAnsi="Calibri" w:cs="Calibri"/>
          <w:sz w:val="22"/>
          <w:szCs w:val="22"/>
        </w:rPr>
        <w:t xml:space="preserve">, benefiting over 100,000 </w:t>
      </w:r>
      <w:r w:rsidR="00A96CEB" w:rsidRPr="00A96CEB">
        <w:rPr>
          <w:rFonts w:ascii="Calibri" w:hAnsi="Calibri" w:cs="Calibri"/>
          <w:sz w:val="22"/>
          <w:szCs w:val="22"/>
        </w:rPr>
        <w:t>people.</w:t>
      </w:r>
      <w:r w:rsidRPr="00A96CEB">
        <w:rPr>
          <w:rStyle w:val="FootnoteReference"/>
          <w:rFonts w:ascii="Calibri" w:hAnsi="Calibri" w:cs="Calibri"/>
          <w:sz w:val="22"/>
          <w:szCs w:val="22"/>
        </w:rPr>
        <w:footnoteReference w:id="6"/>
      </w:r>
      <w:r w:rsidR="00A96CEB" w:rsidRPr="00A96CEB">
        <w:rPr>
          <w:rFonts w:ascii="Calibri" w:hAnsi="Calibri" w:cs="Calibri"/>
          <w:sz w:val="22"/>
          <w:szCs w:val="22"/>
        </w:rPr>
        <w:t xml:space="preserve"> With the addition of 40.3km</w:t>
      </w:r>
      <w:r w:rsidR="00A96CEB" w:rsidRPr="00A96CEB">
        <w:rPr>
          <w:rFonts w:ascii="Calibri" w:hAnsi="Calibri" w:cs="Calibri"/>
          <w:sz w:val="22"/>
          <w:szCs w:val="22"/>
          <w:vertAlign w:val="superscript"/>
        </w:rPr>
        <w:t>2</w:t>
      </w:r>
      <w:r w:rsidR="00A96CEB" w:rsidRPr="00A96CEB">
        <w:rPr>
          <w:rFonts w:ascii="Calibri" w:hAnsi="Calibri" w:cs="Calibri"/>
          <w:sz w:val="22"/>
          <w:szCs w:val="22"/>
        </w:rPr>
        <w:t xml:space="preserve"> released by the Clearing for Results Phase One project, total land released by both UNDP Clearing for Results projects is 155.5km</w:t>
      </w:r>
      <w:r w:rsidR="00A96CEB" w:rsidRPr="00A96CEB">
        <w:rPr>
          <w:rFonts w:ascii="Calibri" w:hAnsi="Calibri" w:cs="Calibri"/>
          <w:sz w:val="22"/>
          <w:szCs w:val="22"/>
          <w:vertAlign w:val="superscript"/>
        </w:rPr>
        <w:t>2</w:t>
      </w:r>
      <w:r w:rsidR="00A96CEB">
        <w:rPr>
          <w:rFonts w:ascii="Calibri" w:hAnsi="Calibri" w:cs="Calibri"/>
          <w:sz w:val="20"/>
          <w:szCs w:val="20"/>
        </w:rPr>
        <w:t>.</w:t>
      </w:r>
    </w:p>
    <w:p w14:paraId="4F41F886" w14:textId="77777777" w:rsidR="00830002" w:rsidRDefault="00830002" w:rsidP="00654B3E">
      <w:pPr>
        <w:jc w:val="both"/>
        <w:rPr>
          <w:rFonts w:ascii="Calibri" w:hAnsi="Calibri" w:cs="Calibri"/>
          <w:sz w:val="22"/>
          <w:szCs w:val="22"/>
        </w:rPr>
      </w:pPr>
    </w:p>
    <w:p w14:paraId="30E8053F" w14:textId="7662C9CA" w:rsidR="00830002" w:rsidRDefault="00830002" w:rsidP="00654B3E">
      <w:pPr>
        <w:jc w:val="both"/>
        <w:rPr>
          <w:rFonts w:ascii="Calibri" w:hAnsi="Calibri" w:cs="Calibri"/>
          <w:sz w:val="22"/>
          <w:szCs w:val="22"/>
        </w:rPr>
      </w:pPr>
      <w:r>
        <w:rPr>
          <w:rFonts w:ascii="Calibri" w:hAnsi="Calibri" w:cs="Calibri"/>
          <w:sz w:val="22"/>
          <w:szCs w:val="22"/>
        </w:rPr>
        <w:t xml:space="preserve">In June 2013, a Mid-Term Review of CfR II, generated a number of recommendations, most of which were accepted in the UNDP management response, and now forms the basis of quarterly and annual progress reports. As the TOR notes, </w:t>
      </w:r>
      <w:r w:rsidR="00FD4096" w:rsidRPr="00FD4096">
        <w:rPr>
          <w:rFonts w:ascii="Calibri" w:hAnsi="Calibri" w:cs="Calibri"/>
          <w:i/>
          <w:sz w:val="22"/>
          <w:szCs w:val="22"/>
        </w:rPr>
        <w:t>‘</w:t>
      </w:r>
      <w:r w:rsidRPr="00FD4096">
        <w:rPr>
          <w:rFonts w:ascii="Calibri" w:hAnsi="Calibri" w:cs="Calibri"/>
          <w:i/>
          <w:sz w:val="22"/>
          <w:szCs w:val="22"/>
        </w:rPr>
        <w:t>out of</w:t>
      </w:r>
      <w:r w:rsidR="00FD4096" w:rsidRPr="00FD4096">
        <w:rPr>
          <w:rFonts w:ascii="Calibri" w:hAnsi="Calibri" w:cs="Calibri"/>
          <w:i/>
          <w:sz w:val="22"/>
          <w:szCs w:val="22"/>
        </w:rPr>
        <w:t xml:space="preserve"> a total of 38 recommendations: 15 are fully completed; 14 are partially complete; 9 are not applicable’</w:t>
      </w:r>
      <w:r w:rsidR="00FD4096">
        <w:rPr>
          <w:rFonts w:ascii="Calibri" w:hAnsi="Calibri" w:cs="Calibri"/>
          <w:sz w:val="22"/>
          <w:szCs w:val="22"/>
        </w:rPr>
        <w:t>.</w:t>
      </w:r>
      <w:r w:rsidR="00FD4096">
        <w:rPr>
          <w:rStyle w:val="FootnoteReference"/>
          <w:rFonts w:ascii="Calibri" w:hAnsi="Calibri" w:cs="Calibri"/>
          <w:sz w:val="22"/>
          <w:szCs w:val="22"/>
        </w:rPr>
        <w:footnoteReference w:id="7"/>
      </w:r>
      <w:r w:rsidR="00FD4096">
        <w:rPr>
          <w:rFonts w:ascii="Calibri" w:hAnsi="Calibri" w:cs="Calibri"/>
          <w:sz w:val="22"/>
          <w:szCs w:val="22"/>
        </w:rPr>
        <w:t xml:space="preserve"> CMAA has responsibility, under CfR II, for overseeing a competitive bidding process for mine action and baseline survey services, albeit in accordance with UNDP procurement rules.</w:t>
      </w:r>
    </w:p>
    <w:p w14:paraId="1F1802AA" w14:textId="77777777" w:rsidR="00830002" w:rsidRPr="006822D9" w:rsidRDefault="00830002" w:rsidP="00654B3E">
      <w:pPr>
        <w:jc w:val="both"/>
        <w:rPr>
          <w:rFonts w:ascii="Calibri" w:hAnsi="Calibri" w:cs="Calibri"/>
          <w:sz w:val="22"/>
          <w:szCs w:val="22"/>
        </w:rPr>
      </w:pPr>
    </w:p>
    <w:p w14:paraId="699EAD78" w14:textId="7E560EAB" w:rsidR="00A17F71" w:rsidRPr="00A17F71" w:rsidRDefault="003F6593" w:rsidP="00A17F71">
      <w:pPr>
        <w:pStyle w:val="ListParagraph"/>
        <w:numPr>
          <w:ilvl w:val="1"/>
          <w:numId w:val="1"/>
        </w:numPr>
        <w:ind w:left="426" w:hanging="426"/>
        <w:jc w:val="both"/>
        <w:rPr>
          <w:rFonts w:ascii="Calibri" w:hAnsi="Calibri" w:cs="Calibri"/>
          <w:b/>
          <w:sz w:val="22"/>
          <w:szCs w:val="22"/>
        </w:rPr>
      </w:pPr>
      <w:r w:rsidRPr="003F6593">
        <w:rPr>
          <w:rFonts w:ascii="Calibri" w:hAnsi="Calibri" w:cs="Calibri"/>
          <w:b/>
          <w:sz w:val="22"/>
          <w:szCs w:val="22"/>
        </w:rPr>
        <w:t>Purpose:</w:t>
      </w:r>
    </w:p>
    <w:p w14:paraId="2FB4802A" w14:textId="77777777" w:rsidR="003F6593" w:rsidRPr="003F6593" w:rsidRDefault="003F6593" w:rsidP="003F6593">
      <w:pPr>
        <w:ind w:left="360"/>
        <w:jc w:val="both"/>
        <w:rPr>
          <w:rFonts w:ascii="Calibri" w:hAnsi="Calibri" w:cs="Calibri"/>
          <w:b/>
          <w:sz w:val="22"/>
          <w:szCs w:val="22"/>
        </w:rPr>
      </w:pPr>
    </w:p>
    <w:p w14:paraId="73E0FCBA" w14:textId="5FF7CA97" w:rsidR="00FD4096" w:rsidRPr="00FD4096" w:rsidRDefault="00FD4096" w:rsidP="005D572A">
      <w:pPr>
        <w:jc w:val="both"/>
        <w:rPr>
          <w:rFonts w:ascii="Calibri" w:hAnsi="Calibri" w:cs="Calibri"/>
          <w:sz w:val="22"/>
          <w:szCs w:val="22"/>
        </w:rPr>
      </w:pPr>
      <w:r>
        <w:rPr>
          <w:rFonts w:ascii="Calibri" w:hAnsi="Calibri" w:cs="Calibri"/>
          <w:sz w:val="22"/>
          <w:szCs w:val="22"/>
        </w:rPr>
        <w:t xml:space="preserve">UNDP now needs to undertake a final project evaluation. This will include a comprehensive review of the mine action sector in Cambodia. The TOR explains that with current resources, the country will not achieve its obligations towards the APMBC by December 2019. Therefore a critical purpose, </w:t>
      </w:r>
      <w:r w:rsidRPr="00FD4096">
        <w:rPr>
          <w:rFonts w:ascii="Calibri" w:hAnsi="Calibri" w:cs="Calibri"/>
          <w:i/>
          <w:sz w:val="22"/>
          <w:szCs w:val="22"/>
        </w:rPr>
        <w:t xml:space="preserve">‘of this review is to assess current progress towards achievement of the National Mine Action Strategy (NMAS) 2010-19, and to assess the </w:t>
      </w:r>
      <w:r w:rsidRPr="00FD4096">
        <w:rPr>
          <w:rFonts w:ascii="Calibri" w:hAnsi="Calibri" w:cs="Calibri"/>
          <w:i/>
          <w:sz w:val="22"/>
          <w:szCs w:val="22"/>
        </w:rPr>
        <w:lastRenderedPageBreak/>
        <w:t>planning requirements for the 10 year extension request to complete the country’s APMBC obligations by 2029. This will include recommendations for further UNDP support during this period’.</w:t>
      </w:r>
      <w:r w:rsidRPr="00FD4096">
        <w:rPr>
          <w:rStyle w:val="FootnoteReference"/>
          <w:rFonts w:ascii="Calibri" w:hAnsi="Calibri" w:cs="Calibri"/>
          <w:sz w:val="22"/>
          <w:szCs w:val="22"/>
        </w:rPr>
        <w:footnoteReference w:id="8"/>
      </w:r>
    </w:p>
    <w:p w14:paraId="5D19EB3E" w14:textId="77777777" w:rsidR="004C21AE" w:rsidRDefault="004C21AE" w:rsidP="005D572A">
      <w:pPr>
        <w:jc w:val="both"/>
        <w:rPr>
          <w:rFonts w:ascii="Calibri" w:hAnsi="Calibri" w:cs="Calibri"/>
          <w:sz w:val="22"/>
          <w:szCs w:val="22"/>
        </w:rPr>
      </w:pPr>
    </w:p>
    <w:p w14:paraId="2A017512" w14:textId="59EC53A7" w:rsidR="001B2997" w:rsidRDefault="001B2997" w:rsidP="00A17F71">
      <w:pPr>
        <w:pStyle w:val="ListParagraph"/>
        <w:numPr>
          <w:ilvl w:val="0"/>
          <w:numId w:val="1"/>
        </w:numPr>
        <w:ind w:left="284" w:hanging="284"/>
        <w:jc w:val="both"/>
        <w:rPr>
          <w:rFonts w:ascii="Calibri" w:hAnsi="Calibri" w:cs="Calibri"/>
          <w:b/>
          <w:sz w:val="22"/>
          <w:szCs w:val="22"/>
        </w:rPr>
      </w:pPr>
      <w:r>
        <w:rPr>
          <w:rFonts w:ascii="Calibri" w:hAnsi="Calibri" w:cs="Calibri"/>
          <w:b/>
          <w:sz w:val="22"/>
          <w:szCs w:val="22"/>
        </w:rPr>
        <w:t xml:space="preserve">Aim and </w:t>
      </w:r>
      <w:r w:rsidR="00FD4096">
        <w:rPr>
          <w:rFonts w:ascii="Calibri" w:hAnsi="Calibri" w:cs="Calibri"/>
          <w:b/>
          <w:sz w:val="22"/>
          <w:szCs w:val="22"/>
        </w:rPr>
        <w:t xml:space="preserve">Overall </w:t>
      </w:r>
      <w:r>
        <w:rPr>
          <w:rFonts w:ascii="Calibri" w:hAnsi="Calibri" w:cs="Calibri"/>
          <w:b/>
          <w:sz w:val="22"/>
          <w:szCs w:val="22"/>
        </w:rPr>
        <w:t>Objectives</w:t>
      </w:r>
    </w:p>
    <w:p w14:paraId="14F50DAE" w14:textId="53381BC4" w:rsidR="001B2997" w:rsidRDefault="007E6B5E" w:rsidP="007E6B5E">
      <w:pPr>
        <w:tabs>
          <w:tab w:val="left" w:pos="1067"/>
        </w:tabs>
        <w:jc w:val="both"/>
        <w:rPr>
          <w:rFonts w:ascii="Calibri" w:hAnsi="Calibri" w:cs="Calibri"/>
          <w:b/>
          <w:sz w:val="22"/>
          <w:szCs w:val="22"/>
        </w:rPr>
      </w:pPr>
      <w:r>
        <w:rPr>
          <w:rFonts w:ascii="Calibri" w:hAnsi="Calibri" w:cs="Calibri"/>
          <w:b/>
          <w:sz w:val="22"/>
          <w:szCs w:val="22"/>
        </w:rPr>
        <w:tab/>
      </w:r>
    </w:p>
    <w:p w14:paraId="1475F1A4" w14:textId="2EE3D1AF" w:rsidR="00AE6A55" w:rsidRDefault="007E6B5E" w:rsidP="00AE6A55">
      <w:pPr>
        <w:tabs>
          <w:tab w:val="left" w:pos="1067"/>
        </w:tabs>
        <w:jc w:val="both"/>
        <w:rPr>
          <w:rFonts w:ascii="Calibri" w:hAnsi="Calibri" w:cs="Calibri"/>
          <w:sz w:val="22"/>
          <w:szCs w:val="22"/>
        </w:rPr>
      </w:pPr>
      <w:r>
        <w:rPr>
          <w:rFonts w:ascii="Calibri" w:hAnsi="Calibri" w:cs="Calibri"/>
          <w:sz w:val="22"/>
          <w:szCs w:val="22"/>
        </w:rPr>
        <w:t>The evaluation seeks to inform stakeholders of the achievement of project results, to identify lessons learned, and</w:t>
      </w:r>
      <w:r w:rsidR="00D6057D">
        <w:rPr>
          <w:rFonts w:ascii="Calibri" w:hAnsi="Calibri" w:cs="Calibri"/>
          <w:sz w:val="22"/>
          <w:szCs w:val="22"/>
        </w:rPr>
        <w:t xml:space="preserve"> also</w:t>
      </w:r>
      <w:r>
        <w:rPr>
          <w:rFonts w:ascii="Calibri" w:hAnsi="Calibri" w:cs="Calibri"/>
          <w:sz w:val="22"/>
          <w:szCs w:val="22"/>
        </w:rPr>
        <w:t xml:space="preserve"> identify the potential future role of UNDP to Cambodia’s national mine action programme. To summarise from the TOR, the specific objectives are:</w:t>
      </w:r>
    </w:p>
    <w:p w14:paraId="124810C0" w14:textId="77777777" w:rsidR="00EA13A1" w:rsidRDefault="00EA13A1" w:rsidP="00AE6A55">
      <w:pPr>
        <w:tabs>
          <w:tab w:val="left" w:pos="1067"/>
        </w:tabs>
        <w:jc w:val="both"/>
        <w:rPr>
          <w:rFonts w:ascii="Calibri" w:hAnsi="Calibri" w:cs="Calibri"/>
          <w:sz w:val="22"/>
          <w:szCs w:val="22"/>
        </w:rPr>
      </w:pPr>
    </w:p>
    <w:p w14:paraId="621E3646" w14:textId="454DBD5A" w:rsidR="00EA13A1" w:rsidRPr="00EA13A1" w:rsidRDefault="007E6B5E" w:rsidP="00EA13A1">
      <w:pPr>
        <w:pStyle w:val="ListParagraph"/>
        <w:numPr>
          <w:ilvl w:val="0"/>
          <w:numId w:val="9"/>
        </w:numPr>
        <w:tabs>
          <w:tab w:val="left" w:pos="1067"/>
        </w:tabs>
        <w:spacing w:after="120"/>
        <w:contextualSpacing w:val="0"/>
        <w:jc w:val="both"/>
        <w:rPr>
          <w:rFonts w:asciiTheme="majorHAnsi" w:hAnsiTheme="majorHAnsi" w:cs="Calibri"/>
          <w:sz w:val="22"/>
          <w:szCs w:val="22"/>
        </w:rPr>
      </w:pPr>
      <w:r w:rsidRPr="00AE6A55">
        <w:rPr>
          <w:rFonts w:asciiTheme="majorHAnsi" w:hAnsiTheme="majorHAnsi" w:cs="Calibri"/>
          <w:b/>
          <w:sz w:val="22"/>
          <w:szCs w:val="22"/>
        </w:rPr>
        <w:t>To review and assess overall progress of CfR II at 3 levels of development results</w:t>
      </w:r>
      <w:r w:rsidRPr="00AE6A55">
        <w:rPr>
          <w:rFonts w:asciiTheme="majorHAnsi" w:hAnsiTheme="majorHAnsi" w:cs="Calibri"/>
          <w:sz w:val="22"/>
          <w:szCs w:val="22"/>
        </w:rPr>
        <w:t xml:space="preserve"> (outputs, outcomes and impact). </w:t>
      </w:r>
    </w:p>
    <w:p w14:paraId="40C1239F" w14:textId="52660334" w:rsidR="00EA13A1" w:rsidRPr="00E13705" w:rsidRDefault="007E6B5E" w:rsidP="00E13705">
      <w:pPr>
        <w:pStyle w:val="ListParagraph"/>
        <w:numPr>
          <w:ilvl w:val="1"/>
          <w:numId w:val="9"/>
        </w:numPr>
        <w:tabs>
          <w:tab w:val="left" w:pos="1067"/>
        </w:tabs>
        <w:spacing w:after="120"/>
        <w:ind w:left="1378" w:hanging="357"/>
        <w:contextualSpacing w:val="0"/>
        <w:jc w:val="both"/>
        <w:rPr>
          <w:rFonts w:asciiTheme="majorHAnsi" w:hAnsiTheme="majorHAnsi"/>
          <w:sz w:val="22"/>
          <w:szCs w:val="22"/>
          <w:lang w:eastAsia="es-ES"/>
        </w:rPr>
      </w:pPr>
      <w:r w:rsidRPr="00E13705">
        <w:rPr>
          <w:rFonts w:asciiTheme="majorHAnsi" w:hAnsiTheme="majorHAnsi" w:cs="Calibri"/>
          <w:sz w:val="22"/>
          <w:szCs w:val="22"/>
        </w:rPr>
        <w:t>It should be noted that impact assessment without a comprehensive baseline, and in the absence of true counter-factuals can be problematic. Nonetheless</w:t>
      </w:r>
      <w:r w:rsidR="00AE6A55" w:rsidRPr="00E13705">
        <w:rPr>
          <w:rFonts w:asciiTheme="majorHAnsi" w:hAnsiTheme="majorHAnsi" w:cs="Calibri"/>
          <w:sz w:val="22"/>
          <w:szCs w:val="22"/>
        </w:rPr>
        <w:t xml:space="preserve">, given the standard definition of ‘impact’ as </w:t>
      </w:r>
      <w:r w:rsidR="00AE6A55" w:rsidRPr="00E13705">
        <w:rPr>
          <w:rFonts w:asciiTheme="majorHAnsi" w:hAnsiTheme="majorHAnsi"/>
          <w:sz w:val="22"/>
          <w:szCs w:val="22"/>
          <w:lang w:eastAsia="es-ES"/>
        </w:rPr>
        <w:t>Consequences of the project from a long-term perspective (positive or negative, intended or unintended), the evaluation will seek to comment on impact observed, and provide evidence of the same. As discussed below, the evaluation will benefit from integration of the results of a separately planned, UNDP organised Household Impact Assessment survey in CfR II target locations that will provide a wide range of baseline impact evidence.</w:t>
      </w:r>
    </w:p>
    <w:p w14:paraId="22029D90" w14:textId="625F67A7" w:rsidR="007E6B5E" w:rsidRDefault="00EA13A1" w:rsidP="00EA13A1">
      <w:pPr>
        <w:pStyle w:val="ListParagraph"/>
        <w:numPr>
          <w:ilvl w:val="0"/>
          <w:numId w:val="8"/>
        </w:numPr>
        <w:tabs>
          <w:tab w:val="left" w:pos="1067"/>
        </w:tabs>
        <w:spacing w:after="120"/>
        <w:contextualSpacing w:val="0"/>
        <w:jc w:val="both"/>
        <w:rPr>
          <w:rFonts w:ascii="Calibri" w:hAnsi="Calibri" w:cs="Calibri"/>
          <w:sz w:val="22"/>
          <w:szCs w:val="22"/>
        </w:rPr>
      </w:pPr>
      <w:r>
        <w:rPr>
          <w:rFonts w:ascii="Calibri" w:hAnsi="Calibri" w:cs="Calibri"/>
          <w:sz w:val="22"/>
          <w:szCs w:val="22"/>
        </w:rPr>
        <w:t>Review CfR II’s design, implementation and management against the standard DAC evaluation criteria</w:t>
      </w:r>
      <w:r w:rsidR="00E13705">
        <w:rPr>
          <w:rFonts w:ascii="Calibri" w:hAnsi="Calibri" w:cs="Calibri"/>
          <w:sz w:val="22"/>
          <w:szCs w:val="22"/>
        </w:rPr>
        <w:t xml:space="preserve"> and questions</w:t>
      </w:r>
      <w:r>
        <w:rPr>
          <w:rFonts w:ascii="Calibri" w:hAnsi="Calibri" w:cs="Calibri"/>
          <w:sz w:val="22"/>
          <w:szCs w:val="22"/>
        </w:rPr>
        <w:t>: relevance, effectiveness, efficiency, impact and sustainability.</w:t>
      </w:r>
    </w:p>
    <w:p w14:paraId="01185CE5" w14:textId="3DBB86D1" w:rsidR="00E13705" w:rsidRDefault="00E13705" w:rsidP="00E13705">
      <w:pPr>
        <w:pStyle w:val="ListParagraph"/>
        <w:numPr>
          <w:ilvl w:val="1"/>
          <w:numId w:val="8"/>
        </w:numPr>
        <w:jc w:val="both"/>
        <w:rPr>
          <w:rFonts w:ascii="Calibri" w:hAnsi="Calibri" w:cs="Calibri"/>
          <w:sz w:val="22"/>
          <w:szCs w:val="22"/>
        </w:rPr>
      </w:pPr>
      <w:r w:rsidRPr="00E13705">
        <w:rPr>
          <w:rFonts w:ascii="Calibri" w:hAnsi="Calibri" w:cs="Calibri"/>
          <w:sz w:val="22"/>
          <w:szCs w:val="22"/>
        </w:rPr>
        <w:t>These questions are further explored in the section below on methodology</w:t>
      </w:r>
      <w:r>
        <w:rPr>
          <w:rFonts w:ascii="Calibri" w:hAnsi="Calibri" w:cs="Calibri"/>
          <w:sz w:val="22"/>
          <w:szCs w:val="22"/>
        </w:rPr>
        <w:t xml:space="preserve">, as well as in Annex 1, Evaluation </w:t>
      </w:r>
      <w:r w:rsidR="00F9131A">
        <w:rPr>
          <w:rFonts w:ascii="Calibri" w:hAnsi="Calibri" w:cs="Calibri"/>
          <w:sz w:val="22"/>
          <w:szCs w:val="22"/>
        </w:rPr>
        <w:t>Matrix</w:t>
      </w:r>
    </w:p>
    <w:p w14:paraId="737A7096" w14:textId="77777777" w:rsidR="00E13705" w:rsidRPr="00E13705" w:rsidRDefault="00E13705" w:rsidP="00E13705">
      <w:pPr>
        <w:pStyle w:val="ListParagraph"/>
        <w:ind w:left="1440"/>
        <w:jc w:val="both"/>
        <w:rPr>
          <w:rFonts w:ascii="Calibri" w:hAnsi="Calibri" w:cs="Calibri"/>
          <w:sz w:val="22"/>
          <w:szCs w:val="22"/>
        </w:rPr>
      </w:pPr>
    </w:p>
    <w:p w14:paraId="6A963714" w14:textId="200094E9" w:rsidR="00EA13A1" w:rsidRDefault="00EA13A1" w:rsidP="00EA13A1">
      <w:pPr>
        <w:pStyle w:val="ListParagraph"/>
        <w:numPr>
          <w:ilvl w:val="0"/>
          <w:numId w:val="8"/>
        </w:numPr>
        <w:tabs>
          <w:tab w:val="left" w:pos="1067"/>
        </w:tabs>
        <w:spacing w:after="120"/>
        <w:contextualSpacing w:val="0"/>
        <w:jc w:val="both"/>
        <w:rPr>
          <w:rFonts w:ascii="Calibri" w:hAnsi="Calibri" w:cs="Calibri"/>
          <w:sz w:val="22"/>
          <w:szCs w:val="22"/>
        </w:rPr>
      </w:pPr>
      <w:r>
        <w:rPr>
          <w:rFonts w:ascii="Calibri" w:hAnsi="Calibri" w:cs="Calibri"/>
          <w:sz w:val="22"/>
          <w:szCs w:val="22"/>
        </w:rPr>
        <w:t>Review the mine action sector and assess how the project con</w:t>
      </w:r>
      <w:r w:rsidR="005F5073">
        <w:rPr>
          <w:rFonts w:ascii="Calibri" w:hAnsi="Calibri" w:cs="Calibri"/>
          <w:sz w:val="22"/>
          <w:szCs w:val="22"/>
        </w:rPr>
        <w:t xml:space="preserve">tributes to, </w:t>
      </w:r>
      <w:r w:rsidR="005F5073" w:rsidRPr="00F81826">
        <w:rPr>
          <w:rFonts w:ascii="Calibri" w:hAnsi="Calibri" w:cs="Calibri"/>
          <w:sz w:val="22"/>
          <w:szCs w:val="22"/>
          <w:highlight w:val="yellow"/>
        </w:rPr>
        <w:t>and complements,</w:t>
      </w:r>
      <w:r>
        <w:rPr>
          <w:rFonts w:ascii="Calibri" w:hAnsi="Calibri" w:cs="Calibri"/>
          <w:sz w:val="22"/>
          <w:szCs w:val="22"/>
        </w:rPr>
        <w:t xml:space="preserve"> Cambodia’s overall national mine action programme, NMAS and the UNDP CPAP (2011-15);</w:t>
      </w:r>
    </w:p>
    <w:p w14:paraId="29992C56" w14:textId="463FB839" w:rsidR="00EA13A1" w:rsidRDefault="00EA13A1" w:rsidP="00EA13A1">
      <w:pPr>
        <w:pStyle w:val="ListParagraph"/>
        <w:numPr>
          <w:ilvl w:val="0"/>
          <w:numId w:val="8"/>
        </w:numPr>
        <w:tabs>
          <w:tab w:val="left" w:pos="1067"/>
        </w:tabs>
        <w:spacing w:after="120"/>
        <w:contextualSpacing w:val="0"/>
        <w:jc w:val="both"/>
        <w:rPr>
          <w:rFonts w:ascii="Calibri" w:hAnsi="Calibri" w:cs="Calibri"/>
          <w:sz w:val="22"/>
          <w:szCs w:val="22"/>
        </w:rPr>
      </w:pPr>
      <w:r>
        <w:rPr>
          <w:rFonts w:ascii="Calibri" w:hAnsi="Calibri" w:cs="Calibri"/>
          <w:sz w:val="22"/>
          <w:szCs w:val="22"/>
        </w:rPr>
        <w:t>Identify lessons and good practices from CfR II that can be included in other national policies and programmes, together with recommendations for UNDP in Cambodia’s national mine action programme</w:t>
      </w:r>
    </w:p>
    <w:p w14:paraId="4D54B8BB" w14:textId="30CF0D90" w:rsidR="00EA13A1" w:rsidRDefault="00EA13A1" w:rsidP="00F9131A">
      <w:pPr>
        <w:pStyle w:val="ListParagraph"/>
        <w:numPr>
          <w:ilvl w:val="0"/>
          <w:numId w:val="8"/>
        </w:numPr>
        <w:tabs>
          <w:tab w:val="left" w:pos="1067"/>
        </w:tabs>
        <w:ind w:left="714" w:hanging="357"/>
        <w:contextualSpacing w:val="0"/>
        <w:jc w:val="both"/>
        <w:rPr>
          <w:rFonts w:ascii="Calibri" w:hAnsi="Calibri" w:cs="Calibri"/>
          <w:sz w:val="22"/>
          <w:szCs w:val="22"/>
        </w:rPr>
      </w:pPr>
      <w:r>
        <w:rPr>
          <w:rFonts w:ascii="Calibri" w:hAnsi="Calibri" w:cs="Calibri"/>
          <w:sz w:val="22"/>
          <w:szCs w:val="22"/>
        </w:rPr>
        <w:t>Conduct a stakeholder analysis, identifying potential resources, available in 2016-2020) for mine action in Cambodia.</w:t>
      </w:r>
    </w:p>
    <w:p w14:paraId="4D53575A" w14:textId="77777777" w:rsidR="00F9131A" w:rsidRPr="007E6B5E" w:rsidRDefault="00F9131A" w:rsidP="00F9131A">
      <w:pPr>
        <w:pStyle w:val="ListParagraph"/>
        <w:tabs>
          <w:tab w:val="left" w:pos="1067"/>
        </w:tabs>
        <w:ind w:left="714"/>
        <w:contextualSpacing w:val="0"/>
        <w:jc w:val="both"/>
        <w:rPr>
          <w:rFonts w:ascii="Calibri" w:hAnsi="Calibri" w:cs="Calibri"/>
          <w:sz w:val="22"/>
          <w:szCs w:val="22"/>
        </w:rPr>
      </w:pPr>
    </w:p>
    <w:p w14:paraId="269E99CA" w14:textId="13A1910F" w:rsidR="00FD4096" w:rsidRDefault="00E13705" w:rsidP="00FD4096">
      <w:pPr>
        <w:jc w:val="both"/>
        <w:rPr>
          <w:rFonts w:ascii="Calibri" w:hAnsi="Calibri" w:cs="Calibri"/>
          <w:sz w:val="22"/>
          <w:szCs w:val="22"/>
        </w:rPr>
      </w:pPr>
      <w:r w:rsidRPr="00F9131A">
        <w:rPr>
          <w:rFonts w:ascii="Calibri" w:hAnsi="Calibri" w:cs="Calibri"/>
          <w:sz w:val="22"/>
          <w:szCs w:val="22"/>
        </w:rPr>
        <w:t>As detailed in the TOR in section 3, the evaluation</w:t>
      </w:r>
      <w:r w:rsidR="00F9131A">
        <w:rPr>
          <w:rFonts w:ascii="Calibri" w:hAnsi="Calibri" w:cs="Calibri"/>
          <w:sz w:val="22"/>
          <w:szCs w:val="22"/>
        </w:rPr>
        <w:t xml:space="preserve"> has three specific objectives, to review CfR II in terms of implementation, management, and systems and procedures. Implementation will review progress in each of the three main project deliverables</w:t>
      </w:r>
      <w:r w:rsidR="000E2DC2">
        <w:rPr>
          <w:rFonts w:ascii="Calibri" w:hAnsi="Calibri" w:cs="Calibri"/>
          <w:sz w:val="22"/>
          <w:szCs w:val="22"/>
        </w:rPr>
        <w:t>:</w:t>
      </w:r>
    </w:p>
    <w:p w14:paraId="1F3A1E1A" w14:textId="77777777" w:rsidR="000E2DC2" w:rsidRDefault="000E2DC2" w:rsidP="00FD4096">
      <w:pPr>
        <w:jc w:val="both"/>
        <w:rPr>
          <w:rFonts w:ascii="Calibri" w:hAnsi="Calibri" w:cs="Calibri"/>
          <w:sz w:val="22"/>
          <w:szCs w:val="22"/>
        </w:rPr>
      </w:pPr>
    </w:p>
    <w:p w14:paraId="3846961C" w14:textId="27F1D2AC" w:rsidR="000E2DC2" w:rsidRDefault="000E2DC2" w:rsidP="000E2DC2">
      <w:pPr>
        <w:ind w:left="720"/>
        <w:jc w:val="both"/>
        <w:rPr>
          <w:rFonts w:ascii="Calibri" w:hAnsi="Calibri" w:cs="Calibri"/>
          <w:sz w:val="22"/>
          <w:szCs w:val="22"/>
        </w:rPr>
      </w:pPr>
      <w:r w:rsidRPr="000E2DC2">
        <w:rPr>
          <w:rFonts w:ascii="Calibri" w:hAnsi="Calibri" w:cs="Calibri"/>
          <w:b/>
          <w:sz w:val="22"/>
          <w:szCs w:val="22"/>
        </w:rPr>
        <w:t>Deliverable 1:</w:t>
      </w:r>
      <w:r>
        <w:rPr>
          <w:rFonts w:ascii="Calibri" w:hAnsi="Calibri" w:cs="Calibri"/>
          <w:sz w:val="22"/>
          <w:szCs w:val="22"/>
        </w:rPr>
        <w:t xml:space="preserve"> Mine action policy and strategic framework ensures most resources are effectively allocated to national priorities as defined by local planning processes and maximises the land available for local development.</w:t>
      </w:r>
    </w:p>
    <w:p w14:paraId="442704D9" w14:textId="77777777" w:rsidR="000E2DC2" w:rsidRDefault="000E2DC2" w:rsidP="000E2DC2">
      <w:pPr>
        <w:ind w:left="720"/>
        <w:jc w:val="both"/>
        <w:rPr>
          <w:rFonts w:ascii="Calibri" w:hAnsi="Calibri" w:cs="Calibri"/>
          <w:sz w:val="22"/>
          <w:szCs w:val="22"/>
        </w:rPr>
      </w:pPr>
    </w:p>
    <w:p w14:paraId="032BE229" w14:textId="4F69577A" w:rsidR="000E2DC2" w:rsidRDefault="000E2DC2" w:rsidP="000E2DC2">
      <w:pPr>
        <w:ind w:left="720"/>
        <w:jc w:val="both"/>
        <w:rPr>
          <w:rFonts w:ascii="Calibri" w:hAnsi="Calibri" w:cs="Calibri"/>
          <w:sz w:val="22"/>
          <w:szCs w:val="22"/>
        </w:rPr>
      </w:pPr>
      <w:r w:rsidRPr="000E2DC2">
        <w:rPr>
          <w:rFonts w:ascii="Calibri" w:hAnsi="Calibri" w:cs="Calibri"/>
          <w:b/>
          <w:sz w:val="22"/>
          <w:szCs w:val="22"/>
        </w:rPr>
        <w:t>Deliverable 2:</w:t>
      </w:r>
      <w:r>
        <w:rPr>
          <w:rFonts w:ascii="Calibri" w:hAnsi="Calibri" w:cs="Calibri"/>
          <w:sz w:val="22"/>
          <w:szCs w:val="22"/>
        </w:rPr>
        <w:t xml:space="preserve"> The CMAA is equipped with the technical and functional capacities required to manage, regulate, coordinate and monitor Cambodia’s national mine action programme within an evolving environment.</w:t>
      </w:r>
    </w:p>
    <w:p w14:paraId="4F4CC689" w14:textId="77777777" w:rsidR="000E2DC2" w:rsidRDefault="000E2DC2" w:rsidP="000E2DC2">
      <w:pPr>
        <w:ind w:left="720"/>
        <w:jc w:val="both"/>
        <w:rPr>
          <w:rFonts w:ascii="Calibri" w:hAnsi="Calibri" w:cs="Calibri"/>
          <w:sz w:val="22"/>
          <w:szCs w:val="22"/>
        </w:rPr>
      </w:pPr>
    </w:p>
    <w:p w14:paraId="174DB7C4" w14:textId="7095A5FF" w:rsidR="000E2DC2" w:rsidRDefault="000E2DC2" w:rsidP="000E2DC2">
      <w:pPr>
        <w:ind w:left="720"/>
        <w:jc w:val="both"/>
        <w:rPr>
          <w:rFonts w:ascii="Calibri" w:hAnsi="Calibri" w:cs="Calibri"/>
          <w:sz w:val="22"/>
          <w:szCs w:val="22"/>
        </w:rPr>
      </w:pPr>
      <w:r w:rsidRPr="000E2DC2">
        <w:rPr>
          <w:rFonts w:ascii="Calibri" w:hAnsi="Calibri" w:cs="Calibri"/>
          <w:b/>
          <w:sz w:val="22"/>
          <w:szCs w:val="22"/>
        </w:rPr>
        <w:t xml:space="preserve">Deliverable 3: </w:t>
      </w:r>
      <w:r>
        <w:rPr>
          <w:rFonts w:ascii="Calibri" w:hAnsi="Calibri" w:cs="Calibri"/>
          <w:sz w:val="22"/>
          <w:szCs w:val="22"/>
        </w:rPr>
        <w:t>At least 35 km2 of contaminated land mapped through Baseline Survey, cleared and released for productive use</w:t>
      </w:r>
      <w:r>
        <w:rPr>
          <w:rStyle w:val="FootnoteReference"/>
          <w:rFonts w:ascii="Calibri" w:hAnsi="Calibri" w:cs="Calibri"/>
          <w:sz w:val="22"/>
          <w:szCs w:val="22"/>
        </w:rPr>
        <w:footnoteReference w:id="9"/>
      </w:r>
      <w:r>
        <w:rPr>
          <w:rFonts w:ascii="Calibri" w:hAnsi="Calibri" w:cs="Calibri"/>
          <w:sz w:val="22"/>
          <w:szCs w:val="22"/>
        </w:rPr>
        <w:t xml:space="preserve"> through local planning that promotes efficiency and transparency.</w:t>
      </w:r>
    </w:p>
    <w:p w14:paraId="6560938D" w14:textId="77777777" w:rsidR="00CB5DE5" w:rsidRPr="00F9131A" w:rsidRDefault="00CB5DE5" w:rsidP="000E2DC2">
      <w:pPr>
        <w:ind w:left="720"/>
        <w:jc w:val="both"/>
        <w:rPr>
          <w:rFonts w:ascii="Calibri" w:hAnsi="Calibri" w:cs="Calibri"/>
          <w:sz w:val="22"/>
          <w:szCs w:val="22"/>
        </w:rPr>
      </w:pPr>
    </w:p>
    <w:p w14:paraId="5280F57B" w14:textId="2DBBE1FE" w:rsidR="004C21AE" w:rsidRDefault="004C21AE" w:rsidP="00A17F71">
      <w:pPr>
        <w:pStyle w:val="ListParagraph"/>
        <w:numPr>
          <w:ilvl w:val="0"/>
          <w:numId w:val="1"/>
        </w:numPr>
        <w:ind w:left="284" w:hanging="284"/>
        <w:jc w:val="both"/>
        <w:rPr>
          <w:rFonts w:ascii="Calibri" w:hAnsi="Calibri" w:cs="Calibri"/>
          <w:b/>
          <w:sz w:val="22"/>
          <w:szCs w:val="22"/>
        </w:rPr>
      </w:pPr>
      <w:r w:rsidRPr="004C21AE">
        <w:rPr>
          <w:rFonts w:ascii="Calibri" w:hAnsi="Calibri" w:cs="Calibri"/>
          <w:b/>
          <w:sz w:val="22"/>
          <w:szCs w:val="22"/>
        </w:rPr>
        <w:t>Methodology</w:t>
      </w:r>
      <w:r w:rsidR="00627D72">
        <w:rPr>
          <w:rFonts w:ascii="Calibri" w:hAnsi="Calibri" w:cs="Calibri"/>
          <w:b/>
          <w:sz w:val="22"/>
          <w:szCs w:val="22"/>
        </w:rPr>
        <w:t xml:space="preserve"> &amp; Activities</w:t>
      </w:r>
      <w:r w:rsidRPr="004C21AE">
        <w:rPr>
          <w:rFonts w:ascii="Calibri" w:hAnsi="Calibri" w:cs="Calibri"/>
          <w:b/>
          <w:sz w:val="22"/>
          <w:szCs w:val="22"/>
        </w:rPr>
        <w:t>:</w:t>
      </w:r>
    </w:p>
    <w:p w14:paraId="28658B6F" w14:textId="77777777" w:rsidR="00E741DE" w:rsidRDefault="00E741DE" w:rsidP="00E741DE">
      <w:pPr>
        <w:jc w:val="both"/>
        <w:rPr>
          <w:rFonts w:ascii="Calibri" w:hAnsi="Calibri" w:cs="Calibri"/>
          <w:b/>
          <w:sz w:val="22"/>
          <w:szCs w:val="22"/>
        </w:rPr>
      </w:pPr>
    </w:p>
    <w:p w14:paraId="528F986D" w14:textId="41905FF6" w:rsidR="00E741DE" w:rsidRPr="00E741DE" w:rsidRDefault="00E741DE" w:rsidP="00E741DE">
      <w:pPr>
        <w:jc w:val="both"/>
        <w:rPr>
          <w:rFonts w:asciiTheme="majorHAnsi" w:hAnsiTheme="majorHAnsi" w:cs="Arial"/>
          <w:b/>
          <w:sz w:val="22"/>
          <w:szCs w:val="22"/>
        </w:rPr>
      </w:pPr>
      <w:r w:rsidRPr="00E741DE">
        <w:rPr>
          <w:rFonts w:asciiTheme="majorHAnsi" w:hAnsiTheme="majorHAnsi" w:cs="Arial"/>
          <w:b/>
          <w:sz w:val="22"/>
          <w:szCs w:val="22"/>
        </w:rPr>
        <w:t>3.1  Introductory comments</w:t>
      </w:r>
      <w:r w:rsidR="009A6F53">
        <w:rPr>
          <w:rFonts w:asciiTheme="majorHAnsi" w:hAnsiTheme="majorHAnsi" w:cs="Arial"/>
          <w:b/>
          <w:sz w:val="22"/>
          <w:szCs w:val="22"/>
        </w:rPr>
        <w:t xml:space="preserve"> and overview of the approach</w:t>
      </w:r>
      <w:r w:rsidRPr="00E741DE">
        <w:rPr>
          <w:rFonts w:asciiTheme="majorHAnsi" w:hAnsiTheme="majorHAnsi" w:cs="Arial"/>
          <w:b/>
          <w:sz w:val="22"/>
          <w:szCs w:val="22"/>
        </w:rPr>
        <w:t>:</w:t>
      </w:r>
    </w:p>
    <w:p w14:paraId="69D763C3" w14:textId="77777777" w:rsidR="00E741DE" w:rsidRPr="00E741DE" w:rsidRDefault="00E741DE" w:rsidP="00E741DE">
      <w:pPr>
        <w:jc w:val="both"/>
        <w:rPr>
          <w:rFonts w:asciiTheme="majorHAnsi" w:hAnsiTheme="majorHAnsi" w:cs="Arial"/>
          <w:sz w:val="22"/>
          <w:szCs w:val="22"/>
        </w:rPr>
      </w:pPr>
    </w:p>
    <w:p w14:paraId="17D22DCE" w14:textId="029D5AC7" w:rsidR="00E741DE" w:rsidRPr="00E741DE" w:rsidRDefault="00E741DE" w:rsidP="00E741DE">
      <w:pPr>
        <w:jc w:val="both"/>
        <w:rPr>
          <w:rFonts w:asciiTheme="majorHAnsi" w:hAnsiTheme="majorHAnsi" w:cs="Arial"/>
          <w:sz w:val="22"/>
          <w:szCs w:val="22"/>
        </w:rPr>
      </w:pPr>
      <w:r w:rsidRPr="00E741DE">
        <w:rPr>
          <w:rFonts w:asciiTheme="majorHAnsi" w:hAnsiTheme="majorHAnsi" w:cs="Arial"/>
          <w:sz w:val="22"/>
          <w:szCs w:val="22"/>
        </w:rPr>
        <w:t>The evaluator will use years of experience</w:t>
      </w:r>
      <w:r w:rsidR="009D1E84">
        <w:rPr>
          <w:rStyle w:val="FootnoteReference"/>
          <w:rFonts w:asciiTheme="majorHAnsi" w:hAnsiTheme="majorHAnsi" w:cs="Arial"/>
          <w:sz w:val="22"/>
          <w:szCs w:val="22"/>
        </w:rPr>
        <w:footnoteReference w:id="10"/>
      </w:r>
      <w:r w:rsidRPr="00E741DE">
        <w:rPr>
          <w:rFonts w:asciiTheme="majorHAnsi" w:hAnsiTheme="majorHAnsi" w:cs="Arial"/>
          <w:sz w:val="22"/>
          <w:szCs w:val="22"/>
        </w:rPr>
        <w:t xml:space="preserve"> in monitoring and evaluating mine action programming to make subjective, but independent and evidence-based judgments about th</w:t>
      </w:r>
      <w:r>
        <w:rPr>
          <w:rFonts w:asciiTheme="majorHAnsi" w:hAnsiTheme="majorHAnsi" w:cs="Arial"/>
          <w:sz w:val="22"/>
          <w:szCs w:val="22"/>
        </w:rPr>
        <w:t>e quality of project design,</w:t>
      </w:r>
      <w:r w:rsidRPr="00E741DE">
        <w:rPr>
          <w:rFonts w:asciiTheme="majorHAnsi" w:hAnsiTheme="majorHAnsi" w:cs="Arial"/>
          <w:sz w:val="22"/>
          <w:szCs w:val="22"/>
        </w:rPr>
        <w:t xml:space="preserve"> the development process</w:t>
      </w:r>
      <w:r>
        <w:rPr>
          <w:rFonts w:asciiTheme="majorHAnsi" w:hAnsiTheme="majorHAnsi" w:cs="Arial"/>
          <w:sz w:val="22"/>
          <w:szCs w:val="22"/>
        </w:rPr>
        <w:t>,</w:t>
      </w:r>
      <w:r w:rsidRPr="00E741DE">
        <w:rPr>
          <w:rFonts w:asciiTheme="majorHAnsi" w:hAnsiTheme="majorHAnsi" w:cs="Arial"/>
          <w:sz w:val="22"/>
          <w:szCs w:val="22"/>
        </w:rPr>
        <w:t xml:space="preserve"> subsequent implementation</w:t>
      </w:r>
      <w:r>
        <w:rPr>
          <w:rFonts w:asciiTheme="majorHAnsi" w:hAnsiTheme="majorHAnsi" w:cs="Arial"/>
          <w:sz w:val="22"/>
          <w:szCs w:val="22"/>
        </w:rPr>
        <w:t>, results and impact of the CfRII</w:t>
      </w:r>
      <w:r w:rsidRPr="00E741DE">
        <w:rPr>
          <w:rFonts w:asciiTheme="majorHAnsi" w:hAnsiTheme="majorHAnsi" w:cs="Arial"/>
          <w:sz w:val="22"/>
          <w:szCs w:val="22"/>
        </w:rPr>
        <w:t>. Initially, this will be informed by a review of the supportin</w:t>
      </w:r>
      <w:r w:rsidR="004F4C1C">
        <w:rPr>
          <w:rFonts w:asciiTheme="majorHAnsi" w:hAnsiTheme="majorHAnsi" w:cs="Arial"/>
          <w:sz w:val="22"/>
          <w:szCs w:val="22"/>
        </w:rPr>
        <w:t>g documents, as detailed b</w:t>
      </w:r>
      <w:r w:rsidRPr="00E741DE">
        <w:rPr>
          <w:rFonts w:asciiTheme="majorHAnsi" w:hAnsiTheme="majorHAnsi" w:cs="Arial"/>
          <w:sz w:val="22"/>
          <w:szCs w:val="22"/>
        </w:rPr>
        <w:t>e</w:t>
      </w:r>
      <w:r w:rsidR="004F4C1C">
        <w:rPr>
          <w:rFonts w:asciiTheme="majorHAnsi" w:hAnsiTheme="majorHAnsi" w:cs="Arial"/>
          <w:sz w:val="22"/>
          <w:szCs w:val="22"/>
        </w:rPr>
        <w:t>l</w:t>
      </w:r>
      <w:r w:rsidRPr="00E741DE">
        <w:rPr>
          <w:rFonts w:asciiTheme="majorHAnsi" w:hAnsiTheme="majorHAnsi" w:cs="Arial"/>
          <w:sz w:val="22"/>
          <w:szCs w:val="22"/>
        </w:rPr>
        <w:t xml:space="preserve">ow, before moving into the direct research phase. </w:t>
      </w:r>
      <w:r w:rsidRPr="00E741DE">
        <w:rPr>
          <w:rFonts w:asciiTheme="majorHAnsi" w:hAnsiTheme="majorHAnsi" w:cs="Arial"/>
          <w:b/>
          <w:sz w:val="22"/>
          <w:szCs w:val="22"/>
        </w:rPr>
        <w:t>As part of this the evaluator will make use of a mixed methods approach, and utilise a series of basic tools.</w:t>
      </w:r>
      <w:r w:rsidRPr="00E741DE">
        <w:rPr>
          <w:rFonts w:asciiTheme="majorHAnsi" w:hAnsiTheme="majorHAnsi" w:cs="Arial"/>
          <w:sz w:val="22"/>
          <w:szCs w:val="22"/>
        </w:rPr>
        <w:t xml:space="preserve">  </w:t>
      </w:r>
    </w:p>
    <w:p w14:paraId="62C8002E" w14:textId="77777777" w:rsidR="00E741DE" w:rsidRPr="00E741DE" w:rsidRDefault="00E741DE" w:rsidP="00E741DE">
      <w:pPr>
        <w:jc w:val="both"/>
        <w:rPr>
          <w:rFonts w:asciiTheme="majorHAnsi" w:hAnsiTheme="majorHAnsi" w:cs="Arial"/>
          <w:sz w:val="22"/>
          <w:szCs w:val="22"/>
        </w:rPr>
      </w:pPr>
    </w:p>
    <w:p w14:paraId="7533FC9F" w14:textId="77777777" w:rsidR="00E741DE" w:rsidRPr="00E741DE" w:rsidRDefault="00E741DE" w:rsidP="00E741DE">
      <w:pPr>
        <w:pBdr>
          <w:top w:val="single" w:sz="4" w:space="1" w:color="auto"/>
          <w:left w:val="single" w:sz="4" w:space="4" w:color="auto"/>
          <w:bottom w:val="single" w:sz="4" w:space="1" w:color="auto"/>
          <w:right w:val="single" w:sz="4" w:space="4" w:color="auto"/>
        </w:pBdr>
        <w:shd w:val="clear" w:color="auto" w:fill="F3F3F3"/>
        <w:spacing w:after="120"/>
        <w:jc w:val="center"/>
        <w:rPr>
          <w:rFonts w:asciiTheme="majorHAnsi" w:hAnsiTheme="majorHAnsi" w:cs="Arial"/>
          <w:b/>
          <w:sz w:val="22"/>
          <w:szCs w:val="22"/>
        </w:rPr>
      </w:pPr>
      <w:r w:rsidRPr="00E741DE">
        <w:rPr>
          <w:rFonts w:asciiTheme="majorHAnsi" w:hAnsiTheme="majorHAnsi" w:cs="Arial"/>
          <w:b/>
          <w:sz w:val="22"/>
          <w:szCs w:val="22"/>
        </w:rPr>
        <w:t>Examples of tools typically used in the past:</w:t>
      </w:r>
    </w:p>
    <w:p w14:paraId="666F46DC" w14:textId="77777777" w:rsidR="00E741DE" w:rsidRPr="00E741DE" w:rsidRDefault="00E741DE" w:rsidP="00E741DE">
      <w:pPr>
        <w:pBdr>
          <w:top w:val="single" w:sz="4" w:space="1" w:color="auto"/>
          <w:left w:val="single" w:sz="4" w:space="4" w:color="auto"/>
          <w:bottom w:val="single" w:sz="4" w:space="1" w:color="auto"/>
          <w:right w:val="single" w:sz="4" w:space="4" w:color="auto"/>
        </w:pBdr>
        <w:shd w:val="clear" w:color="auto" w:fill="F3F3F3"/>
        <w:spacing w:after="120"/>
        <w:jc w:val="both"/>
        <w:rPr>
          <w:rFonts w:asciiTheme="majorHAnsi" w:hAnsiTheme="majorHAnsi" w:cs="Arial"/>
          <w:sz w:val="22"/>
          <w:szCs w:val="22"/>
        </w:rPr>
      </w:pPr>
      <w:r w:rsidRPr="00E741DE">
        <w:rPr>
          <w:rFonts w:asciiTheme="majorHAnsi" w:hAnsiTheme="majorHAnsi" w:cs="Arial"/>
          <w:b/>
          <w:sz w:val="22"/>
          <w:szCs w:val="22"/>
        </w:rPr>
        <w:t>Key Informant interviews:</w:t>
      </w:r>
      <w:r w:rsidRPr="00E741DE">
        <w:rPr>
          <w:rFonts w:asciiTheme="majorHAnsi" w:hAnsiTheme="majorHAnsi" w:cs="Arial"/>
          <w:sz w:val="22"/>
          <w:szCs w:val="22"/>
        </w:rPr>
        <w:t xml:space="preserve"> with a wide range of stakeholders and beneficiaries</w:t>
      </w:r>
    </w:p>
    <w:p w14:paraId="55FE63BA" w14:textId="49DF8AE2" w:rsidR="00E741DE" w:rsidRPr="00E741DE" w:rsidRDefault="00E741DE" w:rsidP="00E741DE">
      <w:pPr>
        <w:pBdr>
          <w:top w:val="single" w:sz="4" w:space="1" w:color="auto"/>
          <w:left w:val="single" w:sz="4" w:space="4" w:color="auto"/>
          <w:bottom w:val="single" w:sz="4" w:space="1" w:color="auto"/>
          <w:right w:val="single" w:sz="4" w:space="4" w:color="auto"/>
        </w:pBdr>
        <w:shd w:val="clear" w:color="auto" w:fill="F3F3F3"/>
        <w:spacing w:after="120"/>
        <w:jc w:val="both"/>
        <w:rPr>
          <w:rFonts w:asciiTheme="majorHAnsi" w:hAnsiTheme="majorHAnsi" w:cs="Arial"/>
          <w:sz w:val="22"/>
          <w:szCs w:val="22"/>
        </w:rPr>
      </w:pPr>
      <w:r w:rsidRPr="00E741DE">
        <w:rPr>
          <w:rFonts w:asciiTheme="majorHAnsi" w:hAnsiTheme="majorHAnsi" w:cs="Arial"/>
          <w:b/>
          <w:sz w:val="22"/>
          <w:szCs w:val="22"/>
        </w:rPr>
        <w:t>Community and Household Surveys, and Case Studies:</w:t>
      </w:r>
      <w:r w:rsidRPr="00E741DE">
        <w:rPr>
          <w:rFonts w:asciiTheme="majorHAnsi" w:hAnsiTheme="majorHAnsi" w:cs="Arial"/>
          <w:sz w:val="22"/>
          <w:szCs w:val="22"/>
        </w:rPr>
        <w:t xml:space="preserve"> in heavily mine/ERW affected co</w:t>
      </w:r>
      <w:r w:rsidR="004F4C1C">
        <w:rPr>
          <w:rFonts w:asciiTheme="majorHAnsi" w:hAnsiTheme="majorHAnsi" w:cs="Arial"/>
          <w:sz w:val="22"/>
          <w:szCs w:val="22"/>
        </w:rPr>
        <w:t>mmunities, and communities that</w:t>
      </w:r>
      <w:r w:rsidRPr="00E741DE">
        <w:rPr>
          <w:rFonts w:asciiTheme="majorHAnsi" w:hAnsiTheme="majorHAnsi" w:cs="Arial"/>
          <w:sz w:val="22"/>
          <w:szCs w:val="22"/>
        </w:rPr>
        <w:t xml:space="preserve"> have b</w:t>
      </w:r>
      <w:r>
        <w:rPr>
          <w:rFonts w:asciiTheme="majorHAnsi" w:hAnsiTheme="majorHAnsi" w:cs="Arial"/>
          <w:sz w:val="22"/>
          <w:szCs w:val="22"/>
        </w:rPr>
        <w:t>een targe</w:t>
      </w:r>
      <w:r w:rsidRPr="00E741DE">
        <w:rPr>
          <w:rFonts w:asciiTheme="majorHAnsi" w:hAnsiTheme="majorHAnsi" w:cs="Arial"/>
          <w:sz w:val="22"/>
          <w:szCs w:val="22"/>
        </w:rPr>
        <w:t>ted for mine action interventions during CfR II</w:t>
      </w:r>
    </w:p>
    <w:p w14:paraId="1B44AF70" w14:textId="1964443F" w:rsidR="00E741DE" w:rsidRPr="00E741DE" w:rsidRDefault="00E741DE" w:rsidP="00E741DE">
      <w:pPr>
        <w:pBdr>
          <w:top w:val="single" w:sz="4" w:space="1" w:color="auto"/>
          <w:left w:val="single" w:sz="4" w:space="4" w:color="auto"/>
          <w:bottom w:val="single" w:sz="4" w:space="1" w:color="auto"/>
          <w:right w:val="single" w:sz="4" w:space="4" w:color="auto"/>
        </w:pBdr>
        <w:shd w:val="clear" w:color="auto" w:fill="F3F3F3"/>
        <w:spacing w:after="120"/>
        <w:jc w:val="both"/>
        <w:rPr>
          <w:rFonts w:asciiTheme="majorHAnsi" w:hAnsiTheme="majorHAnsi" w:cs="Arial"/>
          <w:sz w:val="22"/>
          <w:szCs w:val="22"/>
        </w:rPr>
      </w:pPr>
      <w:r w:rsidRPr="00E741DE">
        <w:rPr>
          <w:rFonts w:asciiTheme="majorHAnsi" w:hAnsiTheme="majorHAnsi" w:cs="Arial"/>
          <w:b/>
          <w:sz w:val="22"/>
          <w:szCs w:val="22"/>
        </w:rPr>
        <w:t>PRA techniques (as part of the Case Studies):</w:t>
      </w:r>
      <w:r w:rsidRPr="00E741DE">
        <w:rPr>
          <w:rFonts w:asciiTheme="majorHAnsi" w:hAnsiTheme="majorHAnsi" w:cs="Arial"/>
          <w:sz w:val="22"/>
          <w:szCs w:val="22"/>
        </w:rPr>
        <w:t xml:space="preserve"> Focus Group Discission, Community Mapping, Timelines, Village Transect Walks, and Direct Observation (the evaluat</w:t>
      </w:r>
      <w:r>
        <w:rPr>
          <w:rFonts w:asciiTheme="majorHAnsi" w:hAnsiTheme="majorHAnsi" w:cs="Arial"/>
          <w:sz w:val="22"/>
          <w:szCs w:val="22"/>
        </w:rPr>
        <w:t>or will make use of his extensiv</w:t>
      </w:r>
      <w:r w:rsidRPr="00E741DE">
        <w:rPr>
          <w:rFonts w:asciiTheme="majorHAnsi" w:hAnsiTheme="majorHAnsi" w:cs="Arial"/>
          <w:sz w:val="22"/>
          <w:szCs w:val="22"/>
        </w:rPr>
        <w:t>e video and photographic experience to document this, which is seen as a critical element of illustrating impact – both visually in stills and videos, and through filmed beneficiary and implementor interviews)</w:t>
      </w:r>
    </w:p>
    <w:p w14:paraId="350B1F80" w14:textId="6C4A2946" w:rsidR="00E741DE" w:rsidRPr="00E741DE" w:rsidRDefault="00E741DE" w:rsidP="00E741DE">
      <w:pPr>
        <w:pBdr>
          <w:top w:val="single" w:sz="4" w:space="1" w:color="auto"/>
          <w:left w:val="single" w:sz="4" w:space="4" w:color="auto"/>
          <w:bottom w:val="single" w:sz="4" w:space="1" w:color="auto"/>
          <w:right w:val="single" w:sz="4" w:space="4" w:color="auto"/>
        </w:pBdr>
        <w:shd w:val="clear" w:color="auto" w:fill="F3F3F3"/>
        <w:spacing w:after="120"/>
        <w:jc w:val="both"/>
        <w:rPr>
          <w:rFonts w:asciiTheme="majorHAnsi" w:hAnsiTheme="majorHAnsi" w:cs="Arial"/>
          <w:sz w:val="22"/>
          <w:szCs w:val="22"/>
        </w:rPr>
      </w:pPr>
      <w:r w:rsidRPr="009A6F53">
        <w:rPr>
          <w:rFonts w:asciiTheme="majorHAnsi" w:hAnsiTheme="majorHAnsi" w:cs="Arial"/>
          <w:b/>
          <w:sz w:val="22"/>
          <w:szCs w:val="22"/>
        </w:rPr>
        <w:t>Review of base line data, and post-clearance monitoring and/or impact data</w:t>
      </w:r>
      <w:r w:rsidRPr="00E741DE">
        <w:rPr>
          <w:rFonts w:asciiTheme="majorHAnsi" w:hAnsiTheme="majorHAnsi" w:cs="Arial"/>
          <w:sz w:val="22"/>
          <w:szCs w:val="22"/>
        </w:rPr>
        <w:t xml:space="preserve"> (where available, from operators) </w:t>
      </w:r>
    </w:p>
    <w:p w14:paraId="0637E8DE" w14:textId="77777777" w:rsidR="00E741DE" w:rsidRPr="00E741DE" w:rsidRDefault="00E741DE" w:rsidP="00E741DE">
      <w:pPr>
        <w:jc w:val="both"/>
        <w:rPr>
          <w:rFonts w:asciiTheme="majorHAnsi" w:hAnsiTheme="majorHAnsi" w:cs="Arial"/>
          <w:sz w:val="22"/>
          <w:szCs w:val="22"/>
        </w:rPr>
      </w:pPr>
    </w:p>
    <w:p w14:paraId="06C433BE" w14:textId="3BDCC444" w:rsidR="00E741DE" w:rsidRPr="00E741DE" w:rsidRDefault="00E741DE" w:rsidP="00E741DE">
      <w:pPr>
        <w:jc w:val="both"/>
        <w:rPr>
          <w:rFonts w:asciiTheme="majorHAnsi" w:hAnsiTheme="majorHAnsi" w:cs="Arial"/>
          <w:sz w:val="22"/>
          <w:szCs w:val="22"/>
        </w:rPr>
      </w:pPr>
      <w:r w:rsidRPr="00E741DE">
        <w:rPr>
          <w:rFonts w:asciiTheme="majorHAnsi" w:hAnsiTheme="majorHAnsi" w:cs="Arial"/>
          <w:sz w:val="22"/>
          <w:szCs w:val="22"/>
        </w:rPr>
        <w:t xml:space="preserve">The primary tool for data collection in the field phase of the evaluation will be </w:t>
      </w:r>
      <w:r w:rsidRPr="00E741DE">
        <w:rPr>
          <w:rFonts w:asciiTheme="majorHAnsi" w:hAnsiTheme="majorHAnsi" w:cs="Arial"/>
          <w:b/>
          <w:sz w:val="22"/>
          <w:szCs w:val="22"/>
        </w:rPr>
        <w:t>semi-structured interviews</w:t>
      </w:r>
      <w:r w:rsidRPr="00E741DE">
        <w:rPr>
          <w:rFonts w:asciiTheme="majorHAnsi" w:hAnsiTheme="majorHAnsi" w:cs="Arial"/>
          <w:sz w:val="22"/>
          <w:szCs w:val="22"/>
        </w:rPr>
        <w:t>, whose logic will seek to assess and compare the logical framework, and actually outputs and outcomes of the project, against the 5 DAC evaluation criteria. The extent to which measurable indicators were achieved, and their value as indicators to ensure the delivery of outputs, and beyond that the outcomes of the project, will also be assessed in these semi-structured interviews. This will allow evaluation of the actual implementation of the project and its delivery of outputs and outcomes, both in absolute terms and relative to the state objectives and envisaged outputs of the project.</w:t>
      </w:r>
    </w:p>
    <w:p w14:paraId="1F622777" w14:textId="77777777" w:rsidR="00E741DE" w:rsidRPr="00E741DE" w:rsidRDefault="00E741DE" w:rsidP="00E741DE">
      <w:pPr>
        <w:jc w:val="both"/>
        <w:rPr>
          <w:rFonts w:asciiTheme="majorHAnsi" w:hAnsiTheme="majorHAnsi" w:cs="Arial"/>
          <w:sz w:val="22"/>
          <w:szCs w:val="22"/>
        </w:rPr>
      </w:pPr>
    </w:p>
    <w:p w14:paraId="3001A304" w14:textId="77777777" w:rsidR="00E741DE" w:rsidRPr="00E741DE" w:rsidRDefault="00E741DE" w:rsidP="00E741DE">
      <w:pPr>
        <w:jc w:val="both"/>
        <w:rPr>
          <w:rFonts w:asciiTheme="majorHAnsi" w:hAnsiTheme="majorHAnsi" w:cs="Arial"/>
          <w:sz w:val="22"/>
          <w:szCs w:val="22"/>
        </w:rPr>
      </w:pPr>
      <w:r w:rsidRPr="00E741DE">
        <w:rPr>
          <w:rFonts w:asciiTheme="majorHAnsi" w:hAnsiTheme="majorHAnsi" w:cs="Arial"/>
          <w:sz w:val="22"/>
          <w:szCs w:val="22"/>
        </w:rPr>
        <w:t>These semi-structured interviews will be used with:</w:t>
      </w:r>
    </w:p>
    <w:p w14:paraId="741E5A9D" w14:textId="77777777" w:rsidR="00E741DE" w:rsidRPr="00E741DE" w:rsidRDefault="00E741DE" w:rsidP="00E741DE">
      <w:pPr>
        <w:jc w:val="both"/>
        <w:rPr>
          <w:rFonts w:asciiTheme="majorHAnsi" w:hAnsiTheme="majorHAnsi" w:cs="Arial"/>
          <w:sz w:val="22"/>
          <w:szCs w:val="22"/>
        </w:rPr>
      </w:pPr>
    </w:p>
    <w:p w14:paraId="49D7A3A0" w14:textId="77777777" w:rsidR="00E741DE" w:rsidRPr="00E741DE" w:rsidRDefault="00E741DE" w:rsidP="00E741DE">
      <w:pPr>
        <w:numPr>
          <w:ilvl w:val="0"/>
          <w:numId w:val="10"/>
        </w:numPr>
        <w:spacing w:after="120" w:line="276" w:lineRule="auto"/>
        <w:ind w:left="714" w:hanging="357"/>
        <w:jc w:val="both"/>
        <w:rPr>
          <w:rFonts w:asciiTheme="majorHAnsi" w:hAnsiTheme="majorHAnsi" w:cs="Arial"/>
          <w:sz w:val="22"/>
          <w:szCs w:val="22"/>
        </w:rPr>
      </w:pPr>
      <w:r w:rsidRPr="00E741DE">
        <w:rPr>
          <w:rFonts w:asciiTheme="majorHAnsi" w:hAnsiTheme="majorHAnsi" w:cs="Arial"/>
          <w:sz w:val="22"/>
          <w:szCs w:val="22"/>
        </w:rPr>
        <w:lastRenderedPageBreak/>
        <w:t>Beneficiaries (represented by both groups and individuals) in three operational provinces (Battambang, Pailin and Banteay-Meanchay)</w:t>
      </w:r>
    </w:p>
    <w:p w14:paraId="70ACFC6D" w14:textId="004A684F" w:rsidR="00E741DE" w:rsidRPr="00E741DE" w:rsidRDefault="00E741DE" w:rsidP="00E741DE">
      <w:pPr>
        <w:numPr>
          <w:ilvl w:val="0"/>
          <w:numId w:val="10"/>
        </w:numPr>
        <w:spacing w:after="120" w:line="276" w:lineRule="auto"/>
        <w:ind w:left="714" w:hanging="357"/>
        <w:jc w:val="both"/>
        <w:rPr>
          <w:rFonts w:asciiTheme="majorHAnsi" w:hAnsiTheme="majorHAnsi" w:cs="Arial"/>
          <w:sz w:val="22"/>
          <w:szCs w:val="22"/>
        </w:rPr>
      </w:pPr>
      <w:r w:rsidRPr="00E741DE">
        <w:rPr>
          <w:rFonts w:asciiTheme="majorHAnsi" w:hAnsiTheme="majorHAnsi" w:cs="Arial"/>
          <w:sz w:val="22"/>
          <w:szCs w:val="22"/>
        </w:rPr>
        <w:t>Representatives from the CMAA, UNDP and other relevant Cambodian government authorities</w:t>
      </w:r>
      <w:r w:rsidR="009A6F53">
        <w:rPr>
          <w:rFonts w:asciiTheme="majorHAnsi" w:hAnsiTheme="majorHAnsi" w:cs="Arial"/>
          <w:sz w:val="22"/>
          <w:szCs w:val="22"/>
        </w:rPr>
        <w:t>, especially the MAPU and PMAC</w:t>
      </w:r>
      <w:r w:rsidRPr="00E741DE">
        <w:rPr>
          <w:rFonts w:asciiTheme="majorHAnsi" w:hAnsiTheme="majorHAnsi" w:cs="Arial"/>
          <w:sz w:val="22"/>
          <w:szCs w:val="22"/>
        </w:rPr>
        <w:t xml:space="preserve"> (at central, provincial and district level)</w:t>
      </w:r>
    </w:p>
    <w:p w14:paraId="375CD07E" w14:textId="77777777" w:rsidR="00E741DE" w:rsidRPr="00E741DE" w:rsidRDefault="00E741DE" w:rsidP="00E741DE">
      <w:pPr>
        <w:numPr>
          <w:ilvl w:val="0"/>
          <w:numId w:val="10"/>
        </w:numPr>
        <w:spacing w:after="120" w:line="276" w:lineRule="auto"/>
        <w:ind w:left="714" w:hanging="357"/>
        <w:jc w:val="both"/>
        <w:rPr>
          <w:rFonts w:asciiTheme="majorHAnsi" w:hAnsiTheme="majorHAnsi" w:cs="Arial"/>
          <w:sz w:val="22"/>
          <w:szCs w:val="22"/>
        </w:rPr>
      </w:pPr>
      <w:r w:rsidRPr="00E741DE">
        <w:rPr>
          <w:rFonts w:asciiTheme="majorHAnsi" w:hAnsiTheme="majorHAnsi" w:cs="Arial"/>
          <w:sz w:val="22"/>
          <w:szCs w:val="22"/>
        </w:rPr>
        <w:t>International programme staff in Cambodia (management, technical and community liaison)</w:t>
      </w:r>
    </w:p>
    <w:p w14:paraId="7EB74504" w14:textId="7378AA27" w:rsidR="00E741DE" w:rsidRPr="00E741DE" w:rsidRDefault="00E741DE" w:rsidP="00E741DE">
      <w:pPr>
        <w:numPr>
          <w:ilvl w:val="0"/>
          <w:numId w:val="10"/>
        </w:numPr>
        <w:spacing w:after="120" w:line="276" w:lineRule="auto"/>
        <w:ind w:left="714" w:hanging="357"/>
        <w:jc w:val="both"/>
        <w:rPr>
          <w:rFonts w:asciiTheme="majorHAnsi" w:hAnsiTheme="majorHAnsi" w:cs="Arial"/>
          <w:sz w:val="22"/>
          <w:szCs w:val="22"/>
        </w:rPr>
      </w:pPr>
      <w:r w:rsidRPr="00E741DE">
        <w:rPr>
          <w:rFonts w:asciiTheme="majorHAnsi" w:hAnsiTheme="majorHAnsi" w:cs="Arial"/>
          <w:sz w:val="22"/>
          <w:szCs w:val="22"/>
        </w:rPr>
        <w:t>National programme staff in Cambodia</w:t>
      </w:r>
      <w:r w:rsidR="007F4FA4">
        <w:rPr>
          <w:rFonts w:asciiTheme="majorHAnsi" w:hAnsiTheme="majorHAnsi" w:cs="Arial"/>
          <w:sz w:val="22"/>
          <w:szCs w:val="22"/>
        </w:rPr>
        <w:t xml:space="preserve"> </w:t>
      </w:r>
      <w:r w:rsidRPr="00E741DE">
        <w:rPr>
          <w:rFonts w:asciiTheme="majorHAnsi" w:hAnsiTheme="majorHAnsi" w:cs="Arial"/>
          <w:sz w:val="22"/>
          <w:szCs w:val="22"/>
        </w:rPr>
        <w:t>(management, technical and community liaison)</w:t>
      </w:r>
    </w:p>
    <w:p w14:paraId="57DFA316" w14:textId="77777777" w:rsidR="00E741DE" w:rsidRPr="00E741DE" w:rsidRDefault="00E741DE" w:rsidP="00E741DE">
      <w:pPr>
        <w:numPr>
          <w:ilvl w:val="0"/>
          <w:numId w:val="10"/>
        </w:numPr>
        <w:spacing w:after="120" w:line="276" w:lineRule="auto"/>
        <w:ind w:left="714" w:hanging="357"/>
        <w:jc w:val="both"/>
        <w:rPr>
          <w:rFonts w:asciiTheme="majorHAnsi" w:hAnsiTheme="majorHAnsi" w:cs="Arial"/>
          <w:sz w:val="22"/>
          <w:szCs w:val="22"/>
        </w:rPr>
      </w:pPr>
      <w:r w:rsidRPr="00E741DE">
        <w:rPr>
          <w:rFonts w:asciiTheme="majorHAnsi" w:hAnsiTheme="majorHAnsi" w:cs="Arial"/>
          <w:sz w:val="22"/>
          <w:szCs w:val="22"/>
        </w:rPr>
        <w:t>Management and support staff in CMAA in Phnom Penh</w:t>
      </w:r>
    </w:p>
    <w:p w14:paraId="1390D401" w14:textId="19F155D9" w:rsidR="00E741DE" w:rsidRPr="00E741DE" w:rsidRDefault="00E741DE" w:rsidP="00E741DE">
      <w:pPr>
        <w:numPr>
          <w:ilvl w:val="0"/>
          <w:numId w:val="10"/>
        </w:numPr>
        <w:spacing w:after="120" w:line="276" w:lineRule="auto"/>
        <w:ind w:left="714" w:hanging="357"/>
        <w:jc w:val="both"/>
        <w:rPr>
          <w:rFonts w:asciiTheme="majorHAnsi" w:hAnsiTheme="majorHAnsi" w:cs="Arial"/>
          <w:sz w:val="22"/>
          <w:szCs w:val="22"/>
        </w:rPr>
      </w:pPr>
      <w:r w:rsidRPr="00E741DE">
        <w:rPr>
          <w:rFonts w:asciiTheme="majorHAnsi" w:hAnsiTheme="majorHAnsi" w:cs="Arial"/>
          <w:sz w:val="22"/>
          <w:szCs w:val="22"/>
        </w:rPr>
        <w:t xml:space="preserve">Representatives of International Mine Action organisations and CMAA CfR II mine action partners i.e. CMAA, </w:t>
      </w:r>
      <w:r w:rsidRPr="00E741DE">
        <w:rPr>
          <w:rFonts w:asciiTheme="majorHAnsi" w:hAnsiTheme="majorHAnsi" w:cs="Arial"/>
          <w:sz w:val="22"/>
          <w:szCs w:val="22"/>
          <w:highlight w:val="yellow"/>
        </w:rPr>
        <w:t>RCAF demining units etc</w:t>
      </w:r>
    </w:p>
    <w:p w14:paraId="3C7BE466" w14:textId="4399049A" w:rsidR="00E741DE" w:rsidRPr="00E741DE" w:rsidRDefault="00E741DE" w:rsidP="00E741DE">
      <w:pPr>
        <w:numPr>
          <w:ilvl w:val="0"/>
          <w:numId w:val="10"/>
        </w:numPr>
        <w:spacing w:after="120" w:line="276" w:lineRule="auto"/>
        <w:ind w:left="714" w:hanging="357"/>
        <w:jc w:val="both"/>
        <w:rPr>
          <w:rFonts w:asciiTheme="majorHAnsi" w:hAnsiTheme="majorHAnsi" w:cs="Arial"/>
          <w:sz w:val="22"/>
          <w:szCs w:val="22"/>
        </w:rPr>
      </w:pPr>
      <w:r w:rsidRPr="00E741DE">
        <w:rPr>
          <w:rFonts w:asciiTheme="majorHAnsi" w:hAnsiTheme="majorHAnsi" w:cs="Arial"/>
          <w:sz w:val="22"/>
          <w:szCs w:val="22"/>
        </w:rPr>
        <w:t>Representatives of Donors and other stakeholders in Cambodian mine action.</w:t>
      </w:r>
    </w:p>
    <w:p w14:paraId="39806DEA" w14:textId="77777777" w:rsidR="00E741DE" w:rsidRPr="00E741DE" w:rsidRDefault="00E741DE" w:rsidP="00E741DE">
      <w:pPr>
        <w:jc w:val="both"/>
        <w:rPr>
          <w:rFonts w:asciiTheme="majorHAnsi" w:hAnsiTheme="majorHAnsi" w:cs="Arial"/>
          <w:sz w:val="22"/>
          <w:szCs w:val="22"/>
        </w:rPr>
      </w:pPr>
      <w:r w:rsidRPr="00E741DE">
        <w:rPr>
          <w:rFonts w:asciiTheme="majorHAnsi" w:hAnsiTheme="majorHAnsi" w:cs="Arial"/>
          <w:sz w:val="22"/>
          <w:szCs w:val="22"/>
        </w:rPr>
        <w:t xml:space="preserve">In at least three – perhaps as many as six - community locations in western Cambodia, in project target areas, data collection will take place with beneficiaries. A questionnaire/survey will be developed, and participative </w:t>
      </w:r>
      <w:r w:rsidRPr="00E741DE">
        <w:rPr>
          <w:rFonts w:asciiTheme="majorHAnsi" w:hAnsiTheme="majorHAnsi" w:cs="Arial"/>
          <w:b/>
          <w:sz w:val="22"/>
          <w:szCs w:val="22"/>
        </w:rPr>
        <w:t>focus group discussion (FGD)</w:t>
      </w:r>
      <w:r w:rsidRPr="00E741DE">
        <w:rPr>
          <w:rFonts w:asciiTheme="majorHAnsi" w:hAnsiTheme="majorHAnsi" w:cs="Arial"/>
          <w:sz w:val="22"/>
          <w:szCs w:val="22"/>
        </w:rPr>
        <w:t xml:space="preserve"> will take place with different key informants, representing cross sections of the beneficiary population: village leaders, women, children, farmers etc. If appropriate, Cambodian officials in various locations may also be engaged with FGD’s around key issues relevant to the project.</w:t>
      </w:r>
    </w:p>
    <w:p w14:paraId="60525B90" w14:textId="77777777" w:rsidR="00E741DE" w:rsidRPr="00E741DE" w:rsidRDefault="00E741DE" w:rsidP="00E741DE">
      <w:pPr>
        <w:jc w:val="both"/>
        <w:rPr>
          <w:rFonts w:asciiTheme="majorHAnsi" w:hAnsiTheme="majorHAnsi" w:cs="Arial"/>
          <w:sz w:val="22"/>
          <w:szCs w:val="22"/>
        </w:rPr>
      </w:pPr>
    </w:p>
    <w:p w14:paraId="0F058B91" w14:textId="77777777" w:rsidR="00E741DE" w:rsidRPr="00E741DE" w:rsidRDefault="00E741DE" w:rsidP="00E741DE">
      <w:pPr>
        <w:jc w:val="both"/>
        <w:rPr>
          <w:rFonts w:asciiTheme="majorHAnsi" w:hAnsiTheme="majorHAnsi" w:cs="Arial"/>
          <w:sz w:val="22"/>
          <w:szCs w:val="22"/>
        </w:rPr>
      </w:pPr>
      <w:r w:rsidRPr="00E741DE">
        <w:rPr>
          <w:rFonts w:asciiTheme="majorHAnsi" w:hAnsiTheme="majorHAnsi" w:cs="Arial"/>
          <w:sz w:val="22"/>
          <w:szCs w:val="22"/>
        </w:rPr>
        <w:t xml:space="preserve">In addition, using problem statements and other documentation prepared by CMAA and the operators teams, and other sources, the evaluator will complete at least </w:t>
      </w:r>
      <w:r w:rsidRPr="00E741DE">
        <w:rPr>
          <w:rFonts w:asciiTheme="majorHAnsi" w:hAnsiTheme="majorHAnsi" w:cs="Arial"/>
          <w:b/>
          <w:sz w:val="22"/>
          <w:szCs w:val="22"/>
        </w:rPr>
        <w:t xml:space="preserve">three detailed and illustrated (photographs and video) community case study </w:t>
      </w:r>
      <w:r w:rsidRPr="00E741DE">
        <w:rPr>
          <w:rFonts w:asciiTheme="majorHAnsi" w:hAnsiTheme="majorHAnsi" w:cs="Arial"/>
          <w:sz w:val="22"/>
          <w:szCs w:val="22"/>
        </w:rPr>
        <w:t>(one from each of the target provinces), to illustrate the outcomes of the intervention. Such case studies were found to be particularly useful during previous evaluations, especially with regards to illustrating issues of impact.</w:t>
      </w:r>
    </w:p>
    <w:p w14:paraId="3856445A" w14:textId="77777777" w:rsidR="004C21AE" w:rsidRDefault="004C21AE" w:rsidP="004C21AE">
      <w:pPr>
        <w:jc w:val="both"/>
        <w:rPr>
          <w:rFonts w:ascii="Calibri" w:hAnsi="Calibri" w:cs="Calibri"/>
          <w:sz w:val="22"/>
          <w:szCs w:val="22"/>
        </w:rPr>
      </w:pPr>
    </w:p>
    <w:p w14:paraId="58EC67F4" w14:textId="55431B0B" w:rsidR="00627D72" w:rsidRPr="00627D72" w:rsidRDefault="001B2997" w:rsidP="004C21AE">
      <w:pPr>
        <w:pStyle w:val="BodyText"/>
        <w:spacing w:after="0"/>
        <w:jc w:val="both"/>
        <w:rPr>
          <w:rFonts w:ascii="Calibri" w:hAnsi="Calibri" w:cs="Calibri"/>
          <w:b/>
          <w:sz w:val="22"/>
          <w:szCs w:val="22"/>
        </w:rPr>
      </w:pPr>
      <w:r>
        <w:rPr>
          <w:rFonts w:ascii="Calibri" w:hAnsi="Calibri" w:cs="Calibri"/>
          <w:b/>
          <w:sz w:val="22"/>
          <w:szCs w:val="22"/>
        </w:rPr>
        <w:t>3</w:t>
      </w:r>
      <w:r w:rsidR="00E741DE">
        <w:rPr>
          <w:rFonts w:ascii="Calibri" w:hAnsi="Calibri" w:cs="Calibri"/>
          <w:b/>
          <w:sz w:val="22"/>
          <w:szCs w:val="22"/>
        </w:rPr>
        <w:t xml:space="preserve">.2 </w:t>
      </w:r>
      <w:r w:rsidR="00627D72" w:rsidRPr="00627D72">
        <w:rPr>
          <w:rFonts w:ascii="Calibri" w:hAnsi="Calibri" w:cs="Calibri"/>
          <w:b/>
          <w:sz w:val="22"/>
          <w:szCs w:val="22"/>
        </w:rPr>
        <w:t>Methodology</w:t>
      </w:r>
      <w:r w:rsidR="00E741DE">
        <w:rPr>
          <w:rFonts w:ascii="Calibri" w:hAnsi="Calibri" w:cs="Calibri"/>
          <w:b/>
          <w:sz w:val="22"/>
          <w:szCs w:val="22"/>
        </w:rPr>
        <w:t xml:space="preserve"> </w:t>
      </w:r>
    </w:p>
    <w:p w14:paraId="005CE6B8" w14:textId="77777777" w:rsidR="00627D72" w:rsidRDefault="00627D72" w:rsidP="004C21AE">
      <w:pPr>
        <w:pStyle w:val="BodyText"/>
        <w:spacing w:after="0"/>
        <w:jc w:val="both"/>
        <w:rPr>
          <w:rFonts w:ascii="Calibri" w:hAnsi="Calibri" w:cs="Calibri"/>
          <w:sz w:val="22"/>
          <w:szCs w:val="22"/>
        </w:rPr>
      </w:pPr>
    </w:p>
    <w:p w14:paraId="30FFFA2C" w14:textId="5AC169B1" w:rsidR="00EE6A8B" w:rsidRPr="008072F0" w:rsidRDefault="004D092E" w:rsidP="001A6D5C">
      <w:pPr>
        <w:pStyle w:val="BodyText"/>
        <w:jc w:val="both"/>
        <w:rPr>
          <w:rFonts w:ascii="Calibri" w:hAnsi="Calibri" w:cs="Calibri"/>
          <w:sz w:val="22"/>
          <w:szCs w:val="22"/>
          <w:lang w:val="en-GB"/>
        </w:rPr>
      </w:pPr>
      <w:r>
        <w:rPr>
          <w:rFonts w:ascii="Calibri" w:hAnsi="Calibri" w:cs="Calibri"/>
          <w:sz w:val="22"/>
          <w:szCs w:val="22"/>
        </w:rPr>
        <w:t xml:space="preserve">The </w:t>
      </w:r>
      <w:r w:rsidR="00167CD5">
        <w:rPr>
          <w:rFonts w:ascii="Calibri" w:hAnsi="Calibri" w:cs="Calibri"/>
          <w:sz w:val="22"/>
          <w:szCs w:val="22"/>
        </w:rPr>
        <w:t>evaluation design uses</w:t>
      </w:r>
      <w:r w:rsidR="0063121F">
        <w:rPr>
          <w:rFonts w:ascii="Calibri" w:hAnsi="Calibri" w:cs="Calibri"/>
          <w:sz w:val="22"/>
          <w:szCs w:val="22"/>
        </w:rPr>
        <w:t xml:space="preserve"> a mixed methods approach, integrating</w:t>
      </w:r>
      <w:r w:rsidR="00167CD5">
        <w:rPr>
          <w:rFonts w:ascii="Calibri" w:hAnsi="Calibri" w:cs="Calibri"/>
          <w:sz w:val="22"/>
          <w:szCs w:val="22"/>
        </w:rPr>
        <w:t xml:space="preserve"> com</w:t>
      </w:r>
      <w:r w:rsidR="0032210A">
        <w:rPr>
          <w:rFonts w:ascii="Calibri" w:hAnsi="Calibri" w:cs="Calibri"/>
          <w:sz w:val="22"/>
          <w:szCs w:val="22"/>
        </w:rPr>
        <w:t>mon qualitative methods (Focus Group D</w:t>
      </w:r>
      <w:r w:rsidR="00167CD5">
        <w:rPr>
          <w:rFonts w:ascii="Calibri" w:hAnsi="Calibri" w:cs="Calibri"/>
          <w:sz w:val="22"/>
          <w:szCs w:val="22"/>
        </w:rPr>
        <w:t>iscussions</w:t>
      </w:r>
      <w:r w:rsidR="00EE6A8B">
        <w:rPr>
          <w:rFonts w:ascii="Calibri" w:hAnsi="Calibri" w:cs="Calibri"/>
          <w:sz w:val="22"/>
          <w:szCs w:val="22"/>
        </w:rPr>
        <w:t>,</w:t>
      </w:r>
      <w:r w:rsidR="00167CD5">
        <w:rPr>
          <w:rFonts w:ascii="Calibri" w:hAnsi="Calibri" w:cs="Calibri"/>
          <w:sz w:val="22"/>
          <w:szCs w:val="22"/>
        </w:rPr>
        <w:t xml:space="preserve"> semi-structured interviews) with a diverse range of stakeholders to ensure a variety of perspectives</w:t>
      </w:r>
      <w:r w:rsidR="00E340F6">
        <w:rPr>
          <w:rFonts w:ascii="Calibri" w:hAnsi="Calibri" w:cs="Calibri"/>
          <w:sz w:val="22"/>
          <w:szCs w:val="22"/>
        </w:rPr>
        <w:t>,</w:t>
      </w:r>
      <w:r w:rsidR="00167CD5">
        <w:rPr>
          <w:rFonts w:ascii="Calibri" w:hAnsi="Calibri" w:cs="Calibri"/>
          <w:sz w:val="22"/>
          <w:szCs w:val="22"/>
        </w:rPr>
        <w:t xml:space="preserve"> and a</w:t>
      </w:r>
      <w:r w:rsidR="00E340F6">
        <w:rPr>
          <w:rFonts w:ascii="Calibri" w:hAnsi="Calibri" w:cs="Calibri"/>
          <w:sz w:val="22"/>
          <w:szCs w:val="22"/>
        </w:rPr>
        <w:t xml:space="preserve"> comprehensive</w:t>
      </w:r>
      <w:r w:rsidR="00167CD5">
        <w:rPr>
          <w:rFonts w:ascii="Calibri" w:hAnsi="Calibri" w:cs="Calibri"/>
          <w:sz w:val="22"/>
          <w:szCs w:val="22"/>
        </w:rPr>
        <w:t xml:space="preserve"> desk review of the relevant available documentation pertinent to the program</w:t>
      </w:r>
      <w:r w:rsidR="0032210A">
        <w:rPr>
          <w:rFonts w:ascii="Calibri" w:hAnsi="Calibri" w:cs="Calibri"/>
          <w:sz w:val="22"/>
          <w:szCs w:val="22"/>
        </w:rPr>
        <w:t>me 2011</w:t>
      </w:r>
      <w:r w:rsidR="00167CD5">
        <w:rPr>
          <w:rFonts w:ascii="Calibri" w:hAnsi="Calibri" w:cs="Calibri"/>
          <w:sz w:val="22"/>
          <w:szCs w:val="22"/>
        </w:rPr>
        <w:t>-2015</w:t>
      </w:r>
      <w:r w:rsidR="0063121F">
        <w:rPr>
          <w:rFonts w:ascii="Calibri" w:hAnsi="Calibri" w:cs="Calibri"/>
          <w:sz w:val="22"/>
          <w:szCs w:val="22"/>
        </w:rPr>
        <w:t>, as well as quantitative</w:t>
      </w:r>
      <w:r w:rsidR="00EE6A8B">
        <w:rPr>
          <w:rFonts w:ascii="Calibri" w:hAnsi="Calibri" w:cs="Calibri"/>
          <w:sz w:val="22"/>
          <w:szCs w:val="22"/>
        </w:rPr>
        <w:t xml:space="preserve"> data, not least from a household impact survey that will be implemented concurrently by UNDP with this evaluation</w:t>
      </w:r>
      <w:r w:rsidR="008072F0">
        <w:rPr>
          <w:rFonts w:ascii="Calibri" w:hAnsi="Calibri" w:cs="Calibri"/>
          <w:sz w:val="22"/>
          <w:szCs w:val="22"/>
        </w:rPr>
        <w:t xml:space="preserve">, </w:t>
      </w:r>
      <w:r w:rsidR="008072F0" w:rsidRPr="008072F0">
        <w:rPr>
          <w:rFonts w:ascii="Calibri" w:hAnsi="Calibri" w:cs="Calibri"/>
          <w:sz w:val="22"/>
          <w:szCs w:val="22"/>
        </w:rPr>
        <w:t xml:space="preserve">as well as </w:t>
      </w:r>
      <w:r w:rsidR="000B3382" w:rsidRPr="008072F0">
        <w:rPr>
          <w:rFonts w:ascii="Calibri" w:hAnsi="Calibri" w:cs="Calibri"/>
          <w:bCs/>
          <w:sz w:val="22"/>
          <w:szCs w:val="22"/>
        </w:rPr>
        <w:t>clearance and other technical data from the IMSMA DB</w:t>
      </w:r>
      <w:r w:rsidR="00167CD5" w:rsidRPr="008072F0">
        <w:rPr>
          <w:rFonts w:ascii="Calibri" w:hAnsi="Calibri" w:cs="Calibri"/>
          <w:sz w:val="22"/>
          <w:szCs w:val="22"/>
        </w:rPr>
        <w:t xml:space="preserve">. </w:t>
      </w:r>
      <w:r w:rsidR="00EE6A8B">
        <w:rPr>
          <w:rFonts w:ascii="Calibri" w:hAnsi="Calibri" w:cs="Calibri"/>
          <w:sz w:val="22"/>
          <w:szCs w:val="22"/>
        </w:rPr>
        <w:t>The evaluation will also directly under-take in-depth field research, using FGDs and in-depth case studies, complemented with photographic and video documentation resources.</w:t>
      </w:r>
    </w:p>
    <w:p w14:paraId="1910690C" w14:textId="2722089C" w:rsidR="0032210A" w:rsidRPr="0032210A" w:rsidRDefault="00EE6A8B" w:rsidP="001A6D5C">
      <w:pPr>
        <w:pStyle w:val="BodyText"/>
        <w:jc w:val="both"/>
        <w:rPr>
          <w:rFonts w:ascii="Calibri" w:hAnsi="Calibri" w:cs="Calibri"/>
          <w:sz w:val="22"/>
          <w:szCs w:val="22"/>
        </w:rPr>
      </w:pPr>
      <w:r>
        <w:rPr>
          <w:rFonts w:ascii="Calibri" w:hAnsi="Calibri" w:cs="Calibri"/>
          <w:sz w:val="22"/>
          <w:szCs w:val="22"/>
        </w:rPr>
        <w:t xml:space="preserve">Combined, these approaches </w:t>
      </w:r>
      <w:r w:rsidR="004D092E" w:rsidRPr="004D092E">
        <w:rPr>
          <w:rFonts w:ascii="Calibri" w:hAnsi="Calibri" w:cs="Calibri"/>
          <w:sz w:val="22"/>
          <w:szCs w:val="22"/>
        </w:rPr>
        <w:t>will enable the evaluation to determine the overall relevance of</w:t>
      </w:r>
      <w:r w:rsidR="0032210A">
        <w:rPr>
          <w:rFonts w:ascii="Calibri" w:hAnsi="Calibri" w:cs="Calibri"/>
          <w:sz w:val="22"/>
          <w:szCs w:val="22"/>
        </w:rPr>
        <w:t xml:space="preserve"> CfR II</w:t>
      </w:r>
      <w:r w:rsidR="00167CD5">
        <w:rPr>
          <w:rFonts w:ascii="Calibri" w:hAnsi="Calibri" w:cs="Calibri"/>
          <w:sz w:val="22"/>
          <w:szCs w:val="22"/>
        </w:rPr>
        <w:t xml:space="preserve">, </w:t>
      </w:r>
      <w:r w:rsidR="0032210A">
        <w:rPr>
          <w:rFonts w:ascii="Calibri" w:hAnsi="Calibri" w:cs="Calibri"/>
          <w:sz w:val="22"/>
          <w:szCs w:val="22"/>
        </w:rPr>
        <w:t xml:space="preserve">the </w:t>
      </w:r>
      <w:r w:rsidR="004D092E" w:rsidRPr="004D092E">
        <w:rPr>
          <w:rFonts w:ascii="Calibri" w:hAnsi="Calibri" w:cs="Calibri"/>
          <w:sz w:val="22"/>
          <w:szCs w:val="22"/>
        </w:rPr>
        <w:t>specific areas</w:t>
      </w:r>
      <w:r w:rsidR="007F57AD">
        <w:rPr>
          <w:rFonts w:ascii="Calibri" w:hAnsi="Calibri" w:cs="Calibri"/>
          <w:sz w:val="22"/>
          <w:szCs w:val="22"/>
        </w:rPr>
        <w:t xml:space="preserve"> within, or qualities of,</w:t>
      </w:r>
      <w:r w:rsidR="004D092E" w:rsidRPr="004D092E">
        <w:rPr>
          <w:rFonts w:ascii="Calibri" w:hAnsi="Calibri" w:cs="Calibri"/>
          <w:sz w:val="22"/>
          <w:szCs w:val="22"/>
        </w:rPr>
        <w:t xml:space="preserve"> </w:t>
      </w:r>
      <w:r w:rsidR="00167CD5">
        <w:rPr>
          <w:rFonts w:ascii="Calibri" w:hAnsi="Calibri" w:cs="Calibri"/>
          <w:sz w:val="22"/>
          <w:szCs w:val="22"/>
        </w:rPr>
        <w:t xml:space="preserve">the </w:t>
      </w:r>
      <w:r w:rsidR="0032210A">
        <w:rPr>
          <w:rFonts w:ascii="Calibri" w:hAnsi="Calibri" w:cs="Calibri"/>
          <w:sz w:val="22"/>
          <w:szCs w:val="22"/>
        </w:rPr>
        <w:t xml:space="preserve">CfR II that have </w:t>
      </w:r>
      <w:r w:rsidR="00167CD5">
        <w:rPr>
          <w:rFonts w:ascii="Calibri" w:hAnsi="Calibri" w:cs="Calibri"/>
          <w:sz w:val="22"/>
          <w:szCs w:val="22"/>
        </w:rPr>
        <w:t>been more</w:t>
      </w:r>
      <w:r w:rsidR="007F57AD">
        <w:rPr>
          <w:rFonts w:ascii="Calibri" w:hAnsi="Calibri" w:cs="Calibri"/>
          <w:sz w:val="22"/>
          <w:szCs w:val="22"/>
        </w:rPr>
        <w:t xml:space="preserve"> relevant and have</w:t>
      </w:r>
      <w:r w:rsidR="004D092E" w:rsidRPr="004D092E">
        <w:rPr>
          <w:rFonts w:ascii="Calibri" w:hAnsi="Calibri" w:cs="Calibri"/>
          <w:sz w:val="22"/>
          <w:szCs w:val="22"/>
        </w:rPr>
        <w:t xml:space="preserve"> shown effectiveness </w:t>
      </w:r>
      <w:r w:rsidR="00167CD5">
        <w:rPr>
          <w:rFonts w:ascii="Calibri" w:hAnsi="Calibri" w:cs="Calibri"/>
          <w:sz w:val="22"/>
          <w:szCs w:val="22"/>
        </w:rPr>
        <w:t xml:space="preserve">and efficiency </w:t>
      </w:r>
      <w:r w:rsidR="004D092E" w:rsidRPr="004D092E">
        <w:rPr>
          <w:rFonts w:ascii="Calibri" w:hAnsi="Calibri" w:cs="Calibri"/>
          <w:sz w:val="22"/>
          <w:szCs w:val="22"/>
        </w:rPr>
        <w:t xml:space="preserve">in </w:t>
      </w:r>
      <w:r w:rsidR="00167CD5">
        <w:rPr>
          <w:rFonts w:ascii="Calibri" w:hAnsi="Calibri" w:cs="Calibri"/>
          <w:sz w:val="22"/>
          <w:szCs w:val="22"/>
        </w:rPr>
        <w:t>achieving the project outputs and outcomes</w:t>
      </w:r>
      <w:r w:rsidR="0032210A">
        <w:rPr>
          <w:rFonts w:ascii="Calibri" w:hAnsi="Calibri" w:cs="Calibri"/>
          <w:sz w:val="22"/>
          <w:szCs w:val="22"/>
        </w:rPr>
        <w:t>,</w:t>
      </w:r>
      <w:r w:rsidR="00167CD5">
        <w:rPr>
          <w:rFonts w:ascii="Calibri" w:hAnsi="Calibri" w:cs="Calibri"/>
          <w:sz w:val="22"/>
          <w:szCs w:val="22"/>
        </w:rPr>
        <w:t xml:space="preserve"> and</w:t>
      </w:r>
      <w:r w:rsidR="0098461E">
        <w:rPr>
          <w:rFonts w:ascii="Calibri" w:hAnsi="Calibri" w:cs="Calibri"/>
          <w:sz w:val="22"/>
          <w:szCs w:val="22"/>
        </w:rPr>
        <w:t xml:space="preserve"> the extent to which the outcomes</w:t>
      </w:r>
      <w:r w:rsidR="00167CD5">
        <w:rPr>
          <w:rFonts w:ascii="Calibri" w:hAnsi="Calibri" w:cs="Calibri"/>
          <w:sz w:val="22"/>
          <w:szCs w:val="22"/>
        </w:rPr>
        <w:t xml:space="preserve"> are likely to be sustained. The evaluation will pay particular attention to the extent to which the </w:t>
      </w:r>
      <w:r w:rsidR="0032210A">
        <w:rPr>
          <w:rFonts w:ascii="Calibri" w:hAnsi="Calibri" w:cs="Calibri"/>
          <w:sz w:val="22"/>
          <w:szCs w:val="22"/>
        </w:rPr>
        <w:t xml:space="preserve">CfR II </w:t>
      </w:r>
      <w:r w:rsidR="00167CD5">
        <w:rPr>
          <w:rFonts w:ascii="Calibri" w:hAnsi="Calibri" w:cs="Calibri"/>
          <w:sz w:val="22"/>
          <w:szCs w:val="22"/>
        </w:rPr>
        <w:t>has</w:t>
      </w:r>
      <w:r w:rsidR="0032210A">
        <w:rPr>
          <w:rFonts w:ascii="Calibri" w:hAnsi="Calibri" w:cs="Calibri"/>
          <w:sz w:val="22"/>
          <w:szCs w:val="22"/>
        </w:rPr>
        <w:t xml:space="preserve"> produced the intended outcomes in the prioritised mine-affected communities in which is has worked, as well as studying</w:t>
      </w:r>
      <w:r w:rsidR="00E340F6">
        <w:rPr>
          <w:rFonts w:ascii="Calibri" w:hAnsi="Calibri" w:cs="Calibri"/>
          <w:sz w:val="22"/>
          <w:szCs w:val="22"/>
        </w:rPr>
        <w:t xml:space="preserve"> the broader</w:t>
      </w:r>
      <w:r w:rsidR="0032210A">
        <w:rPr>
          <w:rFonts w:ascii="Calibri" w:hAnsi="Calibri" w:cs="Calibri"/>
          <w:sz w:val="22"/>
          <w:szCs w:val="22"/>
        </w:rPr>
        <w:t xml:space="preserve"> impact of the project, looking at long term</w:t>
      </w:r>
      <w:r w:rsidR="00E340F6">
        <w:rPr>
          <w:rFonts w:ascii="Calibri" w:hAnsi="Calibri" w:cs="Calibri"/>
          <w:sz w:val="22"/>
          <w:szCs w:val="22"/>
        </w:rPr>
        <w:t xml:space="preserve"> both</w:t>
      </w:r>
      <w:r w:rsidR="0032210A">
        <w:rPr>
          <w:rFonts w:ascii="Calibri" w:hAnsi="Calibri" w:cs="Calibri"/>
          <w:sz w:val="22"/>
          <w:szCs w:val="22"/>
        </w:rPr>
        <w:t xml:space="preserve"> intended and unintended consequences of CfR II</w:t>
      </w:r>
      <w:r w:rsidR="00167CD5">
        <w:rPr>
          <w:rFonts w:ascii="Calibri" w:hAnsi="Calibri" w:cs="Calibri"/>
          <w:sz w:val="22"/>
          <w:szCs w:val="22"/>
        </w:rPr>
        <w:t xml:space="preserve">. </w:t>
      </w:r>
      <w:r w:rsidR="0032210A">
        <w:rPr>
          <w:rFonts w:ascii="Calibri" w:hAnsi="Calibri" w:cs="Calibri"/>
          <w:sz w:val="22"/>
          <w:szCs w:val="22"/>
        </w:rPr>
        <w:t xml:space="preserve">Indeed, the evaluation will also focus on the processes and criteria </w:t>
      </w:r>
      <w:r w:rsidR="0032210A">
        <w:rPr>
          <w:rFonts w:ascii="Calibri" w:hAnsi="Calibri" w:cs="Calibri"/>
          <w:sz w:val="22"/>
          <w:szCs w:val="22"/>
        </w:rPr>
        <w:lastRenderedPageBreak/>
        <w:t>for prioritization, and the degree to which these can be considered actively ‘pro-poor’ since, as stated in the TOR CfR II ‘</w:t>
      </w:r>
      <w:r w:rsidR="0032210A" w:rsidRPr="0032210A">
        <w:rPr>
          <w:rFonts w:ascii="Calibri" w:hAnsi="Calibri" w:cs="Calibri"/>
          <w:i/>
          <w:sz w:val="22"/>
          <w:szCs w:val="22"/>
        </w:rPr>
        <w:t>aims to enhance national structures and mechanisms that will ensure demining resources are effectively allocated, promoting the release of land for productive use by the poor’.</w:t>
      </w:r>
      <w:r w:rsidR="0032210A" w:rsidRPr="00CA3F7C">
        <w:rPr>
          <w:rStyle w:val="FootnoteReference"/>
          <w:rFonts w:ascii="Calibri" w:hAnsi="Calibri" w:cs="Calibri"/>
          <w:sz w:val="22"/>
          <w:szCs w:val="22"/>
        </w:rPr>
        <w:footnoteReference w:id="11"/>
      </w:r>
    </w:p>
    <w:p w14:paraId="29F335D0" w14:textId="4D0055B6" w:rsidR="00543A2A" w:rsidRDefault="00167CD5" w:rsidP="00E340F6">
      <w:pPr>
        <w:pStyle w:val="BodyText"/>
        <w:jc w:val="both"/>
        <w:rPr>
          <w:rFonts w:ascii="Calibri" w:hAnsi="Calibri" w:cs="Calibri"/>
          <w:sz w:val="22"/>
          <w:szCs w:val="22"/>
        </w:rPr>
      </w:pPr>
      <w:r>
        <w:rPr>
          <w:rFonts w:ascii="Calibri" w:hAnsi="Calibri" w:cs="Calibri"/>
          <w:sz w:val="22"/>
          <w:szCs w:val="22"/>
        </w:rPr>
        <w:t xml:space="preserve">The evaluation will also consider the extent to which the </w:t>
      </w:r>
      <w:r w:rsidR="0032210A">
        <w:rPr>
          <w:rFonts w:ascii="Calibri" w:hAnsi="Calibri" w:cs="Calibri"/>
          <w:sz w:val="22"/>
          <w:szCs w:val="22"/>
        </w:rPr>
        <w:t xml:space="preserve">CfR II </w:t>
      </w:r>
      <w:r>
        <w:rPr>
          <w:rFonts w:ascii="Calibri" w:hAnsi="Calibri" w:cs="Calibri"/>
          <w:sz w:val="22"/>
          <w:szCs w:val="22"/>
        </w:rPr>
        <w:t xml:space="preserve">has managed risks and facilitated the inclusion of gender across </w:t>
      </w:r>
      <w:r w:rsidR="00543A2A">
        <w:rPr>
          <w:rFonts w:ascii="Calibri" w:hAnsi="Calibri" w:cs="Calibri"/>
          <w:sz w:val="22"/>
          <w:szCs w:val="22"/>
        </w:rPr>
        <w:t>the different aspects of the project</w:t>
      </w:r>
      <w:r w:rsidR="00EE6A8B">
        <w:rPr>
          <w:rFonts w:ascii="Calibri" w:hAnsi="Calibri" w:cs="Calibri"/>
          <w:sz w:val="22"/>
          <w:szCs w:val="22"/>
        </w:rPr>
        <w:t>, and how this is reflected in the results</w:t>
      </w:r>
      <w:r w:rsidR="00543A2A">
        <w:rPr>
          <w:rFonts w:ascii="Calibri" w:hAnsi="Calibri" w:cs="Calibri"/>
          <w:sz w:val="22"/>
          <w:szCs w:val="22"/>
        </w:rPr>
        <w:t>. The evaluation will assess</w:t>
      </w:r>
      <w:r w:rsidR="00543A2A" w:rsidRPr="00711591">
        <w:rPr>
          <w:rFonts w:ascii="Calibri" w:hAnsi="Calibri" w:cs="Calibri"/>
          <w:sz w:val="22"/>
          <w:szCs w:val="22"/>
        </w:rPr>
        <w:t xml:space="preserve"> the appropriateness of the objectives, planned outputs, activities and inputs as compared to cost-effective alternatives</w:t>
      </w:r>
      <w:r w:rsidR="00543A2A">
        <w:rPr>
          <w:rFonts w:ascii="Calibri" w:hAnsi="Calibri" w:cs="Calibri"/>
          <w:sz w:val="22"/>
          <w:szCs w:val="22"/>
        </w:rPr>
        <w:t>, the extent to which adaptive management strategies have been used</w:t>
      </w:r>
      <w:r w:rsidR="001A6D5C">
        <w:rPr>
          <w:rFonts w:ascii="Calibri" w:hAnsi="Calibri" w:cs="Calibri"/>
          <w:sz w:val="22"/>
          <w:szCs w:val="22"/>
        </w:rPr>
        <w:t xml:space="preserve">. It will also review the </w:t>
      </w:r>
      <w:r w:rsidR="00543A2A">
        <w:rPr>
          <w:rFonts w:ascii="Calibri" w:hAnsi="Calibri" w:cs="Calibri"/>
          <w:sz w:val="22"/>
          <w:szCs w:val="22"/>
        </w:rPr>
        <w:t>quality of the M&amp;E system and information management and use</w:t>
      </w:r>
      <w:r w:rsidR="001A6D5C">
        <w:rPr>
          <w:rFonts w:ascii="Calibri" w:hAnsi="Calibri" w:cs="Calibri"/>
          <w:sz w:val="22"/>
          <w:szCs w:val="22"/>
        </w:rPr>
        <w:t xml:space="preserve"> including how </w:t>
      </w:r>
      <w:r w:rsidR="001A6D5C" w:rsidRPr="001A6D5C">
        <w:rPr>
          <w:rFonts w:ascii="Calibri" w:hAnsi="Calibri" w:cs="Calibri"/>
          <w:sz w:val="22"/>
          <w:szCs w:val="22"/>
        </w:rPr>
        <w:t>monitoring systems are gender sensitive</w:t>
      </w:r>
      <w:r w:rsidR="001A6D5C">
        <w:rPr>
          <w:rFonts w:ascii="Calibri" w:hAnsi="Calibri" w:cs="Calibri"/>
          <w:sz w:val="22"/>
          <w:szCs w:val="22"/>
        </w:rPr>
        <w:t>.</w:t>
      </w:r>
    </w:p>
    <w:p w14:paraId="1D8B4034" w14:textId="6C022931" w:rsidR="004C21AE" w:rsidRPr="00711591" w:rsidRDefault="004C21AE" w:rsidP="004C21AE">
      <w:pPr>
        <w:pStyle w:val="BodyText"/>
        <w:spacing w:after="0"/>
        <w:jc w:val="both"/>
        <w:rPr>
          <w:rFonts w:ascii="Calibri" w:hAnsi="Calibri" w:cs="Calibri"/>
          <w:sz w:val="22"/>
          <w:szCs w:val="22"/>
        </w:rPr>
      </w:pPr>
      <w:r>
        <w:rPr>
          <w:rFonts w:ascii="Calibri" w:hAnsi="Calibri" w:cs="Calibri"/>
          <w:sz w:val="22"/>
          <w:szCs w:val="22"/>
        </w:rPr>
        <w:t>The methodology will</w:t>
      </w:r>
      <w:r w:rsidRPr="00711591">
        <w:rPr>
          <w:rFonts w:ascii="Calibri" w:hAnsi="Calibri" w:cs="Calibri"/>
          <w:sz w:val="22"/>
          <w:szCs w:val="22"/>
        </w:rPr>
        <w:t xml:space="preserve"> include but is not limited or restricted to</w:t>
      </w:r>
      <w:r w:rsidR="00543A2A">
        <w:rPr>
          <w:rFonts w:ascii="Calibri" w:hAnsi="Calibri" w:cs="Calibri"/>
          <w:sz w:val="22"/>
          <w:szCs w:val="22"/>
        </w:rPr>
        <w:t xml:space="preserve"> the following</w:t>
      </w:r>
      <w:r w:rsidRPr="00711591">
        <w:rPr>
          <w:rFonts w:ascii="Calibri" w:hAnsi="Calibri" w:cs="Calibri"/>
          <w:sz w:val="22"/>
          <w:szCs w:val="22"/>
        </w:rPr>
        <w:t>:</w:t>
      </w:r>
    </w:p>
    <w:p w14:paraId="022AD167" w14:textId="77777777" w:rsidR="004C21AE" w:rsidRPr="00711591" w:rsidRDefault="004C21AE" w:rsidP="004C21AE">
      <w:pPr>
        <w:pStyle w:val="BodyText"/>
        <w:spacing w:after="0"/>
        <w:jc w:val="both"/>
        <w:rPr>
          <w:rFonts w:ascii="Calibri" w:hAnsi="Calibri" w:cs="Calibri"/>
          <w:sz w:val="22"/>
          <w:szCs w:val="22"/>
        </w:rPr>
      </w:pPr>
    </w:p>
    <w:p w14:paraId="3FB00CF9" w14:textId="7E582755" w:rsidR="004C21AE" w:rsidRPr="004C21AE" w:rsidRDefault="004C21AE" w:rsidP="004C21AE">
      <w:pPr>
        <w:pStyle w:val="BodyText"/>
        <w:spacing w:after="0"/>
        <w:ind w:firstLine="720"/>
        <w:jc w:val="both"/>
        <w:rPr>
          <w:rFonts w:ascii="Calibri" w:hAnsi="Calibri" w:cs="Calibri"/>
          <w:b/>
          <w:i/>
          <w:sz w:val="22"/>
          <w:szCs w:val="22"/>
        </w:rPr>
      </w:pPr>
      <w:r w:rsidRPr="004C21AE">
        <w:rPr>
          <w:rFonts w:ascii="Calibri" w:hAnsi="Calibri" w:cs="Calibri"/>
          <w:b/>
          <w:i/>
          <w:sz w:val="22"/>
          <w:szCs w:val="22"/>
        </w:rPr>
        <w:t>(A). Data Collection</w:t>
      </w:r>
      <w:r w:rsidR="001B2997">
        <w:rPr>
          <w:rFonts w:ascii="Calibri" w:hAnsi="Calibri" w:cs="Calibri"/>
          <w:b/>
          <w:i/>
          <w:sz w:val="22"/>
          <w:szCs w:val="22"/>
        </w:rPr>
        <w:t>: Phnom Penh</w:t>
      </w:r>
    </w:p>
    <w:p w14:paraId="5FEE7AE8" w14:textId="77777777" w:rsidR="004C21AE" w:rsidRPr="00A60816" w:rsidRDefault="004C21AE" w:rsidP="004C21AE">
      <w:pPr>
        <w:pStyle w:val="BodyText"/>
        <w:spacing w:after="0"/>
        <w:ind w:firstLine="720"/>
        <w:jc w:val="both"/>
        <w:rPr>
          <w:rFonts w:ascii="Calibri" w:hAnsi="Calibri" w:cs="Calibri"/>
          <w:i/>
          <w:sz w:val="22"/>
          <w:szCs w:val="22"/>
        </w:rPr>
      </w:pPr>
    </w:p>
    <w:p w14:paraId="30281A36" w14:textId="3C7831C5" w:rsidR="004C21AE" w:rsidRDefault="004D092E" w:rsidP="004C21AE">
      <w:pPr>
        <w:pStyle w:val="BodyText"/>
        <w:numPr>
          <w:ilvl w:val="0"/>
          <w:numId w:val="4"/>
        </w:numPr>
        <w:spacing w:after="0"/>
        <w:jc w:val="both"/>
        <w:rPr>
          <w:rFonts w:ascii="Calibri" w:hAnsi="Calibri" w:cs="Calibri"/>
          <w:sz w:val="22"/>
          <w:szCs w:val="22"/>
        </w:rPr>
      </w:pPr>
      <w:r w:rsidRPr="004D092E">
        <w:rPr>
          <w:rFonts w:ascii="Calibri" w:hAnsi="Calibri" w:cs="Calibri"/>
          <w:b/>
          <w:sz w:val="22"/>
          <w:szCs w:val="22"/>
        </w:rPr>
        <w:t>Key stakeholder meetings.</w:t>
      </w:r>
      <w:r w:rsidRPr="004D092E">
        <w:rPr>
          <w:rFonts w:ascii="Calibri" w:hAnsi="Calibri" w:cs="Calibri"/>
          <w:sz w:val="22"/>
          <w:szCs w:val="22"/>
        </w:rPr>
        <w:t xml:space="preserve"> </w:t>
      </w:r>
      <w:r w:rsidR="000E12AC" w:rsidRPr="004D092E">
        <w:rPr>
          <w:rFonts w:ascii="Calibri" w:hAnsi="Calibri" w:cs="Calibri"/>
          <w:sz w:val="22"/>
          <w:szCs w:val="22"/>
        </w:rPr>
        <w:t>S</w:t>
      </w:r>
      <w:r w:rsidR="004C21AE" w:rsidRPr="004D092E">
        <w:rPr>
          <w:rFonts w:ascii="Calibri" w:hAnsi="Calibri" w:cs="Calibri"/>
          <w:sz w:val="22"/>
          <w:szCs w:val="22"/>
        </w:rPr>
        <w:t>emi-structured individual and/or group interviews with representatives of the</w:t>
      </w:r>
      <w:r w:rsidR="00E340F6">
        <w:rPr>
          <w:rFonts w:ascii="Calibri" w:hAnsi="Calibri" w:cs="Calibri"/>
          <w:sz w:val="22"/>
          <w:szCs w:val="22"/>
        </w:rPr>
        <w:t xml:space="preserve"> Royal Government of Cambodia</w:t>
      </w:r>
      <w:r w:rsidR="004C21AE" w:rsidRPr="004D092E">
        <w:rPr>
          <w:rFonts w:ascii="Calibri" w:hAnsi="Calibri" w:cs="Calibri"/>
          <w:sz w:val="22"/>
          <w:szCs w:val="22"/>
        </w:rPr>
        <w:t xml:space="preserve">, </w:t>
      </w:r>
      <w:r w:rsidR="0095157A">
        <w:rPr>
          <w:rFonts w:ascii="Calibri" w:hAnsi="Calibri" w:cs="Calibri"/>
          <w:sz w:val="22"/>
          <w:szCs w:val="22"/>
          <w:highlight w:val="yellow"/>
        </w:rPr>
        <w:t>particularly relevant RGC Ministries</w:t>
      </w:r>
      <w:r w:rsidR="004C21AE" w:rsidRPr="002D1C16">
        <w:rPr>
          <w:rFonts w:ascii="Calibri" w:hAnsi="Calibri" w:cs="Calibri"/>
          <w:sz w:val="22"/>
          <w:szCs w:val="22"/>
          <w:highlight w:val="yellow"/>
        </w:rPr>
        <w:t xml:space="preserve">, the </w:t>
      </w:r>
      <w:r w:rsidR="00E340F6" w:rsidRPr="002D1C16">
        <w:rPr>
          <w:rFonts w:ascii="Calibri" w:hAnsi="Calibri" w:cs="Calibri"/>
          <w:sz w:val="22"/>
          <w:szCs w:val="22"/>
          <w:highlight w:val="yellow"/>
        </w:rPr>
        <w:t xml:space="preserve">CMAA, </w:t>
      </w:r>
      <w:r w:rsidR="004C21AE" w:rsidRPr="002D1C16">
        <w:rPr>
          <w:rFonts w:ascii="Calibri" w:hAnsi="Calibri" w:cs="Calibri"/>
          <w:sz w:val="22"/>
          <w:szCs w:val="22"/>
          <w:highlight w:val="yellow"/>
        </w:rPr>
        <w:t>and nat</w:t>
      </w:r>
      <w:r w:rsidR="00E340F6" w:rsidRPr="002D1C16">
        <w:rPr>
          <w:rFonts w:ascii="Calibri" w:hAnsi="Calibri" w:cs="Calibri"/>
          <w:sz w:val="22"/>
          <w:szCs w:val="22"/>
          <w:highlight w:val="yellow"/>
        </w:rPr>
        <w:t>ional clearance operator CMAC</w:t>
      </w:r>
      <w:r w:rsidR="004C21AE" w:rsidRPr="002D1C16">
        <w:rPr>
          <w:rFonts w:ascii="Calibri" w:hAnsi="Calibri" w:cs="Calibri"/>
          <w:sz w:val="22"/>
          <w:szCs w:val="22"/>
          <w:highlight w:val="yellow"/>
        </w:rPr>
        <w:t xml:space="preserve">, </w:t>
      </w:r>
      <w:r w:rsidR="009F6A9A" w:rsidRPr="002D1C16">
        <w:rPr>
          <w:rFonts w:ascii="Calibri" w:hAnsi="Calibri" w:cs="Calibri"/>
          <w:sz w:val="22"/>
          <w:szCs w:val="22"/>
          <w:highlight w:val="yellow"/>
        </w:rPr>
        <w:t>the RCAF demining units</w:t>
      </w:r>
      <w:r w:rsidR="00EE6A8B" w:rsidRPr="002D1C16">
        <w:rPr>
          <w:rFonts w:ascii="Calibri" w:hAnsi="Calibri" w:cs="Calibri"/>
          <w:sz w:val="22"/>
          <w:szCs w:val="22"/>
          <w:highlight w:val="yellow"/>
        </w:rPr>
        <w:t xml:space="preserve"> (exact name??)</w:t>
      </w:r>
      <w:r w:rsidR="009F6A9A" w:rsidRPr="002D1C16">
        <w:rPr>
          <w:rFonts w:ascii="Calibri" w:hAnsi="Calibri" w:cs="Calibri"/>
          <w:sz w:val="22"/>
          <w:szCs w:val="22"/>
          <w:highlight w:val="yellow"/>
        </w:rPr>
        <w:t>,</w:t>
      </w:r>
      <w:r w:rsidR="009F6A9A">
        <w:rPr>
          <w:rFonts w:ascii="Calibri" w:hAnsi="Calibri" w:cs="Calibri"/>
          <w:sz w:val="22"/>
          <w:szCs w:val="22"/>
        </w:rPr>
        <w:t xml:space="preserve"> </w:t>
      </w:r>
      <w:r w:rsidR="004C21AE" w:rsidRPr="004D092E">
        <w:rPr>
          <w:rFonts w:ascii="Calibri" w:hAnsi="Calibri" w:cs="Calibri"/>
          <w:sz w:val="22"/>
          <w:szCs w:val="22"/>
        </w:rPr>
        <w:t>UNDP at technical and management levels,</w:t>
      </w:r>
      <w:r w:rsidR="009F6A9A">
        <w:rPr>
          <w:rFonts w:ascii="Calibri" w:hAnsi="Calibri" w:cs="Calibri"/>
          <w:sz w:val="22"/>
          <w:szCs w:val="22"/>
        </w:rPr>
        <w:t xml:space="preserve"> representatives of </w:t>
      </w:r>
      <w:r w:rsidR="00EE6A8B">
        <w:rPr>
          <w:rFonts w:ascii="Calibri" w:hAnsi="Calibri" w:cs="Calibri"/>
          <w:sz w:val="22"/>
          <w:szCs w:val="22"/>
        </w:rPr>
        <w:t xml:space="preserve">other </w:t>
      </w:r>
      <w:r w:rsidR="009F6A9A">
        <w:rPr>
          <w:rFonts w:ascii="Calibri" w:hAnsi="Calibri" w:cs="Calibri"/>
          <w:sz w:val="22"/>
          <w:szCs w:val="22"/>
        </w:rPr>
        <w:t>relevant UN actors</w:t>
      </w:r>
      <w:r w:rsidR="004C21AE" w:rsidRPr="004D092E">
        <w:rPr>
          <w:rFonts w:ascii="Calibri" w:hAnsi="Calibri" w:cs="Calibri"/>
          <w:sz w:val="22"/>
          <w:szCs w:val="22"/>
        </w:rPr>
        <w:t xml:space="preserve"> </w:t>
      </w:r>
      <w:r w:rsidR="009F6A9A">
        <w:rPr>
          <w:rFonts w:ascii="Calibri" w:hAnsi="Calibri" w:cs="Calibri"/>
          <w:sz w:val="22"/>
          <w:szCs w:val="22"/>
        </w:rPr>
        <w:t>(</w:t>
      </w:r>
      <w:r w:rsidRPr="004D092E">
        <w:rPr>
          <w:rFonts w:ascii="Calibri" w:hAnsi="Calibri" w:cs="Calibri"/>
          <w:sz w:val="22"/>
          <w:szCs w:val="22"/>
        </w:rPr>
        <w:t>UN Habitat, UNIDO</w:t>
      </w:r>
      <w:r w:rsidR="00543A2A">
        <w:rPr>
          <w:rFonts w:ascii="Calibri" w:hAnsi="Calibri" w:cs="Calibri"/>
          <w:sz w:val="22"/>
          <w:szCs w:val="22"/>
        </w:rPr>
        <w:t>, UNICEF and WHO</w:t>
      </w:r>
      <w:r w:rsidR="009F6A9A">
        <w:rPr>
          <w:rFonts w:ascii="Calibri" w:hAnsi="Calibri" w:cs="Calibri"/>
          <w:sz w:val="22"/>
          <w:szCs w:val="22"/>
        </w:rPr>
        <w:t xml:space="preserve"> etc)</w:t>
      </w:r>
      <w:r w:rsidR="004C21AE" w:rsidRPr="004D092E">
        <w:rPr>
          <w:rFonts w:ascii="Calibri" w:hAnsi="Calibri" w:cs="Calibri"/>
          <w:sz w:val="22"/>
          <w:szCs w:val="22"/>
        </w:rPr>
        <w:t xml:space="preserve">, </w:t>
      </w:r>
      <w:r w:rsidR="009F6A9A">
        <w:rPr>
          <w:rFonts w:ascii="Calibri" w:hAnsi="Calibri" w:cs="Calibri"/>
          <w:sz w:val="22"/>
          <w:szCs w:val="22"/>
        </w:rPr>
        <w:t xml:space="preserve">UNDP </w:t>
      </w:r>
      <w:r w:rsidR="004C21AE" w:rsidRPr="004D092E">
        <w:rPr>
          <w:rFonts w:ascii="Calibri" w:hAnsi="Calibri" w:cs="Calibri"/>
          <w:sz w:val="22"/>
          <w:szCs w:val="22"/>
        </w:rPr>
        <w:t>Development Partners</w:t>
      </w:r>
      <w:r w:rsidR="009F6A9A">
        <w:rPr>
          <w:rFonts w:ascii="Calibri" w:hAnsi="Calibri" w:cs="Calibri"/>
          <w:sz w:val="22"/>
          <w:szCs w:val="22"/>
        </w:rPr>
        <w:t xml:space="preserve"> (Donors)</w:t>
      </w:r>
      <w:r w:rsidR="004C21AE" w:rsidRPr="004D092E">
        <w:rPr>
          <w:rFonts w:ascii="Calibri" w:hAnsi="Calibri" w:cs="Calibri"/>
          <w:sz w:val="22"/>
          <w:szCs w:val="22"/>
        </w:rPr>
        <w:t>, international</w:t>
      </w:r>
      <w:r w:rsidR="009F6A9A">
        <w:rPr>
          <w:rFonts w:ascii="Calibri" w:hAnsi="Calibri" w:cs="Calibri"/>
          <w:sz w:val="22"/>
          <w:szCs w:val="22"/>
        </w:rPr>
        <w:t xml:space="preserve"> mine action</w:t>
      </w:r>
      <w:r w:rsidR="004C21AE" w:rsidRPr="004D092E">
        <w:rPr>
          <w:rFonts w:ascii="Calibri" w:hAnsi="Calibri" w:cs="Calibri"/>
          <w:sz w:val="22"/>
          <w:szCs w:val="22"/>
        </w:rPr>
        <w:t xml:space="preserve"> NGOs, and other parties active in th</w:t>
      </w:r>
      <w:r w:rsidR="009F6A9A">
        <w:rPr>
          <w:rFonts w:ascii="Calibri" w:hAnsi="Calibri" w:cs="Calibri"/>
          <w:sz w:val="22"/>
          <w:szCs w:val="22"/>
        </w:rPr>
        <w:t>e mine action sector in Cambodia</w:t>
      </w:r>
      <w:r w:rsidR="004C21AE" w:rsidRPr="004D092E">
        <w:rPr>
          <w:rFonts w:ascii="Calibri" w:hAnsi="Calibri" w:cs="Calibri"/>
          <w:sz w:val="22"/>
          <w:szCs w:val="22"/>
        </w:rPr>
        <w:t>, including representatives of the United States of America</w:t>
      </w:r>
      <w:r w:rsidR="009F6A9A">
        <w:rPr>
          <w:rFonts w:ascii="Calibri" w:hAnsi="Calibri" w:cs="Calibri"/>
          <w:sz w:val="22"/>
          <w:szCs w:val="22"/>
        </w:rPr>
        <w:t>, Australia, Swiss, Japan etc</w:t>
      </w:r>
      <w:r w:rsidR="004C21AE" w:rsidRPr="004D092E">
        <w:rPr>
          <w:rFonts w:ascii="Calibri" w:hAnsi="Calibri" w:cs="Calibri"/>
          <w:sz w:val="22"/>
          <w:szCs w:val="22"/>
        </w:rPr>
        <w:t>.</w:t>
      </w:r>
      <w:r w:rsidRPr="004D092E">
        <w:rPr>
          <w:rFonts w:ascii="Calibri" w:hAnsi="Calibri" w:cs="Calibri"/>
          <w:sz w:val="22"/>
          <w:szCs w:val="22"/>
        </w:rPr>
        <w:t xml:space="preserve"> The interviews will use a semi-structured guide with key questions and prompts based on the evaluation questions and adapted according to the position and relationship</w:t>
      </w:r>
      <w:r w:rsidR="009F6A9A">
        <w:rPr>
          <w:rFonts w:ascii="Calibri" w:hAnsi="Calibri" w:cs="Calibri"/>
          <w:sz w:val="22"/>
          <w:szCs w:val="22"/>
        </w:rPr>
        <w:t xml:space="preserve"> of the specific interlocutor</w:t>
      </w:r>
      <w:r w:rsidRPr="004D092E">
        <w:rPr>
          <w:rFonts w:ascii="Calibri" w:hAnsi="Calibri" w:cs="Calibri"/>
          <w:sz w:val="22"/>
          <w:szCs w:val="22"/>
        </w:rPr>
        <w:t xml:space="preserve"> with the </w:t>
      </w:r>
      <w:r w:rsidR="009F6A9A">
        <w:rPr>
          <w:rFonts w:ascii="Calibri" w:hAnsi="Calibri" w:cs="Calibri"/>
          <w:sz w:val="22"/>
          <w:szCs w:val="22"/>
        </w:rPr>
        <w:t xml:space="preserve">CfR II </w:t>
      </w:r>
      <w:r w:rsidRPr="004D092E">
        <w:rPr>
          <w:rFonts w:ascii="Calibri" w:hAnsi="Calibri" w:cs="Calibri"/>
          <w:sz w:val="22"/>
          <w:szCs w:val="22"/>
        </w:rPr>
        <w:t>program</w:t>
      </w:r>
      <w:r w:rsidR="009F6A9A">
        <w:rPr>
          <w:rFonts w:ascii="Calibri" w:hAnsi="Calibri" w:cs="Calibri"/>
          <w:sz w:val="22"/>
          <w:szCs w:val="22"/>
        </w:rPr>
        <w:t>me</w:t>
      </w:r>
      <w:r w:rsidRPr="004D092E">
        <w:rPr>
          <w:rFonts w:ascii="Calibri" w:hAnsi="Calibri" w:cs="Calibri"/>
          <w:sz w:val="22"/>
          <w:szCs w:val="22"/>
        </w:rPr>
        <w:t xml:space="preserve">. </w:t>
      </w:r>
    </w:p>
    <w:p w14:paraId="66A4F65F" w14:textId="77777777" w:rsidR="004D092E" w:rsidRPr="004D092E" w:rsidRDefault="004D092E" w:rsidP="004D092E">
      <w:pPr>
        <w:pStyle w:val="BodyText"/>
        <w:spacing w:after="0"/>
        <w:ind w:left="720"/>
        <w:jc w:val="both"/>
        <w:rPr>
          <w:rFonts w:ascii="Calibri" w:hAnsi="Calibri" w:cs="Calibri"/>
          <w:sz w:val="22"/>
          <w:szCs w:val="22"/>
        </w:rPr>
      </w:pPr>
    </w:p>
    <w:p w14:paraId="7999B375" w14:textId="2659C8C0" w:rsidR="004C21AE" w:rsidRDefault="004C21AE" w:rsidP="00543A2A">
      <w:pPr>
        <w:pStyle w:val="BodyText"/>
        <w:numPr>
          <w:ilvl w:val="0"/>
          <w:numId w:val="4"/>
        </w:numPr>
        <w:spacing w:after="0"/>
        <w:jc w:val="both"/>
        <w:rPr>
          <w:rFonts w:ascii="Calibri" w:hAnsi="Calibri" w:cs="Calibri"/>
          <w:sz w:val="22"/>
          <w:szCs w:val="22"/>
        </w:rPr>
      </w:pPr>
      <w:r w:rsidRPr="004D092E">
        <w:rPr>
          <w:rFonts w:ascii="Calibri" w:hAnsi="Calibri" w:cs="Calibri"/>
          <w:b/>
          <w:sz w:val="22"/>
          <w:szCs w:val="22"/>
        </w:rPr>
        <w:t>Review of secondary</w:t>
      </w:r>
      <w:r w:rsidR="001B2997">
        <w:rPr>
          <w:rFonts w:ascii="Calibri" w:hAnsi="Calibri" w:cs="Calibri"/>
          <w:b/>
          <w:sz w:val="22"/>
          <w:szCs w:val="22"/>
        </w:rPr>
        <w:t xml:space="preserve"> literature and</w:t>
      </w:r>
      <w:r w:rsidRPr="004D092E">
        <w:rPr>
          <w:rFonts w:ascii="Calibri" w:hAnsi="Calibri" w:cs="Calibri"/>
          <w:b/>
          <w:sz w:val="22"/>
          <w:szCs w:val="22"/>
        </w:rPr>
        <w:t xml:space="preserve"> data</w:t>
      </w:r>
      <w:r w:rsidR="004D092E">
        <w:rPr>
          <w:rFonts w:ascii="Calibri" w:hAnsi="Calibri" w:cs="Calibri"/>
          <w:b/>
          <w:sz w:val="22"/>
          <w:szCs w:val="22"/>
        </w:rPr>
        <w:t>.</w:t>
      </w:r>
      <w:r w:rsidRPr="00711591">
        <w:rPr>
          <w:rFonts w:ascii="Calibri" w:hAnsi="Calibri" w:cs="Calibri"/>
          <w:sz w:val="22"/>
          <w:szCs w:val="22"/>
        </w:rPr>
        <w:t xml:space="preserve"> </w:t>
      </w:r>
      <w:r w:rsidR="004D092E">
        <w:rPr>
          <w:rFonts w:ascii="Calibri" w:hAnsi="Calibri" w:cs="Calibri"/>
          <w:sz w:val="22"/>
          <w:szCs w:val="22"/>
        </w:rPr>
        <w:t>This will include</w:t>
      </w:r>
      <w:r w:rsidRPr="00711591">
        <w:rPr>
          <w:rFonts w:ascii="Calibri" w:hAnsi="Calibri" w:cs="Calibri"/>
          <w:sz w:val="22"/>
          <w:szCs w:val="22"/>
        </w:rPr>
        <w:t xml:space="preserve"> but not </w:t>
      </w:r>
      <w:r w:rsidR="004D092E">
        <w:rPr>
          <w:rFonts w:ascii="Calibri" w:hAnsi="Calibri" w:cs="Calibri"/>
          <w:sz w:val="22"/>
          <w:szCs w:val="22"/>
        </w:rPr>
        <w:t xml:space="preserve">be </w:t>
      </w:r>
      <w:r w:rsidRPr="00711591">
        <w:rPr>
          <w:rFonts w:ascii="Calibri" w:hAnsi="Calibri" w:cs="Calibri"/>
          <w:sz w:val="22"/>
          <w:szCs w:val="22"/>
        </w:rPr>
        <w:t xml:space="preserve">limited to </w:t>
      </w:r>
      <w:r w:rsidR="00EE6A8B">
        <w:rPr>
          <w:rFonts w:ascii="Calibri" w:hAnsi="Calibri" w:cs="Calibri"/>
          <w:sz w:val="22"/>
          <w:szCs w:val="22"/>
        </w:rPr>
        <w:t xml:space="preserve">Quarterly and </w:t>
      </w:r>
      <w:r w:rsidRPr="00711591">
        <w:rPr>
          <w:rFonts w:ascii="Calibri" w:hAnsi="Calibri" w:cs="Calibri"/>
          <w:sz w:val="22"/>
          <w:szCs w:val="22"/>
        </w:rPr>
        <w:t>Annual Reports, Annual Work Plans, Financial Reports, Meeting Minutes,</w:t>
      </w:r>
      <w:r>
        <w:rPr>
          <w:rFonts w:ascii="Calibri" w:hAnsi="Calibri" w:cs="Calibri"/>
          <w:sz w:val="22"/>
          <w:szCs w:val="22"/>
        </w:rPr>
        <w:t xml:space="preserve"> relevant Terms of Reference (including that of the </w:t>
      </w:r>
      <w:r w:rsidR="00EE6A8B">
        <w:rPr>
          <w:rFonts w:ascii="Calibri" w:hAnsi="Calibri" w:cs="Calibri"/>
          <w:sz w:val="22"/>
          <w:szCs w:val="22"/>
        </w:rPr>
        <w:t xml:space="preserve">Project Board, TWGs and </w:t>
      </w:r>
      <w:r>
        <w:rPr>
          <w:rFonts w:ascii="Calibri" w:hAnsi="Calibri" w:cs="Calibri"/>
          <w:sz w:val="22"/>
          <w:szCs w:val="22"/>
        </w:rPr>
        <w:t>Steering Committee)</w:t>
      </w:r>
      <w:r w:rsidRPr="00711591">
        <w:rPr>
          <w:rFonts w:ascii="Calibri" w:hAnsi="Calibri" w:cs="Calibri"/>
          <w:sz w:val="22"/>
          <w:szCs w:val="22"/>
        </w:rPr>
        <w:t xml:space="preserve"> communications materials, agreements with development partners, audit recommendations, consultant evaluations, and records of communications between stakeholders. </w:t>
      </w:r>
      <w:r w:rsidR="00543A2A" w:rsidRPr="00543A2A">
        <w:rPr>
          <w:rFonts w:ascii="Calibri" w:hAnsi="Calibri" w:cs="Calibri"/>
          <w:sz w:val="22"/>
          <w:szCs w:val="22"/>
        </w:rPr>
        <w:t>The country-level background will be obtained primarily from</w:t>
      </w:r>
      <w:r w:rsidR="00EE6A8B">
        <w:rPr>
          <w:rFonts w:ascii="Calibri" w:hAnsi="Calibri" w:cs="Calibri"/>
          <w:sz w:val="22"/>
          <w:szCs w:val="22"/>
        </w:rPr>
        <w:t xml:space="preserve"> CMAA, but will also rely heavily on</w:t>
      </w:r>
      <w:r w:rsidR="00543A2A" w:rsidRPr="00543A2A">
        <w:rPr>
          <w:rFonts w:ascii="Calibri" w:hAnsi="Calibri" w:cs="Calibri"/>
          <w:sz w:val="22"/>
          <w:szCs w:val="22"/>
        </w:rPr>
        <w:t xml:space="preserve"> UNDP</w:t>
      </w:r>
      <w:r w:rsidR="00EE6A8B">
        <w:rPr>
          <w:rFonts w:ascii="Calibri" w:hAnsi="Calibri" w:cs="Calibri"/>
          <w:sz w:val="22"/>
          <w:szCs w:val="22"/>
        </w:rPr>
        <w:t>,</w:t>
      </w:r>
      <w:r w:rsidR="008A529D">
        <w:rPr>
          <w:rFonts w:ascii="Calibri" w:hAnsi="Calibri" w:cs="Calibri"/>
          <w:sz w:val="22"/>
          <w:szCs w:val="22"/>
        </w:rPr>
        <w:t xml:space="preserve"> CfR II contractors</w:t>
      </w:r>
      <w:r w:rsidR="00EE6A8B">
        <w:rPr>
          <w:rFonts w:ascii="Calibri" w:hAnsi="Calibri" w:cs="Calibri"/>
          <w:sz w:val="22"/>
          <w:szCs w:val="22"/>
        </w:rPr>
        <w:t xml:space="preserve"> </w:t>
      </w:r>
      <w:r w:rsidR="008A529D">
        <w:rPr>
          <w:rFonts w:ascii="Calibri" w:hAnsi="Calibri" w:cs="Calibri"/>
          <w:sz w:val="22"/>
          <w:szCs w:val="22"/>
        </w:rPr>
        <w:t>(</w:t>
      </w:r>
      <w:r w:rsidR="00EE6A8B">
        <w:rPr>
          <w:rFonts w:ascii="Calibri" w:hAnsi="Calibri" w:cs="Calibri"/>
          <w:sz w:val="22"/>
          <w:szCs w:val="22"/>
        </w:rPr>
        <w:t xml:space="preserve">CMAC, </w:t>
      </w:r>
      <w:r w:rsidR="00EE6A8B" w:rsidRPr="00EE6A8B">
        <w:rPr>
          <w:rFonts w:ascii="Calibri" w:hAnsi="Calibri" w:cs="Calibri"/>
          <w:sz w:val="22"/>
          <w:szCs w:val="22"/>
          <w:highlight w:val="yellow"/>
        </w:rPr>
        <w:t>RCAF demining units</w:t>
      </w:r>
      <w:r w:rsidR="008A529D">
        <w:rPr>
          <w:rFonts w:ascii="Calibri" w:hAnsi="Calibri" w:cs="Calibri"/>
          <w:sz w:val="22"/>
          <w:szCs w:val="22"/>
          <w:highlight w:val="yellow"/>
        </w:rPr>
        <w:t>, GICHD/NPA)</w:t>
      </w:r>
      <w:r w:rsidR="00EE6A8B" w:rsidRPr="00EE6A8B">
        <w:rPr>
          <w:rFonts w:ascii="Calibri" w:hAnsi="Calibri" w:cs="Calibri"/>
          <w:sz w:val="22"/>
          <w:szCs w:val="22"/>
          <w:highlight w:val="yellow"/>
        </w:rPr>
        <w:t>,</w:t>
      </w:r>
      <w:r w:rsidR="0098461E">
        <w:rPr>
          <w:rFonts w:ascii="Calibri" w:hAnsi="Calibri" w:cs="Calibri"/>
          <w:sz w:val="22"/>
          <w:szCs w:val="22"/>
        </w:rPr>
        <w:t xml:space="preserve"> and other stakeholders within the Cambodian mine action sector</w:t>
      </w:r>
      <w:r w:rsidR="00EE6A8B">
        <w:rPr>
          <w:rFonts w:ascii="Calibri" w:hAnsi="Calibri" w:cs="Calibri"/>
          <w:sz w:val="22"/>
          <w:szCs w:val="22"/>
        </w:rPr>
        <w:t xml:space="preserve"> </w:t>
      </w:r>
      <w:r w:rsidR="008A529D">
        <w:rPr>
          <w:rFonts w:ascii="Calibri" w:hAnsi="Calibri" w:cs="Calibri"/>
          <w:sz w:val="22"/>
          <w:szCs w:val="22"/>
        </w:rPr>
        <w:t xml:space="preserve">(such as MAG, HALO Trust, HI and ICRC etc) </w:t>
      </w:r>
      <w:r w:rsidR="00543A2A">
        <w:rPr>
          <w:rFonts w:ascii="Calibri" w:hAnsi="Calibri" w:cs="Calibri"/>
          <w:sz w:val="22"/>
          <w:szCs w:val="22"/>
        </w:rPr>
        <w:t>Information sought will relate to</w:t>
      </w:r>
      <w:r w:rsidR="0098461E">
        <w:rPr>
          <w:rFonts w:ascii="Calibri" w:hAnsi="Calibri" w:cs="Calibri"/>
          <w:sz w:val="22"/>
          <w:szCs w:val="22"/>
        </w:rPr>
        <w:t>, and be structured in terms of,</w:t>
      </w:r>
      <w:r w:rsidR="00543A2A">
        <w:rPr>
          <w:rFonts w:ascii="Calibri" w:hAnsi="Calibri" w:cs="Calibri"/>
          <w:sz w:val="22"/>
          <w:szCs w:val="22"/>
        </w:rPr>
        <w:t xml:space="preserve"> the</w:t>
      </w:r>
      <w:r w:rsidR="0098461E">
        <w:rPr>
          <w:rFonts w:ascii="Calibri" w:hAnsi="Calibri" w:cs="Calibri"/>
          <w:sz w:val="22"/>
          <w:szCs w:val="22"/>
        </w:rPr>
        <w:t xml:space="preserve"> core</w:t>
      </w:r>
      <w:r w:rsidR="00543A2A">
        <w:rPr>
          <w:rFonts w:ascii="Calibri" w:hAnsi="Calibri" w:cs="Calibri"/>
          <w:sz w:val="22"/>
          <w:szCs w:val="22"/>
        </w:rPr>
        <w:t xml:space="preserve"> evaluation questions. </w:t>
      </w:r>
    </w:p>
    <w:p w14:paraId="2BF3646F" w14:textId="77777777" w:rsidR="004C21AE" w:rsidRDefault="004C21AE" w:rsidP="004C21AE">
      <w:pPr>
        <w:pStyle w:val="BodyText"/>
        <w:spacing w:after="0"/>
        <w:jc w:val="both"/>
        <w:rPr>
          <w:rFonts w:ascii="Calibri" w:hAnsi="Calibri" w:cs="Calibri"/>
          <w:sz w:val="22"/>
          <w:szCs w:val="22"/>
        </w:rPr>
      </w:pPr>
    </w:p>
    <w:p w14:paraId="390FBDDC" w14:textId="62B0439B" w:rsidR="004C21AE" w:rsidRPr="004C21AE" w:rsidRDefault="004C21AE" w:rsidP="004C21AE">
      <w:pPr>
        <w:pStyle w:val="BodyText"/>
        <w:numPr>
          <w:ilvl w:val="0"/>
          <w:numId w:val="4"/>
        </w:numPr>
        <w:spacing w:after="0"/>
        <w:jc w:val="both"/>
        <w:rPr>
          <w:rFonts w:ascii="Calibri" w:hAnsi="Calibri" w:cs="Calibri"/>
          <w:i/>
          <w:sz w:val="22"/>
          <w:szCs w:val="22"/>
        </w:rPr>
      </w:pPr>
      <w:r>
        <w:rPr>
          <w:rFonts w:ascii="Calibri" w:hAnsi="Calibri" w:cs="Calibri"/>
          <w:sz w:val="22"/>
          <w:szCs w:val="22"/>
        </w:rPr>
        <w:t>Interviews with key non-resident donors.</w:t>
      </w:r>
      <w:r w:rsidR="00AE0D9B">
        <w:rPr>
          <w:rFonts w:ascii="Calibri" w:hAnsi="Calibri" w:cs="Calibri"/>
          <w:sz w:val="22"/>
          <w:szCs w:val="22"/>
        </w:rPr>
        <w:t xml:space="preserve"> Interviews with key no</w:t>
      </w:r>
      <w:r w:rsidR="0098461E">
        <w:rPr>
          <w:rFonts w:ascii="Calibri" w:hAnsi="Calibri" w:cs="Calibri"/>
          <w:sz w:val="22"/>
          <w:szCs w:val="22"/>
        </w:rPr>
        <w:t>n-resident donors such as Canada</w:t>
      </w:r>
      <w:r w:rsidR="00AE0D9B">
        <w:rPr>
          <w:rFonts w:ascii="Calibri" w:hAnsi="Calibri" w:cs="Calibri"/>
          <w:sz w:val="22"/>
          <w:szCs w:val="22"/>
        </w:rPr>
        <w:t>, may be undertaken via Skype or telephone using a semi-structured interview guide relevant to the evaluation questions.</w:t>
      </w:r>
    </w:p>
    <w:p w14:paraId="188698B3" w14:textId="77777777" w:rsidR="004C21AE" w:rsidRDefault="004C21AE" w:rsidP="004C21AE">
      <w:pPr>
        <w:pStyle w:val="BodyText"/>
        <w:spacing w:after="0"/>
        <w:ind w:left="720"/>
        <w:jc w:val="both"/>
        <w:rPr>
          <w:rFonts w:ascii="Calibri" w:hAnsi="Calibri" w:cs="Calibri"/>
          <w:sz w:val="22"/>
          <w:szCs w:val="22"/>
        </w:rPr>
      </w:pPr>
    </w:p>
    <w:p w14:paraId="7E9CD4FA" w14:textId="5AA8C38C" w:rsidR="004C21AE" w:rsidRDefault="004C21AE" w:rsidP="004C21AE">
      <w:pPr>
        <w:pStyle w:val="BodyText"/>
        <w:spacing w:after="0"/>
        <w:ind w:left="720"/>
        <w:jc w:val="both"/>
        <w:rPr>
          <w:rFonts w:ascii="Calibri" w:hAnsi="Calibri" w:cs="Calibri"/>
          <w:b/>
          <w:i/>
          <w:sz w:val="22"/>
          <w:szCs w:val="22"/>
        </w:rPr>
      </w:pPr>
      <w:r w:rsidRPr="004C21AE">
        <w:rPr>
          <w:rFonts w:ascii="Calibri" w:hAnsi="Calibri" w:cs="Calibri"/>
          <w:b/>
          <w:i/>
          <w:sz w:val="22"/>
          <w:szCs w:val="22"/>
        </w:rPr>
        <w:t xml:space="preserve">(B). </w:t>
      </w:r>
      <w:r w:rsidR="00E736DA">
        <w:rPr>
          <w:rFonts w:ascii="Calibri" w:hAnsi="Calibri" w:cs="Calibri"/>
          <w:b/>
          <w:i/>
          <w:sz w:val="22"/>
          <w:szCs w:val="22"/>
        </w:rPr>
        <w:t xml:space="preserve">Data Collection: </w:t>
      </w:r>
      <w:r w:rsidR="00E736DA" w:rsidRPr="004C21AE">
        <w:rPr>
          <w:rFonts w:ascii="Calibri" w:hAnsi="Calibri" w:cs="Calibri"/>
          <w:b/>
          <w:i/>
          <w:sz w:val="22"/>
          <w:szCs w:val="22"/>
        </w:rPr>
        <w:t>Field Visits</w:t>
      </w:r>
    </w:p>
    <w:p w14:paraId="269E9D9F" w14:textId="77777777" w:rsidR="001B2997" w:rsidRPr="004C21AE" w:rsidRDefault="001B2997" w:rsidP="004C21AE">
      <w:pPr>
        <w:pStyle w:val="BodyText"/>
        <w:spacing w:after="0"/>
        <w:ind w:left="720"/>
        <w:jc w:val="both"/>
        <w:rPr>
          <w:rFonts w:ascii="Calibri" w:hAnsi="Calibri" w:cs="Calibri"/>
          <w:b/>
          <w:i/>
          <w:sz w:val="22"/>
          <w:szCs w:val="22"/>
        </w:rPr>
      </w:pPr>
    </w:p>
    <w:p w14:paraId="61A385BC" w14:textId="500066B1" w:rsidR="004C21AE" w:rsidRPr="008A529D" w:rsidRDefault="00265294" w:rsidP="008A529D">
      <w:pPr>
        <w:pStyle w:val="BodyText"/>
        <w:ind w:left="720"/>
        <w:jc w:val="both"/>
        <w:rPr>
          <w:rFonts w:asciiTheme="majorHAnsi" w:hAnsiTheme="majorHAnsi" w:cs="Calibri"/>
          <w:sz w:val="22"/>
          <w:szCs w:val="22"/>
        </w:rPr>
      </w:pPr>
      <w:r w:rsidRPr="008A529D">
        <w:rPr>
          <w:rFonts w:asciiTheme="majorHAnsi" w:hAnsiTheme="majorHAnsi" w:cs="Calibri"/>
          <w:sz w:val="22"/>
          <w:szCs w:val="22"/>
        </w:rPr>
        <w:t>The purpose of the field visits is to assess</w:t>
      </w:r>
      <w:r w:rsidR="008A529D" w:rsidRPr="008A529D">
        <w:rPr>
          <w:rFonts w:asciiTheme="majorHAnsi" w:hAnsiTheme="majorHAnsi" w:cs="Calibri"/>
          <w:sz w:val="22"/>
          <w:szCs w:val="22"/>
        </w:rPr>
        <w:t xml:space="preserve"> the extent, </w:t>
      </w:r>
      <w:r w:rsidRPr="008A529D">
        <w:rPr>
          <w:rFonts w:asciiTheme="majorHAnsi" w:hAnsiTheme="majorHAnsi" w:cs="Calibri"/>
          <w:sz w:val="22"/>
          <w:szCs w:val="22"/>
        </w:rPr>
        <w:t>quality and satisfaction with</w:t>
      </w:r>
      <w:r w:rsidR="008A529D" w:rsidRPr="008A529D">
        <w:rPr>
          <w:rFonts w:asciiTheme="majorHAnsi" w:hAnsiTheme="majorHAnsi" w:cs="Calibri"/>
          <w:sz w:val="22"/>
          <w:szCs w:val="22"/>
        </w:rPr>
        <w:t>,</w:t>
      </w:r>
      <w:r w:rsidR="00BD208B">
        <w:rPr>
          <w:rFonts w:asciiTheme="majorHAnsi" w:hAnsiTheme="majorHAnsi" w:cs="Calibri"/>
          <w:sz w:val="22"/>
          <w:szCs w:val="22"/>
        </w:rPr>
        <w:t xml:space="preserve"> of</w:t>
      </w:r>
      <w:r w:rsidRPr="008A529D">
        <w:rPr>
          <w:rFonts w:asciiTheme="majorHAnsi" w:hAnsiTheme="majorHAnsi" w:cs="Calibri"/>
          <w:sz w:val="22"/>
          <w:szCs w:val="22"/>
        </w:rPr>
        <w:t xml:space="preserve"> the outputs and outcomes</w:t>
      </w:r>
      <w:r w:rsidR="00BD208B">
        <w:rPr>
          <w:rFonts w:asciiTheme="majorHAnsi" w:hAnsiTheme="majorHAnsi" w:cs="Calibri"/>
          <w:sz w:val="22"/>
          <w:szCs w:val="22"/>
        </w:rPr>
        <w:t xml:space="preserve"> of the CfR II project, especially from the perspective of</w:t>
      </w:r>
      <w:r w:rsidRPr="008A529D">
        <w:rPr>
          <w:rFonts w:asciiTheme="majorHAnsi" w:hAnsiTheme="majorHAnsi" w:cs="Calibri"/>
          <w:sz w:val="22"/>
          <w:szCs w:val="22"/>
        </w:rPr>
        <w:t xml:space="preserve"> the end user</w:t>
      </w:r>
      <w:r w:rsidR="008A529D" w:rsidRPr="008A529D">
        <w:rPr>
          <w:rFonts w:asciiTheme="majorHAnsi" w:hAnsiTheme="majorHAnsi" w:cs="Calibri"/>
          <w:sz w:val="22"/>
          <w:szCs w:val="22"/>
        </w:rPr>
        <w:t>s</w:t>
      </w:r>
      <w:r w:rsidR="00BD208B">
        <w:rPr>
          <w:rFonts w:asciiTheme="majorHAnsi" w:hAnsiTheme="majorHAnsi" w:cs="Calibri"/>
          <w:sz w:val="22"/>
          <w:szCs w:val="22"/>
        </w:rPr>
        <w:t xml:space="preserve"> of the land cleared,</w:t>
      </w:r>
      <w:r w:rsidRPr="008A529D">
        <w:rPr>
          <w:rFonts w:asciiTheme="majorHAnsi" w:hAnsiTheme="majorHAnsi" w:cs="Calibri"/>
          <w:sz w:val="22"/>
          <w:szCs w:val="22"/>
        </w:rPr>
        <w:t xml:space="preserve"> and</w:t>
      </w:r>
      <w:r w:rsidR="00BD208B">
        <w:rPr>
          <w:rFonts w:asciiTheme="majorHAnsi" w:hAnsiTheme="majorHAnsi" w:cs="Calibri"/>
          <w:sz w:val="22"/>
          <w:szCs w:val="22"/>
        </w:rPr>
        <w:t xml:space="preserve"> especially</w:t>
      </w:r>
      <w:r w:rsidRPr="008A529D">
        <w:rPr>
          <w:rFonts w:asciiTheme="majorHAnsi" w:hAnsiTheme="majorHAnsi" w:cs="Calibri"/>
          <w:sz w:val="22"/>
          <w:szCs w:val="22"/>
        </w:rPr>
        <w:t xml:space="preserve"> to assess the relevance, effectiveness, efficiency of the </w:t>
      </w:r>
      <w:r w:rsidR="008A529D" w:rsidRPr="008A529D">
        <w:rPr>
          <w:rFonts w:asciiTheme="majorHAnsi" w:hAnsiTheme="majorHAnsi" w:cs="Calibri"/>
          <w:sz w:val="22"/>
          <w:szCs w:val="22"/>
        </w:rPr>
        <w:t xml:space="preserve">current </w:t>
      </w:r>
      <w:r w:rsidRPr="008A529D">
        <w:rPr>
          <w:rFonts w:asciiTheme="majorHAnsi" w:hAnsiTheme="majorHAnsi" w:cs="Calibri"/>
          <w:sz w:val="22"/>
          <w:szCs w:val="22"/>
        </w:rPr>
        <w:t>prioritization and planning processes</w:t>
      </w:r>
      <w:r w:rsidR="008A529D">
        <w:rPr>
          <w:rFonts w:asciiTheme="majorHAnsi" w:hAnsiTheme="majorHAnsi" w:cs="Calibri"/>
          <w:sz w:val="22"/>
          <w:szCs w:val="22"/>
        </w:rPr>
        <w:t>.</w:t>
      </w:r>
    </w:p>
    <w:p w14:paraId="594E7482" w14:textId="519F9172" w:rsidR="004C21AE" w:rsidRPr="008A529D" w:rsidRDefault="004C21AE" w:rsidP="008A529D">
      <w:pPr>
        <w:pStyle w:val="BodyText"/>
        <w:numPr>
          <w:ilvl w:val="0"/>
          <w:numId w:val="4"/>
        </w:numPr>
        <w:jc w:val="both"/>
        <w:rPr>
          <w:rFonts w:asciiTheme="majorHAnsi" w:hAnsiTheme="majorHAnsi" w:cs="Calibri"/>
          <w:i/>
          <w:sz w:val="22"/>
          <w:szCs w:val="22"/>
        </w:rPr>
      </w:pPr>
      <w:r w:rsidRPr="008A529D">
        <w:rPr>
          <w:rFonts w:asciiTheme="majorHAnsi" w:hAnsiTheme="majorHAnsi" w:cs="Calibri"/>
          <w:sz w:val="22"/>
          <w:szCs w:val="22"/>
        </w:rPr>
        <w:lastRenderedPageBreak/>
        <w:t>Visits to sele</w:t>
      </w:r>
      <w:r w:rsidR="008A529D">
        <w:rPr>
          <w:rFonts w:asciiTheme="majorHAnsi" w:hAnsiTheme="majorHAnsi" w:cs="Calibri"/>
          <w:sz w:val="22"/>
          <w:szCs w:val="22"/>
        </w:rPr>
        <w:t>cted provinces</w:t>
      </w:r>
      <w:r w:rsidR="00BD208B">
        <w:rPr>
          <w:rFonts w:asciiTheme="majorHAnsi" w:hAnsiTheme="majorHAnsi" w:cs="Calibri"/>
          <w:sz w:val="22"/>
          <w:szCs w:val="22"/>
        </w:rPr>
        <w:t>, and selected target communities within these,</w:t>
      </w:r>
      <w:r w:rsidR="008A529D">
        <w:rPr>
          <w:rFonts w:asciiTheme="majorHAnsi" w:hAnsiTheme="majorHAnsi" w:cs="Calibri"/>
          <w:sz w:val="22"/>
          <w:szCs w:val="22"/>
        </w:rPr>
        <w:t xml:space="preserve"> i</w:t>
      </w:r>
      <w:r w:rsidR="00BD208B">
        <w:rPr>
          <w:rFonts w:asciiTheme="majorHAnsi" w:hAnsiTheme="majorHAnsi" w:cs="Calibri"/>
          <w:sz w:val="22"/>
          <w:szCs w:val="22"/>
        </w:rPr>
        <w:t>n which CfR II partners conduct</w:t>
      </w:r>
      <w:r w:rsidRPr="008A529D">
        <w:rPr>
          <w:rFonts w:asciiTheme="majorHAnsi" w:hAnsiTheme="majorHAnsi" w:cs="Calibri"/>
          <w:sz w:val="22"/>
          <w:szCs w:val="22"/>
        </w:rPr>
        <w:t xml:space="preserve"> clearance activities</w:t>
      </w:r>
      <w:r w:rsidR="008A529D">
        <w:rPr>
          <w:rFonts w:asciiTheme="majorHAnsi" w:hAnsiTheme="majorHAnsi" w:cs="Calibri"/>
          <w:sz w:val="22"/>
          <w:szCs w:val="22"/>
        </w:rPr>
        <w:t xml:space="preserve"> (Battambang, Pailin and Banteay-Meanchay)</w:t>
      </w:r>
      <w:r w:rsidRPr="008A529D">
        <w:rPr>
          <w:rFonts w:asciiTheme="majorHAnsi" w:hAnsiTheme="majorHAnsi" w:cs="Calibri"/>
          <w:sz w:val="22"/>
          <w:szCs w:val="22"/>
        </w:rPr>
        <w:t xml:space="preserve">. </w:t>
      </w:r>
    </w:p>
    <w:p w14:paraId="31D878B1" w14:textId="6F437D23" w:rsidR="004C21AE" w:rsidRPr="004C21AE" w:rsidRDefault="000E12AC" w:rsidP="008A529D">
      <w:pPr>
        <w:pStyle w:val="BodyText"/>
        <w:numPr>
          <w:ilvl w:val="0"/>
          <w:numId w:val="4"/>
        </w:numPr>
        <w:jc w:val="both"/>
        <w:rPr>
          <w:rFonts w:ascii="Calibri" w:hAnsi="Calibri" w:cs="Calibri"/>
          <w:i/>
          <w:sz w:val="22"/>
          <w:szCs w:val="22"/>
        </w:rPr>
      </w:pPr>
      <w:r w:rsidRPr="008A529D">
        <w:rPr>
          <w:rFonts w:asciiTheme="majorHAnsi" w:hAnsiTheme="majorHAnsi" w:cs="Calibri"/>
          <w:sz w:val="22"/>
          <w:szCs w:val="22"/>
        </w:rPr>
        <w:t>Semi-structured i</w:t>
      </w:r>
      <w:r w:rsidR="004C21AE" w:rsidRPr="008A529D">
        <w:rPr>
          <w:rFonts w:asciiTheme="majorHAnsi" w:hAnsiTheme="majorHAnsi" w:cs="Calibri"/>
          <w:sz w:val="22"/>
          <w:szCs w:val="22"/>
        </w:rPr>
        <w:t>nterviews and</w:t>
      </w:r>
      <w:r w:rsidR="008A529D">
        <w:rPr>
          <w:rFonts w:asciiTheme="majorHAnsi" w:hAnsiTheme="majorHAnsi" w:cs="Calibri"/>
          <w:sz w:val="22"/>
          <w:szCs w:val="22"/>
        </w:rPr>
        <w:t>/or</w:t>
      </w:r>
      <w:r w:rsidR="004C21AE" w:rsidRPr="008A529D">
        <w:rPr>
          <w:rFonts w:asciiTheme="majorHAnsi" w:hAnsiTheme="majorHAnsi" w:cs="Calibri"/>
          <w:sz w:val="22"/>
          <w:szCs w:val="22"/>
        </w:rPr>
        <w:t xml:space="preserve"> </w:t>
      </w:r>
      <w:r w:rsidRPr="008A529D">
        <w:rPr>
          <w:rFonts w:asciiTheme="majorHAnsi" w:hAnsiTheme="majorHAnsi" w:cs="Calibri"/>
          <w:sz w:val="22"/>
          <w:szCs w:val="22"/>
        </w:rPr>
        <w:t xml:space="preserve">focus group </w:t>
      </w:r>
      <w:r w:rsidR="004C21AE" w:rsidRPr="008A529D">
        <w:rPr>
          <w:rFonts w:asciiTheme="majorHAnsi" w:hAnsiTheme="majorHAnsi" w:cs="Calibri"/>
          <w:sz w:val="22"/>
          <w:szCs w:val="22"/>
        </w:rPr>
        <w:t>discussions with local- and field-lev</w:t>
      </w:r>
      <w:r w:rsidR="008A529D">
        <w:rPr>
          <w:rFonts w:asciiTheme="majorHAnsi" w:hAnsiTheme="majorHAnsi" w:cs="Calibri"/>
          <w:sz w:val="22"/>
          <w:szCs w:val="22"/>
        </w:rPr>
        <w:t>el clearance operation staff and represen</w:t>
      </w:r>
      <w:r w:rsidR="00BD208B">
        <w:rPr>
          <w:rFonts w:asciiTheme="majorHAnsi" w:hAnsiTheme="majorHAnsi" w:cs="Calibri"/>
          <w:sz w:val="22"/>
          <w:szCs w:val="22"/>
        </w:rPr>
        <w:t>t</w:t>
      </w:r>
      <w:r w:rsidR="008A529D">
        <w:rPr>
          <w:rFonts w:asciiTheme="majorHAnsi" w:hAnsiTheme="majorHAnsi" w:cs="Calibri"/>
          <w:sz w:val="22"/>
          <w:szCs w:val="22"/>
        </w:rPr>
        <w:t xml:space="preserve">atives of the MAPU, PMAC and other local stakeholders (such as village and district chiefs). </w:t>
      </w:r>
      <w:r w:rsidR="00AE0D9B">
        <w:rPr>
          <w:rFonts w:ascii="Calibri" w:hAnsi="Calibri" w:cs="Calibri"/>
          <w:sz w:val="22"/>
          <w:szCs w:val="22"/>
        </w:rPr>
        <w:t xml:space="preserve">The interviews will also examine the extent to which the prioritization and clearance process promote the rights of end-users, </w:t>
      </w:r>
      <w:r w:rsidR="00BD208B">
        <w:rPr>
          <w:rFonts w:ascii="Calibri" w:hAnsi="Calibri" w:cs="Calibri"/>
          <w:sz w:val="22"/>
          <w:szCs w:val="22"/>
        </w:rPr>
        <w:t>‘</w:t>
      </w:r>
      <w:r w:rsidR="00AE0D9B">
        <w:rPr>
          <w:rFonts w:ascii="Calibri" w:hAnsi="Calibri" w:cs="Calibri"/>
          <w:sz w:val="22"/>
          <w:szCs w:val="22"/>
        </w:rPr>
        <w:t>do no harm</w:t>
      </w:r>
      <w:r w:rsidR="00BD208B">
        <w:rPr>
          <w:rFonts w:ascii="Calibri" w:hAnsi="Calibri" w:cs="Calibri"/>
          <w:sz w:val="22"/>
          <w:szCs w:val="22"/>
        </w:rPr>
        <w:t>’ approaches and are gender included.</w:t>
      </w:r>
      <w:r w:rsidR="00AE0D9B">
        <w:rPr>
          <w:rFonts w:ascii="Calibri" w:hAnsi="Calibri" w:cs="Calibri"/>
          <w:sz w:val="22"/>
          <w:szCs w:val="22"/>
        </w:rPr>
        <w:t xml:space="preserve"> </w:t>
      </w:r>
    </w:p>
    <w:p w14:paraId="0D4B971A" w14:textId="0B249304" w:rsidR="000E12AC" w:rsidRPr="00AE0D9B" w:rsidRDefault="008A529D" w:rsidP="008A529D">
      <w:pPr>
        <w:pStyle w:val="BodyText"/>
        <w:numPr>
          <w:ilvl w:val="0"/>
          <w:numId w:val="4"/>
        </w:numPr>
        <w:jc w:val="both"/>
        <w:rPr>
          <w:rFonts w:ascii="Calibri" w:hAnsi="Calibri" w:cs="Calibri"/>
          <w:i/>
          <w:sz w:val="22"/>
          <w:szCs w:val="22"/>
        </w:rPr>
      </w:pPr>
      <w:r>
        <w:rPr>
          <w:rFonts w:ascii="Calibri" w:hAnsi="Calibri" w:cs="Calibri"/>
          <w:sz w:val="22"/>
          <w:szCs w:val="22"/>
        </w:rPr>
        <w:t>Case studies</w:t>
      </w:r>
      <w:r w:rsidR="00BD208B">
        <w:rPr>
          <w:rFonts w:ascii="Calibri" w:hAnsi="Calibri" w:cs="Calibri"/>
          <w:sz w:val="22"/>
          <w:szCs w:val="22"/>
        </w:rPr>
        <w:t>, based on direct observation,</w:t>
      </w:r>
      <w:r>
        <w:rPr>
          <w:rFonts w:ascii="Calibri" w:hAnsi="Calibri" w:cs="Calibri"/>
          <w:sz w:val="22"/>
          <w:szCs w:val="22"/>
        </w:rPr>
        <w:t xml:space="preserve"> i</w:t>
      </w:r>
      <w:r w:rsidR="004C21AE" w:rsidRPr="00AE0D9B">
        <w:rPr>
          <w:rFonts w:ascii="Calibri" w:hAnsi="Calibri" w:cs="Calibri"/>
          <w:sz w:val="22"/>
          <w:szCs w:val="22"/>
        </w:rPr>
        <w:t>n field sites where area clearance is currently underway</w:t>
      </w:r>
      <w:r w:rsidR="00AE0D9B" w:rsidRPr="00AE0D9B">
        <w:rPr>
          <w:rFonts w:ascii="Calibri" w:hAnsi="Calibri" w:cs="Calibri"/>
          <w:sz w:val="22"/>
          <w:szCs w:val="22"/>
        </w:rPr>
        <w:t xml:space="preserve"> to gain evidence of</w:t>
      </w:r>
      <w:r w:rsidR="00627D72" w:rsidRPr="00AE0D9B">
        <w:rPr>
          <w:rFonts w:ascii="Calibri" w:hAnsi="Calibri" w:cs="Calibri"/>
          <w:sz w:val="22"/>
          <w:szCs w:val="22"/>
        </w:rPr>
        <w:t xml:space="preserve"> outputs</w:t>
      </w:r>
      <w:r w:rsidR="000E12AC" w:rsidRPr="00AE0D9B">
        <w:rPr>
          <w:rFonts w:ascii="Calibri" w:hAnsi="Calibri" w:cs="Calibri"/>
          <w:sz w:val="22"/>
          <w:szCs w:val="22"/>
        </w:rPr>
        <w:t>; this to be complemented with photographic and/or video documentation</w:t>
      </w:r>
      <w:r w:rsidR="00AE0D9B" w:rsidRPr="00AE0D9B">
        <w:rPr>
          <w:rFonts w:ascii="Calibri" w:hAnsi="Calibri" w:cs="Calibri"/>
          <w:sz w:val="22"/>
          <w:szCs w:val="22"/>
        </w:rPr>
        <w:t xml:space="preserve"> </w:t>
      </w:r>
    </w:p>
    <w:p w14:paraId="5B317CE6" w14:textId="51BAEED9" w:rsidR="001F216E" w:rsidRPr="003A44EC" w:rsidRDefault="00A475E7" w:rsidP="003A44EC">
      <w:pPr>
        <w:pStyle w:val="BodyText"/>
        <w:numPr>
          <w:ilvl w:val="0"/>
          <w:numId w:val="4"/>
        </w:numPr>
        <w:spacing w:after="0"/>
        <w:jc w:val="both"/>
        <w:rPr>
          <w:rFonts w:ascii="Calibri" w:hAnsi="Calibri" w:cs="Calibri"/>
          <w:i/>
          <w:sz w:val="22"/>
          <w:szCs w:val="22"/>
        </w:rPr>
      </w:pPr>
      <w:r>
        <w:rPr>
          <w:rFonts w:ascii="Calibri" w:hAnsi="Calibri" w:cs="Calibri"/>
          <w:sz w:val="22"/>
          <w:szCs w:val="22"/>
        </w:rPr>
        <w:t xml:space="preserve">Case studies developed by </w:t>
      </w:r>
      <w:r w:rsidR="00BD208B">
        <w:rPr>
          <w:rFonts w:ascii="Calibri" w:hAnsi="Calibri" w:cs="Calibri"/>
          <w:sz w:val="22"/>
          <w:szCs w:val="22"/>
        </w:rPr>
        <w:t>s</w:t>
      </w:r>
      <w:r w:rsidR="000E12AC">
        <w:rPr>
          <w:rFonts w:ascii="Calibri" w:hAnsi="Calibri" w:cs="Calibri"/>
          <w:sz w:val="22"/>
          <w:szCs w:val="22"/>
        </w:rPr>
        <w:t>emi-structured interviews and focus group discussions with beneficiaries of clearance, allowing for analysis of</w:t>
      </w:r>
      <w:r w:rsidR="000E12AC">
        <w:rPr>
          <w:rFonts w:ascii="Calibri" w:hAnsi="Calibri" w:cs="Calibri"/>
          <w:i/>
          <w:sz w:val="22"/>
          <w:szCs w:val="22"/>
        </w:rPr>
        <w:t xml:space="preserve"> </w:t>
      </w:r>
      <w:r w:rsidR="004C21AE" w:rsidRPr="000E12AC">
        <w:rPr>
          <w:rFonts w:ascii="Calibri" w:hAnsi="Calibri" w:cs="Calibri"/>
          <w:sz w:val="22"/>
          <w:szCs w:val="22"/>
        </w:rPr>
        <w:t xml:space="preserve">past clearance activities by </w:t>
      </w:r>
      <w:r w:rsidR="008A529D">
        <w:rPr>
          <w:rFonts w:ascii="Calibri" w:hAnsi="Calibri" w:cs="Calibri"/>
          <w:sz w:val="22"/>
          <w:szCs w:val="22"/>
        </w:rPr>
        <w:t>CfR II partners (2011-13</w:t>
      </w:r>
      <w:r w:rsidR="004C21AE" w:rsidRPr="000E12AC">
        <w:rPr>
          <w:rFonts w:ascii="Calibri" w:hAnsi="Calibri" w:cs="Calibri"/>
          <w:sz w:val="22"/>
          <w:szCs w:val="22"/>
        </w:rPr>
        <w:t>)</w:t>
      </w:r>
      <w:r>
        <w:rPr>
          <w:rFonts w:ascii="Calibri" w:hAnsi="Calibri" w:cs="Calibri"/>
          <w:sz w:val="22"/>
          <w:szCs w:val="22"/>
        </w:rPr>
        <w:t xml:space="preserve"> to gain evidence of outputs and outcomes</w:t>
      </w:r>
      <w:r w:rsidR="008A529D">
        <w:rPr>
          <w:rFonts w:ascii="Calibri" w:hAnsi="Calibri" w:cs="Calibri"/>
          <w:sz w:val="22"/>
          <w:szCs w:val="22"/>
        </w:rPr>
        <w:t xml:space="preserve"> (assessed against the 5 key evaluation questions</w:t>
      </w:r>
      <w:r w:rsidR="00AE0D9B">
        <w:rPr>
          <w:rFonts w:ascii="Calibri" w:hAnsi="Calibri" w:cs="Calibri"/>
          <w:sz w:val="22"/>
          <w:szCs w:val="22"/>
        </w:rPr>
        <w:t xml:space="preserve">). The interviews will also examine the extent to which end-users are satisfied with the prioritization and clearance process, that these processes do no harm and are gender inclusive. </w:t>
      </w:r>
      <w:r w:rsidR="000E12AC" w:rsidRPr="00265294">
        <w:rPr>
          <w:rFonts w:ascii="Calibri" w:hAnsi="Calibri" w:cs="Calibri"/>
          <w:sz w:val="22"/>
          <w:szCs w:val="22"/>
        </w:rPr>
        <w:t>This to be complemented with photographic and/or video documentation.</w:t>
      </w:r>
    </w:p>
    <w:p w14:paraId="2B5DA412" w14:textId="77777777" w:rsidR="003A44EC" w:rsidRPr="003A44EC" w:rsidRDefault="003A44EC" w:rsidP="003A44EC">
      <w:pPr>
        <w:pStyle w:val="BodyText"/>
        <w:spacing w:after="0"/>
        <w:ind w:left="720"/>
        <w:jc w:val="both"/>
        <w:rPr>
          <w:rFonts w:ascii="Calibri" w:hAnsi="Calibri" w:cs="Calibri"/>
          <w:i/>
          <w:sz w:val="22"/>
          <w:szCs w:val="22"/>
        </w:rPr>
      </w:pPr>
    </w:p>
    <w:p w14:paraId="1F15EF6A" w14:textId="0B69CB3C" w:rsidR="00C364B1" w:rsidRDefault="001F216E" w:rsidP="003A44EC">
      <w:pPr>
        <w:pStyle w:val="BodyText"/>
        <w:spacing w:after="0"/>
        <w:jc w:val="both"/>
        <w:rPr>
          <w:rFonts w:ascii="Calibri" w:hAnsi="Calibri" w:cs="Calibri"/>
          <w:b/>
          <w:sz w:val="22"/>
          <w:szCs w:val="22"/>
        </w:rPr>
      </w:pPr>
      <w:r w:rsidRPr="001F216E">
        <w:rPr>
          <w:rFonts w:ascii="Calibri" w:hAnsi="Calibri" w:cs="Calibri"/>
          <w:b/>
          <w:sz w:val="22"/>
          <w:szCs w:val="22"/>
        </w:rPr>
        <w:t>Criteria for Selection of Field Sites:</w:t>
      </w:r>
    </w:p>
    <w:p w14:paraId="426C0986" w14:textId="77777777" w:rsidR="003A44EC" w:rsidRPr="003A44EC" w:rsidRDefault="003A44EC" w:rsidP="003A44EC">
      <w:pPr>
        <w:pStyle w:val="BodyText"/>
        <w:spacing w:after="0"/>
        <w:jc w:val="both"/>
        <w:rPr>
          <w:rFonts w:ascii="Calibri" w:hAnsi="Calibri" w:cs="Calibri"/>
          <w:b/>
          <w:sz w:val="22"/>
          <w:szCs w:val="22"/>
        </w:rPr>
      </w:pPr>
    </w:p>
    <w:p w14:paraId="79FB6AE7" w14:textId="0399B29F" w:rsidR="00C364B1" w:rsidRDefault="00C364B1" w:rsidP="003A44EC">
      <w:pPr>
        <w:pStyle w:val="BodyText"/>
        <w:jc w:val="both"/>
        <w:rPr>
          <w:rFonts w:ascii="Calibri" w:hAnsi="Calibri" w:cs="Calibri"/>
          <w:sz w:val="22"/>
          <w:szCs w:val="22"/>
        </w:rPr>
      </w:pPr>
      <w:r>
        <w:rPr>
          <w:rFonts w:ascii="Calibri" w:hAnsi="Calibri" w:cs="Calibri"/>
          <w:sz w:val="22"/>
          <w:szCs w:val="22"/>
        </w:rPr>
        <w:t xml:space="preserve">Criteria for field site selection </w:t>
      </w:r>
      <w:r w:rsidR="008A529D">
        <w:rPr>
          <w:rFonts w:ascii="Calibri" w:hAnsi="Calibri" w:cs="Calibri"/>
          <w:sz w:val="22"/>
          <w:szCs w:val="22"/>
        </w:rPr>
        <w:t xml:space="preserve">for review of </w:t>
      </w:r>
      <w:r w:rsidR="00BD208B">
        <w:rPr>
          <w:rFonts w:ascii="Calibri" w:hAnsi="Calibri" w:cs="Calibri"/>
          <w:sz w:val="22"/>
          <w:szCs w:val="22"/>
        </w:rPr>
        <w:t xml:space="preserve">the </w:t>
      </w:r>
      <w:r w:rsidR="008A529D">
        <w:rPr>
          <w:rFonts w:ascii="Calibri" w:hAnsi="Calibri" w:cs="Calibri"/>
          <w:sz w:val="22"/>
          <w:szCs w:val="22"/>
        </w:rPr>
        <w:t xml:space="preserve">outcomes and impact of CfR II </w:t>
      </w:r>
      <w:r>
        <w:rPr>
          <w:rFonts w:ascii="Calibri" w:hAnsi="Calibri" w:cs="Calibri"/>
          <w:sz w:val="22"/>
          <w:szCs w:val="22"/>
        </w:rPr>
        <w:t>include:</w:t>
      </w:r>
    </w:p>
    <w:p w14:paraId="3D412B49" w14:textId="072F3C64" w:rsidR="00C364B1" w:rsidRDefault="00C364B1" w:rsidP="006A2B94">
      <w:pPr>
        <w:pStyle w:val="BodyText"/>
        <w:numPr>
          <w:ilvl w:val="0"/>
          <w:numId w:val="5"/>
        </w:numPr>
        <w:jc w:val="both"/>
        <w:rPr>
          <w:rFonts w:ascii="Calibri" w:hAnsi="Calibri" w:cs="Calibri"/>
          <w:sz w:val="22"/>
          <w:szCs w:val="22"/>
        </w:rPr>
      </w:pPr>
      <w:r>
        <w:rPr>
          <w:rFonts w:ascii="Calibri" w:hAnsi="Calibri" w:cs="Calibri"/>
          <w:sz w:val="22"/>
          <w:szCs w:val="22"/>
        </w:rPr>
        <w:t>Villages tha</w:t>
      </w:r>
      <w:r w:rsidR="008A529D">
        <w:rPr>
          <w:rFonts w:ascii="Calibri" w:hAnsi="Calibri" w:cs="Calibri"/>
          <w:sz w:val="22"/>
          <w:szCs w:val="22"/>
        </w:rPr>
        <w:t>t have been cleared between 2011 – 2013 (to enable</w:t>
      </w:r>
      <w:r w:rsidR="00D627BD">
        <w:rPr>
          <w:rFonts w:ascii="Calibri" w:hAnsi="Calibri" w:cs="Calibri"/>
          <w:sz w:val="22"/>
          <w:szCs w:val="22"/>
        </w:rPr>
        <w:t xml:space="preserve"> </w:t>
      </w:r>
      <w:r w:rsidR="002D1C16">
        <w:rPr>
          <w:rFonts w:ascii="Calibri" w:hAnsi="Calibri" w:cs="Calibri"/>
          <w:sz w:val="22"/>
          <w:szCs w:val="22"/>
        </w:rPr>
        <w:t>reasonable timeframe to assess medium term impact of clearance)</w:t>
      </w:r>
    </w:p>
    <w:p w14:paraId="678AD249" w14:textId="53B2182E" w:rsidR="009D0C6E" w:rsidRDefault="009D0C6E" w:rsidP="006A2B94">
      <w:pPr>
        <w:pStyle w:val="BodyText"/>
        <w:numPr>
          <w:ilvl w:val="0"/>
          <w:numId w:val="5"/>
        </w:numPr>
        <w:jc w:val="both"/>
        <w:rPr>
          <w:rFonts w:ascii="Calibri" w:hAnsi="Calibri" w:cs="Calibri"/>
          <w:sz w:val="22"/>
          <w:szCs w:val="22"/>
        </w:rPr>
      </w:pPr>
      <w:r>
        <w:rPr>
          <w:rFonts w:ascii="Calibri" w:hAnsi="Calibri" w:cs="Calibri"/>
          <w:sz w:val="22"/>
          <w:szCs w:val="22"/>
        </w:rPr>
        <w:t>Villages where both community assets and individual plots have been cleared</w:t>
      </w:r>
    </w:p>
    <w:p w14:paraId="3F169247" w14:textId="5FF676FF" w:rsidR="00964672" w:rsidRDefault="00964672" w:rsidP="006A2B94">
      <w:pPr>
        <w:pStyle w:val="BodyText"/>
        <w:numPr>
          <w:ilvl w:val="0"/>
          <w:numId w:val="5"/>
        </w:numPr>
        <w:jc w:val="both"/>
        <w:rPr>
          <w:rFonts w:ascii="Calibri" w:hAnsi="Calibri" w:cs="Calibri"/>
          <w:sz w:val="22"/>
          <w:szCs w:val="22"/>
        </w:rPr>
      </w:pPr>
      <w:r>
        <w:rPr>
          <w:rFonts w:ascii="Calibri" w:hAnsi="Calibri" w:cs="Calibri"/>
          <w:sz w:val="22"/>
          <w:szCs w:val="22"/>
        </w:rPr>
        <w:t>Villages with completion reports readily available</w:t>
      </w:r>
    </w:p>
    <w:p w14:paraId="1877324A" w14:textId="3A2C8133" w:rsidR="00C364B1" w:rsidRDefault="00C364B1" w:rsidP="006A2B94">
      <w:pPr>
        <w:pStyle w:val="BodyText"/>
        <w:numPr>
          <w:ilvl w:val="0"/>
          <w:numId w:val="5"/>
        </w:numPr>
        <w:jc w:val="both"/>
        <w:rPr>
          <w:rFonts w:ascii="Calibri" w:hAnsi="Calibri" w:cs="Calibri"/>
          <w:sz w:val="22"/>
          <w:szCs w:val="22"/>
        </w:rPr>
      </w:pPr>
      <w:r>
        <w:rPr>
          <w:rFonts w:ascii="Calibri" w:hAnsi="Calibri" w:cs="Calibri"/>
          <w:sz w:val="22"/>
          <w:szCs w:val="22"/>
        </w:rPr>
        <w:t>Areas where there have been resettlement</w:t>
      </w:r>
      <w:r w:rsidR="002D1C16">
        <w:rPr>
          <w:rFonts w:ascii="Calibri" w:hAnsi="Calibri" w:cs="Calibri"/>
          <w:sz w:val="22"/>
          <w:szCs w:val="22"/>
        </w:rPr>
        <w:t xml:space="preserve"> of IDPs, or other forms of migration</w:t>
      </w:r>
    </w:p>
    <w:p w14:paraId="35026A5A" w14:textId="1271D673" w:rsidR="00F65341" w:rsidRDefault="002D1C16" w:rsidP="006A2B94">
      <w:pPr>
        <w:pStyle w:val="BodyText"/>
        <w:numPr>
          <w:ilvl w:val="0"/>
          <w:numId w:val="5"/>
        </w:numPr>
        <w:jc w:val="both"/>
        <w:rPr>
          <w:rFonts w:ascii="Calibri" w:hAnsi="Calibri" w:cs="Calibri"/>
          <w:sz w:val="22"/>
          <w:szCs w:val="22"/>
        </w:rPr>
      </w:pPr>
      <w:r>
        <w:rPr>
          <w:rFonts w:ascii="Calibri" w:hAnsi="Calibri" w:cs="Calibri"/>
          <w:sz w:val="22"/>
          <w:szCs w:val="22"/>
        </w:rPr>
        <w:t xml:space="preserve">Areas where </w:t>
      </w:r>
      <w:r w:rsidRPr="002D1C16">
        <w:rPr>
          <w:rFonts w:ascii="Calibri" w:hAnsi="Calibri" w:cs="Calibri"/>
          <w:sz w:val="22"/>
          <w:szCs w:val="22"/>
          <w:highlight w:val="yellow"/>
        </w:rPr>
        <w:t>CMAC and RCAF Demining Units</w:t>
      </w:r>
      <w:r w:rsidR="00F65341">
        <w:rPr>
          <w:rFonts w:ascii="Calibri" w:hAnsi="Calibri" w:cs="Calibri"/>
          <w:sz w:val="22"/>
          <w:szCs w:val="22"/>
        </w:rPr>
        <w:t xml:space="preserve"> conducts clearance with funding from the </w:t>
      </w:r>
      <w:r>
        <w:rPr>
          <w:rFonts w:ascii="Calibri" w:hAnsi="Calibri" w:cs="Calibri"/>
          <w:sz w:val="22"/>
          <w:szCs w:val="22"/>
        </w:rPr>
        <w:t>CfR II project</w:t>
      </w:r>
    </w:p>
    <w:p w14:paraId="38B6D430" w14:textId="1A84B7C9" w:rsidR="00F65341" w:rsidRDefault="00F65341" w:rsidP="006A2B94">
      <w:pPr>
        <w:pStyle w:val="BodyText"/>
        <w:numPr>
          <w:ilvl w:val="0"/>
          <w:numId w:val="5"/>
        </w:numPr>
        <w:jc w:val="both"/>
        <w:rPr>
          <w:rFonts w:ascii="Calibri" w:hAnsi="Calibri" w:cs="Calibri"/>
          <w:sz w:val="22"/>
          <w:szCs w:val="22"/>
        </w:rPr>
      </w:pPr>
      <w:r>
        <w:rPr>
          <w:rFonts w:ascii="Calibri" w:hAnsi="Calibri" w:cs="Calibri"/>
          <w:sz w:val="22"/>
          <w:szCs w:val="22"/>
        </w:rPr>
        <w:t>Areas that are accessible during the wet season</w:t>
      </w:r>
    </w:p>
    <w:p w14:paraId="343CABFB" w14:textId="76D04FBD" w:rsidR="002D1C16" w:rsidRDefault="002D1C16" w:rsidP="006A2B94">
      <w:pPr>
        <w:pStyle w:val="BodyText"/>
        <w:numPr>
          <w:ilvl w:val="0"/>
          <w:numId w:val="5"/>
        </w:numPr>
        <w:jc w:val="both"/>
        <w:rPr>
          <w:rFonts w:ascii="Calibri" w:hAnsi="Calibri" w:cs="Calibri"/>
          <w:sz w:val="22"/>
          <w:szCs w:val="22"/>
        </w:rPr>
      </w:pPr>
      <w:r>
        <w:rPr>
          <w:rFonts w:ascii="Calibri" w:hAnsi="Calibri" w:cs="Calibri"/>
          <w:sz w:val="22"/>
          <w:szCs w:val="22"/>
        </w:rPr>
        <w:t>Sites where there have been low or no mines cleared / sites with low items cleared per hectare</w:t>
      </w:r>
    </w:p>
    <w:p w14:paraId="169E8A7D" w14:textId="3965C97A" w:rsidR="002D1C16" w:rsidRDefault="002D1C16" w:rsidP="006A2B94">
      <w:pPr>
        <w:pStyle w:val="BodyText"/>
        <w:numPr>
          <w:ilvl w:val="0"/>
          <w:numId w:val="5"/>
        </w:numPr>
        <w:jc w:val="both"/>
        <w:rPr>
          <w:rFonts w:ascii="Calibri" w:hAnsi="Calibri" w:cs="Calibri"/>
          <w:sz w:val="22"/>
          <w:szCs w:val="22"/>
        </w:rPr>
      </w:pPr>
      <w:r>
        <w:rPr>
          <w:rFonts w:ascii="Calibri" w:hAnsi="Calibri" w:cs="Calibri"/>
          <w:sz w:val="22"/>
          <w:szCs w:val="22"/>
        </w:rPr>
        <w:t>Sites where there have been high numbers of mines cleared (relative to other tasks) / sites with high numbers of items per hectare.</w:t>
      </w:r>
    </w:p>
    <w:p w14:paraId="335997C8" w14:textId="44C7D241" w:rsidR="000B3382" w:rsidRDefault="000B3382" w:rsidP="006A2B94">
      <w:pPr>
        <w:pStyle w:val="BodyText"/>
        <w:numPr>
          <w:ilvl w:val="0"/>
          <w:numId w:val="5"/>
        </w:numPr>
        <w:jc w:val="both"/>
        <w:rPr>
          <w:rFonts w:ascii="Calibri" w:hAnsi="Calibri" w:cs="Calibri"/>
          <w:sz w:val="22"/>
          <w:szCs w:val="22"/>
        </w:rPr>
      </w:pPr>
      <w:r>
        <w:rPr>
          <w:rFonts w:ascii="Calibri" w:hAnsi="Calibri" w:cs="Calibri"/>
          <w:sz w:val="22"/>
          <w:szCs w:val="22"/>
        </w:rPr>
        <w:t>Mix of large, medium and small sites</w:t>
      </w:r>
      <w:bookmarkStart w:id="0" w:name="_GoBack"/>
      <w:bookmarkEnd w:id="0"/>
    </w:p>
    <w:p w14:paraId="724F7D22" w14:textId="24845A42" w:rsidR="00265294" w:rsidRDefault="006A2B94" w:rsidP="006A2B94">
      <w:pPr>
        <w:pStyle w:val="BodyText"/>
        <w:tabs>
          <w:tab w:val="left" w:pos="5907"/>
        </w:tabs>
        <w:spacing w:after="0"/>
        <w:jc w:val="both"/>
        <w:rPr>
          <w:rFonts w:ascii="Calibri" w:hAnsi="Calibri" w:cs="Calibri"/>
          <w:sz w:val="22"/>
          <w:szCs w:val="22"/>
        </w:rPr>
      </w:pPr>
      <w:r>
        <w:rPr>
          <w:rFonts w:ascii="Calibri" w:hAnsi="Calibri" w:cs="Calibri"/>
          <w:sz w:val="22"/>
          <w:szCs w:val="22"/>
        </w:rPr>
        <w:tab/>
      </w:r>
    </w:p>
    <w:p w14:paraId="4B7C16C5" w14:textId="42A9D6F6" w:rsidR="004C21AE" w:rsidRDefault="00265294" w:rsidP="004C21AE">
      <w:pPr>
        <w:pStyle w:val="BodyText"/>
        <w:spacing w:after="0"/>
        <w:jc w:val="both"/>
        <w:rPr>
          <w:rFonts w:ascii="Calibri" w:hAnsi="Calibri" w:cs="Calibri"/>
          <w:sz w:val="22"/>
          <w:szCs w:val="22"/>
        </w:rPr>
      </w:pPr>
      <w:r>
        <w:rPr>
          <w:rFonts w:ascii="Calibri" w:hAnsi="Calibri" w:cs="Calibri"/>
          <w:sz w:val="22"/>
          <w:szCs w:val="22"/>
        </w:rPr>
        <w:t xml:space="preserve">All potential respondents will be 18 or over and able to give informed consent. Photographs will only be taken with permission. </w:t>
      </w:r>
      <w:r w:rsidR="002D1C16">
        <w:rPr>
          <w:rFonts w:ascii="Calibri" w:hAnsi="Calibri" w:cs="Calibri"/>
          <w:sz w:val="22"/>
          <w:szCs w:val="22"/>
        </w:rPr>
        <w:t xml:space="preserve"> For a statement of evaluation ethics, please see Annex 4 below.</w:t>
      </w:r>
    </w:p>
    <w:p w14:paraId="63E99F5D" w14:textId="77777777" w:rsidR="001B2997" w:rsidRDefault="001B2997" w:rsidP="004C21AE">
      <w:pPr>
        <w:pStyle w:val="BodyText"/>
        <w:spacing w:after="0"/>
        <w:jc w:val="both"/>
        <w:rPr>
          <w:rFonts w:ascii="Calibri" w:hAnsi="Calibri" w:cs="Calibri"/>
          <w:sz w:val="22"/>
          <w:szCs w:val="22"/>
        </w:rPr>
      </w:pPr>
    </w:p>
    <w:p w14:paraId="72824FEA" w14:textId="7EE312AA" w:rsidR="004C21AE" w:rsidRPr="002F22A5" w:rsidRDefault="002F22A5" w:rsidP="004C21AE">
      <w:pPr>
        <w:pStyle w:val="BodyText"/>
        <w:spacing w:after="0"/>
        <w:ind w:left="720"/>
        <w:jc w:val="both"/>
        <w:rPr>
          <w:rFonts w:ascii="Calibri" w:hAnsi="Calibri" w:cs="Calibri"/>
          <w:b/>
          <w:i/>
          <w:sz w:val="22"/>
          <w:szCs w:val="22"/>
        </w:rPr>
      </w:pPr>
      <w:r w:rsidRPr="002F22A5">
        <w:rPr>
          <w:rFonts w:ascii="Calibri" w:hAnsi="Calibri" w:cs="Calibri"/>
          <w:b/>
          <w:i/>
          <w:sz w:val="22"/>
          <w:szCs w:val="22"/>
        </w:rPr>
        <w:t xml:space="preserve">(c). </w:t>
      </w:r>
      <w:r w:rsidR="004C21AE" w:rsidRPr="002F22A5">
        <w:rPr>
          <w:rFonts w:ascii="Calibri" w:hAnsi="Calibri" w:cs="Calibri"/>
          <w:b/>
          <w:i/>
          <w:sz w:val="22"/>
          <w:szCs w:val="22"/>
        </w:rPr>
        <w:t>Data Analysis</w:t>
      </w:r>
      <w:r w:rsidR="0033145A">
        <w:rPr>
          <w:rFonts w:ascii="Calibri" w:hAnsi="Calibri" w:cs="Calibri"/>
          <w:b/>
          <w:i/>
          <w:sz w:val="22"/>
          <w:szCs w:val="22"/>
        </w:rPr>
        <w:t xml:space="preserve"> &amp; Sense-Making</w:t>
      </w:r>
      <w:r w:rsidR="00BD208B">
        <w:rPr>
          <w:rFonts w:ascii="Calibri" w:hAnsi="Calibri" w:cs="Calibri"/>
          <w:b/>
          <w:i/>
          <w:sz w:val="22"/>
          <w:szCs w:val="22"/>
        </w:rPr>
        <w:t xml:space="preserve"> – In Phnom Penh</w:t>
      </w:r>
    </w:p>
    <w:p w14:paraId="0DCB9322" w14:textId="77777777" w:rsidR="007D02A3" w:rsidRDefault="007D02A3" w:rsidP="007D02A3">
      <w:pPr>
        <w:pStyle w:val="BodyText"/>
        <w:spacing w:after="0"/>
        <w:jc w:val="both"/>
        <w:rPr>
          <w:rFonts w:ascii="Calibri" w:hAnsi="Calibri" w:cs="Calibri"/>
          <w:sz w:val="22"/>
          <w:szCs w:val="22"/>
        </w:rPr>
      </w:pPr>
    </w:p>
    <w:p w14:paraId="2C3B375D" w14:textId="3B2E1E8E" w:rsidR="004C21AE" w:rsidRDefault="007D02A3" w:rsidP="00BD208B">
      <w:pPr>
        <w:pStyle w:val="BodyText"/>
        <w:numPr>
          <w:ilvl w:val="0"/>
          <w:numId w:val="4"/>
        </w:numPr>
        <w:ind w:left="714" w:hanging="357"/>
        <w:jc w:val="both"/>
        <w:rPr>
          <w:rFonts w:ascii="Calibri" w:hAnsi="Calibri" w:cs="Calibri"/>
          <w:sz w:val="22"/>
          <w:szCs w:val="22"/>
        </w:rPr>
      </w:pPr>
      <w:r>
        <w:rPr>
          <w:rFonts w:ascii="Calibri" w:hAnsi="Calibri" w:cs="Calibri"/>
          <w:sz w:val="22"/>
          <w:szCs w:val="22"/>
        </w:rPr>
        <w:t xml:space="preserve">Using a diverse range of stakeholders, multiple methods, including a desk review will ensure </w:t>
      </w:r>
      <w:r w:rsidR="004C21AE">
        <w:rPr>
          <w:rFonts w:ascii="Calibri" w:hAnsi="Calibri" w:cs="Calibri"/>
          <w:sz w:val="22"/>
          <w:szCs w:val="22"/>
        </w:rPr>
        <w:t xml:space="preserve">triangulation (see Annex 1 Evaluation Matrix). </w:t>
      </w:r>
    </w:p>
    <w:p w14:paraId="10211660" w14:textId="7494D51C" w:rsidR="001E2544" w:rsidRPr="001E2544" w:rsidRDefault="001E2544" w:rsidP="00BD208B">
      <w:pPr>
        <w:pStyle w:val="BodyText"/>
        <w:numPr>
          <w:ilvl w:val="0"/>
          <w:numId w:val="4"/>
        </w:numPr>
        <w:ind w:left="714" w:hanging="357"/>
        <w:jc w:val="both"/>
        <w:rPr>
          <w:rFonts w:ascii="Calibri" w:hAnsi="Calibri" w:cs="Calibri"/>
          <w:sz w:val="22"/>
          <w:szCs w:val="22"/>
        </w:rPr>
      </w:pPr>
      <w:r>
        <w:rPr>
          <w:rFonts w:ascii="Calibri" w:hAnsi="Calibri" w:cs="Calibri"/>
          <w:sz w:val="22"/>
          <w:szCs w:val="22"/>
        </w:rPr>
        <w:lastRenderedPageBreak/>
        <w:t>Data will be analysed with reference to the evaluation questions, looking for common themes.</w:t>
      </w:r>
    </w:p>
    <w:p w14:paraId="76C7A9DF" w14:textId="5938EE54" w:rsidR="004C21AE" w:rsidRDefault="004C21AE" w:rsidP="00BD208B">
      <w:pPr>
        <w:pStyle w:val="BodyText"/>
        <w:numPr>
          <w:ilvl w:val="0"/>
          <w:numId w:val="4"/>
        </w:numPr>
        <w:ind w:left="714" w:hanging="357"/>
        <w:jc w:val="both"/>
        <w:rPr>
          <w:rFonts w:ascii="Calibri" w:hAnsi="Calibri" w:cs="Calibri"/>
          <w:sz w:val="22"/>
          <w:szCs w:val="22"/>
        </w:rPr>
      </w:pPr>
      <w:r>
        <w:rPr>
          <w:rFonts w:ascii="Calibri" w:hAnsi="Calibri" w:cs="Calibri"/>
          <w:sz w:val="22"/>
          <w:szCs w:val="22"/>
        </w:rPr>
        <w:t>Presentation of initial analysis</w:t>
      </w:r>
      <w:r w:rsidR="003A44EC">
        <w:rPr>
          <w:rFonts w:ascii="Calibri" w:hAnsi="Calibri" w:cs="Calibri"/>
          <w:sz w:val="22"/>
          <w:szCs w:val="22"/>
        </w:rPr>
        <w:t xml:space="preserve"> of initial findings</w:t>
      </w:r>
      <w:r>
        <w:rPr>
          <w:rFonts w:ascii="Calibri" w:hAnsi="Calibri" w:cs="Calibri"/>
          <w:sz w:val="22"/>
          <w:szCs w:val="22"/>
        </w:rPr>
        <w:t xml:space="preserve"> to stakeholders </w:t>
      </w:r>
      <w:r w:rsidR="00265294">
        <w:rPr>
          <w:rFonts w:ascii="Calibri" w:hAnsi="Calibri" w:cs="Calibri"/>
          <w:sz w:val="22"/>
          <w:szCs w:val="22"/>
        </w:rPr>
        <w:t xml:space="preserve">will provide a </w:t>
      </w:r>
      <w:r>
        <w:rPr>
          <w:rFonts w:ascii="Calibri" w:hAnsi="Calibri" w:cs="Calibri"/>
          <w:sz w:val="22"/>
          <w:szCs w:val="22"/>
        </w:rPr>
        <w:t xml:space="preserve">means of </w:t>
      </w:r>
      <w:r w:rsidR="00265294">
        <w:rPr>
          <w:rFonts w:ascii="Calibri" w:hAnsi="Calibri" w:cs="Calibri"/>
          <w:sz w:val="22"/>
          <w:szCs w:val="22"/>
        </w:rPr>
        <w:t xml:space="preserve">checking findings and </w:t>
      </w:r>
      <w:r>
        <w:rPr>
          <w:rFonts w:ascii="Calibri" w:hAnsi="Calibri" w:cs="Calibri"/>
          <w:sz w:val="22"/>
          <w:szCs w:val="22"/>
        </w:rPr>
        <w:t>quality review.</w:t>
      </w:r>
    </w:p>
    <w:p w14:paraId="781BEF31" w14:textId="77CD4187" w:rsidR="003A44EC" w:rsidRDefault="003A44EC" w:rsidP="00BD208B">
      <w:pPr>
        <w:pStyle w:val="BodyText"/>
        <w:numPr>
          <w:ilvl w:val="0"/>
          <w:numId w:val="4"/>
        </w:numPr>
        <w:ind w:left="714" w:hanging="357"/>
        <w:jc w:val="both"/>
        <w:rPr>
          <w:rFonts w:ascii="Calibri" w:hAnsi="Calibri" w:cs="Calibri"/>
          <w:sz w:val="22"/>
          <w:szCs w:val="22"/>
        </w:rPr>
      </w:pPr>
      <w:r>
        <w:rPr>
          <w:rFonts w:ascii="Calibri" w:hAnsi="Calibri" w:cs="Calibri"/>
          <w:sz w:val="22"/>
          <w:szCs w:val="22"/>
        </w:rPr>
        <w:t>Review and joint analysis with the UNDP staff responsible for the Household Impact Survey of the results of the study</w:t>
      </w:r>
    </w:p>
    <w:p w14:paraId="20DDCB4E" w14:textId="576857F3" w:rsidR="003A44EC" w:rsidRDefault="003A44EC" w:rsidP="00BD208B">
      <w:pPr>
        <w:pStyle w:val="BodyText"/>
        <w:numPr>
          <w:ilvl w:val="0"/>
          <w:numId w:val="4"/>
        </w:numPr>
        <w:ind w:left="714" w:hanging="357"/>
        <w:jc w:val="both"/>
        <w:rPr>
          <w:rFonts w:ascii="Calibri" w:hAnsi="Calibri" w:cs="Calibri"/>
          <w:sz w:val="22"/>
          <w:szCs w:val="22"/>
        </w:rPr>
      </w:pPr>
      <w:r>
        <w:rPr>
          <w:rFonts w:ascii="Calibri" w:hAnsi="Calibri" w:cs="Calibri"/>
          <w:sz w:val="22"/>
          <w:szCs w:val="22"/>
        </w:rPr>
        <w:t>Drafting of the evaluation report.</w:t>
      </w:r>
    </w:p>
    <w:p w14:paraId="28AA04EA" w14:textId="77777777" w:rsidR="004C21AE" w:rsidRDefault="004C21AE" w:rsidP="004C21AE">
      <w:pPr>
        <w:jc w:val="both"/>
        <w:rPr>
          <w:rFonts w:ascii="Calibri" w:hAnsi="Calibri" w:cs="Calibri"/>
          <w:sz w:val="22"/>
          <w:szCs w:val="22"/>
        </w:rPr>
      </w:pPr>
    </w:p>
    <w:p w14:paraId="1B748C33" w14:textId="77777777" w:rsidR="006D6CFE" w:rsidRPr="004C21AE" w:rsidRDefault="006D6CFE" w:rsidP="004C21AE">
      <w:pPr>
        <w:jc w:val="both"/>
        <w:rPr>
          <w:rFonts w:ascii="Calibri" w:hAnsi="Calibri" w:cs="Calibri"/>
          <w:sz w:val="22"/>
          <w:szCs w:val="22"/>
        </w:rPr>
      </w:pPr>
    </w:p>
    <w:p w14:paraId="082204B4" w14:textId="0DB69C05" w:rsidR="004C21AE" w:rsidRDefault="004C21AE" w:rsidP="00627D72">
      <w:pPr>
        <w:pStyle w:val="BodyText"/>
        <w:numPr>
          <w:ilvl w:val="1"/>
          <w:numId w:val="1"/>
        </w:numPr>
        <w:spacing w:after="0"/>
        <w:ind w:left="0" w:firstLine="0"/>
        <w:jc w:val="both"/>
        <w:rPr>
          <w:rFonts w:ascii="Calibri" w:hAnsi="Calibri" w:cs="Calibri"/>
          <w:b/>
          <w:sz w:val="22"/>
          <w:szCs w:val="22"/>
        </w:rPr>
      </w:pPr>
      <w:r w:rsidRPr="004C21AE">
        <w:rPr>
          <w:rFonts w:ascii="Calibri" w:hAnsi="Calibri" w:cs="Calibri"/>
          <w:b/>
          <w:sz w:val="22"/>
          <w:szCs w:val="22"/>
        </w:rPr>
        <w:t>Activities:</w:t>
      </w:r>
    </w:p>
    <w:p w14:paraId="50A71EBB" w14:textId="77777777" w:rsidR="00E340F6" w:rsidRDefault="00E340F6" w:rsidP="00E340F6">
      <w:pPr>
        <w:pStyle w:val="BodyText"/>
        <w:spacing w:after="0"/>
        <w:jc w:val="both"/>
        <w:rPr>
          <w:rFonts w:ascii="Calibri" w:hAnsi="Calibri" w:cs="Calibri"/>
          <w:b/>
          <w:sz w:val="22"/>
          <w:szCs w:val="22"/>
        </w:rPr>
      </w:pPr>
    </w:p>
    <w:p w14:paraId="1C1B3433" w14:textId="41A5D6BC" w:rsidR="004C21AE" w:rsidRPr="00AC166F" w:rsidRDefault="00E340F6" w:rsidP="00D1631B">
      <w:pPr>
        <w:pStyle w:val="BodyText"/>
        <w:spacing w:after="0"/>
        <w:jc w:val="both"/>
        <w:rPr>
          <w:rFonts w:ascii="Calibri" w:hAnsi="Calibri" w:cs="Calibri"/>
          <w:sz w:val="22"/>
          <w:szCs w:val="22"/>
        </w:rPr>
      </w:pPr>
      <w:r w:rsidRPr="00AC166F">
        <w:rPr>
          <w:rFonts w:ascii="Calibri" w:hAnsi="Calibri" w:cs="Calibri"/>
          <w:sz w:val="22"/>
          <w:szCs w:val="22"/>
        </w:rPr>
        <w:t xml:space="preserve">Refer to the project calendar included as </w:t>
      </w:r>
      <w:r w:rsidRPr="00AC166F">
        <w:rPr>
          <w:rFonts w:ascii="Calibri" w:hAnsi="Calibri" w:cs="Calibri"/>
          <w:i/>
          <w:sz w:val="22"/>
          <w:szCs w:val="22"/>
        </w:rPr>
        <w:t>Annex</w:t>
      </w:r>
      <w:r w:rsidR="00D627BD">
        <w:rPr>
          <w:rFonts w:ascii="Calibri" w:hAnsi="Calibri" w:cs="Calibri"/>
          <w:i/>
          <w:sz w:val="22"/>
          <w:szCs w:val="22"/>
        </w:rPr>
        <w:t xml:space="preserve"> 1</w:t>
      </w:r>
      <w:r w:rsidR="00AC166F">
        <w:rPr>
          <w:rFonts w:ascii="Calibri" w:hAnsi="Calibri" w:cs="Calibri"/>
          <w:i/>
          <w:sz w:val="22"/>
          <w:szCs w:val="22"/>
        </w:rPr>
        <w:t>:</w:t>
      </w:r>
      <w:r w:rsidR="00D1631B" w:rsidRPr="00AC166F">
        <w:rPr>
          <w:rFonts w:ascii="Calibri" w:hAnsi="Calibri" w:cs="Calibri"/>
          <w:i/>
          <w:sz w:val="22"/>
          <w:szCs w:val="22"/>
        </w:rPr>
        <w:t xml:space="preserve"> ‘</w:t>
      </w:r>
      <w:r w:rsidR="00AC166F" w:rsidRPr="00AC166F">
        <w:rPr>
          <w:rFonts w:ascii="Calibri" w:hAnsi="Calibri" w:cs="Calibri"/>
          <w:i/>
          <w:sz w:val="22"/>
          <w:szCs w:val="22"/>
        </w:rPr>
        <w:t>Project Calenda</w:t>
      </w:r>
      <w:r w:rsidR="00D1631B" w:rsidRPr="00AC166F">
        <w:rPr>
          <w:rFonts w:ascii="Calibri" w:hAnsi="Calibri" w:cs="Calibri"/>
          <w:i/>
          <w:sz w:val="22"/>
          <w:szCs w:val="22"/>
        </w:rPr>
        <w:t>r’</w:t>
      </w:r>
    </w:p>
    <w:p w14:paraId="4140A5E4" w14:textId="77777777" w:rsidR="00E72027" w:rsidRDefault="00E72027" w:rsidP="005D572A">
      <w:pPr>
        <w:jc w:val="both"/>
        <w:rPr>
          <w:rFonts w:ascii="Calibri" w:hAnsi="Calibri" w:cs="Calibri"/>
          <w:sz w:val="22"/>
          <w:szCs w:val="22"/>
        </w:rPr>
      </w:pPr>
    </w:p>
    <w:p w14:paraId="200E738E" w14:textId="30195E25" w:rsidR="00815F39" w:rsidRPr="00815F39" w:rsidRDefault="00815F39" w:rsidP="00815F39">
      <w:pPr>
        <w:pStyle w:val="BodyText"/>
        <w:shd w:val="clear" w:color="auto" w:fill="FFFFFF"/>
        <w:rPr>
          <w:rFonts w:asciiTheme="majorHAnsi" w:hAnsiTheme="majorHAnsi" w:cs="Calibri"/>
          <w:i/>
          <w:sz w:val="22"/>
          <w:szCs w:val="22"/>
        </w:rPr>
      </w:pPr>
      <w:r w:rsidRPr="00815F39">
        <w:rPr>
          <w:rFonts w:asciiTheme="majorHAnsi" w:hAnsiTheme="majorHAnsi" w:cs="Calibri"/>
          <w:sz w:val="22"/>
          <w:szCs w:val="22"/>
        </w:rPr>
        <w:t>Please review</w:t>
      </w:r>
      <w:r w:rsidR="00AC166F">
        <w:rPr>
          <w:rFonts w:asciiTheme="majorHAnsi" w:hAnsiTheme="majorHAnsi" w:cs="Calibri"/>
          <w:sz w:val="22"/>
          <w:szCs w:val="22"/>
        </w:rPr>
        <w:t xml:space="preserve"> also</w:t>
      </w:r>
      <w:r w:rsidRPr="00815F39">
        <w:rPr>
          <w:rFonts w:asciiTheme="majorHAnsi" w:hAnsiTheme="majorHAnsi" w:cs="Calibri"/>
          <w:sz w:val="22"/>
          <w:szCs w:val="22"/>
        </w:rPr>
        <w:t xml:space="preserve"> </w:t>
      </w:r>
      <w:r w:rsidR="00D1631B">
        <w:rPr>
          <w:rFonts w:asciiTheme="majorHAnsi" w:hAnsiTheme="majorHAnsi"/>
          <w:i/>
          <w:sz w:val="22"/>
          <w:szCs w:val="22"/>
        </w:rPr>
        <w:t>Annex 3</w:t>
      </w:r>
      <w:r w:rsidRPr="00815F39">
        <w:rPr>
          <w:rFonts w:asciiTheme="majorHAnsi" w:hAnsiTheme="majorHAnsi"/>
          <w:i/>
          <w:sz w:val="22"/>
          <w:szCs w:val="22"/>
        </w:rPr>
        <w:t xml:space="preserve">: </w:t>
      </w:r>
      <w:r w:rsidR="00AC166F">
        <w:rPr>
          <w:rFonts w:asciiTheme="majorHAnsi" w:hAnsiTheme="majorHAnsi"/>
          <w:i/>
          <w:sz w:val="22"/>
          <w:szCs w:val="22"/>
        </w:rPr>
        <w:t>‘</w:t>
      </w:r>
      <w:r w:rsidRPr="00815F39">
        <w:rPr>
          <w:rFonts w:asciiTheme="majorHAnsi" w:hAnsiTheme="majorHAnsi"/>
          <w:i/>
          <w:sz w:val="22"/>
          <w:szCs w:val="22"/>
        </w:rPr>
        <w:t xml:space="preserve">Evaluation Matrix </w:t>
      </w:r>
      <w:r w:rsidRPr="00815F39">
        <w:rPr>
          <w:rFonts w:asciiTheme="majorHAnsi" w:hAnsiTheme="majorHAnsi" w:cs="Calibri"/>
          <w:i/>
          <w:sz w:val="22"/>
          <w:szCs w:val="22"/>
        </w:rPr>
        <w:t xml:space="preserve">Evaluation of </w:t>
      </w:r>
      <w:r w:rsidR="00D1631B">
        <w:rPr>
          <w:rFonts w:asciiTheme="majorHAnsi" w:hAnsiTheme="majorHAnsi" w:cs="Calibri"/>
          <w:i/>
          <w:sz w:val="22"/>
          <w:szCs w:val="22"/>
        </w:rPr>
        <w:t>CfR II(2011-2015) in Cambodia</w:t>
      </w:r>
      <w:r w:rsidR="00AC166F">
        <w:rPr>
          <w:rFonts w:asciiTheme="majorHAnsi" w:hAnsiTheme="majorHAnsi" w:cs="Calibri"/>
          <w:i/>
          <w:sz w:val="22"/>
          <w:szCs w:val="22"/>
        </w:rPr>
        <w:t>’</w:t>
      </w:r>
    </w:p>
    <w:p w14:paraId="6828E82E" w14:textId="37750A07" w:rsidR="00E72027" w:rsidRDefault="00E72027" w:rsidP="005D572A">
      <w:pPr>
        <w:jc w:val="both"/>
        <w:rPr>
          <w:rFonts w:ascii="Calibri" w:hAnsi="Calibri" w:cs="Calibri"/>
          <w:sz w:val="22"/>
          <w:szCs w:val="22"/>
        </w:rPr>
      </w:pPr>
    </w:p>
    <w:p w14:paraId="4C99D8BF" w14:textId="77777777" w:rsidR="002D1C16" w:rsidRDefault="002D1C16" w:rsidP="005D572A">
      <w:pPr>
        <w:jc w:val="both"/>
        <w:rPr>
          <w:rFonts w:ascii="Calibri" w:hAnsi="Calibri" w:cs="Calibri"/>
          <w:sz w:val="22"/>
          <w:szCs w:val="22"/>
        </w:rPr>
      </w:pPr>
    </w:p>
    <w:p w14:paraId="1503AE92" w14:textId="77777777" w:rsidR="002D1C16" w:rsidRDefault="002D1C16">
      <w:pPr>
        <w:rPr>
          <w:rFonts w:cstheme="minorHAnsi"/>
          <w:b/>
          <w:u w:val="single"/>
        </w:rPr>
      </w:pPr>
      <w:r>
        <w:rPr>
          <w:rFonts w:cstheme="minorHAnsi"/>
          <w:b/>
          <w:u w:val="single"/>
        </w:rPr>
        <w:br w:type="page"/>
      </w:r>
    </w:p>
    <w:p w14:paraId="02846E11" w14:textId="2AAB9F1C" w:rsidR="002D1C16" w:rsidRPr="002D1C16" w:rsidRDefault="002D1C16" w:rsidP="002D1C16">
      <w:pPr>
        <w:jc w:val="center"/>
        <w:rPr>
          <w:rFonts w:asciiTheme="majorHAnsi" w:hAnsiTheme="majorHAnsi" w:cstheme="minorHAnsi"/>
          <w:b/>
          <w:sz w:val="22"/>
          <w:szCs w:val="22"/>
          <w:u w:val="single"/>
        </w:rPr>
      </w:pPr>
      <w:r w:rsidRPr="002D1C16">
        <w:rPr>
          <w:rFonts w:asciiTheme="majorHAnsi" w:hAnsiTheme="majorHAnsi" w:cstheme="minorHAnsi"/>
          <w:b/>
          <w:sz w:val="22"/>
          <w:szCs w:val="22"/>
          <w:u w:val="single"/>
        </w:rPr>
        <w:lastRenderedPageBreak/>
        <w:t>Annex 4: Ethics Principles for Evaluation</w:t>
      </w:r>
    </w:p>
    <w:p w14:paraId="2D7F25FE" w14:textId="77777777" w:rsidR="002D1C16" w:rsidRPr="002D1C16" w:rsidRDefault="002D1C16" w:rsidP="002D1C16">
      <w:pPr>
        <w:rPr>
          <w:rFonts w:asciiTheme="majorHAnsi" w:hAnsiTheme="majorHAnsi" w:cstheme="minorHAnsi"/>
          <w:sz w:val="22"/>
          <w:szCs w:val="22"/>
        </w:rPr>
      </w:pPr>
    </w:p>
    <w:p w14:paraId="01E15460" w14:textId="13DAACA9" w:rsidR="002D1C16" w:rsidRPr="002D1C16" w:rsidRDefault="002D1C16" w:rsidP="002D1C16">
      <w:pPr>
        <w:jc w:val="both"/>
        <w:rPr>
          <w:rFonts w:asciiTheme="majorHAnsi" w:hAnsiTheme="majorHAnsi" w:cstheme="minorHAnsi"/>
          <w:sz w:val="22"/>
          <w:szCs w:val="22"/>
        </w:rPr>
      </w:pPr>
      <w:r w:rsidRPr="002D1C16">
        <w:rPr>
          <w:rFonts w:asciiTheme="majorHAnsi" w:hAnsiTheme="majorHAnsi" w:cstheme="minorHAnsi"/>
          <w:sz w:val="22"/>
          <w:szCs w:val="22"/>
        </w:rPr>
        <w:t>The responsibility for conduct of research and evaluatio</w:t>
      </w:r>
      <w:r>
        <w:rPr>
          <w:rFonts w:asciiTheme="majorHAnsi" w:hAnsiTheme="majorHAnsi" w:cstheme="minorHAnsi"/>
          <w:sz w:val="22"/>
          <w:szCs w:val="22"/>
        </w:rPr>
        <w:t xml:space="preserve">n in line with these principles </w:t>
      </w:r>
      <w:r w:rsidRPr="002D1C16">
        <w:rPr>
          <w:rFonts w:asciiTheme="majorHAnsi" w:hAnsiTheme="majorHAnsi" w:cstheme="minorHAnsi"/>
          <w:sz w:val="22"/>
          <w:szCs w:val="22"/>
        </w:rPr>
        <w:t xml:space="preserve">generally rests with the principal investigator. </w:t>
      </w:r>
    </w:p>
    <w:p w14:paraId="3C6E9BDA" w14:textId="77777777" w:rsidR="002D1C16" w:rsidRPr="002D1C16" w:rsidRDefault="002D1C16" w:rsidP="002D1C16">
      <w:pPr>
        <w:jc w:val="both"/>
        <w:rPr>
          <w:rFonts w:asciiTheme="majorHAnsi" w:hAnsiTheme="majorHAnsi" w:cstheme="minorHAnsi"/>
          <w:sz w:val="22"/>
          <w:szCs w:val="22"/>
        </w:rPr>
      </w:pPr>
    </w:p>
    <w:p w14:paraId="7A5DBDC8" w14:textId="77777777" w:rsidR="002D1C16" w:rsidRPr="002D1C16" w:rsidRDefault="002D1C16" w:rsidP="002D1C16">
      <w:pPr>
        <w:spacing w:after="120"/>
        <w:ind w:left="720"/>
        <w:jc w:val="both"/>
        <w:rPr>
          <w:rFonts w:asciiTheme="majorHAnsi" w:hAnsiTheme="majorHAnsi" w:cstheme="minorHAnsi"/>
          <w:sz w:val="22"/>
          <w:szCs w:val="22"/>
        </w:rPr>
      </w:pPr>
      <w:r w:rsidRPr="002D1C16">
        <w:rPr>
          <w:rFonts w:asciiTheme="majorHAnsi" w:hAnsiTheme="majorHAnsi" w:cstheme="minorHAnsi"/>
          <w:sz w:val="22"/>
          <w:szCs w:val="22"/>
        </w:rPr>
        <w:t>1.</w:t>
      </w:r>
      <w:r w:rsidRPr="002D1C16">
        <w:rPr>
          <w:rFonts w:asciiTheme="majorHAnsi" w:hAnsiTheme="majorHAnsi" w:cstheme="minorHAnsi"/>
          <w:sz w:val="22"/>
          <w:szCs w:val="22"/>
        </w:rPr>
        <w:tab/>
        <w:t xml:space="preserve">Researchers and evaluators are responsible for identifying the need for and securing any necessary ethics approval for the study they are undertaking. </w:t>
      </w:r>
    </w:p>
    <w:p w14:paraId="79468C5A" w14:textId="77777777" w:rsidR="002D1C16" w:rsidRPr="002D1C16" w:rsidRDefault="002D1C16" w:rsidP="002D1C16">
      <w:pPr>
        <w:spacing w:after="120"/>
        <w:ind w:left="720"/>
        <w:jc w:val="both"/>
        <w:rPr>
          <w:rFonts w:asciiTheme="majorHAnsi" w:hAnsiTheme="majorHAnsi" w:cstheme="minorHAnsi"/>
          <w:sz w:val="22"/>
          <w:szCs w:val="22"/>
        </w:rPr>
      </w:pPr>
      <w:r w:rsidRPr="002D1C16">
        <w:rPr>
          <w:rFonts w:asciiTheme="majorHAnsi" w:hAnsiTheme="majorHAnsi" w:cstheme="minorHAnsi"/>
          <w:sz w:val="22"/>
          <w:szCs w:val="22"/>
        </w:rPr>
        <w:t>2.</w:t>
      </w:r>
      <w:r w:rsidRPr="002D1C16">
        <w:rPr>
          <w:rFonts w:asciiTheme="majorHAnsi" w:hAnsiTheme="majorHAnsi" w:cstheme="minorHAnsi"/>
          <w:sz w:val="22"/>
          <w:szCs w:val="22"/>
        </w:rPr>
        <w:tab/>
        <w:t xml:space="preserve">Research and evaluation must be relevant and high quality with clear developmental and practical value. </w:t>
      </w:r>
    </w:p>
    <w:p w14:paraId="22834BB6" w14:textId="77777777" w:rsidR="002D1C16" w:rsidRPr="002D1C16" w:rsidRDefault="002D1C16" w:rsidP="002D1C16">
      <w:pPr>
        <w:spacing w:after="120"/>
        <w:ind w:left="720"/>
        <w:jc w:val="both"/>
        <w:rPr>
          <w:rFonts w:asciiTheme="majorHAnsi" w:hAnsiTheme="majorHAnsi" w:cstheme="minorHAnsi"/>
          <w:sz w:val="22"/>
          <w:szCs w:val="22"/>
        </w:rPr>
      </w:pPr>
      <w:r w:rsidRPr="002D1C16">
        <w:rPr>
          <w:rFonts w:asciiTheme="majorHAnsi" w:hAnsiTheme="majorHAnsi" w:cstheme="minorHAnsi"/>
          <w:sz w:val="22"/>
          <w:szCs w:val="22"/>
        </w:rPr>
        <w:t>3.</w:t>
      </w:r>
      <w:r w:rsidRPr="002D1C16">
        <w:rPr>
          <w:rFonts w:asciiTheme="majorHAnsi" w:hAnsiTheme="majorHAnsi" w:cstheme="minorHAnsi"/>
          <w:sz w:val="22"/>
          <w:szCs w:val="22"/>
        </w:rPr>
        <w:tab/>
        <w:t xml:space="preserve">Researchers and evaluators should avoid harm to participants in studies. </w:t>
      </w:r>
    </w:p>
    <w:p w14:paraId="21FC5811" w14:textId="77777777" w:rsidR="002D1C16" w:rsidRPr="002D1C16" w:rsidRDefault="002D1C16" w:rsidP="002D1C16">
      <w:pPr>
        <w:spacing w:after="120"/>
        <w:ind w:left="720"/>
        <w:jc w:val="both"/>
        <w:rPr>
          <w:rFonts w:asciiTheme="majorHAnsi" w:hAnsiTheme="majorHAnsi" w:cstheme="minorHAnsi"/>
          <w:sz w:val="22"/>
          <w:szCs w:val="22"/>
        </w:rPr>
      </w:pPr>
      <w:r w:rsidRPr="002D1C16">
        <w:rPr>
          <w:rFonts w:asciiTheme="majorHAnsi" w:hAnsiTheme="majorHAnsi" w:cstheme="minorHAnsi"/>
          <w:sz w:val="22"/>
          <w:szCs w:val="22"/>
        </w:rPr>
        <w:t>4.</w:t>
      </w:r>
      <w:r w:rsidRPr="002D1C16">
        <w:rPr>
          <w:rFonts w:asciiTheme="majorHAnsi" w:hAnsiTheme="majorHAnsi" w:cstheme="minorHAnsi"/>
          <w:sz w:val="22"/>
          <w:szCs w:val="22"/>
        </w:rPr>
        <w:tab/>
        <w:t xml:space="preserve">Participation in research and evaluation should be voluntary and free from external pressure. </w:t>
      </w:r>
    </w:p>
    <w:p w14:paraId="68CB3A92" w14:textId="77777777" w:rsidR="002D1C16" w:rsidRPr="002D1C16" w:rsidRDefault="002D1C16" w:rsidP="002D1C16">
      <w:pPr>
        <w:spacing w:after="120"/>
        <w:ind w:left="720"/>
        <w:jc w:val="both"/>
        <w:rPr>
          <w:rFonts w:asciiTheme="majorHAnsi" w:hAnsiTheme="majorHAnsi" w:cstheme="minorHAnsi"/>
          <w:sz w:val="22"/>
          <w:szCs w:val="22"/>
        </w:rPr>
      </w:pPr>
      <w:r w:rsidRPr="002D1C16">
        <w:rPr>
          <w:rFonts w:asciiTheme="majorHAnsi" w:hAnsiTheme="majorHAnsi" w:cstheme="minorHAnsi"/>
          <w:sz w:val="22"/>
          <w:szCs w:val="22"/>
        </w:rPr>
        <w:t>5.</w:t>
      </w:r>
      <w:r w:rsidRPr="002D1C16">
        <w:rPr>
          <w:rFonts w:asciiTheme="majorHAnsi" w:hAnsiTheme="majorHAnsi" w:cstheme="minorHAnsi"/>
          <w:sz w:val="22"/>
          <w:szCs w:val="22"/>
        </w:rPr>
        <w:tab/>
        <w:t xml:space="preserve">Researchers and evaluators should ensure confidentiality of information, privacy and anonymity of study participants. </w:t>
      </w:r>
    </w:p>
    <w:p w14:paraId="5792EE4C" w14:textId="471E99F3" w:rsidR="002D1C16" w:rsidRPr="002D1C16" w:rsidRDefault="002D1C16" w:rsidP="002D1C16">
      <w:pPr>
        <w:spacing w:after="120"/>
        <w:ind w:left="720"/>
        <w:jc w:val="both"/>
        <w:rPr>
          <w:rFonts w:asciiTheme="majorHAnsi" w:hAnsiTheme="majorHAnsi" w:cstheme="minorHAnsi"/>
          <w:sz w:val="22"/>
          <w:szCs w:val="22"/>
        </w:rPr>
      </w:pPr>
      <w:r w:rsidRPr="002D1C16">
        <w:rPr>
          <w:rFonts w:asciiTheme="majorHAnsi" w:hAnsiTheme="majorHAnsi" w:cstheme="minorHAnsi"/>
          <w:sz w:val="22"/>
          <w:szCs w:val="22"/>
        </w:rPr>
        <w:t>6.</w:t>
      </w:r>
      <w:r w:rsidRPr="002D1C16">
        <w:rPr>
          <w:rFonts w:asciiTheme="majorHAnsi" w:hAnsiTheme="majorHAnsi" w:cstheme="minorHAnsi"/>
          <w:sz w:val="22"/>
          <w:szCs w:val="22"/>
        </w:rPr>
        <w:tab/>
        <w:t xml:space="preserve">Researchers and evaluators should operate in accordance with international human rights conventions and covenants, regardless of local country standards. </w:t>
      </w:r>
    </w:p>
    <w:p w14:paraId="3ACCABBB" w14:textId="59A1807B" w:rsidR="002D1C16" w:rsidRPr="002D1C16" w:rsidRDefault="002D1C16" w:rsidP="002D1C16">
      <w:pPr>
        <w:spacing w:after="120"/>
        <w:ind w:left="720"/>
        <w:jc w:val="both"/>
        <w:rPr>
          <w:rFonts w:asciiTheme="majorHAnsi" w:hAnsiTheme="majorHAnsi" w:cstheme="minorHAnsi"/>
          <w:sz w:val="22"/>
          <w:szCs w:val="22"/>
        </w:rPr>
      </w:pPr>
      <w:r w:rsidRPr="002D1C16">
        <w:rPr>
          <w:rFonts w:asciiTheme="majorHAnsi" w:hAnsiTheme="majorHAnsi" w:cstheme="minorHAnsi"/>
          <w:sz w:val="22"/>
          <w:szCs w:val="22"/>
        </w:rPr>
        <w:t>7.</w:t>
      </w:r>
      <w:r w:rsidRPr="002D1C16">
        <w:rPr>
          <w:rFonts w:asciiTheme="majorHAnsi" w:hAnsiTheme="majorHAnsi" w:cstheme="minorHAnsi"/>
          <w:sz w:val="22"/>
          <w:szCs w:val="22"/>
        </w:rPr>
        <w:tab/>
      </w:r>
      <w:r>
        <w:rPr>
          <w:rFonts w:asciiTheme="majorHAnsi" w:hAnsiTheme="majorHAnsi" w:cstheme="minorHAnsi"/>
          <w:sz w:val="22"/>
          <w:szCs w:val="22"/>
        </w:rPr>
        <w:t>R</w:t>
      </w:r>
      <w:r w:rsidRPr="002D1C16">
        <w:rPr>
          <w:rFonts w:asciiTheme="majorHAnsi" w:hAnsiTheme="majorHAnsi" w:cstheme="minorHAnsi"/>
          <w:sz w:val="22"/>
          <w:szCs w:val="22"/>
        </w:rPr>
        <w:t xml:space="preserve">esearch and evaluation should respect cultural sensitivities. </w:t>
      </w:r>
    </w:p>
    <w:p w14:paraId="6481BE6D" w14:textId="37945DFF" w:rsidR="002D1C16" w:rsidRPr="002D1C16" w:rsidRDefault="002D1C16" w:rsidP="002D1C16">
      <w:pPr>
        <w:spacing w:after="120"/>
        <w:ind w:left="720"/>
        <w:jc w:val="both"/>
        <w:rPr>
          <w:rFonts w:asciiTheme="majorHAnsi" w:hAnsiTheme="majorHAnsi" w:cstheme="minorHAnsi"/>
          <w:sz w:val="22"/>
          <w:szCs w:val="22"/>
        </w:rPr>
      </w:pPr>
      <w:r w:rsidRPr="002D1C16">
        <w:rPr>
          <w:rFonts w:asciiTheme="majorHAnsi" w:hAnsiTheme="majorHAnsi" w:cstheme="minorHAnsi"/>
          <w:sz w:val="22"/>
          <w:szCs w:val="22"/>
        </w:rPr>
        <w:t>8.</w:t>
      </w:r>
      <w:r w:rsidRPr="002D1C16">
        <w:rPr>
          <w:rFonts w:asciiTheme="majorHAnsi" w:hAnsiTheme="majorHAnsi" w:cstheme="minorHAnsi"/>
          <w:sz w:val="22"/>
          <w:szCs w:val="22"/>
        </w:rPr>
        <w:tab/>
        <w:t xml:space="preserve"> </w:t>
      </w:r>
      <w:r>
        <w:rPr>
          <w:rFonts w:asciiTheme="majorHAnsi" w:hAnsiTheme="majorHAnsi" w:cstheme="minorHAnsi"/>
          <w:sz w:val="22"/>
          <w:szCs w:val="22"/>
        </w:rPr>
        <w:t>R</w:t>
      </w:r>
      <w:r w:rsidRPr="002D1C16">
        <w:rPr>
          <w:rFonts w:asciiTheme="majorHAnsi" w:hAnsiTheme="majorHAnsi" w:cstheme="minorHAnsi"/>
          <w:sz w:val="22"/>
          <w:szCs w:val="22"/>
        </w:rPr>
        <w:t xml:space="preserve">esearch and evaluation should be independent of those implementing the intervention or programme under study </w:t>
      </w:r>
    </w:p>
    <w:p w14:paraId="60734FF6" w14:textId="21EA2AA1" w:rsidR="002D1C16" w:rsidRPr="002D1C16" w:rsidRDefault="002D1C16" w:rsidP="002D1C16">
      <w:pPr>
        <w:spacing w:after="120"/>
        <w:ind w:left="720"/>
        <w:jc w:val="both"/>
        <w:rPr>
          <w:rFonts w:asciiTheme="majorHAnsi" w:hAnsiTheme="majorHAnsi" w:cstheme="minorHAnsi"/>
          <w:sz w:val="22"/>
          <w:szCs w:val="22"/>
        </w:rPr>
      </w:pPr>
      <w:r w:rsidRPr="002D1C16">
        <w:rPr>
          <w:rFonts w:asciiTheme="majorHAnsi" w:hAnsiTheme="majorHAnsi" w:cstheme="minorHAnsi"/>
          <w:sz w:val="22"/>
          <w:szCs w:val="22"/>
        </w:rPr>
        <w:t>10.</w:t>
      </w:r>
      <w:r w:rsidRPr="002D1C16">
        <w:rPr>
          <w:rFonts w:asciiTheme="majorHAnsi" w:hAnsiTheme="majorHAnsi" w:cstheme="minorHAnsi"/>
          <w:sz w:val="22"/>
          <w:szCs w:val="22"/>
        </w:rPr>
        <w:tab/>
      </w:r>
      <w:r>
        <w:rPr>
          <w:rFonts w:asciiTheme="majorHAnsi" w:hAnsiTheme="majorHAnsi" w:cstheme="minorHAnsi"/>
          <w:sz w:val="22"/>
          <w:szCs w:val="22"/>
        </w:rPr>
        <w:t>R</w:t>
      </w:r>
      <w:r w:rsidRPr="002D1C16">
        <w:rPr>
          <w:rFonts w:asciiTheme="majorHAnsi" w:hAnsiTheme="majorHAnsi" w:cstheme="minorHAnsi"/>
          <w:sz w:val="22"/>
          <w:szCs w:val="22"/>
        </w:rPr>
        <w:t>esearch/ evaluation should have particular emphasis</w:t>
      </w:r>
      <w:r>
        <w:rPr>
          <w:rFonts w:asciiTheme="majorHAnsi" w:hAnsiTheme="majorHAnsi" w:cstheme="minorHAnsi"/>
          <w:sz w:val="22"/>
          <w:szCs w:val="22"/>
        </w:rPr>
        <w:t xml:space="preserve"> on ensuring </w:t>
      </w:r>
      <w:r w:rsidRPr="002D1C16">
        <w:rPr>
          <w:rFonts w:asciiTheme="majorHAnsi" w:hAnsiTheme="majorHAnsi" w:cstheme="minorHAnsi"/>
          <w:sz w:val="22"/>
          <w:szCs w:val="22"/>
        </w:rPr>
        <w:t xml:space="preserve">participation from women and socially excluded groups </w:t>
      </w:r>
    </w:p>
    <w:p w14:paraId="451CF233" w14:textId="77777777" w:rsidR="002D1C16" w:rsidRPr="002D1C16" w:rsidRDefault="002D1C16" w:rsidP="002D1C16">
      <w:pPr>
        <w:spacing w:after="120"/>
        <w:jc w:val="both"/>
        <w:rPr>
          <w:rFonts w:asciiTheme="majorHAnsi" w:hAnsiTheme="majorHAnsi" w:cs="Calibri"/>
          <w:sz w:val="22"/>
          <w:szCs w:val="22"/>
        </w:rPr>
      </w:pPr>
    </w:p>
    <w:sectPr w:rsidR="002D1C16" w:rsidRPr="002D1C16" w:rsidSect="002A3DE8">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1991B" w14:textId="77777777" w:rsidR="0095157A" w:rsidRDefault="0095157A" w:rsidP="005D572A">
      <w:r>
        <w:separator/>
      </w:r>
    </w:p>
  </w:endnote>
  <w:endnote w:type="continuationSeparator" w:id="0">
    <w:p w14:paraId="32B438DB" w14:textId="77777777" w:rsidR="0095157A" w:rsidRDefault="0095157A" w:rsidP="005D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5E285" w14:textId="77777777" w:rsidR="0095157A" w:rsidRDefault="0095157A" w:rsidP="00631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E0B98" w14:textId="77777777" w:rsidR="0095157A" w:rsidRDefault="0095157A" w:rsidP="007F57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FDC9D" w14:textId="77777777" w:rsidR="0095157A" w:rsidRPr="007F57AD" w:rsidRDefault="0095157A" w:rsidP="0063121F">
    <w:pPr>
      <w:pStyle w:val="Footer"/>
      <w:framePr w:wrap="around" w:vAnchor="text" w:hAnchor="margin" w:xAlign="right" w:y="1"/>
      <w:rPr>
        <w:rStyle w:val="PageNumber"/>
        <w:rFonts w:asciiTheme="majorHAnsi" w:hAnsiTheme="majorHAnsi"/>
        <w:sz w:val="16"/>
        <w:szCs w:val="16"/>
      </w:rPr>
    </w:pPr>
    <w:r w:rsidRPr="007F57AD">
      <w:rPr>
        <w:rStyle w:val="PageNumber"/>
        <w:rFonts w:asciiTheme="majorHAnsi" w:hAnsiTheme="majorHAnsi"/>
        <w:sz w:val="16"/>
        <w:szCs w:val="16"/>
      </w:rPr>
      <w:fldChar w:fldCharType="begin"/>
    </w:r>
    <w:r w:rsidRPr="007F57AD">
      <w:rPr>
        <w:rStyle w:val="PageNumber"/>
        <w:rFonts w:asciiTheme="majorHAnsi" w:hAnsiTheme="majorHAnsi"/>
        <w:sz w:val="16"/>
        <w:szCs w:val="16"/>
      </w:rPr>
      <w:instrText xml:space="preserve">PAGE  </w:instrText>
    </w:r>
    <w:r w:rsidRPr="007F57AD">
      <w:rPr>
        <w:rStyle w:val="PageNumber"/>
        <w:rFonts w:asciiTheme="majorHAnsi" w:hAnsiTheme="majorHAnsi"/>
        <w:sz w:val="16"/>
        <w:szCs w:val="16"/>
      </w:rPr>
      <w:fldChar w:fldCharType="separate"/>
    </w:r>
    <w:r w:rsidR="000B3382">
      <w:rPr>
        <w:rStyle w:val="PageNumber"/>
        <w:rFonts w:asciiTheme="majorHAnsi" w:hAnsiTheme="majorHAnsi"/>
        <w:noProof/>
        <w:sz w:val="16"/>
        <w:szCs w:val="16"/>
      </w:rPr>
      <w:t>9</w:t>
    </w:r>
    <w:r w:rsidRPr="007F57AD">
      <w:rPr>
        <w:rStyle w:val="PageNumber"/>
        <w:rFonts w:asciiTheme="majorHAnsi" w:hAnsiTheme="majorHAnsi"/>
        <w:sz w:val="16"/>
        <w:szCs w:val="16"/>
      </w:rPr>
      <w:fldChar w:fldCharType="end"/>
    </w:r>
  </w:p>
  <w:p w14:paraId="4A8B8F62" w14:textId="313F842F" w:rsidR="0095157A" w:rsidRDefault="0095157A" w:rsidP="007F57AD">
    <w:pPr>
      <w:pStyle w:val="Footer"/>
      <w:ind w:right="360"/>
    </w:pPr>
    <w:r w:rsidRPr="007F57AD">
      <w:rPr>
        <w:rFonts w:asciiTheme="majorHAnsi" w:hAnsiTheme="majorHAnsi"/>
        <w:b/>
        <w:sz w:val="16"/>
        <w:szCs w:val="16"/>
      </w:rPr>
      <w:t xml:space="preserve">Operationalizing the TOR: </w:t>
    </w:r>
    <w:r w:rsidRPr="007F57AD">
      <w:rPr>
        <w:rFonts w:ascii="Calibri" w:hAnsi="Calibri" w:cs="Calibri"/>
        <w:b/>
        <w:sz w:val="16"/>
        <w:szCs w:val="16"/>
      </w:rPr>
      <w:t>Evaluation of Clear for Results Phase II (CFRII), 2011-2015) in Cambodia</w:t>
    </w:r>
    <w:r>
      <w:rPr>
        <w:rFonts w:ascii="Calibri" w:hAnsi="Calibri" w:cs="Calibri"/>
        <w:b/>
        <w:sz w:val="16"/>
        <w:szCs w:val="16"/>
      </w:rPr>
      <w:t>, 25092015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6E5B9" w14:textId="77777777" w:rsidR="0095157A" w:rsidRDefault="0095157A" w:rsidP="005D572A">
      <w:r>
        <w:separator/>
      </w:r>
    </w:p>
  </w:footnote>
  <w:footnote w:type="continuationSeparator" w:id="0">
    <w:p w14:paraId="5423CABB" w14:textId="77777777" w:rsidR="0095157A" w:rsidRDefault="0095157A" w:rsidP="005D572A">
      <w:r>
        <w:continuationSeparator/>
      </w:r>
    </w:p>
  </w:footnote>
  <w:footnote w:id="1">
    <w:p w14:paraId="2C647D60" w14:textId="2790A5CE" w:rsidR="0095157A" w:rsidRPr="00CD3D58" w:rsidRDefault="0095157A" w:rsidP="00CD3D58">
      <w:pPr>
        <w:pStyle w:val="FootnoteText"/>
        <w:rPr>
          <w:rFonts w:asciiTheme="majorHAnsi" w:hAnsiTheme="majorHAnsi"/>
          <w:sz w:val="16"/>
          <w:szCs w:val="16"/>
        </w:rPr>
      </w:pPr>
      <w:r w:rsidRPr="00CD3D58">
        <w:rPr>
          <w:rStyle w:val="FootnoteReference"/>
          <w:rFonts w:asciiTheme="majorHAnsi" w:hAnsiTheme="majorHAnsi"/>
          <w:sz w:val="16"/>
          <w:szCs w:val="16"/>
        </w:rPr>
        <w:footnoteRef/>
      </w:r>
      <w:r w:rsidRPr="00CD3D58">
        <w:rPr>
          <w:rFonts w:asciiTheme="majorHAnsi" w:hAnsiTheme="majorHAnsi"/>
          <w:sz w:val="16"/>
          <w:szCs w:val="16"/>
        </w:rPr>
        <w:t xml:space="preserve"> Interview with David Horrocks, Mine Action Advisor, CfR II/Poverty Reduction, CMAA, 21</w:t>
      </w:r>
      <w:r w:rsidRPr="00CD3D58">
        <w:rPr>
          <w:rFonts w:asciiTheme="majorHAnsi" w:hAnsiTheme="majorHAnsi"/>
          <w:sz w:val="16"/>
          <w:szCs w:val="16"/>
          <w:vertAlign w:val="superscript"/>
        </w:rPr>
        <w:t>st</w:t>
      </w:r>
      <w:r w:rsidRPr="00CD3D58">
        <w:rPr>
          <w:rFonts w:asciiTheme="majorHAnsi" w:hAnsiTheme="majorHAnsi"/>
          <w:sz w:val="16"/>
          <w:szCs w:val="16"/>
        </w:rPr>
        <w:t xml:space="preserve"> September 2015</w:t>
      </w:r>
    </w:p>
  </w:footnote>
  <w:footnote w:id="2">
    <w:p w14:paraId="29A85144" w14:textId="54E5CCA3" w:rsidR="0095157A" w:rsidRDefault="0095157A" w:rsidP="00CD3D58">
      <w:pPr>
        <w:pStyle w:val="FootnoteText"/>
      </w:pPr>
      <w:r w:rsidRPr="00CD3D58">
        <w:rPr>
          <w:rStyle w:val="FootnoteReference"/>
          <w:rFonts w:asciiTheme="majorHAnsi" w:hAnsiTheme="majorHAnsi"/>
          <w:sz w:val="16"/>
          <w:szCs w:val="16"/>
        </w:rPr>
        <w:footnoteRef/>
      </w:r>
      <w:r w:rsidRPr="00CD3D58">
        <w:rPr>
          <w:rFonts w:asciiTheme="majorHAnsi" w:hAnsiTheme="majorHAnsi"/>
          <w:sz w:val="16"/>
          <w:szCs w:val="16"/>
        </w:rPr>
        <w:t xml:space="preserve"> p.1, TOR Clearing for Results Phase II (CfR II)</w:t>
      </w:r>
    </w:p>
  </w:footnote>
  <w:footnote w:id="3">
    <w:p w14:paraId="3DF1511A" w14:textId="042D1C9E" w:rsidR="0095157A" w:rsidRPr="000175E3" w:rsidRDefault="0095157A" w:rsidP="00DC5921">
      <w:pPr>
        <w:pStyle w:val="ListParagraph"/>
        <w:ind w:left="0"/>
        <w:jc w:val="both"/>
        <w:rPr>
          <w:rFonts w:asciiTheme="majorHAnsi" w:hAnsiTheme="majorHAnsi" w:cs="Arial"/>
          <w:sz w:val="16"/>
          <w:szCs w:val="16"/>
        </w:rPr>
      </w:pPr>
      <w:r w:rsidRPr="000175E3">
        <w:rPr>
          <w:rStyle w:val="FootnoteReference"/>
          <w:rFonts w:asciiTheme="majorHAnsi" w:hAnsiTheme="majorHAnsi"/>
          <w:sz w:val="16"/>
          <w:szCs w:val="16"/>
          <w:lang w:val="en-GB"/>
        </w:rPr>
        <w:footnoteRef/>
      </w:r>
      <w:r w:rsidRPr="000175E3">
        <w:rPr>
          <w:rFonts w:asciiTheme="majorHAnsi" w:hAnsiTheme="majorHAnsi"/>
          <w:sz w:val="16"/>
          <w:szCs w:val="16"/>
          <w:lang w:val="en-GB"/>
        </w:rPr>
        <w:t xml:space="preserve"> </w:t>
      </w:r>
      <w:r w:rsidRPr="000175E3">
        <w:rPr>
          <w:rFonts w:asciiTheme="majorHAnsi" w:hAnsiTheme="majorHAnsi" w:cs="Arial"/>
          <w:sz w:val="16"/>
          <w:szCs w:val="16"/>
          <w:lang w:val="en-GB"/>
        </w:rPr>
        <w:t>UNDP's support to the mine action sector in Cambodia started in 1993. A Trust Fund for technical and financial support of demining activities carried out by the Cambodian Mine Action Centre (CMAC) was established. With UNOPS as the executing agency, an associated project document was signed between the Royal Government of Cambodia (RGC) and UNDP in the same year. This arrangement was continued under three consecutive 'phases', which started as an institution-building programme that concentrated on capacity development and greater national leadership by the start of the third phase in 1998, by which time CMAC had grown to employ 3,000 staff with over 60 technical advisers from a large number of donor partners. However, allegations of mismanagement and poor land use policies surfaced in early 1999, and following the September 1999 release of an audit report that rated CMAC's internal controls as "seriously deficient", CMAC was plunged into a long period of crisis that lasted till the end of 2000. Donor confidence in the organization was shaken, and a series of reforms were implemented in CMAC's management and structure as well as the sector with the establishment of a new Mine Action Authority in September 2000. At the request of donors, an evaluation of CMAC's reform programme</w:t>
      </w:r>
      <w:r>
        <w:rPr>
          <w:rFonts w:asciiTheme="majorHAnsi" w:hAnsiTheme="majorHAnsi" w:cs="Arial"/>
          <w:sz w:val="16"/>
          <w:szCs w:val="16"/>
          <w:lang w:val="en-GB"/>
        </w:rPr>
        <w:t>,</w:t>
      </w:r>
      <w:r w:rsidRPr="000175E3">
        <w:rPr>
          <w:rFonts w:asciiTheme="majorHAnsi" w:hAnsiTheme="majorHAnsi" w:cs="Arial"/>
          <w:sz w:val="16"/>
          <w:szCs w:val="16"/>
          <w:lang w:val="en-GB"/>
        </w:rPr>
        <w:t xml:space="preserve"> as well as an investigation into land use issues were carried out in the first half of 2000 with relatively positive results. However, as a result of low donor confidence and inadequate financial support as well as a perception by stakeholders that CMAC was over-sized, 90% of CMAC staff was laid off in October 2000. In November 2000, the Government invited all mine action partners in Cambodia to participate in a National Mine Action Symposium with a view to enhancing partnerships with all national and international stakeholders under the principle of national ownership. During the Symposium, presided over by the Prime Minister, the Government outlined Cambodia's vision for the sector, which was described as one of central importance to poverty alleviation and development planning in the country over the medium term. With a new role as a national mine action service provider, and a clear indication of support from national and international partners subject to the continuing implementation of necessary reforms, CMAC prepared and implemented a work plan for 2001 with a leaner and more effective structure. </w:t>
      </w:r>
      <w:r w:rsidRPr="000175E3">
        <w:rPr>
          <w:rFonts w:asciiTheme="majorHAnsi" w:hAnsiTheme="majorHAnsi" w:cs="Arial"/>
          <w:sz w:val="16"/>
          <w:szCs w:val="16"/>
          <w:u w:val="single"/>
          <w:lang w:val="en-GB"/>
        </w:rPr>
        <w:t>Source:</w:t>
      </w:r>
      <w:r w:rsidRPr="000175E3">
        <w:rPr>
          <w:rFonts w:asciiTheme="majorHAnsi" w:hAnsiTheme="majorHAnsi" w:cs="Arial"/>
          <w:sz w:val="16"/>
          <w:szCs w:val="16"/>
          <w:lang w:val="en-GB"/>
        </w:rPr>
        <w:t xml:space="preserve"> submission by UNDP Focal Point Cambodia</w:t>
      </w:r>
      <w:r w:rsidRPr="000175E3">
        <w:rPr>
          <w:rFonts w:asciiTheme="majorHAnsi" w:hAnsiTheme="majorHAnsi" w:cs="Arial"/>
          <w:sz w:val="16"/>
          <w:szCs w:val="16"/>
        </w:rPr>
        <w:t>, to Global Portfolio interview questions, to UNDP Independent Evaluation Office New York, 24</w:t>
      </w:r>
      <w:r w:rsidRPr="000175E3">
        <w:rPr>
          <w:rFonts w:asciiTheme="majorHAnsi" w:hAnsiTheme="majorHAnsi" w:cs="Arial"/>
          <w:sz w:val="16"/>
          <w:szCs w:val="16"/>
          <w:vertAlign w:val="superscript"/>
        </w:rPr>
        <w:t>th</w:t>
      </w:r>
      <w:r w:rsidRPr="000175E3">
        <w:rPr>
          <w:rFonts w:asciiTheme="majorHAnsi" w:hAnsiTheme="majorHAnsi" w:cs="Arial"/>
          <w:sz w:val="16"/>
          <w:szCs w:val="16"/>
        </w:rPr>
        <w:t xml:space="preserve"> September 2015</w:t>
      </w:r>
    </w:p>
  </w:footnote>
  <w:footnote w:id="4">
    <w:p w14:paraId="30671087" w14:textId="3C963227" w:rsidR="0095157A" w:rsidRPr="00830002" w:rsidRDefault="0095157A">
      <w:pPr>
        <w:pStyle w:val="FootnoteText"/>
        <w:rPr>
          <w:rFonts w:asciiTheme="majorHAnsi" w:hAnsiTheme="majorHAnsi"/>
          <w:sz w:val="16"/>
          <w:szCs w:val="16"/>
        </w:rPr>
      </w:pPr>
      <w:r w:rsidRPr="00830002">
        <w:rPr>
          <w:rStyle w:val="FootnoteReference"/>
          <w:rFonts w:asciiTheme="majorHAnsi" w:hAnsiTheme="majorHAnsi"/>
          <w:sz w:val="16"/>
          <w:szCs w:val="16"/>
        </w:rPr>
        <w:footnoteRef/>
      </w:r>
      <w:r w:rsidRPr="00830002">
        <w:rPr>
          <w:rFonts w:asciiTheme="majorHAnsi" w:hAnsiTheme="majorHAnsi"/>
          <w:sz w:val="16"/>
          <w:szCs w:val="16"/>
        </w:rPr>
        <w:t xml:space="preserve"> UNDP terminology for a ‘directly implemented project’.</w:t>
      </w:r>
    </w:p>
  </w:footnote>
  <w:footnote w:id="5">
    <w:p w14:paraId="2F539459" w14:textId="677A6A1E" w:rsidR="0095157A" w:rsidRPr="00830002" w:rsidRDefault="0095157A">
      <w:pPr>
        <w:pStyle w:val="FootnoteText"/>
        <w:rPr>
          <w:sz w:val="16"/>
          <w:szCs w:val="16"/>
        </w:rPr>
      </w:pPr>
      <w:r w:rsidRPr="00830002">
        <w:rPr>
          <w:rStyle w:val="FootnoteReference"/>
          <w:sz w:val="16"/>
          <w:szCs w:val="16"/>
        </w:rPr>
        <w:footnoteRef/>
      </w:r>
      <w:r w:rsidRPr="00830002">
        <w:rPr>
          <w:sz w:val="16"/>
          <w:szCs w:val="16"/>
        </w:rPr>
        <w:t xml:space="preserve"> </w:t>
      </w:r>
      <w:r w:rsidRPr="00830002">
        <w:rPr>
          <w:rFonts w:asciiTheme="majorHAnsi" w:hAnsiTheme="majorHAnsi"/>
          <w:sz w:val="16"/>
          <w:szCs w:val="16"/>
        </w:rPr>
        <w:t>Interview with David Horrocks, Mine Action Advisor, CfR II/Poverty Reduction, CMAA, 21</w:t>
      </w:r>
      <w:r w:rsidRPr="00830002">
        <w:rPr>
          <w:rFonts w:asciiTheme="majorHAnsi" w:hAnsiTheme="majorHAnsi"/>
          <w:sz w:val="16"/>
          <w:szCs w:val="16"/>
          <w:vertAlign w:val="superscript"/>
        </w:rPr>
        <w:t>st</w:t>
      </w:r>
      <w:r w:rsidRPr="00830002">
        <w:rPr>
          <w:rFonts w:asciiTheme="majorHAnsi" w:hAnsiTheme="majorHAnsi"/>
          <w:sz w:val="16"/>
          <w:szCs w:val="16"/>
        </w:rPr>
        <w:t xml:space="preserve"> September 2015</w:t>
      </w:r>
    </w:p>
  </w:footnote>
  <w:footnote w:id="6">
    <w:p w14:paraId="5E62B078" w14:textId="3C3BF036" w:rsidR="0095157A" w:rsidRPr="00830002" w:rsidRDefault="0095157A">
      <w:pPr>
        <w:pStyle w:val="FootnoteText"/>
        <w:rPr>
          <w:rFonts w:asciiTheme="majorHAnsi" w:hAnsiTheme="majorHAnsi"/>
          <w:sz w:val="16"/>
          <w:szCs w:val="16"/>
        </w:rPr>
      </w:pPr>
      <w:r w:rsidRPr="00830002">
        <w:rPr>
          <w:rStyle w:val="FootnoteReference"/>
          <w:rFonts w:asciiTheme="majorHAnsi" w:hAnsiTheme="majorHAnsi"/>
          <w:sz w:val="16"/>
          <w:szCs w:val="16"/>
        </w:rPr>
        <w:footnoteRef/>
      </w:r>
      <w:r w:rsidRPr="00830002">
        <w:rPr>
          <w:rFonts w:asciiTheme="majorHAnsi" w:hAnsiTheme="majorHAnsi"/>
          <w:sz w:val="16"/>
          <w:szCs w:val="16"/>
        </w:rPr>
        <w:t xml:space="preserve"> Interview with David Horrocks, Mine Action Advisor, CfR II/Poverty Reduction, CMAA, 21</w:t>
      </w:r>
      <w:r w:rsidRPr="00830002">
        <w:rPr>
          <w:rFonts w:asciiTheme="majorHAnsi" w:hAnsiTheme="majorHAnsi"/>
          <w:sz w:val="16"/>
          <w:szCs w:val="16"/>
          <w:vertAlign w:val="superscript"/>
        </w:rPr>
        <w:t>st</w:t>
      </w:r>
      <w:r w:rsidRPr="00830002">
        <w:rPr>
          <w:rFonts w:asciiTheme="majorHAnsi" w:hAnsiTheme="majorHAnsi"/>
          <w:sz w:val="16"/>
          <w:szCs w:val="16"/>
        </w:rPr>
        <w:t xml:space="preserve"> September 2015</w:t>
      </w:r>
    </w:p>
  </w:footnote>
  <w:footnote w:id="7">
    <w:p w14:paraId="3C4EE4E2" w14:textId="331BFF19" w:rsidR="0095157A" w:rsidRPr="00FD4096" w:rsidRDefault="0095157A">
      <w:pPr>
        <w:pStyle w:val="FootnoteText"/>
        <w:rPr>
          <w:rFonts w:asciiTheme="majorHAnsi" w:hAnsiTheme="majorHAnsi"/>
          <w:sz w:val="16"/>
          <w:szCs w:val="16"/>
        </w:rPr>
      </w:pPr>
      <w:r w:rsidRPr="00FD4096">
        <w:rPr>
          <w:rStyle w:val="FootnoteReference"/>
          <w:rFonts w:asciiTheme="majorHAnsi" w:hAnsiTheme="majorHAnsi"/>
          <w:sz w:val="16"/>
          <w:szCs w:val="16"/>
        </w:rPr>
        <w:footnoteRef/>
      </w:r>
      <w:r w:rsidRPr="00FD4096">
        <w:rPr>
          <w:rFonts w:asciiTheme="majorHAnsi" w:hAnsiTheme="majorHAnsi"/>
          <w:sz w:val="16"/>
          <w:szCs w:val="16"/>
        </w:rPr>
        <w:t xml:space="preserve"> p.2, TOR Clearing for Results Phase II (CfR II)</w:t>
      </w:r>
    </w:p>
  </w:footnote>
  <w:footnote w:id="8">
    <w:p w14:paraId="4023E0AA" w14:textId="133B02EF" w:rsidR="0095157A" w:rsidRPr="00FD4096" w:rsidRDefault="0095157A">
      <w:pPr>
        <w:pStyle w:val="FootnoteText"/>
        <w:rPr>
          <w:rFonts w:asciiTheme="majorHAnsi" w:hAnsiTheme="majorHAnsi"/>
          <w:sz w:val="16"/>
          <w:szCs w:val="16"/>
        </w:rPr>
      </w:pPr>
      <w:r w:rsidRPr="00FD4096">
        <w:rPr>
          <w:rStyle w:val="FootnoteReference"/>
          <w:rFonts w:asciiTheme="majorHAnsi" w:hAnsiTheme="majorHAnsi"/>
          <w:sz w:val="16"/>
          <w:szCs w:val="16"/>
        </w:rPr>
        <w:footnoteRef/>
      </w:r>
      <w:r w:rsidRPr="00FD4096">
        <w:rPr>
          <w:rFonts w:asciiTheme="majorHAnsi" w:hAnsiTheme="majorHAnsi"/>
          <w:sz w:val="16"/>
          <w:szCs w:val="16"/>
        </w:rPr>
        <w:t xml:space="preserve"> p.3, TOR Clearing for Results Phase II (CfR II)</w:t>
      </w:r>
    </w:p>
  </w:footnote>
  <w:footnote w:id="9">
    <w:p w14:paraId="6A684F64" w14:textId="3BADAA2D" w:rsidR="0095157A" w:rsidRPr="000E2DC2" w:rsidRDefault="0095157A" w:rsidP="000E2DC2">
      <w:pPr>
        <w:pStyle w:val="FootnoteText"/>
        <w:jc w:val="both"/>
        <w:rPr>
          <w:rFonts w:asciiTheme="majorHAnsi" w:hAnsiTheme="majorHAnsi"/>
          <w:sz w:val="16"/>
          <w:szCs w:val="16"/>
        </w:rPr>
      </w:pPr>
      <w:r w:rsidRPr="000E2DC2">
        <w:rPr>
          <w:rStyle w:val="FootnoteReference"/>
          <w:rFonts w:asciiTheme="majorHAnsi" w:hAnsiTheme="majorHAnsi"/>
          <w:sz w:val="16"/>
          <w:szCs w:val="16"/>
        </w:rPr>
        <w:footnoteRef/>
      </w:r>
      <w:r>
        <w:rPr>
          <w:rFonts w:asciiTheme="majorHAnsi" w:hAnsiTheme="majorHAnsi"/>
          <w:sz w:val="16"/>
          <w:szCs w:val="16"/>
        </w:rPr>
        <w:t xml:space="preserve"> It is believed that</w:t>
      </w:r>
      <w:r w:rsidRPr="000E2DC2">
        <w:rPr>
          <w:rFonts w:asciiTheme="majorHAnsi" w:hAnsiTheme="majorHAnsi"/>
          <w:sz w:val="16"/>
          <w:szCs w:val="16"/>
        </w:rPr>
        <w:t xml:space="preserve"> only 4% of land released is not being used, according to Post Clearance Monitoring reports, which is relatively low figure. Source: Interview with David Horrocks, Mine Action Advisor, CfR II/Poverty Reduction, CMAA, 21</w:t>
      </w:r>
      <w:r w:rsidRPr="000E2DC2">
        <w:rPr>
          <w:rFonts w:asciiTheme="majorHAnsi" w:hAnsiTheme="majorHAnsi"/>
          <w:sz w:val="16"/>
          <w:szCs w:val="16"/>
          <w:vertAlign w:val="superscript"/>
        </w:rPr>
        <w:t>st</w:t>
      </w:r>
      <w:r w:rsidRPr="000E2DC2">
        <w:rPr>
          <w:rFonts w:asciiTheme="majorHAnsi" w:hAnsiTheme="majorHAnsi"/>
          <w:sz w:val="16"/>
          <w:szCs w:val="16"/>
        </w:rPr>
        <w:t xml:space="preserve"> September 2015</w:t>
      </w:r>
    </w:p>
    <w:p w14:paraId="380E2032" w14:textId="0380D6CB" w:rsidR="0095157A" w:rsidRDefault="0095157A">
      <w:pPr>
        <w:pStyle w:val="FootnoteText"/>
      </w:pPr>
    </w:p>
  </w:footnote>
  <w:footnote w:id="10">
    <w:p w14:paraId="5B21116C" w14:textId="14BFF543" w:rsidR="0095157A" w:rsidRPr="000738CB" w:rsidRDefault="0095157A" w:rsidP="000738CB">
      <w:pPr>
        <w:pStyle w:val="FootnoteText"/>
        <w:jc w:val="both"/>
        <w:rPr>
          <w:rFonts w:asciiTheme="majorHAnsi" w:hAnsiTheme="majorHAnsi"/>
          <w:sz w:val="16"/>
          <w:szCs w:val="16"/>
        </w:rPr>
      </w:pPr>
      <w:r w:rsidRPr="000738CB">
        <w:rPr>
          <w:rStyle w:val="FootnoteReference"/>
          <w:rFonts w:asciiTheme="majorHAnsi" w:hAnsiTheme="majorHAnsi"/>
          <w:sz w:val="16"/>
          <w:szCs w:val="16"/>
        </w:rPr>
        <w:footnoteRef/>
      </w:r>
      <w:r w:rsidRPr="000738CB">
        <w:rPr>
          <w:rFonts w:asciiTheme="majorHAnsi" w:hAnsiTheme="majorHAnsi"/>
          <w:sz w:val="16"/>
          <w:szCs w:val="16"/>
        </w:rPr>
        <w:t xml:space="preserve"> The evaluator selected undertook extensive grass roots research in western Cambodia, in particular in Ratanank Mondul district, south western Battambang, which remains one of the target CfR II areas, in 1992-3, published as </w:t>
      </w:r>
      <w:r w:rsidRPr="000738CB">
        <w:rPr>
          <w:rFonts w:asciiTheme="majorHAnsi" w:hAnsiTheme="majorHAnsi"/>
          <w:i/>
          <w:sz w:val="16"/>
          <w:szCs w:val="16"/>
        </w:rPr>
        <w:t xml:space="preserve">‘War of the Mines: Cambodia, Landmines and the Impoverishment of a Nation’ </w:t>
      </w:r>
      <w:r w:rsidRPr="000738CB">
        <w:rPr>
          <w:rFonts w:asciiTheme="majorHAnsi" w:hAnsiTheme="majorHAnsi"/>
          <w:sz w:val="16"/>
          <w:szCs w:val="16"/>
        </w:rPr>
        <w:t>in 1994 (Pluto Press, London).</w:t>
      </w:r>
      <w:r>
        <w:rPr>
          <w:rFonts w:asciiTheme="majorHAnsi" w:hAnsiTheme="majorHAnsi"/>
          <w:sz w:val="16"/>
          <w:szCs w:val="16"/>
        </w:rPr>
        <w:t xml:space="preserve"> He also produced the first CMAC promotional film ‘Deadly Harvest’ in 1993, and worked for MAG as their first S E Asia Desk officer responsible for developing their mine action work, primarily in Battambang, 1993-96.</w:t>
      </w:r>
    </w:p>
  </w:footnote>
  <w:footnote w:id="11">
    <w:p w14:paraId="4D6981DD" w14:textId="411588B4" w:rsidR="0095157A" w:rsidRPr="00CA3F7C" w:rsidRDefault="0095157A">
      <w:pPr>
        <w:pStyle w:val="FootnoteText"/>
        <w:rPr>
          <w:rFonts w:asciiTheme="majorHAnsi" w:hAnsiTheme="majorHAnsi"/>
          <w:sz w:val="16"/>
          <w:szCs w:val="16"/>
        </w:rPr>
      </w:pPr>
      <w:r w:rsidRPr="00CA3F7C">
        <w:rPr>
          <w:rStyle w:val="FootnoteReference"/>
          <w:rFonts w:asciiTheme="majorHAnsi" w:hAnsiTheme="majorHAnsi"/>
          <w:sz w:val="16"/>
          <w:szCs w:val="16"/>
        </w:rPr>
        <w:footnoteRef/>
      </w:r>
      <w:r w:rsidRPr="00CA3F7C">
        <w:rPr>
          <w:rFonts w:asciiTheme="majorHAnsi" w:hAnsiTheme="majorHAnsi"/>
          <w:sz w:val="16"/>
          <w:szCs w:val="16"/>
        </w:rPr>
        <w:t xml:space="preserve"> p.2, TOR Clearing for Results Phase II (CfR II)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8092B" w14:textId="54B44E47" w:rsidR="0095157A" w:rsidRPr="007F57AD" w:rsidRDefault="0095157A" w:rsidP="007F57AD">
    <w:pPr>
      <w:pStyle w:val="BodyText"/>
      <w:shd w:val="clear" w:color="auto" w:fill="FFFFFF"/>
      <w:rPr>
        <w:rFonts w:asciiTheme="majorHAnsi" w:hAnsiTheme="majorHAnsi"/>
        <w:b/>
        <w:sz w:val="16"/>
        <w:szCs w:val="16"/>
      </w:rPr>
    </w:pPr>
  </w:p>
  <w:p w14:paraId="0A15DD7C" w14:textId="77777777" w:rsidR="0095157A" w:rsidRDefault="009515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6C7"/>
    <w:multiLevelType w:val="hybridMultilevel"/>
    <w:tmpl w:val="FB0E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E6C00"/>
    <w:multiLevelType w:val="hybridMultilevel"/>
    <w:tmpl w:val="37C2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2CC2"/>
    <w:multiLevelType w:val="multilevel"/>
    <w:tmpl w:val="D4EE4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3CF7A28"/>
    <w:multiLevelType w:val="hybridMultilevel"/>
    <w:tmpl w:val="2A06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C2B82"/>
    <w:multiLevelType w:val="hybridMultilevel"/>
    <w:tmpl w:val="A29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82E6E"/>
    <w:multiLevelType w:val="hybridMultilevel"/>
    <w:tmpl w:val="D75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94282"/>
    <w:multiLevelType w:val="hybridMultilevel"/>
    <w:tmpl w:val="5AD2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64B49"/>
    <w:multiLevelType w:val="hybridMultilevel"/>
    <w:tmpl w:val="D088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25C81"/>
    <w:multiLevelType w:val="hybridMultilevel"/>
    <w:tmpl w:val="FC8A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A527B"/>
    <w:multiLevelType w:val="hybridMultilevel"/>
    <w:tmpl w:val="F2F09858"/>
    <w:lvl w:ilvl="0" w:tplc="186C585C">
      <w:start w:val="1"/>
      <w:numFmt w:val="bullet"/>
      <w:lvlText w:val="•"/>
      <w:lvlJc w:val="left"/>
      <w:pPr>
        <w:tabs>
          <w:tab w:val="num" w:pos="720"/>
        </w:tabs>
        <w:ind w:left="720" w:hanging="360"/>
      </w:pPr>
      <w:rPr>
        <w:rFonts w:ascii="Arial" w:hAnsi="Arial" w:hint="default"/>
      </w:rPr>
    </w:lvl>
    <w:lvl w:ilvl="1" w:tplc="421E0864" w:tentative="1">
      <w:start w:val="1"/>
      <w:numFmt w:val="bullet"/>
      <w:lvlText w:val="•"/>
      <w:lvlJc w:val="left"/>
      <w:pPr>
        <w:tabs>
          <w:tab w:val="num" w:pos="1440"/>
        </w:tabs>
        <w:ind w:left="1440" w:hanging="360"/>
      </w:pPr>
      <w:rPr>
        <w:rFonts w:ascii="Arial" w:hAnsi="Arial" w:hint="default"/>
      </w:rPr>
    </w:lvl>
    <w:lvl w:ilvl="2" w:tplc="1E2A92BC" w:tentative="1">
      <w:start w:val="1"/>
      <w:numFmt w:val="bullet"/>
      <w:lvlText w:val="•"/>
      <w:lvlJc w:val="left"/>
      <w:pPr>
        <w:tabs>
          <w:tab w:val="num" w:pos="2160"/>
        </w:tabs>
        <w:ind w:left="2160" w:hanging="360"/>
      </w:pPr>
      <w:rPr>
        <w:rFonts w:ascii="Arial" w:hAnsi="Arial" w:hint="default"/>
      </w:rPr>
    </w:lvl>
    <w:lvl w:ilvl="3" w:tplc="9B4A0BC2" w:tentative="1">
      <w:start w:val="1"/>
      <w:numFmt w:val="bullet"/>
      <w:lvlText w:val="•"/>
      <w:lvlJc w:val="left"/>
      <w:pPr>
        <w:tabs>
          <w:tab w:val="num" w:pos="2880"/>
        </w:tabs>
        <w:ind w:left="2880" w:hanging="360"/>
      </w:pPr>
      <w:rPr>
        <w:rFonts w:ascii="Arial" w:hAnsi="Arial" w:hint="default"/>
      </w:rPr>
    </w:lvl>
    <w:lvl w:ilvl="4" w:tplc="6826D1AA" w:tentative="1">
      <w:start w:val="1"/>
      <w:numFmt w:val="bullet"/>
      <w:lvlText w:val="•"/>
      <w:lvlJc w:val="left"/>
      <w:pPr>
        <w:tabs>
          <w:tab w:val="num" w:pos="3600"/>
        </w:tabs>
        <w:ind w:left="3600" w:hanging="360"/>
      </w:pPr>
      <w:rPr>
        <w:rFonts w:ascii="Arial" w:hAnsi="Arial" w:hint="default"/>
      </w:rPr>
    </w:lvl>
    <w:lvl w:ilvl="5" w:tplc="1DA82AA2" w:tentative="1">
      <w:start w:val="1"/>
      <w:numFmt w:val="bullet"/>
      <w:lvlText w:val="•"/>
      <w:lvlJc w:val="left"/>
      <w:pPr>
        <w:tabs>
          <w:tab w:val="num" w:pos="4320"/>
        </w:tabs>
        <w:ind w:left="4320" w:hanging="360"/>
      </w:pPr>
      <w:rPr>
        <w:rFonts w:ascii="Arial" w:hAnsi="Arial" w:hint="default"/>
      </w:rPr>
    </w:lvl>
    <w:lvl w:ilvl="6" w:tplc="F4806DEA" w:tentative="1">
      <w:start w:val="1"/>
      <w:numFmt w:val="bullet"/>
      <w:lvlText w:val="•"/>
      <w:lvlJc w:val="left"/>
      <w:pPr>
        <w:tabs>
          <w:tab w:val="num" w:pos="5040"/>
        </w:tabs>
        <w:ind w:left="5040" w:hanging="360"/>
      </w:pPr>
      <w:rPr>
        <w:rFonts w:ascii="Arial" w:hAnsi="Arial" w:hint="default"/>
      </w:rPr>
    </w:lvl>
    <w:lvl w:ilvl="7" w:tplc="4894E678" w:tentative="1">
      <w:start w:val="1"/>
      <w:numFmt w:val="bullet"/>
      <w:lvlText w:val="•"/>
      <w:lvlJc w:val="left"/>
      <w:pPr>
        <w:tabs>
          <w:tab w:val="num" w:pos="5760"/>
        </w:tabs>
        <w:ind w:left="5760" w:hanging="360"/>
      </w:pPr>
      <w:rPr>
        <w:rFonts w:ascii="Arial" w:hAnsi="Arial" w:hint="default"/>
      </w:rPr>
    </w:lvl>
    <w:lvl w:ilvl="8" w:tplc="116CBB1E" w:tentative="1">
      <w:start w:val="1"/>
      <w:numFmt w:val="bullet"/>
      <w:lvlText w:val="•"/>
      <w:lvlJc w:val="left"/>
      <w:pPr>
        <w:tabs>
          <w:tab w:val="num" w:pos="6480"/>
        </w:tabs>
        <w:ind w:left="6480" w:hanging="360"/>
      </w:pPr>
      <w:rPr>
        <w:rFonts w:ascii="Arial" w:hAnsi="Arial" w:hint="default"/>
      </w:rPr>
    </w:lvl>
  </w:abstractNum>
  <w:abstractNum w:abstractNumId="10">
    <w:nsid w:val="715F18F4"/>
    <w:multiLevelType w:val="hybridMultilevel"/>
    <w:tmpl w:val="890C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6"/>
  </w:num>
  <w:num w:numId="6">
    <w:abstractNumId w:val="5"/>
  </w:num>
  <w:num w:numId="7">
    <w:abstractNumId w:val="4"/>
  </w:num>
  <w:num w:numId="8">
    <w:abstractNumId w:val="7"/>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88"/>
    <w:rsid w:val="000175E3"/>
    <w:rsid w:val="000738CB"/>
    <w:rsid w:val="000B3382"/>
    <w:rsid w:val="000E0846"/>
    <w:rsid w:val="000E12AC"/>
    <w:rsid w:val="000E2DC2"/>
    <w:rsid w:val="00116B67"/>
    <w:rsid w:val="00167CD5"/>
    <w:rsid w:val="00183E8F"/>
    <w:rsid w:val="00187E9A"/>
    <w:rsid w:val="001A6D5C"/>
    <w:rsid w:val="001B2997"/>
    <w:rsid w:val="001E2544"/>
    <w:rsid w:val="001F216E"/>
    <w:rsid w:val="00245309"/>
    <w:rsid w:val="00265294"/>
    <w:rsid w:val="00294C88"/>
    <w:rsid w:val="002A3DE8"/>
    <w:rsid w:val="002D1C16"/>
    <w:rsid w:val="002D5FA7"/>
    <w:rsid w:val="002F22A5"/>
    <w:rsid w:val="00305D57"/>
    <w:rsid w:val="0032210A"/>
    <w:rsid w:val="0033145A"/>
    <w:rsid w:val="00336F28"/>
    <w:rsid w:val="003A44EC"/>
    <w:rsid w:val="003F6593"/>
    <w:rsid w:val="00403C17"/>
    <w:rsid w:val="004C21AE"/>
    <w:rsid w:val="004C5EEF"/>
    <w:rsid w:val="004D092E"/>
    <w:rsid w:val="004F4C1C"/>
    <w:rsid w:val="00535E99"/>
    <w:rsid w:val="00543A2A"/>
    <w:rsid w:val="0055462C"/>
    <w:rsid w:val="0059130F"/>
    <w:rsid w:val="005D572A"/>
    <w:rsid w:val="005F5073"/>
    <w:rsid w:val="00626CD1"/>
    <w:rsid w:val="00627D72"/>
    <w:rsid w:val="0063121F"/>
    <w:rsid w:val="00654B3E"/>
    <w:rsid w:val="006822D9"/>
    <w:rsid w:val="006A2B94"/>
    <w:rsid w:val="006A72B8"/>
    <w:rsid w:val="006D6CFE"/>
    <w:rsid w:val="006D7EAF"/>
    <w:rsid w:val="006E2D2D"/>
    <w:rsid w:val="006E31EF"/>
    <w:rsid w:val="006E518A"/>
    <w:rsid w:val="007014D8"/>
    <w:rsid w:val="007B41AF"/>
    <w:rsid w:val="007D02A3"/>
    <w:rsid w:val="007D3E1C"/>
    <w:rsid w:val="007E6B5E"/>
    <w:rsid w:val="007F4FA4"/>
    <w:rsid w:val="007F57AD"/>
    <w:rsid w:val="008072F0"/>
    <w:rsid w:val="00815F39"/>
    <w:rsid w:val="00830002"/>
    <w:rsid w:val="008A529D"/>
    <w:rsid w:val="008E3091"/>
    <w:rsid w:val="00905C9F"/>
    <w:rsid w:val="0095157A"/>
    <w:rsid w:val="00964672"/>
    <w:rsid w:val="0098461E"/>
    <w:rsid w:val="009A6F53"/>
    <w:rsid w:val="009D0C6E"/>
    <w:rsid w:val="009D1E84"/>
    <w:rsid w:val="009F69AF"/>
    <w:rsid w:val="009F6A9A"/>
    <w:rsid w:val="00A17F71"/>
    <w:rsid w:val="00A475E7"/>
    <w:rsid w:val="00A83E4D"/>
    <w:rsid w:val="00A96CEB"/>
    <w:rsid w:val="00AC166F"/>
    <w:rsid w:val="00AE0D9B"/>
    <w:rsid w:val="00AE6A55"/>
    <w:rsid w:val="00B27BFE"/>
    <w:rsid w:val="00B97E59"/>
    <w:rsid w:val="00BC7452"/>
    <w:rsid w:val="00BD208B"/>
    <w:rsid w:val="00BD66B4"/>
    <w:rsid w:val="00BF00CA"/>
    <w:rsid w:val="00C364B1"/>
    <w:rsid w:val="00C70CEB"/>
    <w:rsid w:val="00C719C2"/>
    <w:rsid w:val="00CA3F7C"/>
    <w:rsid w:val="00CB5DE5"/>
    <w:rsid w:val="00CD3D58"/>
    <w:rsid w:val="00CF7157"/>
    <w:rsid w:val="00D1631B"/>
    <w:rsid w:val="00D6057D"/>
    <w:rsid w:val="00D627BD"/>
    <w:rsid w:val="00DC5921"/>
    <w:rsid w:val="00DD1D68"/>
    <w:rsid w:val="00E13705"/>
    <w:rsid w:val="00E340F6"/>
    <w:rsid w:val="00E42CB9"/>
    <w:rsid w:val="00E72027"/>
    <w:rsid w:val="00E736DA"/>
    <w:rsid w:val="00E741DE"/>
    <w:rsid w:val="00EA13A1"/>
    <w:rsid w:val="00ED3A31"/>
    <w:rsid w:val="00EE6A8B"/>
    <w:rsid w:val="00F65341"/>
    <w:rsid w:val="00F81826"/>
    <w:rsid w:val="00F9131A"/>
    <w:rsid w:val="00FA126B"/>
    <w:rsid w:val="00FD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D8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6593"/>
    <w:pPr>
      <w:ind w:left="720"/>
      <w:contextualSpacing/>
    </w:pPr>
  </w:style>
  <w:style w:type="paragraph" w:styleId="BodyText">
    <w:name w:val="Body Text"/>
    <w:basedOn w:val="Normal"/>
    <w:link w:val="BodyTextChar"/>
    <w:rsid w:val="003F6593"/>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3F6593"/>
    <w:rPr>
      <w:rFonts w:ascii="Times New Roman" w:eastAsia="Times New Roman" w:hAnsi="Times New Roman" w:cs="Times New Roman"/>
    </w:rPr>
  </w:style>
  <w:style w:type="paragraph" w:styleId="FootnoteText">
    <w:name w:val="footnote text"/>
    <w:basedOn w:val="Normal"/>
    <w:link w:val="FootnoteTextChar"/>
    <w:uiPriority w:val="99"/>
    <w:unhideWhenUsed/>
    <w:rsid w:val="005D572A"/>
  </w:style>
  <w:style w:type="character" w:customStyle="1" w:styleId="FootnoteTextChar">
    <w:name w:val="Footnote Text Char"/>
    <w:basedOn w:val="DefaultParagraphFont"/>
    <w:link w:val="FootnoteText"/>
    <w:uiPriority w:val="99"/>
    <w:rsid w:val="005D572A"/>
  </w:style>
  <w:style w:type="character" w:styleId="FootnoteReference">
    <w:name w:val="footnote reference"/>
    <w:basedOn w:val="DefaultParagraphFont"/>
    <w:uiPriority w:val="99"/>
    <w:unhideWhenUsed/>
    <w:rsid w:val="005D572A"/>
    <w:rPr>
      <w:vertAlign w:val="superscript"/>
    </w:rPr>
  </w:style>
  <w:style w:type="table" w:styleId="TableGrid">
    <w:name w:val="Table Grid"/>
    <w:basedOn w:val="TableNormal"/>
    <w:uiPriority w:val="39"/>
    <w:rsid w:val="00BC7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C9F"/>
    <w:rPr>
      <w:rFonts w:ascii="Lucida Grande" w:hAnsi="Lucida Grande" w:cs="Lucida Grande"/>
      <w:sz w:val="18"/>
      <w:szCs w:val="18"/>
    </w:rPr>
  </w:style>
  <w:style w:type="paragraph" w:styleId="Header">
    <w:name w:val="header"/>
    <w:basedOn w:val="Normal"/>
    <w:link w:val="HeaderChar"/>
    <w:uiPriority w:val="99"/>
    <w:unhideWhenUsed/>
    <w:rsid w:val="007F57AD"/>
    <w:pPr>
      <w:tabs>
        <w:tab w:val="center" w:pos="4320"/>
        <w:tab w:val="right" w:pos="8640"/>
      </w:tabs>
    </w:pPr>
  </w:style>
  <w:style w:type="character" w:customStyle="1" w:styleId="HeaderChar">
    <w:name w:val="Header Char"/>
    <w:basedOn w:val="DefaultParagraphFont"/>
    <w:link w:val="Header"/>
    <w:uiPriority w:val="99"/>
    <w:rsid w:val="007F57AD"/>
  </w:style>
  <w:style w:type="paragraph" w:styleId="Footer">
    <w:name w:val="footer"/>
    <w:basedOn w:val="Normal"/>
    <w:link w:val="FooterChar"/>
    <w:uiPriority w:val="99"/>
    <w:unhideWhenUsed/>
    <w:rsid w:val="007F57AD"/>
    <w:pPr>
      <w:tabs>
        <w:tab w:val="center" w:pos="4320"/>
        <w:tab w:val="right" w:pos="8640"/>
      </w:tabs>
    </w:pPr>
  </w:style>
  <w:style w:type="character" w:customStyle="1" w:styleId="FooterChar">
    <w:name w:val="Footer Char"/>
    <w:basedOn w:val="DefaultParagraphFont"/>
    <w:link w:val="Footer"/>
    <w:uiPriority w:val="99"/>
    <w:rsid w:val="007F57AD"/>
  </w:style>
  <w:style w:type="character" w:styleId="PageNumber">
    <w:name w:val="page number"/>
    <w:basedOn w:val="DefaultParagraphFont"/>
    <w:uiPriority w:val="99"/>
    <w:semiHidden/>
    <w:unhideWhenUsed/>
    <w:rsid w:val="007F57AD"/>
  </w:style>
  <w:style w:type="character" w:styleId="Hyperlink">
    <w:name w:val="Hyperlink"/>
    <w:basedOn w:val="DefaultParagraphFont"/>
    <w:uiPriority w:val="99"/>
    <w:unhideWhenUsed/>
    <w:rsid w:val="007B41AF"/>
    <w:rPr>
      <w:color w:val="0563C1"/>
      <w:u w:val="single"/>
    </w:rPr>
  </w:style>
  <w:style w:type="character" w:customStyle="1" w:styleId="ListParagraphChar">
    <w:name w:val="List Paragraph Char"/>
    <w:link w:val="ListParagraph"/>
    <w:uiPriority w:val="34"/>
    <w:rsid w:val="00DC59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6593"/>
    <w:pPr>
      <w:ind w:left="720"/>
      <w:contextualSpacing/>
    </w:pPr>
  </w:style>
  <w:style w:type="paragraph" w:styleId="BodyText">
    <w:name w:val="Body Text"/>
    <w:basedOn w:val="Normal"/>
    <w:link w:val="BodyTextChar"/>
    <w:rsid w:val="003F6593"/>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3F6593"/>
    <w:rPr>
      <w:rFonts w:ascii="Times New Roman" w:eastAsia="Times New Roman" w:hAnsi="Times New Roman" w:cs="Times New Roman"/>
    </w:rPr>
  </w:style>
  <w:style w:type="paragraph" w:styleId="FootnoteText">
    <w:name w:val="footnote text"/>
    <w:basedOn w:val="Normal"/>
    <w:link w:val="FootnoteTextChar"/>
    <w:uiPriority w:val="99"/>
    <w:unhideWhenUsed/>
    <w:rsid w:val="005D572A"/>
  </w:style>
  <w:style w:type="character" w:customStyle="1" w:styleId="FootnoteTextChar">
    <w:name w:val="Footnote Text Char"/>
    <w:basedOn w:val="DefaultParagraphFont"/>
    <w:link w:val="FootnoteText"/>
    <w:uiPriority w:val="99"/>
    <w:rsid w:val="005D572A"/>
  </w:style>
  <w:style w:type="character" w:styleId="FootnoteReference">
    <w:name w:val="footnote reference"/>
    <w:basedOn w:val="DefaultParagraphFont"/>
    <w:uiPriority w:val="99"/>
    <w:unhideWhenUsed/>
    <w:rsid w:val="005D572A"/>
    <w:rPr>
      <w:vertAlign w:val="superscript"/>
    </w:rPr>
  </w:style>
  <w:style w:type="table" w:styleId="TableGrid">
    <w:name w:val="Table Grid"/>
    <w:basedOn w:val="TableNormal"/>
    <w:uiPriority w:val="39"/>
    <w:rsid w:val="00BC7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C9F"/>
    <w:rPr>
      <w:rFonts w:ascii="Lucida Grande" w:hAnsi="Lucida Grande" w:cs="Lucida Grande"/>
      <w:sz w:val="18"/>
      <w:szCs w:val="18"/>
    </w:rPr>
  </w:style>
  <w:style w:type="paragraph" w:styleId="Header">
    <w:name w:val="header"/>
    <w:basedOn w:val="Normal"/>
    <w:link w:val="HeaderChar"/>
    <w:uiPriority w:val="99"/>
    <w:unhideWhenUsed/>
    <w:rsid w:val="007F57AD"/>
    <w:pPr>
      <w:tabs>
        <w:tab w:val="center" w:pos="4320"/>
        <w:tab w:val="right" w:pos="8640"/>
      </w:tabs>
    </w:pPr>
  </w:style>
  <w:style w:type="character" w:customStyle="1" w:styleId="HeaderChar">
    <w:name w:val="Header Char"/>
    <w:basedOn w:val="DefaultParagraphFont"/>
    <w:link w:val="Header"/>
    <w:uiPriority w:val="99"/>
    <w:rsid w:val="007F57AD"/>
  </w:style>
  <w:style w:type="paragraph" w:styleId="Footer">
    <w:name w:val="footer"/>
    <w:basedOn w:val="Normal"/>
    <w:link w:val="FooterChar"/>
    <w:uiPriority w:val="99"/>
    <w:unhideWhenUsed/>
    <w:rsid w:val="007F57AD"/>
    <w:pPr>
      <w:tabs>
        <w:tab w:val="center" w:pos="4320"/>
        <w:tab w:val="right" w:pos="8640"/>
      </w:tabs>
    </w:pPr>
  </w:style>
  <w:style w:type="character" w:customStyle="1" w:styleId="FooterChar">
    <w:name w:val="Footer Char"/>
    <w:basedOn w:val="DefaultParagraphFont"/>
    <w:link w:val="Footer"/>
    <w:uiPriority w:val="99"/>
    <w:rsid w:val="007F57AD"/>
  </w:style>
  <w:style w:type="character" w:styleId="PageNumber">
    <w:name w:val="page number"/>
    <w:basedOn w:val="DefaultParagraphFont"/>
    <w:uiPriority w:val="99"/>
    <w:semiHidden/>
    <w:unhideWhenUsed/>
    <w:rsid w:val="007F57AD"/>
  </w:style>
  <w:style w:type="character" w:styleId="Hyperlink">
    <w:name w:val="Hyperlink"/>
    <w:basedOn w:val="DefaultParagraphFont"/>
    <w:uiPriority w:val="99"/>
    <w:unhideWhenUsed/>
    <w:rsid w:val="007B41AF"/>
    <w:rPr>
      <w:color w:val="0563C1"/>
      <w:u w:val="single"/>
    </w:rPr>
  </w:style>
  <w:style w:type="character" w:customStyle="1" w:styleId="ListParagraphChar">
    <w:name w:val="List Paragraph Char"/>
    <w:link w:val="ListParagraph"/>
    <w:uiPriority w:val="34"/>
    <w:rsid w:val="00DC5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98711">
      <w:bodyDiv w:val="1"/>
      <w:marLeft w:val="0"/>
      <w:marRight w:val="0"/>
      <w:marTop w:val="0"/>
      <w:marBottom w:val="0"/>
      <w:divBdr>
        <w:top w:val="none" w:sz="0" w:space="0" w:color="auto"/>
        <w:left w:val="none" w:sz="0" w:space="0" w:color="auto"/>
        <w:bottom w:val="none" w:sz="0" w:space="0" w:color="auto"/>
        <w:right w:val="none" w:sz="0" w:space="0" w:color="auto"/>
      </w:divBdr>
      <w:divsChild>
        <w:div w:id="561019134">
          <w:marLeft w:val="446"/>
          <w:marRight w:val="0"/>
          <w:marTop w:val="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monitor.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2D96-31C7-1441-8FA0-566D1F9F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3578</Words>
  <Characters>20400</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Davies</cp:lastModifiedBy>
  <cp:revision>6</cp:revision>
  <dcterms:created xsi:type="dcterms:W3CDTF">2015-09-25T04:27:00Z</dcterms:created>
  <dcterms:modified xsi:type="dcterms:W3CDTF">2015-09-25T07:00:00Z</dcterms:modified>
</cp:coreProperties>
</file>